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27761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7761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627761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77610" cy="17145"/>
                    </a:xfrm>
                    <a:prstGeom prst="rect">
                      <a:avLst/>
                    </a:prstGeom>
                    <a:noFill/>
                  </pic:spPr>
                </pic:pic>
              </a:graphicData>
            </a:graphic>
          </wp:anchor>
        </w:drawing>
        <w:t>UNITED STATES</w:t>
      </w:r>
    </w:p>
    <w:p>
      <w:pPr>
        <w:spacing w:after="0" w:line="23"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9" w:lineRule="exact"/>
        <w:rPr>
          <w:sz w:val="24"/>
          <w:szCs w:val="24"/>
          <w:color w:val="auto"/>
        </w:rPr>
      </w:pPr>
    </w:p>
    <w:p>
      <w:pPr>
        <w:ind w:left="520" w:hanging="512"/>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9" w:lineRule="exact"/>
        <w:rPr>
          <w:sz w:val="24"/>
          <w:szCs w:val="24"/>
          <w:color w:val="auto"/>
        </w:rPr>
      </w:pPr>
    </w:p>
    <w:p>
      <w:pPr>
        <w:ind w:left="520"/>
        <w:spacing w:after="0"/>
        <w:tabs>
          <w:tab w:leader="none" w:pos="5120" w:val="left"/>
        </w:tabs>
        <w:rPr>
          <w:sz w:val="20"/>
          <w:szCs w:val="20"/>
          <w:color w:val="auto"/>
        </w:rPr>
      </w:pPr>
      <w:r>
        <w:rPr>
          <w:rFonts w:ascii="Arial" w:cs="Arial" w:eastAsia="Arial" w:hAnsi="Arial"/>
          <w:sz w:val="18"/>
          <w:szCs w:val="18"/>
          <w:color w:val="auto"/>
        </w:rPr>
        <w:t>For the quarterly period ended</w:t>
      </w:r>
      <w:r>
        <w:rPr>
          <w:sz w:val="20"/>
          <w:szCs w:val="20"/>
          <w:color w:val="auto"/>
        </w:rPr>
        <w:tab/>
      </w:r>
      <w:r>
        <w:rPr>
          <w:rFonts w:ascii="Arial" w:cs="Arial" w:eastAsia="Arial" w:hAnsi="Arial"/>
          <w:sz w:val="16"/>
          <w:szCs w:val="16"/>
          <w:color w:val="auto"/>
        </w:rPr>
        <w:t>March 31,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5715</wp:posOffset>
            </wp:positionV>
            <wp:extent cx="30187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204" w:lineRule="exact"/>
        <w:rPr>
          <w:sz w:val="24"/>
          <w:szCs w:val="24"/>
          <w:color w:val="auto"/>
        </w:rPr>
      </w:pPr>
    </w:p>
    <w:p>
      <w:pPr>
        <w:jc w:val="center"/>
        <w:ind w:right="-120"/>
        <w:spacing w:after="0"/>
        <w:rPr>
          <w:sz w:val="20"/>
          <w:szCs w:val="20"/>
          <w:color w:val="auto"/>
        </w:rPr>
      </w:pPr>
      <w:r>
        <w:rPr>
          <w:rFonts w:ascii="Arial" w:cs="Arial" w:eastAsia="Arial" w:hAnsi="Arial"/>
          <w:sz w:val="18"/>
          <w:szCs w:val="18"/>
          <w:color w:val="auto"/>
        </w:rPr>
        <w:t>or</w:t>
      </w:r>
    </w:p>
    <w:p>
      <w:pPr>
        <w:spacing w:after="0" w:line="221" w:lineRule="exact"/>
        <w:rPr>
          <w:sz w:val="24"/>
          <w:szCs w:val="24"/>
          <w:color w:val="auto"/>
        </w:rPr>
      </w:pPr>
    </w:p>
    <w:p>
      <w:pPr>
        <w:ind w:left="200" w:hanging="192"/>
        <w:spacing w:after="0"/>
        <w:tabs>
          <w:tab w:leader="none" w:pos="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TRANSITION REPORT PURSUANT TO SECTION 13 OR 15(d) OF THE SECURITIES EXCHANGE ACT OF 1934</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20" w:type="dxa"/>
            <w:vAlign w:val="bottom"/>
            <w:gridSpan w:val="3"/>
          </w:tcPr>
          <w:p>
            <w:pPr>
              <w:ind w:left="500"/>
              <w:spacing w:after="0"/>
              <w:rPr>
                <w:sz w:val="20"/>
                <w:szCs w:val="20"/>
                <w:color w:val="auto"/>
              </w:rPr>
            </w:pPr>
            <w:r>
              <w:rPr>
                <w:rFonts w:ascii="Arial" w:cs="Arial" w:eastAsia="Arial" w:hAnsi="Arial"/>
                <w:sz w:val="18"/>
                <w:szCs w:val="18"/>
                <w:color w:val="auto"/>
              </w:rPr>
              <w:t>For the transition period from</w:t>
            </w:r>
          </w:p>
        </w:tc>
        <w:tc>
          <w:tcPr>
            <w:tcW w:w="1260" w:type="dxa"/>
            <w:vAlign w:val="bottom"/>
          </w:tcPr>
          <w:p>
            <w:pPr>
              <w:ind w:left="520"/>
              <w:spacing w:after="0"/>
              <w:rPr>
                <w:sz w:val="20"/>
                <w:szCs w:val="20"/>
                <w:color w:val="auto"/>
              </w:rPr>
            </w:pPr>
            <w:r>
              <w:rPr>
                <w:rFonts w:ascii="Arial" w:cs="Arial" w:eastAsia="Arial" w:hAnsi="Arial"/>
                <w:sz w:val="18"/>
                <w:szCs w:val="18"/>
                <w:color w:val="auto"/>
              </w:rPr>
              <w:t>to</w:t>
            </w:r>
          </w:p>
        </w:tc>
        <w:tc>
          <w:tcPr>
            <w:tcW w:w="18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627"/>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940" w:type="dxa"/>
            <w:vAlign w:val="bottom"/>
            <w:tcBorders>
              <w:top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Former name,</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8"/>
              </w:rPr>
              <w:t>former address and</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former fiscal year, if</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w w:val="93"/>
              </w:rPr>
              <w:t>Commission File</w:t>
            </w:r>
          </w:p>
        </w:tc>
        <w:tc>
          <w:tcPr>
            <w:tcW w:w="3860" w:type="dxa"/>
            <w:vAlign w:val="bottom"/>
            <w:gridSpan w:val="2"/>
          </w:tcPr>
          <w:p>
            <w:pPr>
              <w:ind w:left="200"/>
              <w:spacing w:after="0"/>
              <w:rPr>
                <w:sz w:val="20"/>
                <w:szCs w:val="20"/>
                <w:color w:val="auto"/>
              </w:rPr>
            </w:pPr>
            <w:r>
              <w:rPr>
                <w:rFonts w:ascii="Arial" w:cs="Arial" w:eastAsia="Arial" w:hAnsi="Arial"/>
                <w:sz w:val="18"/>
                <w:szCs w:val="18"/>
                <w:color w:val="auto"/>
                <w:w w:val="96"/>
              </w:rPr>
              <w:t>Exact Name of Registrants as Specified in their</w:t>
            </w:r>
          </w:p>
        </w:tc>
        <w:tc>
          <w:tcPr>
            <w:tcW w:w="1260" w:type="dxa"/>
            <w:vAlign w:val="bottom"/>
          </w:tcPr>
          <w:p>
            <w:pPr>
              <w:jc w:val="center"/>
              <w:ind w:left="150"/>
              <w:spacing w:after="0"/>
              <w:rPr>
                <w:sz w:val="20"/>
                <w:szCs w:val="20"/>
                <w:color w:val="auto"/>
              </w:rPr>
            </w:pPr>
            <w:r>
              <w:rPr>
                <w:rFonts w:ascii="Arial" w:cs="Arial" w:eastAsia="Arial" w:hAnsi="Arial"/>
                <w:sz w:val="18"/>
                <w:szCs w:val="18"/>
                <w:color w:val="auto"/>
                <w:w w:val="87"/>
              </w:rPr>
              <w:t>States of</w:t>
            </w:r>
          </w:p>
        </w:tc>
        <w:tc>
          <w:tcPr>
            <w:tcW w:w="1820" w:type="dxa"/>
            <w:vAlign w:val="bottom"/>
          </w:tcPr>
          <w:p>
            <w:pPr>
              <w:jc w:val="center"/>
              <w:ind w:left="170"/>
              <w:spacing w:after="0"/>
              <w:rPr>
                <w:sz w:val="20"/>
                <w:szCs w:val="20"/>
                <w:color w:val="auto"/>
              </w:rPr>
            </w:pPr>
            <w:r>
              <w:rPr>
                <w:rFonts w:ascii="Arial" w:cs="Arial" w:eastAsia="Arial" w:hAnsi="Arial"/>
                <w:sz w:val="18"/>
                <w:szCs w:val="18"/>
                <w:color w:val="auto"/>
                <w:w w:val="91"/>
              </w:rPr>
              <w:t>I.R.S. Employer</w:t>
            </w:r>
          </w:p>
        </w:tc>
        <w:tc>
          <w:tcPr>
            <w:tcW w:w="1680" w:type="dxa"/>
            <w:vAlign w:val="bottom"/>
          </w:tcPr>
          <w:p>
            <w:pPr>
              <w:jc w:val="center"/>
              <w:spacing w:after="0"/>
              <w:rPr>
                <w:sz w:val="20"/>
                <w:szCs w:val="20"/>
                <w:color w:val="auto"/>
              </w:rPr>
            </w:pPr>
            <w:r>
              <w:rPr>
                <w:rFonts w:ascii="Arial" w:cs="Arial" w:eastAsia="Arial" w:hAnsi="Arial"/>
                <w:sz w:val="18"/>
                <w:szCs w:val="18"/>
                <w:color w:val="auto"/>
                <w:w w:val="87"/>
              </w:rPr>
              <w:t>changed since last</w:t>
            </w:r>
          </w:p>
        </w:tc>
      </w:tr>
      <w:tr>
        <w:trPr>
          <w:trHeight w:val="230"/>
        </w:trPr>
        <w:tc>
          <w:tcPr>
            <w:tcW w:w="20" w:type="dxa"/>
            <w:vAlign w:val="bottom"/>
          </w:tcPr>
          <w:p>
            <w:pPr>
              <w:spacing w:after="0"/>
              <w:rPr>
                <w:sz w:val="20"/>
                <w:szCs w:val="20"/>
                <w:color w:val="auto"/>
              </w:rPr>
            </w:pPr>
          </w:p>
        </w:tc>
        <w:tc>
          <w:tcPr>
            <w:tcW w:w="12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No.</w:t>
            </w:r>
          </w:p>
        </w:tc>
        <w:tc>
          <w:tcPr>
            <w:tcW w:w="3860" w:type="dxa"/>
            <w:vAlign w:val="bottom"/>
            <w:tcBorders>
              <w:bottom w:val="single" w:sz="8" w:color="auto"/>
            </w:tcBorders>
            <w:gridSpan w:val="2"/>
          </w:tcPr>
          <w:p>
            <w:pPr>
              <w:ind w:left="400"/>
              <w:spacing w:after="0"/>
              <w:rPr>
                <w:sz w:val="20"/>
                <w:szCs w:val="20"/>
                <w:color w:val="auto"/>
              </w:rPr>
            </w:pPr>
            <w:r>
              <w:rPr>
                <w:rFonts w:ascii="Arial" w:cs="Arial" w:eastAsia="Arial" w:hAnsi="Arial"/>
                <w:sz w:val="18"/>
                <w:szCs w:val="18"/>
                <w:color w:val="auto"/>
              </w:rPr>
              <w:t>Charters, Address and Telephone Number</w:t>
            </w:r>
          </w:p>
        </w:tc>
        <w:tc>
          <w:tcPr>
            <w:tcW w:w="126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93"/>
              </w:rPr>
              <w:t>Incorporation</w:t>
            </w:r>
          </w:p>
        </w:tc>
        <w:tc>
          <w:tcPr>
            <w:tcW w:w="182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color w:val="auto"/>
                <w:w w:val="95"/>
              </w:rPr>
              <w:t>Identification Nos.</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report</w:t>
            </w:r>
          </w:p>
        </w:tc>
      </w:tr>
      <w:tr>
        <w:trPr>
          <w:trHeight w:val="195"/>
        </w:trPr>
        <w:tc>
          <w:tcPr>
            <w:tcW w:w="20" w:type="dxa"/>
            <w:vAlign w:val="bottom"/>
          </w:tcPr>
          <w:p>
            <w:pPr>
              <w:spacing w:after="0"/>
              <w:rPr>
                <w:sz w:val="16"/>
                <w:szCs w:val="16"/>
                <w:color w:val="auto"/>
              </w:rPr>
            </w:pPr>
          </w:p>
        </w:tc>
        <w:tc>
          <w:tcPr>
            <w:tcW w:w="1260" w:type="dxa"/>
            <w:vAlign w:val="bottom"/>
          </w:tcPr>
          <w:p>
            <w:pPr>
              <w:spacing w:after="0" w:line="195" w:lineRule="exact"/>
              <w:rPr>
                <w:sz w:val="20"/>
                <w:szCs w:val="20"/>
                <w:color w:val="auto"/>
              </w:rPr>
            </w:pPr>
            <w:r>
              <w:rPr>
                <w:rFonts w:ascii="Arial" w:cs="Arial" w:eastAsia="Arial" w:hAnsi="Arial"/>
                <w:sz w:val="18"/>
                <w:szCs w:val="18"/>
                <w:color w:val="auto"/>
              </w:rPr>
              <w:t>1-14201</w:t>
            </w:r>
          </w:p>
        </w:tc>
        <w:tc>
          <w:tcPr>
            <w:tcW w:w="3860" w:type="dxa"/>
            <w:vAlign w:val="bottom"/>
            <w:gridSpan w:val="2"/>
          </w:tcPr>
          <w:p>
            <w:pPr>
              <w:ind w:left="60"/>
              <w:spacing w:after="0" w:line="195" w:lineRule="exact"/>
              <w:rPr>
                <w:sz w:val="20"/>
                <w:szCs w:val="20"/>
                <w:color w:val="auto"/>
              </w:rPr>
            </w:pPr>
            <w:r>
              <w:rPr>
                <w:rFonts w:ascii="Arial" w:cs="Arial" w:eastAsia="Arial" w:hAnsi="Arial"/>
                <w:sz w:val="18"/>
                <w:szCs w:val="18"/>
                <w:color w:val="auto"/>
              </w:rPr>
              <w:t>SEMPRA ENERGY</w:t>
            </w:r>
          </w:p>
        </w:tc>
        <w:tc>
          <w:tcPr>
            <w:tcW w:w="1260" w:type="dxa"/>
            <w:vAlign w:val="bottom"/>
          </w:tcPr>
          <w:p>
            <w:pPr>
              <w:jc w:val="center"/>
              <w:ind w:left="150"/>
              <w:spacing w:after="0" w:line="195" w:lineRule="exact"/>
              <w:rPr>
                <w:sz w:val="20"/>
                <w:szCs w:val="20"/>
                <w:color w:val="auto"/>
              </w:rPr>
            </w:pPr>
            <w:r>
              <w:rPr>
                <w:rFonts w:ascii="Arial" w:cs="Arial" w:eastAsia="Arial" w:hAnsi="Arial"/>
                <w:sz w:val="18"/>
                <w:szCs w:val="18"/>
                <w:color w:val="auto"/>
                <w:w w:val="97"/>
              </w:rPr>
              <w:t>California</w:t>
            </w:r>
          </w:p>
        </w:tc>
        <w:tc>
          <w:tcPr>
            <w:tcW w:w="1820" w:type="dxa"/>
            <w:vAlign w:val="bottom"/>
          </w:tcPr>
          <w:p>
            <w:pPr>
              <w:jc w:val="center"/>
              <w:ind w:left="210"/>
              <w:spacing w:after="0" w:line="195" w:lineRule="exact"/>
              <w:rPr>
                <w:sz w:val="20"/>
                <w:szCs w:val="20"/>
                <w:color w:val="auto"/>
              </w:rPr>
            </w:pPr>
            <w:r>
              <w:rPr>
                <w:rFonts w:ascii="Arial" w:cs="Arial" w:eastAsia="Arial" w:hAnsi="Arial"/>
                <w:sz w:val="18"/>
                <w:szCs w:val="18"/>
                <w:color w:val="auto"/>
                <w:w w:val="91"/>
              </w:rPr>
              <w:t>33-0732627</w:t>
            </w:r>
          </w:p>
        </w:tc>
        <w:tc>
          <w:tcPr>
            <w:tcW w:w="1680" w:type="dxa"/>
            <w:vAlign w:val="bottom"/>
          </w:tcPr>
          <w:p>
            <w:pPr>
              <w:jc w:val="center"/>
              <w:spacing w:after="0" w:line="195" w:lineRule="exact"/>
              <w:rPr>
                <w:sz w:val="20"/>
                <w:szCs w:val="20"/>
                <w:color w:val="auto"/>
              </w:rPr>
            </w:pPr>
            <w:r>
              <w:rPr>
                <w:rFonts w:ascii="Arial" w:cs="Arial" w:eastAsia="Arial" w:hAnsi="Arial"/>
                <w:sz w:val="18"/>
                <w:szCs w:val="18"/>
                <w:color w:val="auto"/>
                <w:w w:val="89"/>
              </w:rPr>
              <w:t>No change</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60" w:type="dxa"/>
            <w:vAlign w:val="bottom"/>
            <w:gridSpan w:val="2"/>
          </w:tcPr>
          <w:p>
            <w:pPr>
              <w:ind w:left="60"/>
              <w:spacing w:after="0"/>
              <w:rPr>
                <w:sz w:val="20"/>
                <w:szCs w:val="20"/>
                <w:color w:val="auto"/>
              </w:rPr>
            </w:pPr>
            <w:r>
              <w:rPr>
                <w:rFonts w:ascii="Arial" w:cs="Arial" w:eastAsia="Arial" w:hAnsi="Arial"/>
                <w:sz w:val="18"/>
                <w:szCs w:val="18"/>
                <w:color w:val="auto"/>
              </w:rPr>
              <w:t>101 Ash Street</w:t>
            </w:r>
          </w:p>
        </w:tc>
        <w:tc>
          <w:tcPr>
            <w:tcW w:w="1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60" w:type="dxa"/>
            <w:vAlign w:val="bottom"/>
            <w:gridSpan w:val="2"/>
          </w:tcPr>
          <w:p>
            <w:pPr>
              <w:ind w:left="60"/>
              <w:spacing w:after="0"/>
              <w:rPr>
                <w:sz w:val="20"/>
                <w:szCs w:val="20"/>
                <w:color w:val="auto"/>
              </w:rPr>
            </w:pPr>
            <w:r>
              <w:rPr>
                <w:rFonts w:ascii="Arial" w:cs="Arial" w:eastAsia="Arial" w:hAnsi="Arial"/>
                <w:sz w:val="18"/>
                <w:szCs w:val="18"/>
                <w:color w:val="auto"/>
              </w:rPr>
              <w:t>San Diego, California 92101</w:t>
            </w:r>
          </w:p>
        </w:tc>
        <w:tc>
          <w:tcPr>
            <w:tcW w:w="1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920" w:type="dxa"/>
            <w:vAlign w:val="bottom"/>
          </w:tcPr>
          <w:p>
            <w:pPr>
              <w:ind w:left="60"/>
              <w:spacing w:after="0"/>
              <w:rPr>
                <w:sz w:val="20"/>
                <w:szCs w:val="20"/>
                <w:color w:val="auto"/>
              </w:rPr>
            </w:pPr>
            <w:r>
              <w:rPr>
                <w:rFonts w:ascii="Arial" w:cs="Arial" w:eastAsia="Arial" w:hAnsi="Arial"/>
                <w:sz w:val="18"/>
                <w:szCs w:val="18"/>
                <w:color w:val="auto"/>
              </w:rPr>
              <w:t>(619)696-2034</w:t>
            </w:r>
          </w:p>
        </w:tc>
        <w:tc>
          <w:tcPr>
            <w:tcW w:w="19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18"/>
        </w:trPr>
        <w:tc>
          <w:tcPr>
            <w:tcW w:w="1280" w:type="dxa"/>
            <w:vAlign w:val="bottom"/>
            <w:gridSpan w:val="2"/>
          </w:tcPr>
          <w:p>
            <w:pPr>
              <w:spacing w:after="0"/>
              <w:rPr>
                <w:sz w:val="20"/>
                <w:szCs w:val="20"/>
                <w:color w:val="auto"/>
              </w:rPr>
            </w:pPr>
            <w:r>
              <w:rPr>
                <w:rFonts w:ascii="Arial" w:cs="Arial" w:eastAsia="Arial" w:hAnsi="Arial"/>
                <w:sz w:val="18"/>
                <w:szCs w:val="18"/>
                <w:color w:val="auto"/>
              </w:rPr>
              <w:t>1-3779</w:t>
            </w:r>
          </w:p>
        </w:tc>
        <w:tc>
          <w:tcPr>
            <w:tcW w:w="3860" w:type="dxa"/>
            <w:vAlign w:val="bottom"/>
            <w:gridSpan w:val="2"/>
          </w:tcPr>
          <w:p>
            <w:pPr>
              <w:ind w:left="60"/>
              <w:spacing w:after="0"/>
              <w:rPr>
                <w:sz w:val="20"/>
                <w:szCs w:val="20"/>
                <w:color w:val="auto"/>
              </w:rPr>
            </w:pPr>
            <w:r>
              <w:rPr>
                <w:rFonts w:ascii="Arial" w:cs="Arial" w:eastAsia="Arial" w:hAnsi="Arial"/>
                <w:sz w:val="18"/>
                <w:szCs w:val="18"/>
                <w:color w:val="auto"/>
              </w:rPr>
              <w:t>SAN DIEGO GAS &amp; ELECTRIC COMPANY</w:t>
            </w:r>
          </w:p>
        </w:tc>
        <w:tc>
          <w:tcPr>
            <w:tcW w:w="1260" w:type="dxa"/>
            <w:vAlign w:val="bottom"/>
          </w:tcPr>
          <w:p>
            <w:pPr>
              <w:jc w:val="center"/>
              <w:ind w:left="150"/>
              <w:spacing w:after="0"/>
              <w:rPr>
                <w:sz w:val="20"/>
                <w:szCs w:val="20"/>
                <w:color w:val="auto"/>
              </w:rPr>
            </w:pPr>
            <w:r>
              <w:rPr>
                <w:rFonts w:ascii="Arial" w:cs="Arial" w:eastAsia="Arial" w:hAnsi="Arial"/>
                <w:sz w:val="18"/>
                <w:szCs w:val="18"/>
                <w:color w:val="auto"/>
                <w:w w:val="97"/>
              </w:rPr>
              <w:t>California</w:t>
            </w:r>
          </w:p>
        </w:tc>
        <w:tc>
          <w:tcPr>
            <w:tcW w:w="1820" w:type="dxa"/>
            <w:vAlign w:val="bottom"/>
          </w:tcPr>
          <w:p>
            <w:pPr>
              <w:jc w:val="center"/>
              <w:ind w:left="230"/>
              <w:spacing w:after="0"/>
              <w:rPr>
                <w:sz w:val="20"/>
                <w:szCs w:val="20"/>
                <w:color w:val="auto"/>
              </w:rPr>
            </w:pPr>
            <w:r>
              <w:rPr>
                <w:rFonts w:ascii="Arial" w:cs="Arial" w:eastAsia="Arial" w:hAnsi="Arial"/>
                <w:sz w:val="18"/>
                <w:szCs w:val="18"/>
                <w:color w:val="auto"/>
                <w:w w:val="89"/>
              </w:rPr>
              <w:t>95-1184800</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No change</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60" w:type="dxa"/>
            <w:vAlign w:val="bottom"/>
            <w:gridSpan w:val="2"/>
          </w:tcPr>
          <w:p>
            <w:pPr>
              <w:ind w:left="60"/>
              <w:spacing w:after="0"/>
              <w:rPr>
                <w:sz w:val="20"/>
                <w:szCs w:val="20"/>
                <w:color w:val="auto"/>
              </w:rPr>
            </w:pPr>
            <w:r>
              <w:rPr>
                <w:rFonts w:ascii="Arial" w:cs="Arial" w:eastAsia="Arial" w:hAnsi="Arial"/>
                <w:sz w:val="18"/>
                <w:szCs w:val="18"/>
                <w:color w:val="auto"/>
              </w:rPr>
              <w:t>8326 Century Park Court</w:t>
            </w:r>
          </w:p>
        </w:tc>
        <w:tc>
          <w:tcPr>
            <w:tcW w:w="1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60" w:type="dxa"/>
            <w:vAlign w:val="bottom"/>
            <w:gridSpan w:val="2"/>
          </w:tcPr>
          <w:p>
            <w:pPr>
              <w:ind w:left="60"/>
              <w:spacing w:after="0"/>
              <w:rPr>
                <w:sz w:val="20"/>
                <w:szCs w:val="20"/>
                <w:color w:val="auto"/>
              </w:rPr>
            </w:pPr>
            <w:r>
              <w:rPr>
                <w:rFonts w:ascii="Arial" w:cs="Arial" w:eastAsia="Arial" w:hAnsi="Arial"/>
                <w:sz w:val="18"/>
                <w:szCs w:val="18"/>
                <w:color w:val="auto"/>
              </w:rPr>
              <w:t>San Diego, California 92123</w:t>
            </w:r>
          </w:p>
        </w:tc>
        <w:tc>
          <w:tcPr>
            <w:tcW w:w="1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920" w:type="dxa"/>
            <w:vAlign w:val="bottom"/>
          </w:tcPr>
          <w:p>
            <w:pPr>
              <w:ind w:left="60"/>
              <w:spacing w:after="0"/>
              <w:rPr>
                <w:sz w:val="20"/>
                <w:szCs w:val="20"/>
                <w:color w:val="auto"/>
              </w:rPr>
            </w:pPr>
            <w:r>
              <w:rPr>
                <w:rFonts w:ascii="Arial" w:cs="Arial" w:eastAsia="Arial" w:hAnsi="Arial"/>
                <w:sz w:val="18"/>
                <w:szCs w:val="18"/>
                <w:color w:val="auto"/>
              </w:rPr>
              <w:t>(619)696-2000</w:t>
            </w:r>
          </w:p>
        </w:tc>
        <w:tc>
          <w:tcPr>
            <w:tcW w:w="19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18"/>
        </w:trPr>
        <w:tc>
          <w:tcPr>
            <w:tcW w:w="1280" w:type="dxa"/>
            <w:vAlign w:val="bottom"/>
            <w:gridSpan w:val="2"/>
          </w:tcPr>
          <w:p>
            <w:pPr>
              <w:spacing w:after="0"/>
              <w:rPr>
                <w:sz w:val="20"/>
                <w:szCs w:val="20"/>
                <w:color w:val="auto"/>
              </w:rPr>
            </w:pPr>
            <w:r>
              <w:rPr>
                <w:rFonts w:ascii="Arial" w:cs="Arial" w:eastAsia="Arial" w:hAnsi="Arial"/>
                <w:sz w:val="18"/>
                <w:szCs w:val="18"/>
                <w:color w:val="auto"/>
              </w:rPr>
              <w:t>1-40</w:t>
            </w:r>
          </w:p>
        </w:tc>
        <w:tc>
          <w:tcPr>
            <w:tcW w:w="3860" w:type="dxa"/>
            <w:vAlign w:val="bottom"/>
            <w:gridSpan w:val="2"/>
          </w:tcPr>
          <w:p>
            <w:pPr>
              <w:ind w:left="60"/>
              <w:spacing w:after="0"/>
              <w:rPr>
                <w:sz w:val="20"/>
                <w:szCs w:val="20"/>
                <w:color w:val="auto"/>
              </w:rPr>
            </w:pPr>
            <w:r>
              <w:rPr>
                <w:rFonts w:ascii="Arial" w:cs="Arial" w:eastAsia="Arial" w:hAnsi="Arial"/>
                <w:sz w:val="18"/>
                <w:szCs w:val="18"/>
                <w:color w:val="auto"/>
              </w:rPr>
              <w:t>PACIFIC ENTERPRISES</w:t>
            </w:r>
          </w:p>
        </w:tc>
        <w:tc>
          <w:tcPr>
            <w:tcW w:w="1260" w:type="dxa"/>
            <w:vAlign w:val="bottom"/>
          </w:tcPr>
          <w:p>
            <w:pPr>
              <w:jc w:val="center"/>
              <w:ind w:left="150"/>
              <w:spacing w:after="0"/>
              <w:rPr>
                <w:sz w:val="20"/>
                <w:szCs w:val="20"/>
                <w:color w:val="auto"/>
              </w:rPr>
            </w:pPr>
            <w:r>
              <w:rPr>
                <w:rFonts w:ascii="Arial" w:cs="Arial" w:eastAsia="Arial" w:hAnsi="Arial"/>
                <w:sz w:val="18"/>
                <w:szCs w:val="18"/>
                <w:color w:val="auto"/>
                <w:w w:val="97"/>
              </w:rPr>
              <w:t>California</w:t>
            </w:r>
          </w:p>
        </w:tc>
        <w:tc>
          <w:tcPr>
            <w:tcW w:w="1820" w:type="dxa"/>
            <w:vAlign w:val="bottom"/>
          </w:tcPr>
          <w:p>
            <w:pPr>
              <w:jc w:val="center"/>
              <w:ind w:left="210"/>
              <w:spacing w:after="0"/>
              <w:rPr>
                <w:sz w:val="20"/>
                <w:szCs w:val="20"/>
                <w:color w:val="auto"/>
              </w:rPr>
            </w:pPr>
            <w:r>
              <w:rPr>
                <w:rFonts w:ascii="Arial" w:cs="Arial" w:eastAsia="Arial" w:hAnsi="Arial"/>
                <w:sz w:val="18"/>
                <w:szCs w:val="18"/>
                <w:color w:val="auto"/>
                <w:w w:val="91"/>
              </w:rPr>
              <w:t>94-0743670</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No change</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60" w:type="dxa"/>
            <w:vAlign w:val="bottom"/>
            <w:gridSpan w:val="2"/>
          </w:tcPr>
          <w:p>
            <w:pPr>
              <w:ind w:left="60"/>
              <w:spacing w:after="0"/>
              <w:rPr>
                <w:sz w:val="20"/>
                <w:szCs w:val="20"/>
                <w:color w:val="auto"/>
              </w:rPr>
            </w:pPr>
            <w:r>
              <w:rPr>
                <w:rFonts w:ascii="Arial" w:cs="Arial" w:eastAsia="Arial" w:hAnsi="Arial"/>
                <w:sz w:val="18"/>
                <w:szCs w:val="18"/>
                <w:color w:val="auto"/>
              </w:rPr>
              <w:t>101 Ash Street</w:t>
            </w:r>
          </w:p>
        </w:tc>
        <w:tc>
          <w:tcPr>
            <w:tcW w:w="1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60" w:type="dxa"/>
            <w:vAlign w:val="bottom"/>
            <w:gridSpan w:val="2"/>
          </w:tcPr>
          <w:p>
            <w:pPr>
              <w:ind w:left="60"/>
              <w:spacing w:after="0"/>
              <w:rPr>
                <w:sz w:val="20"/>
                <w:szCs w:val="20"/>
                <w:color w:val="auto"/>
              </w:rPr>
            </w:pPr>
            <w:r>
              <w:rPr>
                <w:rFonts w:ascii="Arial" w:cs="Arial" w:eastAsia="Arial" w:hAnsi="Arial"/>
                <w:sz w:val="18"/>
                <w:szCs w:val="18"/>
                <w:color w:val="auto"/>
              </w:rPr>
              <w:t>San Diego, California 92101</w:t>
            </w:r>
          </w:p>
        </w:tc>
        <w:tc>
          <w:tcPr>
            <w:tcW w:w="1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920" w:type="dxa"/>
            <w:vAlign w:val="bottom"/>
          </w:tcPr>
          <w:p>
            <w:pPr>
              <w:ind w:left="60"/>
              <w:spacing w:after="0"/>
              <w:rPr>
                <w:sz w:val="20"/>
                <w:szCs w:val="20"/>
                <w:color w:val="auto"/>
              </w:rPr>
            </w:pPr>
            <w:r>
              <w:rPr>
                <w:rFonts w:ascii="Arial" w:cs="Arial" w:eastAsia="Arial" w:hAnsi="Arial"/>
                <w:sz w:val="18"/>
                <w:szCs w:val="18"/>
                <w:color w:val="auto"/>
              </w:rPr>
              <w:t>(619)696-2020</w:t>
            </w:r>
          </w:p>
        </w:tc>
        <w:tc>
          <w:tcPr>
            <w:tcW w:w="19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18"/>
        </w:trPr>
        <w:tc>
          <w:tcPr>
            <w:tcW w:w="1280" w:type="dxa"/>
            <w:vAlign w:val="bottom"/>
            <w:gridSpan w:val="2"/>
          </w:tcPr>
          <w:p>
            <w:pPr>
              <w:spacing w:after="0"/>
              <w:rPr>
                <w:sz w:val="20"/>
                <w:szCs w:val="20"/>
                <w:color w:val="auto"/>
              </w:rPr>
            </w:pPr>
            <w:r>
              <w:rPr>
                <w:rFonts w:ascii="Arial" w:cs="Arial" w:eastAsia="Arial" w:hAnsi="Arial"/>
                <w:sz w:val="18"/>
                <w:szCs w:val="18"/>
                <w:color w:val="auto"/>
              </w:rPr>
              <w:t>1-1402</w:t>
            </w:r>
          </w:p>
        </w:tc>
        <w:tc>
          <w:tcPr>
            <w:tcW w:w="3860" w:type="dxa"/>
            <w:vAlign w:val="bottom"/>
            <w:gridSpan w:val="2"/>
          </w:tcPr>
          <w:p>
            <w:pPr>
              <w:ind w:left="60"/>
              <w:spacing w:after="0"/>
              <w:rPr>
                <w:sz w:val="20"/>
                <w:szCs w:val="20"/>
                <w:color w:val="auto"/>
              </w:rPr>
            </w:pPr>
            <w:r>
              <w:rPr>
                <w:rFonts w:ascii="Arial" w:cs="Arial" w:eastAsia="Arial" w:hAnsi="Arial"/>
                <w:sz w:val="18"/>
                <w:szCs w:val="18"/>
                <w:color w:val="auto"/>
              </w:rPr>
              <w:t>SOUTHERN CALIFORNIA GAS COMPANY</w:t>
            </w:r>
          </w:p>
        </w:tc>
        <w:tc>
          <w:tcPr>
            <w:tcW w:w="1260" w:type="dxa"/>
            <w:vAlign w:val="bottom"/>
          </w:tcPr>
          <w:p>
            <w:pPr>
              <w:jc w:val="center"/>
              <w:ind w:left="150"/>
              <w:spacing w:after="0"/>
              <w:rPr>
                <w:sz w:val="20"/>
                <w:szCs w:val="20"/>
                <w:color w:val="auto"/>
              </w:rPr>
            </w:pPr>
            <w:r>
              <w:rPr>
                <w:rFonts w:ascii="Arial" w:cs="Arial" w:eastAsia="Arial" w:hAnsi="Arial"/>
                <w:sz w:val="18"/>
                <w:szCs w:val="18"/>
                <w:color w:val="auto"/>
                <w:w w:val="97"/>
              </w:rPr>
              <w:t>California</w:t>
            </w:r>
          </w:p>
        </w:tc>
        <w:tc>
          <w:tcPr>
            <w:tcW w:w="1820" w:type="dxa"/>
            <w:vAlign w:val="bottom"/>
          </w:tcPr>
          <w:p>
            <w:pPr>
              <w:jc w:val="center"/>
              <w:ind w:left="210"/>
              <w:spacing w:after="0"/>
              <w:rPr>
                <w:sz w:val="20"/>
                <w:szCs w:val="20"/>
                <w:color w:val="auto"/>
              </w:rPr>
            </w:pPr>
            <w:r>
              <w:rPr>
                <w:rFonts w:ascii="Arial" w:cs="Arial" w:eastAsia="Arial" w:hAnsi="Arial"/>
                <w:sz w:val="18"/>
                <w:szCs w:val="18"/>
                <w:color w:val="auto"/>
                <w:w w:val="91"/>
              </w:rPr>
              <w:t>95-1240705</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No change</w:t>
            </w: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60" w:type="dxa"/>
            <w:vAlign w:val="bottom"/>
            <w:gridSpan w:val="2"/>
          </w:tcPr>
          <w:p>
            <w:pPr>
              <w:ind w:left="60"/>
              <w:spacing w:after="0"/>
              <w:rPr>
                <w:sz w:val="20"/>
                <w:szCs w:val="20"/>
                <w:color w:val="auto"/>
              </w:rPr>
            </w:pPr>
            <w:r>
              <w:rPr>
                <w:rFonts w:ascii="Arial" w:cs="Arial" w:eastAsia="Arial" w:hAnsi="Arial"/>
                <w:sz w:val="18"/>
                <w:szCs w:val="18"/>
                <w:color w:val="auto"/>
              </w:rPr>
              <w:t>555 West Fifth Street</w:t>
            </w:r>
          </w:p>
        </w:tc>
        <w:tc>
          <w:tcPr>
            <w:tcW w:w="12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680" w:type="dxa"/>
            <w:vAlign w:val="bottom"/>
          </w:tcPr>
          <w:p>
            <w:pPr>
              <w:spacing w:after="0"/>
              <w:rPr>
                <w:sz w:val="20"/>
                <w:szCs w:val="20"/>
                <w:color w:val="auto"/>
              </w:rPr>
            </w:pPr>
          </w:p>
        </w:tc>
      </w:tr>
    </w:tbl>
    <w:p>
      <w:pPr>
        <w:ind w:left="1340"/>
        <w:spacing w:after="0"/>
        <w:rPr>
          <w:sz w:val="20"/>
          <w:szCs w:val="20"/>
          <w:color w:val="auto"/>
        </w:rPr>
      </w:pPr>
      <w:r>
        <w:rPr>
          <w:rFonts w:ascii="Arial" w:cs="Arial" w:eastAsia="Arial" w:hAnsi="Arial"/>
          <w:sz w:val="18"/>
          <w:szCs w:val="18"/>
          <w:color w:val="auto"/>
        </w:rPr>
        <w:t>Los Angeles, California 90013</w:t>
      </w:r>
    </w:p>
    <w:p>
      <w:pPr>
        <w:spacing w:after="0" w:line="9" w:lineRule="exact"/>
        <w:rPr>
          <w:sz w:val="24"/>
          <w:szCs w:val="24"/>
          <w:color w:val="auto"/>
        </w:rPr>
      </w:pPr>
    </w:p>
    <w:p>
      <w:pPr>
        <w:ind w:left="1340"/>
        <w:spacing w:after="0"/>
        <w:rPr>
          <w:sz w:val="20"/>
          <w:szCs w:val="20"/>
          <w:color w:val="auto"/>
        </w:rPr>
      </w:pPr>
      <w:r>
        <w:rPr>
          <w:rFonts w:ascii="Arial" w:cs="Arial" w:eastAsia="Arial" w:hAnsi="Arial"/>
          <w:sz w:val="18"/>
          <w:szCs w:val="18"/>
          <w:color w:val="auto"/>
        </w:rPr>
        <w:t>(213)244-1200</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419"/>
        <w:spacing w:after="0" w:line="264" w:lineRule="auto"/>
        <w:rPr>
          <w:sz w:val="20"/>
          <w:szCs w:val="20"/>
          <w:color w:val="auto"/>
        </w:rPr>
      </w:pPr>
      <w:r>
        <w:rPr>
          <w:rFonts w:ascii="Arial" w:cs="Arial" w:eastAsia="Arial" w:hAnsi="Arial"/>
          <w:sz w:val="18"/>
          <w:szCs w:val="18"/>
          <w:color w:val="auto"/>
        </w:rPr>
        <w:t>Indicate by check mark whether the registrants (1) have filed all reports required to be filed by Section 13 or 15(d) of the Securities Exchange Act of 1934 during the preceding 12 months (or for such shorter period that the registrants were required to file such reports), and (2) have been subject to such filing requirements for the past 90 days.</w:t>
      </w:r>
    </w:p>
    <w:p>
      <w:pPr>
        <w:spacing w:after="0" w:line="181" w:lineRule="exact"/>
        <w:rPr>
          <w:sz w:val="24"/>
          <w:szCs w:val="24"/>
          <w:color w:val="auto"/>
        </w:rPr>
      </w:pPr>
    </w:p>
    <w:p>
      <w:pPr>
        <w:ind w:left="6060"/>
        <w:spacing w:after="0"/>
        <w:tabs>
          <w:tab w:leader="none" w:pos="6860" w:val="left"/>
          <w:tab w:leader="none" w:pos="850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4070350</wp:posOffset>
            </wp:positionH>
            <wp:positionV relativeFrom="paragraph">
              <wp:posOffset>14605</wp:posOffset>
            </wp:positionV>
            <wp:extent cx="720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090" cy="8890"/>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14605</wp:posOffset>
            </wp:positionV>
            <wp:extent cx="6858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ind w:right="619"/>
        <w:spacing w:after="0" w:line="264" w:lineRule="auto"/>
        <w:rPr>
          <w:sz w:val="20"/>
          <w:szCs w:val="20"/>
          <w:color w:val="auto"/>
        </w:rPr>
      </w:pPr>
      <w:r>
        <w:rPr>
          <w:rFonts w:ascii="Arial" w:cs="Arial" w:eastAsia="Arial" w:hAnsi="Arial"/>
          <w:sz w:val="18"/>
          <w:szCs w:val="18"/>
          <w:color w:val="auto"/>
        </w:rPr>
        <w:t>Indicate by check mark whether the registrants have submitted electronically and posted on their corporate Web site, if any, every Interactive Data File required to be submitted and posted pursuant to Rule 405 of Regulation S-T during the preceding 12 months (or for such shorter period that the registrants were required to submit and post such files).</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Sempra Energy</w:t>
            </w:r>
          </w:p>
        </w:tc>
        <w:tc>
          <w:tcPr>
            <w:tcW w:w="2020" w:type="dxa"/>
            <w:vAlign w:val="bottom"/>
          </w:tcPr>
          <w:p>
            <w:pPr>
              <w:ind w:left="1680"/>
              <w:spacing w:after="0"/>
              <w:rPr>
                <w:sz w:val="20"/>
                <w:szCs w:val="20"/>
                <w:color w:val="auto"/>
              </w:rPr>
            </w:pPr>
            <w:r>
              <w:rPr>
                <w:rFonts w:ascii="Arial" w:cs="Arial" w:eastAsia="Arial" w:hAnsi="Arial"/>
                <w:sz w:val="18"/>
                <w:szCs w:val="18"/>
                <w:color w:val="auto"/>
              </w:rPr>
              <w:t>Yes</w:t>
            </w:r>
          </w:p>
        </w:tc>
        <w:tc>
          <w:tcPr>
            <w:tcW w:w="13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X</w:t>
            </w:r>
          </w:p>
        </w:tc>
        <w:tc>
          <w:tcPr>
            <w:tcW w:w="1140" w:type="dxa"/>
            <w:vAlign w:val="bottom"/>
          </w:tcPr>
          <w:p>
            <w:pPr>
              <w:ind w:left="920"/>
              <w:spacing w:after="0"/>
              <w:rPr>
                <w:sz w:val="20"/>
                <w:szCs w:val="20"/>
                <w:color w:val="auto"/>
              </w:rPr>
            </w:pPr>
            <w:r>
              <w:rPr>
                <w:rFonts w:ascii="Arial" w:cs="Arial" w:eastAsia="Arial" w:hAnsi="Arial"/>
                <w:sz w:val="18"/>
                <w:szCs w:val="18"/>
                <w:color w:val="auto"/>
                <w:w w:val="86"/>
              </w:rPr>
              <w:t>No</w:t>
            </w:r>
          </w:p>
        </w:tc>
      </w:tr>
      <w:tr>
        <w:trPr>
          <w:trHeight w:val="210"/>
        </w:trPr>
        <w:tc>
          <w:tcPr>
            <w:tcW w:w="4300" w:type="dxa"/>
            <w:vAlign w:val="bottom"/>
          </w:tcPr>
          <w:p>
            <w:pPr>
              <w:spacing w:after="0"/>
              <w:rPr>
                <w:sz w:val="20"/>
                <w:szCs w:val="20"/>
                <w:color w:val="auto"/>
              </w:rPr>
            </w:pPr>
            <w:r>
              <w:rPr>
                <w:rFonts w:ascii="Arial" w:cs="Arial" w:eastAsia="Arial" w:hAnsi="Arial"/>
                <w:sz w:val="18"/>
                <w:szCs w:val="18"/>
                <w:color w:val="auto"/>
              </w:rPr>
              <w:t>San Diego Gas &amp; Electric Company</w:t>
            </w:r>
          </w:p>
        </w:tc>
        <w:tc>
          <w:tcPr>
            <w:tcW w:w="2020" w:type="dxa"/>
            <w:vAlign w:val="bottom"/>
          </w:tcPr>
          <w:p>
            <w:pPr>
              <w:ind w:left="1680"/>
              <w:spacing w:after="0"/>
              <w:rPr>
                <w:sz w:val="20"/>
                <w:szCs w:val="20"/>
                <w:color w:val="auto"/>
              </w:rPr>
            </w:pPr>
            <w:r>
              <w:rPr>
                <w:rFonts w:ascii="Arial" w:cs="Arial" w:eastAsia="Arial" w:hAnsi="Arial"/>
                <w:sz w:val="18"/>
                <w:szCs w:val="18"/>
                <w:color w:val="auto"/>
              </w:rPr>
              <w:t>Yes</w:t>
            </w:r>
          </w:p>
        </w:tc>
        <w:tc>
          <w:tcPr>
            <w:tcW w:w="1300" w:type="dxa"/>
            <w:vAlign w:val="bottom"/>
            <w:tcBorders>
              <w:bottom w:val="single" w:sz="8" w:color="auto"/>
            </w:tcBorders>
          </w:tcPr>
          <w:p>
            <w:pPr>
              <w:spacing w:after="0"/>
              <w:rPr>
                <w:sz w:val="18"/>
                <w:szCs w:val="18"/>
                <w:color w:val="auto"/>
              </w:rPr>
            </w:pPr>
          </w:p>
        </w:tc>
        <w:tc>
          <w:tcPr>
            <w:tcW w:w="1140" w:type="dxa"/>
            <w:vAlign w:val="bottom"/>
          </w:tcPr>
          <w:p>
            <w:pPr>
              <w:ind w:left="920"/>
              <w:spacing w:after="0"/>
              <w:rPr>
                <w:sz w:val="20"/>
                <w:szCs w:val="20"/>
                <w:color w:val="auto"/>
              </w:rPr>
            </w:pPr>
            <w:r>
              <w:rPr>
                <w:rFonts w:ascii="Arial" w:cs="Arial" w:eastAsia="Arial" w:hAnsi="Arial"/>
                <w:sz w:val="18"/>
                <w:szCs w:val="18"/>
                <w:color w:val="auto"/>
                <w:w w:val="86"/>
              </w:rPr>
              <w:t>No</w:t>
            </w:r>
          </w:p>
        </w:tc>
      </w:tr>
      <w:tr>
        <w:trPr>
          <w:trHeight w:val="210"/>
        </w:trPr>
        <w:tc>
          <w:tcPr>
            <w:tcW w:w="4300" w:type="dxa"/>
            <w:vAlign w:val="bottom"/>
          </w:tcPr>
          <w:p>
            <w:pPr>
              <w:spacing w:after="0"/>
              <w:rPr>
                <w:sz w:val="20"/>
                <w:szCs w:val="20"/>
                <w:color w:val="auto"/>
              </w:rPr>
            </w:pPr>
            <w:r>
              <w:rPr>
                <w:rFonts w:ascii="Arial" w:cs="Arial" w:eastAsia="Arial" w:hAnsi="Arial"/>
                <w:sz w:val="18"/>
                <w:szCs w:val="18"/>
                <w:color w:val="auto"/>
              </w:rPr>
              <w:t>Pacific Enterprises</w:t>
            </w:r>
          </w:p>
        </w:tc>
        <w:tc>
          <w:tcPr>
            <w:tcW w:w="2020" w:type="dxa"/>
            <w:vAlign w:val="bottom"/>
          </w:tcPr>
          <w:p>
            <w:pPr>
              <w:ind w:left="1680"/>
              <w:spacing w:after="0"/>
              <w:rPr>
                <w:sz w:val="20"/>
                <w:szCs w:val="20"/>
                <w:color w:val="auto"/>
              </w:rPr>
            </w:pPr>
            <w:r>
              <w:rPr>
                <w:rFonts w:ascii="Arial" w:cs="Arial" w:eastAsia="Arial" w:hAnsi="Arial"/>
                <w:sz w:val="18"/>
                <w:szCs w:val="18"/>
                <w:color w:val="auto"/>
              </w:rPr>
              <w:t>Yes</w:t>
            </w:r>
          </w:p>
        </w:tc>
        <w:tc>
          <w:tcPr>
            <w:tcW w:w="1300" w:type="dxa"/>
            <w:vAlign w:val="bottom"/>
            <w:tcBorders>
              <w:bottom w:val="single" w:sz="8" w:color="auto"/>
            </w:tcBorders>
          </w:tcPr>
          <w:p>
            <w:pPr>
              <w:spacing w:after="0"/>
              <w:rPr>
                <w:sz w:val="18"/>
                <w:szCs w:val="18"/>
                <w:color w:val="auto"/>
              </w:rPr>
            </w:pPr>
          </w:p>
        </w:tc>
        <w:tc>
          <w:tcPr>
            <w:tcW w:w="1140" w:type="dxa"/>
            <w:vAlign w:val="bottom"/>
          </w:tcPr>
          <w:p>
            <w:pPr>
              <w:ind w:left="920"/>
              <w:spacing w:after="0"/>
              <w:rPr>
                <w:sz w:val="20"/>
                <w:szCs w:val="20"/>
                <w:color w:val="auto"/>
              </w:rPr>
            </w:pPr>
            <w:r>
              <w:rPr>
                <w:rFonts w:ascii="Arial" w:cs="Arial" w:eastAsia="Arial" w:hAnsi="Arial"/>
                <w:sz w:val="18"/>
                <w:szCs w:val="18"/>
                <w:color w:val="auto"/>
                <w:w w:val="86"/>
              </w:rPr>
              <w:t>No</w:t>
            </w:r>
          </w:p>
        </w:tc>
      </w:tr>
      <w:tr>
        <w:trPr>
          <w:trHeight w:val="210"/>
        </w:trPr>
        <w:tc>
          <w:tcPr>
            <w:tcW w:w="4300" w:type="dxa"/>
            <w:vAlign w:val="bottom"/>
          </w:tcPr>
          <w:p>
            <w:pPr>
              <w:spacing w:after="0"/>
              <w:rPr>
                <w:sz w:val="20"/>
                <w:szCs w:val="20"/>
                <w:color w:val="auto"/>
              </w:rPr>
            </w:pPr>
            <w:r>
              <w:rPr>
                <w:rFonts w:ascii="Arial" w:cs="Arial" w:eastAsia="Arial" w:hAnsi="Arial"/>
                <w:sz w:val="18"/>
                <w:szCs w:val="18"/>
                <w:color w:val="auto"/>
              </w:rPr>
              <w:t>Southern California Gas Company</w:t>
            </w:r>
          </w:p>
        </w:tc>
        <w:tc>
          <w:tcPr>
            <w:tcW w:w="2020" w:type="dxa"/>
            <w:vAlign w:val="bottom"/>
          </w:tcPr>
          <w:p>
            <w:pPr>
              <w:ind w:left="1680"/>
              <w:spacing w:after="0"/>
              <w:rPr>
                <w:sz w:val="20"/>
                <w:szCs w:val="20"/>
                <w:color w:val="auto"/>
              </w:rPr>
            </w:pPr>
            <w:r>
              <w:rPr>
                <w:rFonts w:ascii="Arial" w:cs="Arial" w:eastAsia="Arial" w:hAnsi="Arial"/>
                <w:sz w:val="18"/>
                <w:szCs w:val="18"/>
                <w:color w:val="auto"/>
              </w:rPr>
              <w:t>Yes</w:t>
            </w:r>
          </w:p>
        </w:tc>
        <w:tc>
          <w:tcPr>
            <w:tcW w:w="1300" w:type="dxa"/>
            <w:vAlign w:val="bottom"/>
            <w:tcBorders>
              <w:bottom w:val="single" w:sz="8" w:color="auto"/>
            </w:tcBorders>
          </w:tcPr>
          <w:p>
            <w:pPr>
              <w:spacing w:after="0"/>
              <w:rPr>
                <w:sz w:val="18"/>
                <w:szCs w:val="18"/>
                <w:color w:val="auto"/>
              </w:rPr>
            </w:pPr>
          </w:p>
        </w:tc>
        <w:tc>
          <w:tcPr>
            <w:tcW w:w="1140" w:type="dxa"/>
            <w:vAlign w:val="bottom"/>
          </w:tcPr>
          <w:p>
            <w:pPr>
              <w:ind w:left="920"/>
              <w:spacing w:after="0"/>
              <w:rPr>
                <w:sz w:val="20"/>
                <w:szCs w:val="20"/>
                <w:color w:val="auto"/>
              </w:rPr>
            </w:pPr>
            <w:r>
              <w:rPr>
                <w:rFonts w:ascii="Arial" w:cs="Arial" w:eastAsia="Arial" w:hAnsi="Arial"/>
                <w:sz w:val="18"/>
                <w:szCs w:val="18"/>
                <w:color w:val="auto"/>
                <w:w w:val="86"/>
              </w:rPr>
              <w:t>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5613400</wp:posOffset>
            </wp:positionH>
            <wp:positionV relativeFrom="paragraph">
              <wp:posOffset>-445135</wp:posOffset>
            </wp:positionV>
            <wp:extent cx="6604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0400" cy="8890"/>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-299720</wp:posOffset>
            </wp:positionV>
            <wp:extent cx="6604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0400" cy="8890"/>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-153670</wp:posOffset>
            </wp:positionV>
            <wp:extent cx="6604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0400" cy="8890"/>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-8255</wp:posOffset>
            </wp:positionV>
            <wp:extent cx="6604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182" w:lineRule="exact"/>
        <w:rPr>
          <w:sz w:val="24"/>
          <w:szCs w:val="24"/>
          <w:color w:val="auto"/>
        </w:rPr>
      </w:pPr>
    </w:p>
    <w:p>
      <w:pPr>
        <w:ind w:right="439"/>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80" w:type="dxa"/>
            <w:vAlign w:val="bottom"/>
          </w:tcPr>
          <w:p>
            <w:pPr>
              <w:spacing w:after="0"/>
              <w:rPr>
                <w:sz w:val="18"/>
                <w:szCs w:val="18"/>
                <w:color w:val="auto"/>
              </w:rPr>
            </w:pPr>
          </w:p>
        </w:tc>
        <w:tc>
          <w:tcPr>
            <w:tcW w:w="1880" w:type="dxa"/>
            <w:vAlign w:val="bottom"/>
            <w:gridSpan w:val="2"/>
          </w:tcPr>
          <w:p>
            <w:pPr>
              <w:ind w:left="560"/>
              <w:spacing w:after="0"/>
              <w:rPr>
                <w:sz w:val="20"/>
                <w:szCs w:val="20"/>
                <w:color w:val="auto"/>
              </w:rPr>
            </w:pPr>
            <w:r>
              <w:rPr>
                <w:rFonts w:ascii="Arial" w:cs="Arial" w:eastAsia="Arial" w:hAnsi="Arial"/>
                <w:sz w:val="18"/>
                <w:szCs w:val="18"/>
                <w:color w:val="auto"/>
              </w:rPr>
              <w:t>Large</w:t>
            </w: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40" w:type="dxa"/>
            <w:vAlign w:val="bottom"/>
            <w:gridSpan w:val="2"/>
          </w:tcPr>
          <w:p>
            <w:pPr>
              <w:jc w:val="right"/>
              <w:ind w:right="50"/>
              <w:spacing w:after="0"/>
              <w:rPr>
                <w:sz w:val="20"/>
                <w:szCs w:val="20"/>
                <w:color w:val="auto"/>
              </w:rPr>
            </w:pPr>
            <w:r>
              <w:rPr>
                <w:rFonts w:ascii="Arial" w:cs="Arial" w:eastAsia="Arial" w:hAnsi="Arial"/>
                <w:sz w:val="18"/>
                <w:szCs w:val="18"/>
                <w:color w:val="auto"/>
              </w:rPr>
              <w:t>Smaller reporting</w:t>
            </w:r>
          </w:p>
        </w:tc>
        <w:tc>
          <w:tcPr>
            <w:tcW w:w="0" w:type="dxa"/>
            <w:vAlign w:val="bottom"/>
          </w:tcPr>
          <w:p>
            <w:pPr>
              <w:spacing w:after="0"/>
              <w:rPr>
                <w:sz w:val="1"/>
                <w:szCs w:val="1"/>
                <w:color w:val="auto"/>
              </w:rPr>
            </w:pPr>
          </w:p>
        </w:tc>
      </w:tr>
      <w:tr>
        <w:trPr>
          <w:trHeight w:val="230"/>
        </w:trPr>
        <w:tc>
          <w:tcPr>
            <w:tcW w:w="2080" w:type="dxa"/>
            <w:vAlign w:val="bottom"/>
            <w:vMerge w:val="restart"/>
          </w:tcPr>
          <w:p>
            <w:pPr>
              <w:spacing w:after="0"/>
              <w:rPr>
                <w:sz w:val="20"/>
                <w:szCs w:val="20"/>
                <w:color w:val="auto"/>
              </w:rPr>
            </w:pPr>
            <w:r>
              <w:rPr>
                <w:rFonts w:ascii="Arial" w:cs="Arial" w:eastAsia="Arial" w:hAnsi="Arial"/>
                <w:sz w:val="18"/>
                <w:szCs w:val="18"/>
                <w:color w:val="auto"/>
              </w:rPr>
              <w:t>Sempra Energy</w:t>
            </w:r>
          </w:p>
        </w:tc>
        <w:tc>
          <w:tcPr>
            <w:tcW w:w="188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color w:val="auto"/>
              </w:rPr>
              <w:t>accelerated filer</w:t>
            </w:r>
          </w:p>
        </w:tc>
        <w:tc>
          <w:tcPr>
            <w:tcW w:w="222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8"/>
                <w:szCs w:val="18"/>
                <w:color w:val="auto"/>
              </w:rPr>
              <w:t>Accelerated filer</w:t>
            </w:r>
          </w:p>
        </w:tc>
        <w:tc>
          <w:tcPr>
            <w:tcW w:w="2160" w:type="dxa"/>
            <w:vAlign w:val="bottom"/>
            <w:tcBorders>
              <w:bottom w:val="single" w:sz="8" w:color="auto"/>
            </w:tcBorders>
            <w:gridSpan w:val="2"/>
          </w:tcPr>
          <w:p>
            <w:pPr>
              <w:ind w:left="480"/>
              <w:spacing w:after="0"/>
              <w:rPr>
                <w:sz w:val="20"/>
                <w:szCs w:val="20"/>
                <w:color w:val="auto"/>
              </w:rPr>
            </w:pPr>
            <w:r>
              <w:rPr>
                <w:rFonts w:ascii="Arial" w:cs="Arial" w:eastAsia="Arial" w:hAnsi="Arial"/>
                <w:sz w:val="18"/>
                <w:szCs w:val="18"/>
                <w:color w:val="auto"/>
                <w:w w:val="99"/>
              </w:rPr>
              <w:t>Non-accelerated filer</w:t>
            </w:r>
          </w:p>
        </w:tc>
        <w:tc>
          <w:tcPr>
            <w:tcW w:w="154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8"/>
                <w:szCs w:val="18"/>
                <w:color w:val="auto"/>
              </w:rPr>
              <w:t>company</w:t>
            </w:r>
          </w:p>
        </w:tc>
        <w:tc>
          <w:tcPr>
            <w:tcW w:w="0" w:type="dxa"/>
            <w:vAlign w:val="bottom"/>
          </w:tcPr>
          <w:p>
            <w:pPr>
              <w:spacing w:after="0"/>
              <w:rPr>
                <w:sz w:val="1"/>
                <w:szCs w:val="1"/>
                <w:color w:val="auto"/>
              </w:rPr>
            </w:pPr>
          </w:p>
        </w:tc>
      </w:tr>
      <w:tr>
        <w:trPr>
          <w:trHeight w:val="195"/>
        </w:trPr>
        <w:tc>
          <w:tcPr>
            <w:tcW w:w="2080" w:type="dxa"/>
            <w:vAlign w:val="bottom"/>
            <w:vMerge w:val="continue"/>
          </w:tcPr>
          <w:p>
            <w:pPr>
              <w:spacing w:after="0"/>
              <w:rPr>
                <w:sz w:val="16"/>
                <w:szCs w:val="16"/>
                <w:color w:val="auto"/>
              </w:rPr>
            </w:pPr>
          </w:p>
        </w:tc>
        <w:tc>
          <w:tcPr>
            <w:tcW w:w="680" w:type="dxa"/>
            <w:vAlign w:val="bottom"/>
          </w:tcPr>
          <w:p>
            <w:pPr>
              <w:ind w:left="580"/>
              <w:spacing w:after="0" w:line="195"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770"/>
              <w:spacing w:after="0" w:line="195" w:lineRule="exact"/>
              <w:rPr>
                <w:sz w:val="20"/>
                <w:szCs w:val="20"/>
                <w:color w:val="auto"/>
              </w:rPr>
            </w:pPr>
            <w:r>
              <w:rPr>
                <w:rFonts w:ascii="Arial" w:cs="Arial" w:eastAsia="Arial" w:hAnsi="Arial"/>
                <w:sz w:val="18"/>
                <w:szCs w:val="18"/>
                <w:color w:val="auto"/>
              </w:rPr>
              <w:t>X ]</w:t>
            </w:r>
          </w:p>
        </w:tc>
        <w:tc>
          <w:tcPr>
            <w:tcW w:w="1120" w:type="dxa"/>
            <w:vAlign w:val="bottom"/>
          </w:tcPr>
          <w:p>
            <w:pPr>
              <w:jc w:val="right"/>
              <w:ind w:right="30"/>
              <w:spacing w:after="0" w:line="195"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810"/>
              <w:spacing w:after="0" w:line="195" w:lineRule="exact"/>
              <w:rPr>
                <w:sz w:val="20"/>
                <w:szCs w:val="20"/>
                <w:color w:val="auto"/>
              </w:rPr>
            </w:pPr>
            <w:r>
              <w:rPr>
                <w:rFonts w:ascii="Arial" w:cs="Arial" w:eastAsia="Arial" w:hAnsi="Arial"/>
                <w:sz w:val="18"/>
                <w:szCs w:val="18"/>
                <w:color w:val="auto"/>
              </w:rPr>
              <w:t>]</w:t>
            </w:r>
          </w:p>
        </w:tc>
        <w:tc>
          <w:tcPr>
            <w:tcW w:w="1140" w:type="dxa"/>
            <w:vAlign w:val="bottom"/>
          </w:tcPr>
          <w:p>
            <w:pPr>
              <w:ind w:left="1020"/>
              <w:spacing w:after="0" w:line="195"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610"/>
              <w:spacing w:after="0" w:line="195"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50"/>
              <w:spacing w:after="0" w:line="195"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490"/>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San Diego Gas &amp; Electric</w:t>
            </w: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260"/>
              <w:spacing w:after="0"/>
              <w:rPr>
                <w:sz w:val="20"/>
                <w:szCs w:val="20"/>
                <w:color w:val="auto"/>
              </w:rPr>
            </w:pPr>
            <w:r>
              <w:rPr>
                <w:rFonts w:ascii="Arial" w:cs="Arial" w:eastAsia="Arial" w:hAnsi="Arial"/>
                <w:sz w:val="18"/>
                <w:szCs w:val="18"/>
                <w:color w:val="auto"/>
              </w:rPr>
              <w:t>Company</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810"/>
              <w:spacing w:after="0"/>
              <w:rPr>
                <w:sz w:val="20"/>
                <w:szCs w:val="20"/>
                <w:color w:val="auto"/>
              </w:rPr>
            </w:pPr>
            <w:r>
              <w:rPr>
                <w:rFonts w:ascii="Arial" w:cs="Arial" w:eastAsia="Arial" w:hAnsi="Arial"/>
                <w:sz w:val="18"/>
                <w:szCs w:val="18"/>
                <w:color w:val="auto"/>
              </w:rPr>
              <w:t>]</w:t>
            </w:r>
          </w:p>
        </w:tc>
        <w:tc>
          <w:tcPr>
            <w:tcW w:w="2160" w:type="dxa"/>
            <w:vAlign w:val="bottom"/>
            <w:gridSpan w:val="2"/>
          </w:tcPr>
          <w:p>
            <w:pPr>
              <w:ind w:left="1020"/>
              <w:spacing w:after="0"/>
              <w:rPr>
                <w:sz w:val="20"/>
                <w:szCs w:val="20"/>
                <w:color w:val="auto"/>
              </w:rPr>
            </w:pPr>
            <w:r>
              <w:rPr>
                <w:rFonts w:ascii="Arial" w:cs="Arial" w:eastAsia="Arial" w:hAnsi="Arial"/>
                <w:sz w:val="18"/>
                <w:szCs w:val="18"/>
                <w:color w:val="auto"/>
              </w:rPr>
              <w:t>[ X ]</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Pacific Enterprises</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810"/>
              <w:spacing w:after="0"/>
              <w:rPr>
                <w:sz w:val="20"/>
                <w:szCs w:val="20"/>
                <w:color w:val="auto"/>
              </w:rPr>
            </w:pPr>
            <w:r>
              <w:rPr>
                <w:rFonts w:ascii="Arial" w:cs="Arial" w:eastAsia="Arial" w:hAnsi="Arial"/>
                <w:sz w:val="18"/>
                <w:szCs w:val="18"/>
                <w:color w:val="auto"/>
              </w:rPr>
              <w:t>]</w:t>
            </w:r>
          </w:p>
        </w:tc>
        <w:tc>
          <w:tcPr>
            <w:tcW w:w="1140" w:type="dxa"/>
            <w:vAlign w:val="bottom"/>
          </w:tcPr>
          <w:p>
            <w:pPr>
              <w:ind w:left="10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610"/>
              <w:spacing w:after="0"/>
              <w:rPr>
                <w:sz w:val="20"/>
                <w:szCs w:val="20"/>
                <w:color w:val="auto"/>
              </w:rPr>
            </w:pPr>
            <w:r>
              <w:rPr>
                <w:rFonts w:ascii="Arial" w:cs="Arial" w:eastAsia="Arial" w:hAnsi="Arial"/>
                <w:sz w:val="18"/>
                <w:szCs w:val="18"/>
                <w:color w:val="auto"/>
              </w:rPr>
              <w:t>X ]</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Southern California Gas</w:t>
            </w: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80" w:type="dxa"/>
            <w:vAlign w:val="bottom"/>
          </w:tcPr>
          <w:p>
            <w:pPr>
              <w:ind w:left="260"/>
              <w:spacing w:after="0"/>
              <w:rPr>
                <w:sz w:val="20"/>
                <w:szCs w:val="20"/>
                <w:color w:val="auto"/>
              </w:rPr>
            </w:pPr>
            <w:r>
              <w:rPr>
                <w:rFonts w:ascii="Arial" w:cs="Arial" w:eastAsia="Arial" w:hAnsi="Arial"/>
                <w:sz w:val="18"/>
                <w:szCs w:val="18"/>
                <w:color w:val="auto"/>
              </w:rPr>
              <w:t>Company</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810"/>
              <w:spacing w:after="0"/>
              <w:rPr>
                <w:sz w:val="20"/>
                <w:szCs w:val="20"/>
                <w:color w:val="auto"/>
              </w:rPr>
            </w:pPr>
            <w:r>
              <w:rPr>
                <w:rFonts w:ascii="Arial" w:cs="Arial" w:eastAsia="Arial" w:hAnsi="Arial"/>
                <w:sz w:val="18"/>
                <w:szCs w:val="18"/>
                <w:color w:val="auto"/>
              </w:rPr>
              <w:t>]</w:t>
            </w:r>
          </w:p>
        </w:tc>
        <w:tc>
          <w:tcPr>
            <w:tcW w:w="2160" w:type="dxa"/>
            <w:vAlign w:val="bottom"/>
            <w:gridSpan w:val="2"/>
          </w:tcPr>
          <w:p>
            <w:pPr>
              <w:ind w:left="1020"/>
              <w:spacing w:after="0"/>
              <w:rPr>
                <w:sz w:val="20"/>
                <w:szCs w:val="20"/>
                <w:color w:val="auto"/>
              </w:rPr>
            </w:pPr>
            <w:r>
              <w:rPr>
                <w:rFonts w:ascii="Arial" w:cs="Arial" w:eastAsia="Arial" w:hAnsi="Arial"/>
                <w:sz w:val="18"/>
                <w:szCs w:val="18"/>
                <w:color w:val="auto"/>
              </w:rPr>
              <w:t>[ X ]</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ectPr>
          <w:pgSz w:w="11900" w:h="16838" w:orient="portrait"/>
          <w:cols w:equalWidth="0" w:num="1">
            <w:col w:w="10219"/>
          </w:cols>
          <w:pgMar w:left="240" w:top="773"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Sempra Energy</w:t>
            </w:r>
          </w:p>
        </w:tc>
        <w:tc>
          <w:tcPr>
            <w:tcW w:w="2220" w:type="dxa"/>
            <w:vAlign w:val="bottom"/>
          </w:tcPr>
          <w:p>
            <w:pPr>
              <w:ind w:left="1880"/>
              <w:spacing w:after="0"/>
              <w:rPr>
                <w:sz w:val="20"/>
                <w:szCs w:val="20"/>
                <w:color w:val="auto"/>
              </w:rPr>
            </w:pPr>
            <w:r>
              <w:rPr>
                <w:rFonts w:ascii="Arial" w:cs="Arial" w:eastAsia="Arial" w:hAnsi="Arial"/>
                <w:sz w:val="18"/>
                <w:szCs w:val="18"/>
                <w:color w:val="auto"/>
              </w:rPr>
              <w:t>Yes</w:t>
            </w:r>
          </w:p>
        </w:tc>
        <w:tc>
          <w:tcPr>
            <w:tcW w:w="980" w:type="dxa"/>
            <w:vAlign w:val="bottom"/>
            <w:tcBorders>
              <w:bottom w:val="single" w:sz="8" w:color="auto"/>
            </w:tcBorders>
          </w:tcPr>
          <w:p>
            <w:pPr>
              <w:spacing w:after="0"/>
              <w:rPr>
                <w:sz w:val="20"/>
                <w:szCs w:val="20"/>
                <w:color w:val="auto"/>
              </w:rPr>
            </w:pPr>
          </w:p>
        </w:tc>
        <w:tc>
          <w:tcPr>
            <w:tcW w:w="1120" w:type="dxa"/>
            <w:vAlign w:val="bottom"/>
          </w:tcPr>
          <w:p>
            <w:pPr>
              <w:ind w:left="820"/>
              <w:spacing w:after="0"/>
              <w:rPr>
                <w:sz w:val="20"/>
                <w:szCs w:val="20"/>
                <w:color w:val="auto"/>
              </w:rPr>
            </w:pPr>
            <w:r>
              <w:rPr>
                <w:rFonts w:ascii="Arial" w:cs="Arial" w:eastAsia="Arial" w:hAnsi="Arial"/>
                <w:sz w:val="18"/>
                <w:szCs w:val="18"/>
                <w:color w:val="auto"/>
              </w:rPr>
              <w:t>No</w:t>
            </w:r>
          </w:p>
        </w:tc>
        <w:tc>
          <w:tcPr>
            <w:tcW w:w="10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X</w:t>
            </w:r>
          </w:p>
        </w:tc>
      </w:tr>
      <w:tr>
        <w:trPr>
          <w:trHeight w:val="210"/>
        </w:trPr>
        <w:tc>
          <w:tcPr>
            <w:tcW w:w="4520" w:type="dxa"/>
            <w:vAlign w:val="bottom"/>
          </w:tcPr>
          <w:p>
            <w:pPr>
              <w:spacing w:after="0"/>
              <w:rPr>
                <w:sz w:val="20"/>
                <w:szCs w:val="20"/>
                <w:color w:val="auto"/>
              </w:rPr>
            </w:pPr>
            <w:r>
              <w:rPr>
                <w:rFonts w:ascii="Arial" w:cs="Arial" w:eastAsia="Arial" w:hAnsi="Arial"/>
                <w:sz w:val="18"/>
                <w:szCs w:val="18"/>
                <w:color w:val="auto"/>
              </w:rPr>
              <w:t>San Diego Gas &amp; Electric Company</w:t>
            </w:r>
          </w:p>
        </w:tc>
        <w:tc>
          <w:tcPr>
            <w:tcW w:w="2220" w:type="dxa"/>
            <w:vAlign w:val="bottom"/>
          </w:tcPr>
          <w:p>
            <w:pPr>
              <w:ind w:left="1880"/>
              <w:spacing w:after="0"/>
              <w:rPr>
                <w:sz w:val="20"/>
                <w:szCs w:val="20"/>
                <w:color w:val="auto"/>
              </w:rPr>
            </w:pPr>
            <w:r>
              <w:rPr>
                <w:rFonts w:ascii="Arial" w:cs="Arial" w:eastAsia="Arial" w:hAnsi="Arial"/>
                <w:sz w:val="18"/>
                <w:szCs w:val="18"/>
                <w:color w:val="auto"/>
              </w:rPr>
              <w:t>Yes</w:t>
            </w:r>
          </w:p>
        </w:tc>
        <w:tc>
          <w:tcPr>
            <w:tcW w:w="980" w:type="dxa"/>
            <w:vAlign w:val="bottom"/>
            <w:tcBorders>
              <w:bottom w:val="single" w:sz="8" w:color="auto"/>
            </w:tcBorders>
          </w:tcPr>
          <w:p>
            <w:pPr>
              <w:spacing w:after="0"/>
              <w:rPr>
                <w:sz w:val="18"/>
                <w:szCs w:val="18"/>
                <w:color w:val="auto"/>
              </w:rPr>
            </w:pPr>
          </w:p>
        </w:tc>
        <w:tc>
          <w:tcPr>
            <w:tcW w:w="1120" w:type="dxa"/>
            <w:vAlign w:val="bottom"/>
          </w:tcPr>
          <w:p>
            <w:pPr>
              <w:ind w:left="820"/>
              <w:spacing w:after="0"/>
              <w:rPr>
                <w:sz w:val="20"/>
                <w:szCs w:val="20"/>
                <w:color w:val="auto"/>
              </w:rPr>
            </w:pPr>
            <w:r>
              <w:rPr>
                <w:rFonts w:ascii="Arial" w:cs="Arial" w:eastAsia="Arial" w:hAnsi="Arial"/>
                <w:sz w:val="18"/>
                <w:szCs w:val="18"/>
                <w:color w:val="auto"/>
              </w:rPr>
              <w:t>No</w:t>
            </w:r>
          </w:p>
        </w:tc>
        <w:tc>
          <w:tcPr>
            <w:tcW w:w="10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X</w:t>
            </w:r>
          </w:p>
        </w:tc>
      </w:tr>
      <w:tr>
        <w:trPr>
          <w:trHeight w:val="210"/>
        </w:trPr>
        <w:tc>
          <w:tcPr>
            <w:tcW w:w="4520" w:type="dxa"/>
            <w:vAlign w:val="bottom"/>
          </w:tcPr>
          <w:p>
            <w:pPr>
              <w:spacing w:after="0"/>
              <w:rPr>
                <w:sz w:val="20"/>
                <w:szCs w:val="20"/>
                <w:color w:val="auto"/>
              </w:rPr>
            </w:pPr>
            <w:r>
              <w:rPr>
                <w:rFonts w:ascii="Arial" w:cs="Arial" w:eastAsia="Arial" w:hAnsi="Arial"/>
                <w:sz w:val="18"/>
                <w:szCs w:val="18"/>
                <w:color w:val="auto"/>
              </w:rPr>
              <w:t>Pacific Enterprises</w:t>
            </w:r>
          </w:p>
        </w:tc>
        <w:tc>
          <w:tcPr>
            <w:tcW w:w="2220" w:type="dxa"/>
            <w:vAlign w:val="bottom"/>
          </w:tcPr>
          <w:p>
            <w:pPr>
              <w:ind w:left="1880"/>
              <w:spacing w:after="0"/>
              <w:rPr>
                <w:sz w:val="20"/>
                <w:szCs w:val="20"/>
                <w:color w:val="auto"/>
              </w:rPr>
            </w:pPr>
            <w:r>
              <w:rPr>
                <w:rFonts w:ascii="Arial" w:cs="Arial" w:eastAsia="Arial" w:hAnsi="Arial"/>
                <w:sz w:val="18"/>
                <w:szCs w:val="18"/>
                <w:color w:val="auto"/>
              </w:rPr>
              <w:t>Yes</w:t>
            </w:r>
          </w:p>
        </w:tc>
        <w:tc>
          <w:tcPr>
            <w:tcW w:w="980" w:type="dxa"/>
            <w:vAlign w:val="bottom"/>
            <w:tcBorders>
              <w:bottom w:val="single" w:sz="8" w:color="auto"/>
            </w:tcBorders>
          </w:tcPr>
          <w:p>
            <w:pPr>
              <w:spacing w:after="0"/>
              <w:rPr>
                <w:sz w:val="18"/>
                <w:szCs w:val="18"/>
                <w:color w:val="auto"/>
              </w:rPr>
            </w:pPr>
          </w:p>
        </w:tc>
        <w:tc>
          <w:tcPr>
            <w:tcW w:w="1120" w:type="dxa"/>
            <w:vAlign w:val="bottom"/>
          </w:tcPr>
          <w:p>
            <w:pPr>
              <w:ind w:left="820"/>
              <w:spacing w:after="0"/>
              <w:rPr>
                <w:sz w:val="20"/>
                <w:szCs w:val="20"/>
                <w:color w:val="auto"/>
              </w:rPr>
            </w:pPr>
            <w:r>
              <w:rPr>
                <w:rFonts w:ascii="Arial" w:cs="Arial" w:eastAsia="Arial" w:hAnsi="Arial"/>
                <w:sz w:val="18"/>
                <w:szCs w:val="18"/>
                <w:color w:val="auto"/>
              </w:rPr>
              <w:t>No</w:t>
            </w:r>
          </w:p>
        </w:tc>
        <w:tc>
          <w:tcPr>
            <w:tcW w:w="10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X</w:t>
            </w:r>
          </w:p>
        </w:tc>
      </w:tr>
      <w:tr>
        <w:trPr>
          <w:trHeight w:val="210"/>
        </w:trPr>
        <w:tc>
          <w:tcPr>
            <w:tcW w:w="4520" w:type="dxa"/>
            <w:vAlign w:val="bottom"/>
          </w:tcPr>
          <w:p>
            <w:pPr>
              <w:spacing w:after="0"/>
              <w:rPr>
                <w:sz w:val="20"/>
                <w:szCs w:val="20"/>
                <w:color w:val="auto"/>
              </w:rPr>
            </w:pPr>
            <w:r>
              <w:rPr>
                <w:rFonts w:ascii="Arial" w:cs="Arial" w:eastAsia="Arial" w:hAnsi="Arial"/>
                <w:sz w:val="18"/>
                <w:szCs w:val="18"/>
                <w:color w:val="auto"/>
              </w:rPr>
              <w:t>Southern California Gas Company</w:t>
            </w:r>
          </w:p>
        </w:tc>
        <w:tc>
          <w:tcPr>
            <w:tcW w:w="2220" w:type="dxa"/>
            <w:vAlign w:val="bottom"/>
          </w:tcPr>
          <w:p>
            <w:pPr>
              <w:ind w:left="1880"/>
              <w:spacing w:after="0"/>
              <w:rPr>
                <w:sz w:val="20"/>
                <w:szCs w:val="20"/>
                <w:color w:val="auto"/>
              </w:rPr>
            </w:pPr>
            <w:r>
              <w:rPr>
                <w:rFonts w:ascii="Arial" w:cs="Arial" w:eastAsia="Arial" w:hAnsi="Arial"/>
                <w:sz w:val="18"/>
                <w:szCs w:val="18"/>
                <w:color w:val="auto"/>
              </w:rPr>
              <w:t>Yes</w:t>
            </w:r>
          </w:p>
        </w:tc>
        <w:tc>
          <w:tcPr>
            <w:tcW w:w="980" w:type="dxa"/>
            <w:vAlign w:val="bottom"/>
            <w:tcBorders>
              <w:bottom w:val="single" w:sz="8" w:color="auto"/>
            </w:tcBorders>
          </w:tcPr>
          <w:p>
            <w:pPr>
              <w:spacing w:after="0"/>
              <w:rPr>
                <w:sz w:val="18"/>
                <w:szCs w:val="18"/>
                <w:color w:val="auto"/>
              </w:rPr>
            </w:pPr>
          </w:p>
        </w:tc>
        <w:tc>
          <w:tcPr>
            <w:tcW w:w="1120" w:type="dxa"/>
            <w:vAlign w:val="bottom"/>
          </w:tcPr>
          <w:p>
            <w:pPr>
              <w:ind w:left="820"/>
              <w:spacing w:after="0"/>
              <w:rPr>
                <w:sz w:val="20"/>
                <w:szCs w:val="20"/>
                <w:color w:val="auto"/>
              </w:rPr>
            </w:pPr>
            <w:r>
              <w:rPr>
                <w:rFonts w:ascii="Arial" w:cs="Arial" w:eastAsia="Arial" w:hAnsi="Arial"/>
                <w:sz w:val="18"/>
                <w:szCs w:val="18"/>
                <w:color w:val="auto"/>
              </w:rPr>
              <w:t>No</w:t>
            </w:r>
          </w:p>
        </w:tc>
        <w:tc>
          <w:tcPr>
            <w:tcW w:w="10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X</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Common stock outstanding on April 30, 2010: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Sempra Energy</w:t>
            </w:r>
          </w:p>
        </w:tc>
        <w:tc>
          <w:tcPr>
            <w:tcW w:w="6860" w:type="dxa"/>
            <w:vAlign w:val="bottom"/>
          </w:tcPr>
          <w:p>
            <w:pPr>
              <w:ind w:left="400"/>
              <w:spacing w:after="0"/>
              <w:rPr>
                <w:sz w:val="20"/>
                <w:szCs w:val="20"/>
                <w:color w:val="auto"/>
              </w:rPr>
            </w:pPr>
            <w:r>
              <w:rPr>
                <w:rFonts w:ascii="Arial" w:cs="Arial" w:eastAsia="Arial" w:hAnsi="Arial"/>
                <w:sz w:val="18"/>
                <w:szCs w:val="18"/>
                <w:color w:val="auto"/>
              </w:rPr>
              <w:t>247,539,008 shares</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San Diego Gas &amp; Electric Company</w:t>
            </w:r>
          </w:p>
        </w:tc>
        <w:tc>
          <w:tcPr>
            <w:tcW w:w="6860" w:type="dxa"/>
            <w:vAlign w:val="bottom"/>
          </w:tcPr>
          <w:p>
            <w:pPr>
              <w:ind w:left="400"/>
              <w:spacing w:after="0"/>
              <w:rPr>
                <w:sz w:val="20"/>
                <w:szCs w:val="20"/>
                <w:color w:val="auto"/>
              </w:rPr>
            </w:pPr>
            <w:r>
              <w:rPr>
                <w:rFonts w:ascii="Arial" w:cs="Arial" w:eastAsia="Arial" w:hAnsi="Arial"/>
                <w:sz w:val="18"/>
                <w:szCs w:val="18"/>
                <w:color w:val="auto"/>
              </w:rPr>
              <w:t>Wholly owned by Enova Corporation, which is wholly owned by Sempra Energy</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Pacific Enterprises</w:t>
            </w:r>
          </w:p>
        </w:tc>
        <w:tc>
          <w:tcPr>
            <w:tcW w:w="6860" w:type="dxa"/>
            <w:vAlign w:val="bottom"/>
          </w:tcPr>
          <w:p>
            <w:pPr>
              <w:ind w:left="400"/>
              <w:spacing w:after="0"/>
              <w:rPr>
                <w:sz w:val="20"/>
                <w:szCs w:val="20"/>
                <w:color w:val="auto"/>
              </w:rPr>
            </w:pPr>
            <w:r>
              <w:rPr>
                <w:rFonts w:ascii="Arial" w:cs="Arial" w:eastAsia="Arial" w:hAnsi="Arial"/>
                <w:sz w:val="18"/>
                <w:szCs w:val="18"/>
                <w:color w:val="auto"/>
              </w:rPr>
              <w:t>Wholly owned by Sempra Energy</w:t>
            </w: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Southern California Gas Company</w:t>
            </w:r>
          </w:p>
        </w:tc>
        <w:tc>
          <w:tcPr>
            <w:tcW w:w="6860" w:type="dxa"/>
            <w:vAlign w:val="bottom"/>
          </w:tcPr>
          <w:p>
            <w:pPr>
              <w:ind w:left="400"/>
              <w:spacing w:after="0"/>
              <w:rPr>
                <w:sz w:val="20"/>
                <w:szCs w:val="20"/>
                <w:color w:val="auto"/>
              </w:rPr>
            </w:pPr>
            <w:r>
              <w:rPr>
                <w:rFonts w:ascii="Arial" w:cs="Arial" w:eastAsia="Arial" w:hAnsi="Arial"/>
                <w:sz w:val="18"/>
                <w:szCs w:val="18"/>
                <w:color w:val="auto"/>
              </w:rPr>
              <w:t>Wholly owned by Pacific Enterprises, which is wholly owned by Sempra Energy</w:t>
            </w:r>
          </w:p>
        </w:tc>
      </w:tr>
      <w:tr>
        <w:trPr>
          <w:trHeight w:val="439"/>
        </w:trPr>
        <w:tc>
          <w:tcPr>
            <w:tcW w:w="302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tcPr>
          <w:p>
            <w:pPr>
              <w:spacing w:after="0"/>
              <w:rPr>
                <w:sz w:val="24"/>
                <w:szCs w:val="24"/>
                <w:color w:val="auto"/>
              </w:rPr>
            </w:pPr>
          </w:p>
        </w:tc>
      </w:tr>
      <w:tr>
        <w:trPr>
          <w:trHeight w:val="34"/>
        </w:trPr>
        <w:tc>
          <w:tcPr>
            <w:tcW w:w="3020" w:type="dxa"/>
            <w:vAlign w:val="bottom"/>
            <w:tcBorders>
              <w:bottom w:val="single" w:sz="8" w:color="auto"/>
            </w:tcBorders>
          </w:tcPr>
          <w:p>
            <w:pPr>
              <w:spacing w:after="0"/>
              <w:rPr>
                <w:sz w:val="2"/>
                <w:szCs w:val="2"/>
                <w:color w:val="auto"/>
              </w:rPr>
            </w:pPr>
          </w:p>
        </w:tc>
        <w:tc>
          <w:tcPr>
            <w:tcW w:w="6860" w:type="dxa"/>
            <w:vAlign w:val="bottom"/>
            <w:tcBorders>
              <w:bottom w:val="single" w:sz="8" w:color="auto"/>
            </w:tcBorders>
          </w:tcPr>
          <w:p>
            <w:pPr>
              <w:spacing w:after="0"/>
              <w:rPr>
                <w:sz w:val="2"/>
                <w:szCs w:val="2"/>
                <w:color w:val="auto"/>
              </w:rPr>
            </w:pPr>
          </w:p>
        </w:tc>
      </w:tr>
    </w:tbl>
    <w:p>
      <w:pPr>
        <w:sectPr>
          <w:pgSz w:w="11900" w:h="16838" w:orient="portrait"/>
          <w:cols w:equalWidth="0" w:num="1">
            <w:col w:w="10219"/>
          </w:cols>
          <w:pgMar w:left="240" w:top="341" w:right="1440" w:bottom="1440" w:gutter="0" w:footer="0" w:header="0"/>
        </w:sectPr>
      </w:pPr>
    </w:p>
    <w:bookmarkStart w:id="2" w:name="page3"/>
    <w:bookmarkEnd w:id="2"/>
    <w:p>
      <w:pPr>
        <w:ind w:left="660"/>
        <w:spacing w:after="0"/>
        <w:rPr>
          <w:sz w:val="20"/>
          <w:szCs w:val="20"/>
          <w:color w:val="auto"/>
        </w:rPr>
      </w:pPr>
      <w:r>
        <w:rPr>
          <w:rFonts w:ascii="Arial" w:cs="Arial" w:eastAsia="Arial" w:hAnsi="Arial"/>
          <w:sz w:val="25"/>
          <w:szCs w:val="25"/>
          <w:color w:val="auto"/>
        </w:rPr>
        <w:t>SEMPRA ENERGY FORM 10-Q</w:t>
      </w:r>
    </w:p>
    <w:p>
      <w:pPr>
        <w:spacing w:after="0" w:line="10" w:lineRule="exact"/>
        <w:rPr>
          <w:sz w:val="20"/>
          <w:szCs w:val="20"/>
          <w:color w:val="auto"/>
        </w:rPr>
      </w:pPr>
    </w:p>
    <w:p>
      <w:pPr>
        <w:ind w:left="660"/>
        <w:spacing w:after="0"/>
        <w:rPr>
          <w:sz w:val="20"/>
          <w:szCs w:val="20"/>
          <w:color w:val="auto"/>
        </w:rPr>
      </w:pPr>
      <w:r>
        <w:rPr>
          <w:rFonts w:ascii="Arial" w:cs="Arial" w:eastAsia="Arial" w:hAnsi="Arial"/>
          <w:sz w:val="25"/>
          <w:szCs w:val="25"/>
          <w:color w:val="auto"/>
        </w:rPr>
        <w:t>TABLE OF CONTENTS</w:t>
      </w:r>
    </w:p>
    <w:p>
      <w:pPr>
        <w:spacing w:after="0" w:line="10" w:lineRule="exact"/>
        <w:rPr>
          <w:sz w:val="20"/>
          <w:szCs w:val="20"/>
          <w:color w:val="auto"/>
        </w:rPr>
      </w:pPr>
    </w:p>
    <w:tbl>
      <w:tblPr>
        <w:tblLayout w:type="fixed"/>
        <w:tblInd w:w="660" w:type="dxa"/>
        <w:tblCellMar>
          <w:top w:w="0" w:type="dxa"/>
          <w:left w:w="0" w:type="dxa"/>
          <w:bottom w:w="0" w:type="dxa"/>
          <w:right w:w="0" w:type="dxa"/>
        </w:tblCellMar>
      </w:tblPr>
      <w:tr>
        <w:trPr>
          <w:trHeight w:val="187"/>
        </w:trPr>
        <w:tc>
          <w:tcPr>
            <w:tcW w:w="64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Information Regarding Forward-Looking Statements</w:t>
            </w:r>
          </w:p>
        </w:tc>
        <w:tc>
          <w:tcPr>
            <w:tcW w:w="1260" w:type="dxa"/>
            <w:vAlign w:val="bottom"/>
            <w:tcBorders>
              <w:bottom w:val="single" w:sz="8" w:color="auto"/>
            </w:tcBorders>
          </w:tcPr>
          <w:p>
            <w:pPr>
              <w:ind w:left="440"/>
              <w:spacing w:after="0"/>
              <w:rPr>
                <w:sz w:val="20"/>
                <w:szCs w:val="20"/>
                <w:color w:val="auto"/>
              </w:rPr>
            </w:pPr>
            <w:r>
              <w:rPr>
                <w:rFonts w:ascii="Arial" w:cs="Arial" w:eastAsia="Arial" w:hAnsi="Arial"/>
                <w:sz w:val="16"/>
                <w:szCs w:val="16"/>
                <w:i w:val="1"/>
                <w:iCs w:val="1"/>
                <w:color w:val="auto"/>
              </w:rPr>
              <w:t>Page</w:t>
            </w:r>
          </w:p>
        </w:tc>
        <w:tc>
          <w:tcPr>
            <w:tcW w:w="0" w:type="dxa"/>
            <w:vAlign w:val="bottom"/>
          </w:tcPr>
          <w:p>
            <w:pPr>
              <w:spacing w:after="0"/>
              <w:rPr>
                <w:sz w:val="1"/>
                <w:szCs w:val="1"/>
                <w:color w:val="auto"/>
              </w:rPr>
            </w:pPr>
          </w:p>
        </w:tc>
      </w:tr>
      <w:tr>
        <w:trPr>
          <w:trHeight w:val="190"/>
        </w:trPr>
        <w:tc>
          <w:tcPr>
            <w:tcW w:w="6480" w:type="dxa"/>
            <w:vAlign w:val="bottom"/>
            <w:gridSpan w:val="2"/>
            <w:vMerge w:val="continue"/>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95"/>
        </w:trPr>
        <w:tc>
          <w:tcPr>
            <w:tcW w:w="6480" w:type="dxa"/>
            <w:vAlign w:val="bottom"/>
            <w:tcBorders>
              <w:bottom w:val="single" w:sz="8" w:color="auto"/>
            </w:tcBorders>
            <w:gridSpan w:val="2"/>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480" w:type="dxa"/>
            <w:vAlign w:val="bottom"/>
            <w:gridSpan w:val="2"/>
          </w:tcPr>
          <w:p>
            <w:pPr>
              <w:spacing w:after="0"/>
              <w:rPr>
                <w:sz w:val="20"/>
                <w:szCs w:val="20"/>
                <w:color w:val="auto"/>
              </w:rPr>
            </w:pPr>
            <w:r>
              <w:rPr>
                <w:rFonts w:ascii="Arial" w:cs="Arial" w:eastAsia="Arial" w:hAnsi="Arial"/>
                <w:sz w:val="16"/>
                <w:szCs w:val="16"/>
                <w:b w:val="1"/>
                <w:bCs w:val="1"/>
                <w:color w:val="auto"/>
              </w:rPr>
              <w:t>PART I – FINANCIAL INFORMATION</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060" w:type="dxa"/>
            <w:vAlign w:val="bottom"/>
          </w:tcPr>
          <w:p>
            <w:pPr>
              <w:spacing w:after="0"/>
              <w:rPr>
                <w:sz w:val="20"/>
                <w:szCs w:val="20"/>
                <w:color w:val="auto"/>
              </w:rPr>
            </w:pPr>
            <w:r>
              <w:rPr>
                <w:rFonts w:ascii="Arial" w:cs="Arial" w:eastAsia="Arial" w:hAnsi="Arial"/>
                <w:sz w:val="16"/>
                <w:szCs w:val="16"/>
                <w:color w:val="auto"/>
              </w:rPr>
              <w:t>Item 1.</w:t>
            </w:r>
          </w:p>
        </w:tc>
        <w:tc>
          <w:tcPr>
            <w:tcW w:w="5420" w:type="dxa"/>
            <w:vAlign w:val="bottom"/>
          </w:tcPr>
          <w:p>
            <w:pPr>
              <w:ind w:left="280"/>
              <w:spacing w:after="0"/>
              <w:rPr>
                <w:sz w:val="20"/>
                <w:szCs w:val="20"/>
                <w:color w:val="auto"/>
              </w:rPr>
            </w:pPr>
            <w:r>
              <w:rPr>
                <w:rFonts w:ascii="Arial" w:cs="Arial" w:eastAsia="Arial" w:hAnsi="Arial"/>
                <w:sz w:val="16"/>
                <w:szCs w:val="16"/>
                <w:color w:val="auto"/>
              </w:rPr>
              <w:t>Financial Statements</w:t>
            </w:r>
          </w:p>
        </w:tc>
        <w:tc>
          <w:tcPr>
            <w:tcW w:w="1260" w:type="dxa"/>
            <w:vAlign w:val="bottom"/>
          </w:tcPr>
          <w:p>
            <w:pPr>
              <w:jc w:val="center"/>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89"/>
        </w:trPr>
        <w:tc>
          <w:tcPr>
            <w:tcW w:w="1060" w:type="dxa"/>
            <w:vAlign w:val="bottom"/>
          </w:tcPr>
          <w:p>
            <w:pPr>
              <w:spacing w:after="0"/>
              <w:rPr>
                <w:sz w:val="20"/>
                <w:szCs w:val="20"/>
                <w:color w:val="auto"/>
              </w:rPr>
            </w:pPr>
            <w:r>
              <w:rPr>
                <w:rFonts w:ascii="Arial" w:cs="Arial" w:eastAsia="Arial" w:hAnsi="Arial"/>
                <w:sz w:val="16"/>
                <w:szCs w:val="16"/>
                <w:color w:val="auto"/>
              </w:rPr>
              <w:t>Item 2.</w:t>
            </w:r>
          </w:p>
        </w:tc>
        <w:tc>
          <w:tcPr>
            <w:tcW w:w="5420" w:type="dxa"/>
            <w:vAlign w:val="bottom"/>
          </w:tcPr>
          <w:p>
            <w:pPr>
              <w:ind w:left="280"/>
              <w:spacing w:after="0"/>
              <w:rPr>
                <w:sz w:val="20"/>
                <w:szCs w:val="20"/>
                <w:color w:val="auto"/>
              </w:rPr>
            </w:pPr>
            <w:r>
              <w:rPr>
                <w:rFonts w:ascii="Arial" w:cs="Arial" w:eastAsia="Arial" w:hAnsi="Arial"/>
                <w:sz w:val="16"/>
                <w:szCs w:val="16"/>
                <w:color w:val="auto"/>
              </w:rPr>
              <w:t>Management’s Discussion and Analysis of Financial Condition and</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60" w:type="dxa"/>
            <w:vAlign w:val="bottom"/>
          </w:tcPr>
          <w:p>
            <w:pPr>
              <w:spacing w:after="0"/>
              <w:rPr>
                <w:sz w:val="16"/>
                <w:szCs w:val="16"/>
                <w:color w:val="auto"/>
              </w:rPr>
            </w:pPr>
          </w:p>
        </w:tc>
        <w:tc>
          <w:tcPr>
            <w:tcW w:w="5420" w:type="dxa"/>
            <w:vAlign w:val="bottom"/>
          </w:tcPr>
          <w:p>
            <w:pPr>
              <w:ind w:left="280"/>
              <w:spacing w:after="0"/>
              <w:rPr>
                <w:sz w:val="20"/>
                <w:szCs w:val="20"/>
                <w:color w:val="auto"/>
              </w:rPr>
            </w:pPr>
            <w:r>
              <w:rPr>
                <w:rFonts w:ascii="Arial" w:cs="Arial" w:eastAsia="Arial" w:hAnsi="Arial"/>
                <w:sz w:val="16"/>
                <w:szCs w:val="16"/>
                <w:color w:val="auto"/>
              </w:rPr>
              <w:t>Results of Operations</w:t>
            </w:r>
          </w:p>
        </w:tc>
        <w:tc>
          <w:tcPr>
            <w:tcW w:w="1260" w:type="dxa"/>
            <w:vAlign w:val="bottom"/>
          </w:tcPr>
          <w:p>
            <w:pPr>
              <w:jc w:val="center"/>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189"/>
        </w:trPr>
        <w:tc>
          <w:tcPr>
            <w:tcW w:w="1060" w:type="dxa"/>
            <w:vAlign w:val="bottom"/>
          </w:tcPr>
          <w:p>
            <w:pPr>
              <w:spacing w:after="0"/>
              <w:rPr>
                <w:sz w:val="20"/>
                <w:szCs w:val="20"/>
                <w:color w:val="auto"/>
              </w:rPr>
            </w:pPr>
            <w:r>
              <w:rPr>
                <w:rFonts w:ascii="Arial" w:cs="Arial" w:eastAsia="Arial" w:hAnsi="Arial"/>
                <w:sz w:val="16"/>
                <w:szCs w:val="16"/>
                <w:color w:val="auto"/>
              </w:rPr>
              <w:t>Item 3.</w:t>
            </w:r>
          </w:p>
        </w:tc>
        <w:tc>
          <w:tcPr>
            <w:tcW w:w="5420" w:type="dxa"/>
            <w:vAlign w:val="bottom"/>
          </w:tcPr>
          <w:p>
            <w:pPr>
              <w:ind w:left="280"/>
              <w:spacing w:after="0"/>
              <w:rPr>
                <w:sz w:val="20"/>
                <w:szCs w:val="20"/>
                <w:color w:val="auto"/>
              </w:rPr>
            </w:pPr>
            <w:r>
              <w:rPr>
                <w:rFonts w:ascii="Arial" w:cs="Arial" w:eastAsia="Arial" w:hAnsi="Arial"/>
                <w:sz w:val="16"/>
                <w:szCs w:val="16"/>
                <w:color w:val="auto"/>
              </w:rPr>
              <w:t>Quantitative and Qualitative Disclosures About Market Risk</w:t>
            </w:r>
          </w:p>
        </w:tc>
        <w:tc>
          <w:tcPr>
            <w:tcW w:w="1260" w:type="dxa"/>
            <w:vAlign w:val="bottom"/>
          </w:tcPr>
          <w:p>
            <w:pPr>
              <w:jc w:val="center"/>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195"/>
        </w:trPr>
        <w:tc>
          <w:tcPr>
            <w:tcW w:w="1060" w:type="dxa"/>
            <w:vAlign w:val="bottom"/>
          </w:tcPr>
          <w:p>
            <w:pPr>
              <w:spacing w:after="0"/>
              <w:rPr>
                <w:sz w:val="20"/>
                <w:szCs w:val="20"/>
                <w:color w:val="auto"/>
              </w:rPr>
            </w:pPr>
            <w:r>
              <w:rPr>
                <w:rFonts w:ascii="Arial" w:cs="Arial" w:eastAsia="Arial" w:hAnsi="Arial"/>
                <w:sz w:val="16"/>
                <w:szCs w:val="16"/>
                <w:color w:val="auto"/>
              </w:rPr>
              <w:t>Item 4.</w:t>
            </w:r>
          </w:p>
        </w:tc>
        <w:tc>
          <w:tcPr>
            <w:tcW w:w="5420" w:type="dxa"/>
            <w:vAlign w:val="bottom"/>
          </w:tcPr>
          <w:p>
            <w:pPr>
              <w:ind w:left="280"/>
              <w:spacing w:after="0"/>
              <w:rPr>
                <w:sz w:val="20"/>
                <w:szCs w:val="20"/>
                <w:color w:val="auto"/>
              </w:rPr>
            </w:pPr>
            <w:r>
              <w:rPr>
                <w:rFonts w:ascii="Arial" w:cs="Arial" w:eastAsia="Arial" w:hAnsi="Arial"/>
                <w:sz w:val="16"/>
                <w:szCs w:val="16"/>
                <w:color w:val="auto"/>
              </w:rPr>
              <w:t>Controls and Procedures</w:t>
            </w:r>
          </w:p>
        </w:tc>
        <w:tc>
          <w:tcPr>
            <w:tcW w:w="1260" w:type="dxa"/>
            <w:vAlign w:val="bottom"/>
          </w:tcPr>
          <w:p>
            <w:pPr>
              <w:jc w:val="center"/>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195"/>
        </w:trPr>
        <w:tc>
          <w:tcPr>
            <w:tcW w:w="6480" w:type="dxa"/>
            <w:vAlign w:val="bottom"/>
            <w:tcBorders>
              <w:bottom w:val="single" w:sz="8" w:color="auto"/>
            </w:tcBorders>
            <w:gridSpan w:val="2"/>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480" w:type="dxa"/>
            <w:vAlign w:val="bottom"/>
            <w:gridSpan w:val="2"/>
          </w:tcPr>
          <w:p>
            <w:pPr>
              <w:spacing w:after="0"/>
              <w:rPr>
                <w:sz w:val="20"/>
                <w:szCs w:val="20"/>
                <w:color w:val="auto"/>
              </w:rPr>
            </w:pPr>
            <w:r>
              <w:rPr>
                <w:rFonts w:ascii="Arial" w:cs="Arial" w:eastAsia="Arial" w:hAnsi="Arial"/>
                <w:sz w:val="16"/>
                <w:szCs w:val="16"/>
                <w:b w:val="1"/>
                <w:bCs w:val="1"/>
                <w:color w:val="auto"/>
              </w:rPr>
              <w:t>PART II – OTHER INFORMATION</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060" w:type="dxa"/>
            <w:vAlign w:val="bottom"/>
          </w:tcPr>
          <w:p>
            <w:pPr>
              <w:spacing w:after="0"/>
              <w:rPr>
                <w:sz w:val="20"/>
                <w:szCs w:val="20"/>
                <w:color w:val="auto"/>
              </w:rPr>
            </w:pPr>
            <w:r>
              <w:rPr>
                <w:rFonts w:ascii="Arial" w:cs="Arial" w:eastAsia="Arial" w:hAnsi="Arial"/>
                <w:sz w:val="16"/>
                <w:szCs w:val="16"/>
                <w:color w:val="auto"/>
              </w:rPr>
              <w:t>Item 1.</w:t>
            </w:r>
          </w:p>
        </w:tc>
        <w:tc>
          <w:tcPr>
            <w:tcW w:w="5420" w:type="dxa"/>
            <w:vAlign w:val="bottom"/>
          </w:tcPr>
          <w:p>
            <w:pPr>
              <w:ind w:left="280"/>
              <w:spacing w:after="0"/>
              <w:rPr>
                <w:sz w:val="20"/>
                <w:szCs w:val="20"/>
                <w:color w:val="auto"/>
              </w:rPr>
            </w:pPr>
            <w:r>
              <w:rPr>
                <w:rFonts w:ascii="Arial" w:cs="Arial" w:eastAsia="Arial" w:hAnsi="Arial"/>
                <w:sz w:val="16"/>
                <w:szCs w:val="16"/>
                <w:color w:val="auto"/>
              </w:rPr>
              <w:t>Legal Proceedings</w:t>
            </w:r>
          </w:p>
        </w:tc>
        <w:tc>
          <w:tcPr>
            <w:tcW w:w="1260" w:type="dxa"/>
            <w:vAlign w:val="bottom"/>
          </w:tcPr>
          <w:p>
            <w:pPr>
              <w:jc w:val="center"/>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189"/>
        </w:trPr>
        <w:tc>
          <w:tcPr>
            <w:tcW w:w="1060" w:type="dxa"/>
            <w:vAlign w:val="bottom"/>
          </w:tcPr>
          <w:p>
            <w:pPr>
              <w:spacing w:after="0"/>
              <w:rPr>
                <w:sz w:val="20"/>
                <w:szCs w:val="20"/>
                <w:color w:val="auto"/>
              </w:rPr>
            </w:pPr>
            <w:r>
              <w:rPr>
                <w:rFonts w:ascii="Arial" w:cs="Arial" w:eastAsia="Arial" w:hAnsi="Arial"/>
                <w:sz w:val="16"/>
                <w:szCs w:val="16"/>
                <w:color w:val="auto"/>
              </w:rPr>
              <w:t>Item 1A.</w:t>
            </w:r>
          </w:p>
        </w:tc>
        <w:tc>
          <w:tcPr>
            <w:tcW w:w="5420" w:type="dxa"/>
            <w:vAlign w:val="bottom"/>
          </w:tcPr>
          <w:p>
            <w:pPr>
              <w:ind w:left="280"/>
              <w:spacing w:after="0"/>
              <w:rPr>
                <w:sz w:val="20"/>
                <w:szCs w:val="20"/>
                <w:color w:val="auto"/>
              </w:rPr>
            </w:pPr>
            <w:r>
              <w:rPr>
                <w:rFonts w:ascii="Arial" w:cs="Arial" w:eastAsia="Arial" w:hAnsi="Arial"/>
                <w:sz w:val="16"/>
                <w:szCs w:val="16"/>
                <w:color w:val="auto"/>
              </w:rPr>
              <w:t>Risk Factors</w:t>
            </w:r>
          </w:p>
        </w:tc>
        <w:tc>
          <w:tcPr>
            <w:tcW w:w="1260" w:type="dxa"/>
            <w:vAlign w:val="bottom"/>
          </w:tcPr>
          <w:p>
            <w:pPr>
              <w:jc w:val="center"/>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195"/>
        </w:trPr>
        <w:tc>
          <w:tcPr>
            <w:tcW w:w="1060" w:type="dxa"/>
            <w:vAlign w:val="bottom"/>
          </w:tcPr>
          <w:p>
            <w:pPr>
              <w:spacing w:after="0"/>
              <w:rPr>
                <w:sz w:val="20"/>
                <w:szCs w:val="20"/>
                <w:color w:val="auto"/>
              </w:rPr>
            </w:pPr>
            <w:r>
              <w:rPr>
                <w:rFonts w:ascii="Arial" w:cs="Arial" w:eastAsia="Arial" w:hAnsi="Arial"/>
                <w:sz w:val="16"/>
                <w:szCs w:val="16"/>
                <w:color w:val="auto"/>
              </w:rPr>
              <w:t>Item 5.</w:t>
            </w:r>
          </w:p>
        </w:tc>
        <w:tc>
          <w:tcPr>
            <w:tcW w:w="5420" w:type="dxa"/>
            <w:vAlign w:val="bottom"/>
          </w:tcPr>
          <w:p>
            <w:pPr>
              <w:ind w:left="280"/>
              <w:spacing w:after="0"/>
              <w:rPr>
                <w:sz w:val="20"/>
                <w:szCs w:val="20"/>
                <w:color w:val="auto"/>
              </w:rPr>
            </w:pPr>
            <w:r>
              <w:rPr>
                <w:rFonts w:ascii="Arial" w:cs="Arial" w:eastAsia="Arial" w:hAnsi="Arial"/>
                <w:sz w:val="16"/>
                <w:szCs w:val="16"/>
                <w:color w:val="auto"/>
              </w:rPr>
              <w:t>Exhibits</w:t>
            </w:r>
          </w:p>
        </w:tc>
        <w:tc>
          <w:tcPr>
            <w:tcW w:w="1260" w:type="dxa"/>
            <w:vAlign w:val="bottom"/>
          </w:tcPr>
          <w:p>
            <w:pPr>
              <w:jc w:val="center"/>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384"/>
        </w:trPr>
        <w:tc>
          <w:tcPr>
            <w:tcW w:w="10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Signatures</w:t>
            </w:r>
          </w:p>
        </w:tc>
        <w:tc>
          <w:tcPr>
            <w:tcW w:w="54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right="639"/>
        <w:spacing w:after="0"/>
        <w:rPr>
          <w:sz w:val="20"/>
          <w:szCs w:val="20"/>
          <w:color w:val="auto"/>
        </w:rPr>
      </w:pPr>
      <w:r>
        <w:rPr>
          <w:rFonts w:ascii="Arial" w:cs="Arial" w:eastAsia="Arial" w:hAnsi="Arial"/>
          <w:sz w:val="14"/>
          <w:szCs w:val="14"/>
          <w:b w:val="1"/>
          <w:bCs w:val="1"/>
          <w:color w:val="auto"/>
        </w:rPr>
        <w:t>This combined Form 10-Q is separately filed by Sempra Energy, San Diego Gas &amp; Electric Company, Pacific Enterprises and Southern California Gas Company. Information contained herein relating to any individual company is filed by such company on its own behalf. Each company provides information only as to itself and its consolidated entities and not as to any other company.</w:t>
      </w:r>
    </w:p>
    <w:p>
      <w:pPr>
        <w:spacing w:after="0" w:line="206" w:lineRule="exact"/>
        <w:rPr>
          <w:sz w:val="20"/>
          <w:szCs w:val="20"/>
          <w:color w:val="auto"/>
        </w:rPr>
      </w:pPr>
    </w:p>
    <w:p>
      <w:pPr>
        <w:ind w:right="679"/>
        <w:spacing w:after="0" w:line="235" w:lineRule="auto"/>
        <w:rPr>
          <w:sz w:val="20"/>
          <w:szCs w:val="20"/>
          <w:color w:val="auto"/>
        </w:rPr>
      </w:pPr>
      <w:r>
        <w:rPr>
          <w:rFonts w:ascii="Arial" w:cs="Arial" w:eastAsia="Arial" w:hAnsi="Arial"/>
          <w:sz w:val="14"/>
          <w:szCs w:val="14"/>
          <w:b w:val="1"/>
          <w:bCs w:val="1"/>
          <w:color w:val="auto"/>
        </w:rPr>
        <w:t>You should read this report in its entirety as it pertains to each respective reporting company. No one section of the report deals with all aspects of the subject matter. Separate Part I - Item 1 sections are provided for each reporting company, except for the Notes to Condensed Consolidated Financial Statements. The Notes to Condensed Consolidated Financial Statements for all of the reporting companies are combined. All Items other than Part I – Item 1 are combined for the reporting companies.</w:t>
      </w:r>
    </w:p>
    <w:p>
      <w:pPr>
        <w:sectPr>
          <w:pgSz w:w="11900" w:h="16838" w:orient="portrait"/>
          <w:cols w:equalWidth="0" w:num="1">
            <w:col w:w="9879"/>
          </w:cols>
          <w:pgMar w:left="580" w:top="141" w:right="1440" w:bottom="1440" w:gutter="0" w:footer="0" w:header="0"/>
        </w:sectPr>
      </w:pPr>
    </w:p>
    <w:bookmarkStart w:id="3" w:name="page4"/>
    <w:bookmarkEnd w:id="3"/>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61747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4740" cy="8890"/>
                    </a:xfrm>
                    <a:prstGeom prst="rect">
                      <a:avLst/>
                    </a:prstGeom>
                    <a:noFill/>
                  </pic:spPr>
                </pic:pic>
              </a:graphicData>
            </a:graphic>
          </wp:anchor>
        </w:drawing>
        <w:t>INFORMATION REGARDING FORWARD-LOOKING STATEMENTS</w:t>
      </w:r>
    </w:p>
    <w:p>
      <w:pPr>
        <w:spacing w:after="0" w:line="63" w:lineRule="exact"/>
        <w:rPr>
          <w:sz w:val="20"/>
          <w:szCs w:val="20"/>
          <w:color w:val="auto"/>
        </w:rPr>
      </w:pPr>
    </w:p>
    <w:p>
      <w:pPr>
        <w:ind w:right="639"/>
        <w:spacing w:after="0" w:line="216" w:lineRule="auto"/>
        <w:rPr>
          <w:sz w:val="20"/>
          <w:szCs w:val="20"/>
          <w:color w:val="auto"/>
        </w:rPr>
      </w:pPr>
      <w:r>
        <w:rPr>
          <w:rFonts w:ascii="Arial" w:cs="Arial" w:eastAsia="Arial" w:hAnsi="Arial"/>
          <w:sz w:val="22"/>
          <w:szCs w:val="22"/>
          <w:color w:val="auto"/>
        </w:rPr>
        <w:t>We make statements in this report that are not historical fact and constitute forward-looking statements within the meaning of the Private Securities Litigation Reform Act of 1995. Forward-looking statements are necessarily based upon assumptions with respect to the future, involve risks and uncertainties, and are not guarantees of performance. These forward-looking statements represent our estimates and assumptions only as of the date of this report.</w:t>
      </w:r>
    </w:p>
    <w:p>
      <w:pPr>
        <w:spacing w:after="0" w:line="23" w:lineRule="exact"/>
        <w:rPr>
          <w:sz w:val="20"/>
          <w:szCs w:val="20"/>
          <w:color w:val="auto"/>
        </w:rPr>
      </w:pPr>
    </w:p>
    <w:p>
      <w:pPr>
        <w:ind w:right="679"/>
        <w:spacing w:after="0" w:line="218" w:lineRule="auto"/>
        <w:rPr>
          <w:sz w:val="20"/>
          <w:szCs w:val="20"/>
          <w:color w:val="auto"/>
        </w:rPr>
      </w:pPr>
      <w:r>
        <w:rPr>
          <w:rFonts w:ascii="Arial" w:cs="Arial" w:eastAsia="Arial" w:hAnsi="Arial"/>
          <w:sz w:val="22"/>
          <w:szCs w:val="22"/>
          <w:color w:val="auto"/>
        </w:rPr>
        <w:t>In this report, when we use words such as "believes," "expects," "anticipates," "plans," "estimates," "projects," "contemplates," "intends," "depends," "should," "could," "would," "may," "potential," "target," "goals," or similar expressions, or when we discuss our strategy, plans or intentions, we are making forward-looking statements.</w:t>
      </w:r>
    </w:p>
    <w:p>
      <w:pPr>
        <w:spacing w:after="0" w:line="40" w:lineRule="exact"/>
        <w:rPr>
          <w:sz w:val="20"/>
          <w:szCs w:val="20"/>
          <w:color w:val="auto"/>
        </w:rPr>
      </w:pPr>
    </w:p>
    <w:p>
      <w:pPr>
        <w:ind w:right="999"/>
        <w:spacing w:after="0" w:line="232" w:lineRule="auto"/>
        <w:rPr>
          <w:sz w:val="20"/>
          <w:szCs w:val="20"/>
          <w:color w:val="auto"/>
        </w:rPr>
      </w:pPr>
      <w:r>
        <w:rPr>
          <w:rFonts w:ascii="Arial" w:cs="Arial" w:eastAsia="Arial" w:hAnsi="Arial"/>
          <w:sz w:val="22"/>
          <w:szCs w:val="22"/>
          <w:color w:val="auto"/>
        </w:rPr>
        <w:t>Factors, among others, that could cause our actual results and future actions to differ materially from those described in forward-looking statements include</w:t>
      </w:r>
    </w:p>
    <w:p>
      <w:pPr>
        <w:spacing w:after="0" w:line="2" w:lineRule="exact"/>
        <w:rPr>
          <w:sz w:val="20"/>
          <w:szCs w:val="20"/>
          <w:color w:val="auto"/>
        </w:rPr>
      </w:pPr>
    </w:p>
    <w:p>
      <w:pPr>
        <w:ind w:left="180" w:right="2319" w:hanging="172"/>
        <w:spacing w:after="0" w:line="224" w:lineRule="auto"/>
        <w:tabs>
          <w:tab w:leader="none" w:pos="153" w:val="left"/>
        </w:tabs>
        <w:numPr>
          <w:ilvl w:val="0"/>
          <w:numId w:val="3"/>
        </w:numPr>
        <w:rPr>
          <w:rFonts w:ascii="Arial" w:cs="Arial" w:eastAsia="Arial" w:hAnsi="Arial"/>
          <w:sz w:val="22"/>
          <w:szCs w:val="22"/>
          <w:color w:val="auto"/>
        </w:rPr>
      </w:pPr>
      <w:r>
        <w:rPr>
          <w:rFonts w:ascii="Arial" w:cs="Arial" w:eastAsia="Arial" w:hAnsi="Arial"/>
          <w:sz w:val="22"/>
          <w:szCs w:val="22"/>
          <w:color w:val="auto"/>
        </w:rPr>
        <w:t>local, regional, national and international economic, competitive, political, legislative and regulatory conditions and developments;</w:t>
      </w:r>
    </w:p>
    <w:p>
      <w:pPr>
        <w:ind w:left="180" w:right="1859" w:hanging="172"/>
        <w:spacing w:after="0" w:line="217" w:lineRule="auto"/>
        <w:tabs>
          <w:tab w:leader="none" w:pos="153" w:val="left"/>
        </w:tabs>
        <w:numPr>
          <w:ilvl w:val="0"/>
          <w:numId w:val="3"/>
        </w:numPr>
        <w:rPr>
          <w:rFonts w:ascii="Arial" w:cs="Arial" w:eastAsia="Arial" w:hAnsi="Arial"/>
          <w:sz w:val="22"/>
          <w:szCs w:val="22"/>
          <w:color w:val="auto"/>
        </w:rPr>
      </w:pPr>
      <w:r>
        <w:rPr>
          <w:rFonts w:ascii="Arial" w:cs="Arial" w:eastAsia="Arial" w:hAnsi="Arial"/>
          <w:sz w:val="22"/>
          <w:szCs w:val="22"/>
          <w:color w:val="auto"/>
        </w:rPr>
        <w:t>actions by the California Public Utilities Commission, the California State Legislature, the California Department of Water Resources, the Federal Energy Regulatory Commission, the Federal Reserve Board, and other regulatory and governmental bodies in the United States and other countries in which we operate;</w:t>
      </w:r>
    </w:p>
    <w:p>
      <w:pPr>
        <w:spacing w:after="0" w:line="3" w:lineRule="exact"/>
        <w:rPr>
          <w:rFonts w:ascii="Arial" w:cs="Arial" w:eastAsia="Arial" w:hAnsi="Arial"/>
          <w:sz w:val="22"/>
          <w:szCs w:val="22"/>
          <w:color w:val="auto"/>
        </w:rPr>
      </w:pPr>
    </w:p>
    <w:p>
      <w:pPr>
        <w:ind w:left="140" w:hanging="132"/>
        <w:spacing w:after="0"/>
        <w:tabs>
          <w:tab w:leader="none" w:pos="140" w:val="left"/>
        </w:tabs>
        <w:numPr>
          <w:ilvl w:val="0"/>
          <w:numId w:val="3"/>
        </w:numPr>
        <w:rPr>
          <w:rFonts w:ascii="Arial" w:cs="Arial" w:eastAsia="Arial" w:hAnsi="Arial"/>
          <w:sz w:val="22"/>
          <w:szCs w:val="22"/>
          <w:color w:val="auto"/>
        </w:rPr>
      </w:pPr>
      <w:r>
        <w:rPr>
          <w:rFonts w:ascii="Arial" w:cs="Arial" w:eastAsia="Arial" w:hAnsi="Arial"/>
          <w:sz w:val="22"/>
          <w:szCs w:val="22"/>
          <w:color w:val="auto"/>
        </w:rPr>
        <w:t>capital markets conditions and inflation, interest and exchange rates;</w:t>
      </w:r>
    </w:p>
    <w:p>
      <w:pPr>
        <w:spacing w:after="0" w:line="3" w:lineRule="exact"/>
        <w:rPr>
          <w:rFonts w:ascii="Arial" w:cs="Arial" w:eastAsia="Arial" w:hAnsi="Arial"/>
          <w:sz w:val="22"/>
          <w:szCs w:val="22"/>
          <w:color w:val="auto"/>
        </w:rPr>
      </w:pPr>
    </w:p>
    <w:p>
      <w:pPr>
        <w:ind w:left="180" w:right="2499" w:hanging="172"/>
        <w:spacing w:after="0" w:line="224" w:lineRule="auto"/>
        <w:tabs>
          <w:tab w:leader="none" w:pos="153" w:val="left"/>
        </w:tabs>
        <w:numPr>
          <w:ilvl w:val="0"/>
          <w:numId w:val="3"/>
        </w:numPr>
        <w:rPr>
          <w:rFonts w:ascii="Arial" w:cs="Arial" w:eastAsia="Arial" w:hAnsi="Arial"/>
          <w:sz w:val="22"/>
          <w:szCs w:val="22"/>
          <w:color w:val="auto"/>
        </w:rPr>
      </w:pPr>
      <w:r>
        <w:rPr>
          <w:rFonts w:ascii="Arial" w:cs="Arial" w:eastAsia="Arial" w:hAnsi="Arial"/>
          <w:sz w:val="22"/>
          <w:szCs w:val="22"/>
          <w:color w:val="auto"/>
        </w:rPr>
        <w:t>energy and trading markets, including the timing and extent of changes and volatility in commodity prices;</w:t>
      </w:r>
    </w:p>
    <w:p>
      <w:pPr>
        <w:ind w:left="140" w:hanging="132"/>
        <w:spacing w:after="0"/>
        <w:tabs>
          <w:tab w:leader="none" w:pos="14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availability of electric power, natural gas and liquefied natural gas;</w:t>
      </w:r>
    </w:p>
    <w:p>
      <w:pPr>
        <w:spacing w:after="0" w:line="17" w:lineRule="exact"/>
        <w:rPr>
          <w:rFonts w:ascii="Arial" w:cs="Arial" w:eastAsia="Arial" w:hAnsi="Arial"/>
          <w:sz w:val="22"/>
          <w:szCs w:val="22"/>
          <w:color w:val="auto"/>
        </w:rPr>
      </w:pPr>
    </w:p>
    <w:p>
      <w:pPr>
        <w:ind w:left="140" w:hanging="132"/>
        <w:spacing w:after="0"/>
        <w:tabs>
          <w:tab w:leader="none" w:pos="140" w:val="left"/>
        </w:tabs>
        <w:numPr>
          <w:ilvl w:val="0"/>
          <w:numId w:val="3"/>
        </w:numPr>
        <w:rPr>
          <w:rFonts w:ascii="Arial" w:cs="Arial" w:eastAsia="Arial" w:hAnsi="Arial"/>
          <w:sz w:val="22"/>
          <w:szCs w:val="22"/>
          <w:color w:val="auto"/>
        </w:rPr>
      </w:pPr>
      <w:r>
        <w:rPr>
          <w:rFonts w:ascii="Arial" w:cs="Arial" w:eastAsia="Arial" w:hAnsi="Arial"/>
          <w:sz w:val="22"/>
          <w:szCs w:val="22"/>
          <w:color w:val="auto"/>
        </w:rPr>
        <w:t>weather conditions and conservation efforts;</w:t>
      </w:r>
    </w:p>
    <w:p>
      <w:pPr>
        <w:spacing w:after="0" w:line="3" w:lineRule="exact"/>
        <w:rPr>
          <w:rFonts w:ascii="Arial" w:cs="Arial" w:eastAsia="Arial" w:hAnsi="Arial"/>
          <w:sz w:val="22"/>
          <w:szCs w:val="22"/>
          <w:color w:val="auto"/>
        </w:rPr>
      </w:pPr>
    </w:p>
    <w:p>
      <w:pPr>
        <w:ind w:left="140" w:hanging="132"/>
        <w:spacing w:after="0"/>
        <w:tabs>
          <w:tab w:leader="none" w:pos="140" w:val="left"/>
        </w:tabs>
        <w:numPr>
          <w:ilvl w:val="0"/>
          <w:numId w:val="3"/>
        </w:numPr>
        <w:rPr>
          <w:rFonts w:ascii="Arial" w:cs="Arial" w:eastAsia="Arial" w:hAnsi="Arial"/>
          <w:sz w:val="22"/>
          <w:szCs w:val="22"/>
          <w:color w:val="auto"/>
        </w:rPr>
      </w:pPr>
      <w:r>
        <w:rPr>
          <w:rFonts w:ascii="Arial" w:cs="Arial" w:eastAsia="Arial" w:hAnsi="Arial"/>
          <w:sz w:val="22"/>
          <w:szCs w:val="22"/>
          <w:color w:val="auto"/>
        </w:rPr>
        <w:t>war and terrorist attacks;</w:t>
      </w:r>
    </w:p>
    <w:p>
      <w:pPr>
        <w:spacing w:after="0" w:line="3" w:lineRule="exact"/>
        <w:rPr>
          <w:rFonts w:ascii="Arial" w:cs="Arial" w:eastAsia="Arial" w:hAnsi="Arial"/>
          <w:sz w:val="22"/>
          <w:szCs w:val="22"/>
          <w:color w:val="auto"/>
        </w:rPr>
      </w:pPr>
    </w:p>
    <w:p>
      <w:pPr>
        <w:ind w:left="140" w:hanging="132"/>
        <w:spacing w:after="0"/>
        <w:tabs>
          <w:tab w:leader="none" w:pos="140" w:val="left"/>
        </w:tabs>
        <w:numPr>
          <w:ilvl w:val="0"/>
          <w:numId w:val="3"/>
        </w:numPr>
        <w:rPr>
          <w:rFonts w:ascii="Arial" w:cs="Arial" w:eastAsia="Arial" w:hAnsi="Arial"/>
          <w:sz w:val="22"/>
          <w:szCs w:val="22"/>
          <w:color w:val="auto"/>
        </w:rPr>
      </w:pPr>
      <w:r>
        <w:rPr>
          <w:rFonts w:ascii="Arial" w:cs="Arial" w:eastAsia="Arial" w:hAnsi="Arial"/>
          <w:sz w:val="22"/>
          <w:szCs w:val="22"/>
          <w:color w:val="auto"/>
        </w:rPr>
        <w:t>business, regulatory, environmental and legal decisions and requirements;</w:t>
      </w:r>
    </w:p>
    <w:p>
      <w:pPr>
        <w:spacing w:after="0" w:line="17" w:lineRule="exact"/>
        <w:rPr>
          <w:rFonts w:ascii="Arial" w:cs="Arial" w:eastAsia="Arial" w:hAnsi="Arial"/>
          <w:sz w:val="22"/>
          <w:szCs w:val="22"/>
          <w:color w:val="auto"/>
        </w:rPr>
      </w:pPr>
    </w:p>
    <w:p>
      <w:pPr>
        <w:ind w:left="140" w:hanging="132"/>
        <w:spacing w:after="0"/>
        <w:tabs>
          <w:tab w:leader="none" w:pos="14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status of deregulation of retail natural gas and electricity delivery;</w:t>
      </w:r>
    </w:p>
    <w:p>
      <w:pPr>
        <w:spacing w:after="0" w:line="3" w:lineRule="exact"/>
        <w:rPr>
          <w:rFonts w:ascii="Arial" w:cs="Arial" w:eastAsia="Arial" w:hAnsi="Arial"/>
          <w:sz w:val="22"/>
          <w:szCs w:val="22"/>
          <w:color w:val="auto"/>
        </w:rPr>
      </w:pPr>
    </w:p>
    <w:p>
      <w:pPr>
        <w:ind w:left="140" w:hanging="132"/>
        <w:spacing w:after="0"/>
        <w:tabs>
          <w:tab w:leader="none" w:pos="14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timing and success of business development efforts;</w:t>
      </w:r>
    </w:p>
    <w:p>
      <w:pPr>
        <w:spacing w:after="0" w:line="3" w:lineRule="exact"/>
        <w:rPr>
          <w:rFonts w:ascii="Arial" w:cs="Arial" w:eastAsia="Arial" w:hAnsi="Arial"/>
          <w:sz w:val="22"/>
          <w:szCs w:val="22"/>
          <w:color w:val="auto"/>
        </w:rPr>
      </w:pPr>
    </w:p>
    <w:p>
      <w:pPr>
        <w:ind w:left="140" w:hanging="132"/>
        <w:spacing w:after="0"/>
        <w:tabs>
          <w:tab w:leader="none" w:pos="14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resolution of litigation; and</w:t>
      </w:r>
    </w:p>
    <w:p>
      <w:pPr>
        <w:spacing w:after="0" w:line="17" w:lineRule="exact"/>
        <w:rPr>
          <w:rFonts w:ascii="Arial" w:cs="Arial" w:eastAsia="Arial" w:hAnsi="Arial"/>
          <w:sz w:val="22"/>
          <w:szCs w:val="22"/>
          <w:color w:val="auto"/>
        </w:rPr>
      </w:pPr>
    </w:p>
    <w:p>
      <w:pPr>
        <w:ind w:left="180" w:right="2319" w:hanging="172"/>
        <w:spacing w:after="0" w:line="224" w:lineRule="auto"/>
        <w:tabs>
          <w:tab w:leader="none" w:pos="153" w:val="left"/>
        </w:tabs>
        <w:numPr>
          <w:ilvl w:val="0"/>
          <w:numId w:val="3"/>
        </w:numPr>
        <w:rPr>
          <w:rFonts w:ascii="Arial" w:cs="Arial" w:eastAsia="Arial" w:hAnsi="Arial"/>
          <w:sz w:val="22"/>
          <w:szCs w:val="22"/>
          <w:color w:val="auto"/>
        </w:rPr>
      </w:pPr>
      <w:r>
        <w:rPr>
          <w:rFonts w:ascii="Arial" w:cs="Arial" w:eastAsia="Arial" w:hAnsi="Arial"/>
          <w:sz w:val="22"/>
          <w:szCs w:val="22"/>
          <w:color w:val="auto"/>
        </w:rPr>
        <w:t>other uncertainties, all of which are difficult to predict and many of which are beyond our control.</w:t>
      </w:r>
    </w:p>
    <w:p>
      <w:pPr>
        <w:spacing w:after="0" w:line="77" w:lineRule="exact"/>
        <w:rPr>
          <w:sz w:val="20"/>
          <w:szCs w:val="20"/>
          <w:color w:val="auto"/>
        </w:rPr>
      </w:pPr>
    </w:p>
    <w:p>
      <w:pPr>
        <w:ind w:right="759"/>
        <w:spacing w:after="0" w:line="223" w:lineRule="auto"/>
        <w:rPr>
          <w:sz w:val="20"/>
          <w:szCs w:val="20"/>
          <w:color w:val="auto"/>
        </w:rPr>
      </w:pPr>
      <w:r>
        <w:rPr>
          <w:rFonts w:ascii="Arial" w:cs="Arial" w:eastAsia="Arial" w:hAnsi="Arial"/>
          <w:sz w:val="22"/>
          <w:szCs w:val="22"/>
          <w:color w:val="auto"/>
        </w:rPr>
        <w:t>We caution you not to rely unduly on any forward-looking statements. You should review and consider carefully the risks, uncertainties and other factors that affect our business as described in this report and other reports that we file with the Securities and Exchange Commission.</w:t>
      </w:r>
    </w:p>
    <w:p>
      <w:pPr>
        <w:sectPr>
          <w:pgSz w:w="11900" w:h="16838" w:orient="portrait"/>
          <w:cols w:equalWidth="0" w:num="1">
            <w:col w:w="10219"/>
          </w:cols>
          <w:pgMar w:left="240" w:top="595" w:right="1440" w:bottom="1440" w:gutter="0" w:footer="0" w:header="0"/>
        </w:sectPr>
      </w:pPr>
    </w:p>
    <w:bookmarkStart w:id="4" w:name="page5"/>
    <w:bookmarkEnd w:id="4"/>
    <w:p>
      <w:pPr>
        <w:spacing w:after="0"/>
        <w:rPr>
          <w:sz w:val="20"/>
          <w:szCs w:val="20"/>
          <w:color w:val="auto"/>
        </w:rPr>
      </w:pPr>
      <w:r>
        <w:rPr>
          <w:rFonts w:ascii="Arial" w:cs="Arial" w:eastAsia="Arial" w:hAnsi="Arial"/>
          <w:sz w:val="23"/>
          <w:szCs w:val="23"/>
          <w:color w:val="auto"/>
        </w:rPr>
        <w:t>PART I – FINANCIAL INFORMATION</w:t>
      </w:r>
    </w:p>
    <w:p>
      <w:pPr>
        <w:spacing w:after="0" w:line="208" w:lineRule="exact"/>
        <w:rPr>
          <w:sz w:val="20"/>
          <w:szCs w:val="20"/>
          <w:color w:val="auto"/>
        </w:rPr>
      </w:pPr>
    </w:p>
    <w:p>
      <w:pPr>
        <w:spacing w:after="0"/>
        <w:rPr>
          <w:sz w:val="20"/>
          <w:szCs w:val="20"/>
          <w:color w:val="auto"/>
        </w:rPr>
      </w:pPr>
      <w:r>
        <w:rPr>
          <w:rFonts w:ascii="Arial" w:cs="Arial" w:eastAsia="Arial" w:hAnsi="Arial"/>
          <w:sz w:val="23"/>
          <w:szCs w:val="23"/>
          <w:color w:val="auto"/>
        </w:rPr>
        <w:t>ITEM 1. FINANCIAL STATEMENTS</w:t>
      </w: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5462905" cy="3517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62905" cy="3517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per share amounts)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4"/>
                <w:szCs w:val="14"/>
                <w:color w:val="auto"/>
              </w:rPr>
              <w:t>Three months ended March 31,</w:t>
            </w:r>
          </w:p>
        </w:tc>
        <w:tc>
          <w:tcPr>
            <w:tcW w:w="0" w:type="dxa"/>
            <w:vAlign w:val="bottom"/>
          </w:tcPr>
          <w:p>
            <w:pPr>
              <w:spacing w:after="0"/>
              <w:rPr>
                <w:sz w:val="1"/>
                <w:szCs w:val="1"/>
                <w:color w:val="auto"/>
              </w:rPr>
            </w:pPr>
          </w:p>
        </w:tc>
      </w:tr>
      <w:tr>
        <w:trPr>
          <w:trHeight w:val="183"/>
        </w:trPr>
        <w:tc>
          <w:tcPr>
            <w:tcW w:w="57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color w:val="auto"/>
              </w:rPr>
              <w:t>2010</w:t>
            </w:r>
          </w:p>
        </w:tc>
        <w:tc>
          <w:tcPr>
            <w:tcW w:w="4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color w:val="auto"/>
              </w:rPr>
              <w:t>2009</w:t>
            </w:r>
          </w:p>
        </w:tc>
        <w:tc>
          <w:tcPr>
            <w:tcW w:w="0" w:type="dxa"/>
            <w:vAlign w:val="bottom"/>
          </w:tcPr>
          <w:p>
            <w:pPr>
              <w:spacing w:after="0"/>
              <w:rPr>
                <w:sz w:val="1"/>
                <w:szCs w:val="1"/>
                <w:color w:val="auto"/>
              </w:rPr>
            </w:pPr>
          </w:p>
        </w:tc>
      </w:tr>
      <w:tr>
        <w:trPr>
          <w:trHeight w:val="198"/>
        </w:trPr>
        <w:tc>
          <w:tcPr>
            <w:tcW w:w="5760" w:type="dxa"/>
            <w:vAlign w:val="bottom"/>
            <w:vMerge w:val="restart"/>
          </w:tcPr>
          <w:p>
            <w:pPr>
              <w:spacing w:after="0"/>
              <w:rPr>
                <w:sz w:val="20"/>
                <w:szCs w:val="20"/>
                <w:color w:val="auto"/>
              </w:rPr>
            </w:pPr>
            <w:r>
              <w:rPr>
                <w:rFonts w:ascii="Arial" w:cs="Arial" w:eastAsia="Arial" w:hAnsi="Arial"/>
                <w:sz w:val="16"/>
                <w:szCs w:val="16"/>
                <w:color w:val="auto"/>
              </w:rPr>
              <w:t>REVENUES</w:t>
            </w:r>
          </w:p>
        </w:tc>
        <w:tc>
          <w:tcPr>
            <w:tcW w:w="28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(unaudited)</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7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760" w:type="dxa"/>
            <w:vAlign w:val="bottom"/>
          </w:tcPr>
          <w:p>
            <w:pPr>
              <w:spacing w:after="0"/>
              <w:rPr>
                <w:sz w:val="20"/>
                <w:szCs w:val="20"/>
                <w:color w:val="auto"/>
              </w:rPr>
            </w:pPr>
            <w:r>
              <w:rPr>
                <w:rFonts w:ascii="Arial" w:cs="Arial" w:eastAsia="Arial" w:hAnsi="Arial"/>
                <w:sz w:val="16"/>
                <w:szCs w:val="16"/>
                <w:color w:val="auto"/>
              </w:rPr>
              <w:t>Sempra Utilities</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1,912</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1,642</w:t>
            </w:r>
          </w:p>
        </w:tc>
        <w:tc>
          <w:tcPr>
            <w:tcW w:w="0" w:type="dxa"/>
            <w:vAlign w:val="bottom"/>
          </w:tcPr>
          <w:p>
            <w:pPr>
              <w:spacing w:after="0"/>
              <w:rPr>
                <w:sz w:val="1"/>
                <w:szCs w:val="1"/>
                <w:color w:val="auto"/>
              </w:rPr>
            </w:pPr>
          </w:p>
        </w:tc>
      </w:tr>
      <w:tr>
        <w:trPr>
          <w:trHeight w:val="187"/>
        </w:trPr>
        <w:tc>
          <w:tcPr>
            <w:tcW w:w="5760" w:type="dxa"/>
            <w:vAlign w:val="bottom"/>
          </w:tcPr>
          <w:p>
            <w:pPr>
              <w:spacing w:after="0"/>
              <w:rPr>
                <w:sz w:val="20"/>
                <w:szCs w:val="20"/>
                <w:color w:val="auto"/>
              </w:rPr>
            </w:pPr>
            <w:r>
              <w:rPr>
                <w:rFonts w:ascii="Arial" w:cs="Arial" w:eastAsia="Arial" w:hAnsi="Arial"/>
                <w:sz w:val="16"/>
                <w:szCs w:val="16"/>
                <w:color w:val="auto"/>
              </w:rPr>
              <w:t>Sempra Global and parent</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w:t>
            </w: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w:t>
            </w:r>
          </w:p>
        </w:tc>
        <w:tc>
          <w:tcPr>
            <w:tcW w:w="0" w:type="dxa"/>
            <w:vAlign w:val="bottom"/>
          </w:tcPr>
          <w:p>
            <w:pPr>
              <w:spacing w:after="0"/>
              <w:rPr>
                <w:sz w:val="1"/>
                <w:szCs w:val="1"/>
                <w:color w:val="auto"/>
              </w:rPr>
            </w:pPr>
          </w:p>
        </w:tc>
      </w:tr>
      <w:tr>
        <w:trPr>
          <w:trHeight w:val="184"/>
        </w:trPr>
        <w:tc>
          <w:tcPr>
            <w:tcW w:w="5760" w:type="dxa"/>
            <w:vAlign w:val="bottom"/>
          </w:tcPr>
          <w:p>
            <w:pPr>
              <w:ind w:left="180"/>
              <w:spacing w:after="0"/>
              <w:rPr>
                <w:sz w:val="20"/>
                <w:szCs w:val="20"/>
                <w:color w:val="auto"/>
              </w:rPr>
            </w:pPr>
            <w:r>
              <w:rPr>
                <w:rFonts w:ascii="Arial" w:cs="Arial" w:eastAsia="Arial" w:hAnsi="Arial"/>
                <w:sz w:val="16"/>
                <w:szCs w:val="16"/>
                <w:color w:val="auto"/>
              </w:rPr>
              <w:t>Total revenues</w:t>
            </w: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2,534</w:t>
            </w:r>
          </w:p>
        </w:tc>
        <w:tc>
          <w:tcPr>
            <w:tcW w:w="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2,108</w:t>
            </w:r>
          </w:p>
        </w:tc>
        <w:tc>
          <w:tcPr>
            <w:tcW w:w="0" w:type="dxa"/>
            <w:vAlign w:val="bottom"/>
          </w:tcPr>
          <w:p>
            <w:pPr>
              <w:spacing w:after="0"/>
              <w:rPr>
                <w:sz w:val="1"/>
                <w:szCs w:val="1"/>
                <w:color w:val="auto"/>
              </w:rPr>
            </w:pPr>
          </w:p>
        </w:tc>
      </w:tr>
      <w:tr>
        <w:trPr>
          <w:trHeight w:val="189"/>
        </w:trPr>
        <w:tc>
          <w:tcPr>
            <w:tcW w:w="5760" w:type="dxa"/>
            <w:vAlign w:val="bottom"/>
          </w:tcPr>
          <w:p>
            <w:pPr>
              <w:spacing w:after="0"/>
              <w:rPr>
                <w:sz w:val="20"/>
                <w:szCs w:val="20"/>
                <w:color w:val="auto"/>
              </w:rPr>
            </w:pPr>
            <w:r>
              <w:rPr>
                <w:rFonts w:ascii="Arial" w:cs="Arial" w:eastAsia="Arial" w:hAnsi="Arial"/>
                <w:sz w:val="16"/>
                <w:szCs w:val="16"/>
                <w:color w:val="auto"/>
              </w:rPr>
              <w:t>EXPENSES AND OTHER INCOME</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60" w:type="dxa"/>
            <w:vAlign w:val="bottom"/>
          </w:tcPr>
          <w:p>
            <w:pPr>
              <w:spacing w:after="0"/>
              <w:rPr>
                <w:sz w:val="20"/>
                <w:szCs w:val="20"/>
                <w:color w:val="auto"/>
              </w:rPr>
            </w:pPr>
            <w:r>
              <w:rPr>
                <w:rFonts w:ascii="Arial" w:cs="Arial" w:eastAsia="Arial" w:hAnsi="Arial"/>
                <w:sz w:val="16"/>
                <w:szCs w:val="16"/>
                <w:color w:val="auto"/>
              </w:rPr>
              <w:t>Sempra Utilities:</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60" w:type="dxa"/>
            <w:vAlign w:val="bottom"/>
          </w:tcPr>
          <w:p>
            <w:pPr>
              <w:ind w:left="180"/>
              <w:spacing w:after="0"/>
              <w:rPr>
                <w:sz w:val="20"/>
                <w:szCs w:val="20"/>
                <w:color w:val="auto"/>
              </w:rPr>
            </w:pPr>
            <w:r>
              <w:rPr>
                <w:rFonts w:ascii="Arial" w:cs="Arial" w:eastAsia="Arial" w:hAnsi="Arial"/>
                <w:sz w:val="16"/>
                <w:szCs w:val="16"/>
                <w:color w:val="auto"/>
              </w:rPr>
              <w:t>Cost of natural gas</w:t>
            </w: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(758)</w:t>
            </w:r>
          </w:p>
        </w:tc>
        <w:tc>
          <w:tcPr>
            <w:tcW w:w="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(540)</w:t>
            </w:r>
          </w:p>
        </w:tc>
        <w:tc>
          <w:tcPr>
            <w:tcW w:w="0" w:type="dxa"/>
            <w:vAlign w:val="bottom"/>
          </w:tcPr>
          <w:p>
            <w:pPr>
              <w:spacing w:after="0"/>
              <w:rPr>
                <w:sz w:val="1"/>
                <w:szCs w:val="1"/>
                <w:color w:val="auto"/>
              </w:rPr>
            </w:pPr>
          </w:p>
        </w:tc>
      </w:tr>
      <w:tr>
        <w:trPr>
          <w:trHeight w:val="189"/>
        </w:trPr>
        <w:tc>
          <w:tcPr>
            <w:tcW w:w="5760" w:type="dxa"/>
            <w:vAlign w:val="bottom"/>
          </w:tcPr>
          <w:p>
            <w:pPr>
              <w:ind w:left="180"/>
              <w:spacing w:after="0"/>
              <w:rPr>
                <w:sz w:val="20"/>
                <w:szCs w:val="20"/>
                <w:color w:val="auto"/>
              </w:rPr>
            </w:pPr>
            <w:r>
              <w:rPr>
                <w:rFonts w:ascii="Arial" w:cs="Arial" w:eastAsia="Arial" w:hAnsi="Arial"/>
                <w:sz w:val="16"/>
                <w:szCs w:val="16"/>
                <w:color w:val="auto"/>
              </w:rPr>
              <w:t>Cost of electric fuel and purchased power</w:t>
            </w: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(148)</w:t>
            </w:r>
          </w:p>
        </w:tc>
        <w:tc>
          <w:tcPr>
            <w:tcW w:w="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189"/>
        </w:trPr>
        <w:tc>
          <w:tcPr>
            <w:tcW w:w="5760" w:type="dxa"/>
            <w:vAlign w:val="bottom"/>
          </w:tcPr>
          <w:p>
            <w:pPr>
              <w:spacing w:after="0"/>
              <w:rPr>
                <w:sz w:val="20"/>
                <w:szCs w:val="20"/>
                <w:color w:val="auto"/>
              </w:rPr>
            </w:pPr>
            <w:r>
              <w:rPr>
                <w:rFonts w:ascii="Arial" w:cs="Arial" w:eastAsia="Arial" w:hAnsi="Arial"/>
                <w:sz w:val="16"/>
                <w:szCs w:val="16"/>
                <w:color w:val="auto"/>
              </w:rPr>
              <w:t>Sempra Global and parent:</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60" w:type="dxa"/>
            <w:vAlign w:val="bottom"/>
          </w:tcPr>
          <w:p>
            <w:pPr>
              <w:ind w:left="180"/>
              <w:spacing w:after="0"/>
              <w:rPr>
                <w:sz w:val="20"/>
                <w:szCs w:val="20"/>
                <w:color w:val="auto"/>
              </w:rPr>
            </w:pPr>
            <w:r>
              <w:rPr>
                <w:rFonts w:ascii="Arial" w:cs="Arial" w:eastAsia="Arial" w:hAnsi="Arial"/>
                <w:sz w:val="16"/>
                <w:szCs w:val="16"/>
                <w:color w:val="auto"/>
              </w:rPr>
              <w:t>Cost of natural gas, electric fuel and purchased power</w:t>
            </w: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(338)</w:t>
            </w:r>
          </w:p>
        </w:tc>
        <w:tc>
          <w:tcPr>
            <w:tcW w:w="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189"/>
        </w:trPr>
        <w:tc>
          <w:tcPr>
            <w:tcW w:w="5760" w:type="dxa"/>
            <w:vAlign w:val="bottom"/>
          </w:tcPr>
          <w:p>
            <w:pPr>
              <w:ind w:left="180"/>
              <w:spacing w:after="0"/>
              <w:rPr>
                <w:sz w:val="20"/>
                <w:szCs w:val="20"/>
                <w:color w:val="auto"/>
              </w:rPr>
            </w:pPr>
            <w:r>
              <w:rPr>
                <w:rFonts w:ascii="Arial" w:cs="Arial" w:eastAsia="Arial" w:hAnsi="Arial"/>
                <w:sz w:val="16"/>
                <w:szCs w:val="16"/>
                <w:color w:val="auto"/>
              </w:rPr>
              <w:t>Other cost of sales</w:t>
            </w: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w:t>
            </w:r>
          </w:p>
        </w:tc>
        <w:tc>
          <w:tcPr>
            <w:tcW w:w="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89"/>
        </w:trPr>
        <w:tc>
          <w:tcPr>
            <w:tcW w:w="5760" w:type="dxa"/>
            <w:vAlign w:val="bottom"/>
          </w:tcPr>
          <w:p>
            <w:pPr>
              <w:spacing w:after="0"/>
              <w:rPr>
                <w:sz w:val="20"/>
                <w:szCs w:val="20"/>
                <w:color w:val="auto"/>
              </w:rPr>
            </w:pPr>
            <w:r>
              <w:rPr>
                <w:rFonts w:ascii="Arial" w:cs="Arial" w:eastAsia="Arial" w:hAnsi="Arial"/>
                <w:sz w:val="16"/>
                <w:szCs w:val="16"/>
                <w:color w:val="auto"/>
              </w:rPr>
              <w:t>Litigation expense</w:t>
            </w: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(168)</w:t>
            </w:r>
          </w:p>
        </w:tc>
        <w:tc>
          <w:tcPr>
            <w:tcW w:w="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89"/>
        </w:trPr>
        <w:tc>
          <w:tcPr>
            <w:tcW w:w="5760" w:type="dxa"/>
            <w:vAlign w:val="bottom"/>
          </w:tcPr>
          <w:p>
            <w:pPr>
              <w:spacing w:after="0"/>
              <w:rPr>
                <w:sz w:val="20"/>
                <w:szCs w:val="20"/>
                <w:color w:val="auto"/>
              </w:rPr>
            </w:pPr>
            <w:r>
              <w:rPr>
                <w:rFonts w:ascii="Arial" w:cs="Arial" w:eastAsia="Arial" w:hAnsi="Arial"/>
                <w:sz w:val="16"/>
                <w:szCs w:val="16"/>
                <w:color w:val="auto"/>
              </w:rPr>
              <w:t>Other operation and maintenance</w:t>
            </w: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(576)</w:t>
            </w:r>
          </w:p>
        </w:tc>
        <w:tc>
          <w:tcPr>
            <w:tcW w:w="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(523)</w:t>
            </w:r>
          </w:p>
        </w:tc>
        <w:tc>
          <w:tcPr>
            <w:tcW w:w="0" w:type="dxa"/>
            <w:vAlign w:val="bottom"/>
          </w:tcPr>
          <w:p>
            <w:pPr>
              <w:spacing w:after="0"/>
              <w:rPr>
                <w:sz w:val="1"/>
                <w:szCs w:val="1"/>
                <w:color w:val="auto"/>
              </w:rPr>
            </w:pPr>
          </w:p>
        </w:tc>
      </w:tr>
      <w:tr>
        <w:trPr>
          <w:trHeight w:val="189"/>
        </w:trPr>
        <w:tc>
          <w:tcPr>
            <w:tcW w:w="576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(210)</w:t>
            </w:r>
          </w:p>
        </w:tc>
        <w:tc>
          <w:tcPr>
            <w:tcW w:w="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189"/>
        </w:trPr>
        <w:tc>
          <w:tcPr>
            <w:tcW w:w="5760" w:type="dxa"/>
            <w:vAlign w:val="bottom"/>
          </w:tcPr>
          <w:p>
            <w:pPr>
              <w:spacing w:after="0"/>
              <w:rPr>
                <w:sz w:val="20"/>
                <w:szCs w:val="20"/>
                <w:color w:val="auto"/>
              </w:rPr>
            </w:pPr>
            <w:r>
              <w:rPr>
                <w:rFonts w:ascii="Arial" w:cs="Arial" w:eastAsia="Arial" w:hAnsi="Arial"/>
                <w:sz w:val="16"/>
                <w:szCs w:val="16"/>
                <w:color w:val="auto"/>
              </w:rPr>
              <w:t>Franchise fees and other taxes</w:t>
            </w: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(90)</w:t>
            </w:r>
          </w:p>
        </w:tc>
        <w:tc>
          <w:tcPr>
            <w:tcW w:w="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189"/>
        </w:trPr>
        <w:tc>
          <w:tcPr>
            <w:tcW w:w="5760" w:type="dxa"/>
            <w:vAlign w:val="bottom"/>
          </w:tcPr>
          <w:p>
            <w:pPr>
              <w:spacing w:after="0"/>
              <w:rPr>
                <w:sz w:val="20"/>
                <w:szCs w:val="20"/>
                <w:color w:val="auto"/>
              </w:rPr>
            </w:pPr>
            <w:r>
              <w:rPr>
                <w:rFonts w:ascii="Arial" w:cs="Arial" w:eastAsia="Arial" w:hAnsi="Arial"/>
                <w:sz w:val="16"/>
                <w:szCs w:val="16"/>
                <w:color w:val="auto"/>
              </w:rPr>
              <w:t>Equity earnings:</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60" w:type="dxa"/>
            <w:vAlign w:val="bottom"/>
          </w:tcPr>
          <w:p>
            <w:pPr>
              <w:ind w:left="180"/>
              <w:spacing w:after="0"/>
              <w:rPr>
                <w:sz w:val="20"/>
                <w:szCs w:val="20"/>
                <w:color w:val="auto"/>
              </w:rPr>
            </w:pPr>
            <w:r>
              <w:rPr>
                <w:rFonts w:ascii="Arial" w:cs="Arial" w:eastAsia="Arial" w:hAnsi="Arial"/>
                <w:sz w:val="16"/>
                <w:szCs w:val="16"/>
                <w:color w:val="auto"/>
              </w:rPr>
              <w:t>RBS Sempra Commodities LLP</w:t>
            </w: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w:t>
            </w:r>
          </w:p>
        </w:tc>
        <w:tc>
          <w:tcPr>
            <w:tcW w:w="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189"/>
        </w:trPr>
        <w:tc>
          <w:tcPr>
            <w:tcW w:w="5760" w:type="dxa"/>
            <w:vAlign w:val="bottom"/>
          </w:tcPr>
          <w:p>
            <w:pPr>
              <w:ind w:left="180"/>
              <w:spacing w:after="0"/>
              <w:rPr>
                <w:sz w:val="20"/>
                <w:szCs w:val="20"/>
                <w:color w:val="auto"/>
              </w:rPr>
            </w:pPr>
            <w:r>
              <w:rPr>
                <w:rFonts w:ascii="Arial" w:cs="Arial" w:eastAsia="Arial" w:hAnsi="Arial"/>
                <w:sz w:val="16"/>
                <w:szCs w:val="16"/>
                <w:color w:val="auto"/>
              </w:rPr>
              <w:t>Other</w:t>
            </w: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w:t>
            </w:r>
          </w:p>
        </w:tc>
        <w:tc>
          <w:tcPr>
            <w:tcW w:w="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89"/>
        </w:trPr>
        <w:tc>
          <w:tcPr>
            <w:tcW w:w="5760" w:type="dxa"/>
            <w:vAlign w:val="bottom"/>
          </w:tcPr>
          <w:p>
            <w:pPr>
              <w:spacing w:after="0"/>
              <w:rPr>
                <w:sz w:val="20"/>
                <w:szCs w:val="20"/>
                <w:color w:val="auto"/>
              </w:rPr>
            </w:pPr>
            <w:r>
              <w:rPr>
                <w:rFonts w:ascii="Arial" w:cs="Arial" w:eastAsia="Arial" w:hAnsi="Arial"/>
                <w:sz w:val="16"/>
                <w:szCs w:val="16"/>
                <w:color w:val="auto"/>
              </w:rPr>
              <w:t>Other income, net</w:t>
            </w: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w:t>
            </w:r>
          </w:p>
        </w:tc>
        <w:tc>
          <w:tcPr>
            <w:tcW w:w="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9"/>
        </w:trPr>
        <w:tc>
          <w:tcPr>
            <w:tcW w:w="5760" w:type="dxa"/>
            <w:vAlign w:val="bottom"/>
          </w:tcPr>
          <w:p>
            <w:pPr>
              <w:spacing w:after="0"/>
              <w:rPr>
                <w:sz w:val="20"/>
                <w:szCs w:val="20"/>
                <w:color w:val="auto"/>
              </w:rPr>
            </w:pPr>
            <w:r>
              <w:rPr>
                <w:rFonts w:ascii="Arial" w:cs="Arial" w:eastAsia="Arial" w:hAnsi="Arial"/>
                <w:sz w:val="16"/>
                <w:szCs w:val="16"/>
                <w:color w:val="auto"/>
              </w:rPr>
              <w:t>Interest income</w:t>
            </w: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w:t>
            </w:r>
          </w:p>
        </w:tc>
        <w:tc>
          <w:tcPr>
            <w:tcW w:w="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87"/>
        </w:trPr>
        <w:tc>
          <w:tcPr>
            <w:tcW w:w="5760" w:type="dxa"/>
            <w:vAlign w:val="bottom"/>
          </w:tcPr>
          <w:p>
            <w:pPr>
              <w:spacing w:after="0"/>
              <w:rPr>
                <w:sz w:val="20"/>
                <w:szCs w:val="20"/>
                <w:color w:val="auto"/>
              </w:rPr>
            </w:pPr>
            <w:r>
              <w:rPr>
                <w:rFonts w:ascii="Arial" w:cs="Arial" w:eastAsia="Arial" w:hAnsi="Arial"/>
                <w:sz w:val="16"/>
                <w:szCs w:val="16"/>
                <w:color w:val="auto"/>
              </w:rPr>
              <w:t>Interest expense</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184"/>
        </w:trPr>
        <w:tc>
          <w:tcPr>
            <w:tcW w:w="5760" w:type="dxa"/>
            <w:vAlign w:val="bottom"/>
          </w:tcPr>
          <w:p>
            <w:pPr>
              <w:spacing w:after="0"/>
              <w:rPr>
                <w:sz w:val="20"/>
                <w:szCs w:val="20"/>
                <w:color w:val="auto"/>
              </w:rPr>
            </w:pPr>
            <w:r>
              <w:rPr>
                <w:rFonts w:ascii="Arial" w:cs="Arial" w:eastAsia="Arial" w:hAnsi="Arial"/>
                <w:sz w:val="16"/>
                <w:szCs w:val="16"/>
                <w:color w:val="auto"/>
              </w:rPr>
              <w:t>Income before income taxes and equity earnings</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60" w:type="dxa"/>
            <w:vAlign w:val="bottom"/>
          </w:tcPr>
          <w:p>
            <w:pPr>
              <w:ind w:left="180"/>
              <w:spacing w:after="0"/>
              <w:rPr>
                <w:sz w:val="20"/>
                <w:szCs w:val="20"/>
                <w:color w:val="auto"/>
              </w:rPr>
            </w:pPr>
            <w:r>
              <w:rPr>
                <w:rFonts w:ascii="Arial" w:cs="Arial" w:eastAsia="Arial" w:hAnsi="Arial"/>
                <w:sz w:val="16"/>
                <w:szCs w:val="16"/>
                <w:color w:val="auto"/>
              </w:rPr>
              <w:t>of certain unconsolidated subsidiaries</w:t>
            </w: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139</w:t>
            </w:r>
          </w:p>
        </w:tc>
        <w:tc>
          <w:tcPr>
            <w:tcW w:w="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418</w:t>
            </w:r>
          </w:p>
        </w:tc>
        <w:tc>
          <w:tcPr>
            <w:tcW w:w="0" w:type="dxa"/>
            <w:vAlign w:val="bottom"/>
          </w:tcPr>
          <w:p>
            <w:pPr>
              <w:spacing w:after="0"/>
              <w:rPr>
                <w:sz w:val="1"/>
                <w:szCs w:val="1"/>
                <w:color w:val="auto"/>
              </w:rPr>
            </w:pPr>
          </w:p>
        </w:tc>
      </w:tr>
      <w:tr>
        <w:trPr>
          <w:trHeight w:val="189"/>
        </w:trPr>
        <w:tc>
          <w:tcPr>
            <w:tcW w:w="5760" w:type="dxa"/>
            <w:vAlign w:val="bottom"/>
          </w:tcPr>
          <w:p>
            <w:pPr>
              <w:spacing w:after="0"/>
              <w:rPr>
                <w:sz w:val="20"/>
                <w:szCs w:val="20"/>
                <w:color w:val="auto"/>
              </w:rPr>
            </w:pPr>
            <w:r>
              <w:rPr>
                <w:rFonts w:ascii="Arial" w:cs="Arial" w:eastAsia="Arial" w:hAnsi="Arial"/>
                <w:sz w:val="16"/>
                <w:szCs w:val="16"/>
                <w:color w:val="auto"/>
              </w:rPr>
              <w:t>Income tax expense</w:t>
            </w: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(58)</w:t>
            </w:r>
          </w:p>
        </w:tc>
        <w:tc>
          <w:tcPr>
            <w:tcW w:w="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187"/>
        </w:trPr>
        <w:tc>
          <w:tcPr>
            <w:tcW w:w="5760" w:type="dxa"/>
            <w:vAlign w:val="bottom"/>
          </w:tcPr>
          <w:p>
            <w:pPr>
              <w:spacing w:after="0"/>
              <w:rPr>
                <w:sz w:val="20"/>
                <w:szCs w:val="20"/>
                <w:color w:val="auto"/>
              </w:rPr>
            </w:pPr>
            <w:r>
              <w:rPr>
                <w:rFonts w:ascii="Arial" w:cs="Arial" w:eastAsia="Arial" w:hAnsi="Arial"/>
                <w:sz w:val="16"/>
                <w:szCs w:val="16"/>
                <w:color w:val="auto"/>
              </w:rPr>
              <w:t>Equity earnings, net of income tax</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84"/>
        </w:trPr>
        <w:tc>
          <w:tcPr>
            <w:tcW w:w="5760" w:type="dxa"/>
            <w:vAlign w:val="bottom"/>
          </w:tcPr>
          <w:p>
            <w:pPr>
              <w:spacing w:after="0"/>
              <w:rPr>
                <w:sz w:val="20"/>
                <w:szCs w:val="20"/>
                <w:color w:val="auto"/>
              </w:rPr>
            </w:pPr>
            <w:r>
              <w:rPr>
                <w:rFonts w:ascii="Arial" w:cs="Arial" w:eastAsia="Arial" w:hAnsi="Arial"/>
                <w:sz w:val="16"/>
                <w:szCs w:val="16"/>
                <w:color w:val="auto"/>
              </w:rPr>
              <w:t>Net income</w:t>
            </w: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100</w:t>
            </w:r>
          </w:p>
        </w:tc>
        <w:tc>
          <w:tcPr>
            <w:tcW w:w="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325</w:t>
            </w:r>
          </w:p>
        </w:tc>
        <w:tc>
          <w:tcPr>
            <w:tcW w:w="0" w:type="dxa"/>
            <w:vAlign w:val="bottom"/>
          </w:tcPr>
          <w:p>
            <w:pPr>
              <w:spacing w:after="0"/>
              <w:rPr>
                <w:sz w:val="1"/>
                <w:szCs w:val="1"/>
                <w:color w:val="auto"/>
              </w:rPr>
            </w:pPr>
          </w:p>
        </w:tc>
      </w:tr>
      <w:tr>
        <w:trPr>
          <w:trHeight w:val="189"/>
        </w:trPr>
        <w:tc>
          <w:tcPr>
            <w:tcW w:w="5760" w:type="dxa"/>
            <w:vAlign w:val="bottom"/>
          </w:tcPr>
          <w:p>
            <w:pPr>
              <w:spacing w:after="0"/>
              <w:rPr>
                <w:sz w:val="20"/>
                <w:szCs w:val="20"/>
                <w:color w:val="auto"/>
              </w:rPr>
            </w:pPr>
            <w:r>
              <w:rPr>
                <w:rFonts w:ascii="Arial" w:cs="Arial" w:eastAsia="Arial" w:hAnsi="Arial"/>
                <w:sz w:val="16"/>
                <w:szCs w:val="16"/>
                <w:color w:val="auto"/>
              </w:rPr>
              <w:t>Losses (earnings) attributable to noncontrolling interests</w:t>
            </w: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w:t>
            </w:r>
          </w:p>
        </w:tc>
        <w:tc>
          <w:tcPr>
            <w:tcW w:w="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87"/>
        </w:trPr>
        <w:tc>
          <w:tcPr>
            <w:tcW w:w="5760" w:type="dxa"/>
            <w:vAlign w:val="bottom"/>
          </w:tcPr>
          <w:p>
            <w:pPr>
              <w:spacing w:after="0"/>
              <w:rPr>
                <w:sz w:val="20"/>
                <w:szCs w:val="20"/>
                <w:color w:val="auto"/>
              </w:rPr>
            </w:pPr>
            <w:r>
              <w:rPr>
                <w:rFonts w:ascii="Arial" w:cs="Arial" w:eastAsia="Arial" w:hAnsi="Arial"/>
                <w:sz w:val="16"/>
                <w:szCs w:val="16"/>
                <w:color w:val="auto"/>
              </w:rPr>
              <w:t>Preferred dividends of subsidiaries</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3"/>
        </w:trPr>
        <w:tc>
          <w:tcPr>
            <w:tcW w:w="5760" w:type="dxa"/>
            <w:vAlign w:val="bottom"/>
            <w:vMerge w:val="restart"/>
          </w:tcPr>
          <w:p>
            <w:pPr>
              <w:spacing w:after="0"/>
              <w:rPr>
                <w:sz w:val="20"/>
                <w:szCs w:val="20"/>
                <w:color w:val="auto"/>
              </w:rPr>
            </w:pPr>
            <w:r>
              <w:rPr>
                <w:rFonts w:ascii="Arial" w:cs="Arial" w:eastAsia="Arial" w:hAnsi="Arial"/>
                <w:sz w:val="16"/>
                <w:szCs w:val="16"/>
                <w:color w:val="auto"/>
              </w:rPr>
              <w:t>Earnings</w:t>
            </w:r>
          </w:p>
        </w:tc>
        <w:tc>
          <w:tcPr>
            <w:tcW w:w="280" w:type="dxa"/>
            <w:vAlign w:val="bottom"/>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180" w:type="dxa"/>
            <w:vAlign w:val="bottom"/>
          </w:tcPr>
          <w:p>
            <w:pPr>
              <w:jc w:val="right"/>
              <w:spacing w:after="0" w:line="183" w:lineRule="exact"/>
              <w:rPr>
                <w:sz w:val="20"/>
                <w:szCs w:val="20"/>
                <w:color w:val="auto"/>
              </w:rPr>
            </w:pPr>
            <w:r>
              <w:rPr>
                <w:rFonts w:ascii="Arial" w:cs="Arial" w:eastAsia="Arial" w:hAnsi="Arial"/>
                <w:sz w:val="16"/>
                <w:szCs w:val="16"/>
                <w:color w:val="auto"/>
              </w:rPr>
              <w:t>106</w:t>
            </w:r>
          </w:p>
        </w:tc>
        <w:tc>
          <w:tcPr>
            <w:tcW w:w="420" w:type="dxa"/>
            <w:vAlign w:val="bottom"/>
          </w:tcPr>
          <w:p>
            <w:pPr>
              <w:jc w:val="right"/>
              <w:ind w:right="219"/>
              <w:spacing w:after="0" w:line="183" w:lineRule="exact"/>
              <w:rPr>
                <w:sz w:val="20"/>
                <w:szCs w:val="20"/>
                <w:color w:val="auto"/>
              </w:rPr>
            </w:pPr>
            <w:r>
              <w:rPr>
                <w:rFonts w:ascii="Arial" w:cs="Arial" w:eastAsia="Arial" w:hAnsi="Arial"/>
                <w:sz w:val="16"/>
                <w:szCs w:val="16"/>
                <w:color w:val="auto"/>
              </w:rPr>
              <w:t>$</w:t>
            </w: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316</w:t>
            </w:r>
          </w:p>
        </w:tc>
        <w:tc>
          <w:tcPr>
            <w:tcW w:w="0" w:type="dxa"/>
            <w:vAlign w:val="bottom"/>
          </w:tcPr>
          <w:p>
            <w:pPr>
              <w:spacing w:after="0"/>
              <w:rPr>
                <w:sz w:val="1"/>
                <w:szCs w:val="1"/>
                <w:color w:val="auto"/>
              </w:rPr>
            </w:pPr>
          </w:p>
        </w:tc>
      </w:tr>
      <w:tr>
        <w:trPr>
          <w:trHeight w:val="81"/>
        </w:trPr>
        <w:tc>
          <w:tcPr>
            <w:tcW w:w="5760" w:type="dxa"/>
            <w:vAlign w:val="bottom"/>
            <w:vMerge w:val="continue"/>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1180" w:type="dxa"/>
            <w:vAlign w:val="bottom"/>
            <w:shd w:val="clear" w:color="auto" w:fill="000000"/>
          </w:tcPr>
          <w:p>
            <w:pPr>
              <w:spacing w:after="0"/>
              <w:rPr>
                <w:sz w:val="7"/>
                <w:szCs w:val="7"/>
                <w:color w:val="auto"/>
              </w:rPr>
            </w:pPr>
          </w:p>
        </w:tc>
        <w:tc>
          <w:tcPr>
            <w:tcW w:w="420" w:type="dxa"/>
            <w:vAlign w:val="bottom"/>
            <w:shd w:val="clear" w:color="auto" w:fill="000000"/>
          </w:tcPr>
          <w:p>
            <w:pPr>
              <w:spacing w:after="0"/>
              <w:rPr>
                <w:sz w:val="7"/>
                <w:szCs w:val="7"/>
                <w:color w:val="auto"/>
              </w:rPr>
            </w:pPr>
          </w:p>
        </w:tc>
        <w:tc>
          <w:tcPr>
            <w:tcW w:w="98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378"/>
        </w:trPr>
        <w:tc>
          <w:tcPr>
            <w:tcW w:w="5760" w:type="dxa"/>
            <w:vAlign w:val="bottom"/>
            <w:vMerge w:val="restart"/>
          </w:tcPr>
          <w:p>
            <w:pPr>
              <w:spacing w:after="0"/>
              <w:rPr>
                <w:sz w:val="20"/>
                <w:szCs w:val="20"/>
                <w:color w:val="auto"/>
              </w:rPr>
            </w:pPr>
            <w:r>
              <w:rPr>
                <w:rFonts w:ascii="Arial" w:cs="Arial" w:eastAsia="Arial" w:hAnsi="Arial"/>
                <w:sz w:val="16"/>
                <w:szCs w:val="16"/>
                <w:color w:val="auto"/>
              </w:rPr>
              <w:t>Basic earnings per common share</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0.43</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81"/>
        </w:trPr>
        <w:tc>
          <w:tcPr>
            <w:tcW w:w="5760" w:type="dxa"/>
            <w:vAlign w:val="bottom"/>
            <w:vMerge w:val="continue"/>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1180" w:type="dxa"/>
            <w:vAlign w:val="bottom"/>
            <w:shd w:val="clear" w:color="auto" w:fill="000000"/>
          </w:tcPr>
          <w:p>
            <w:pPr>
              <w:spacing w:after="0"/>
              <w:rPr>
                <w:sz w:val="7"/>
                <w:szCs w:val="7"/>
                <w:color w:val="auto"/>
              </w:rPr>
            </w:pPr>
          </w:p>
        </w:tc>
        <w:tc>
          <w:tcPr>
            <w:tcW w:w="420" w:type="dxa"/>
            <w:vAlign w:val="bottom"/>
            <w:shd w:val="clear" w:color="auto" w:fill="000000"/>
          </w:tcPr>
          <w:p>
            <w:pPr>
              <w:spacing w:after="0"/>
              <w:rPr>
                <w:sz w:val="7"/>
                <w:szCs w:val="7"/>
                <w:color w:val="auto"/>
              </w:rPr>
            </w:pPr>
          </w:p>
        </w:tc>
        <w:tc>
          <w:tcPr>
            <w:tcW w:w="98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5760" w:type="dxa"/>
            <w:vAlign w:val="bottom"/>
            <w:vMerge w:val="restart"/>
          </w:tcPr>
          <w:p>
            <w:pPr>
              <w:spacing w:after="0"/>
              <w:rPr>
                <w:sz w:val="20"/>
                <w:szCs w:val="20"/>
                <w:color w:val="auto"/>
              </w:rPr>
            </w:pPr>
            <w:r>
              <w:rPr>
                <w:rFonts w:ascii="Arial" w:cs="Arial" w:eastAsia="Arial" w:hAnsi="Arial"/>
                <w:sz w:val="16"/>
                <w:szCs w:val="16"/>
                <w:color w:val="auto"/>
              </w:rPr>
              <w:t>Weighted-average number of shares outstanding, basic (thousands)</w:t>
            </w: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246,083</w:t>
            </w:r>
          </w:p>
        </w:tc>
        <w:tc>
          <w:tcPr>
            <w:tcW w:w="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241,766</w:t>
            </w:r>
          </w:p>
        </w:tc>
        <w:tc>
          <w:tcPr>
            <w:tcW w:w="0" w:type="dxa"/>
            <w:vAlign w:val="bottom"/>
          </w:tcPr>
          <w:p>
            <w:pPr>
              <w:spacing w:after="0"/>
              <w:rPr>
                <w:sz w:val="1"/>
                <w:szCs w:val="1"/>
                <w:color w:val="auto"/>
              </w:rPr>
            </w:pPr>
          </w:p>
        </w:tc>
      </w:tr>
      <w:tr>
        <w:trPr>
          <w:trHeight w:val="81"/>
        </w:trPr>
        <w:tc>
          <w:tcPr>
            <w:tcW w:w="5760" w:type="dxa"/>
            <w:vAlign w:val="bottom"/>
            <w:vMerge w:val="continue"/>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1180" w:type="dxa"/>
            <w:vAlign w:val="bottom"/>
            <w:shd w:val="clear" w:color="auto" w:fill="000000"/>
          </w:tcPr>
          <w:p>
            <w:pPr>
              <w:spacing w:after="0"/>
              <w:rPr>
                <w:sz w:val="7"/>
                <w:szCs w:val="7"/>
                <w:color w:val="auto"/>
              </w:rPr>
            </w:pPr>
          </w:p>
        </w:tc>
        <w:tc>
          <w:tcPr>
            <w:tcW w:w="420" w:type="dxa"/>
            <w:vAlign w:val="bottom"/>
            <w:shd w:val="clear" w:color="auto" w:fill="000000"/>
          </w:tcPr>
          <w:p>
            <w:pPr>
              <w:spacing w:after="0"/>
              <w:rPr>
                <w:sz w:val="7"/>
                <w:szCs w:val="7"/>
                <w:color w:val="auto"/>
              </w:rPr>
            </w:pPr>
          </w:p>
        </w:tc>
        <w:tc>
          <w:tcPr>
            <w:tcW w:w="98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378"/>
        </w:trPr>
        <w:tc>
          <w:tcPr>
            <w:tcW w:w="5760" w:type="dxa"/>
            <w:vAlign w:val="bottom"/>
            <w:vMerge w:val="restart"/>
          </w:tcPr>
          <w:p>
            <w:pPr>
              <w:spacing w:after="0"/>
              <w:rPr>
                <w:sz w:val="20"/>
                <w:szCs w:val="20"/>
                <w:color w:val="auto"/>
              </w:rPr>
            </w:pPr>
            <w:r>
              <w:rPr>
                <w:rFonts w:ascii="Arial" w:cs="Arial" w:eastAsia="Arial" w:hAnsi="Arial"/>
                <w:sz w:val="16"/>
                <w:szCs w:val="16"/>
                <w:color w:val="auto"/>
              </w:rPr>
              <w:t>Diluted earnings per common share</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0.42</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81"/>
        </w:trPr>
        <w:tc>
          <w:tcPr>
            <w:tcW w:w="5760" w:type="dxa"/>
            <w:vAlign w:val="bottom"/>
            <w:vMerge w:val="continue"/>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1180" w:type="dxa"/>
            <w:vAlign w:val="bottom"/>
            <w:shd w:val="clear" w:color="auto" w:fill="000000"/>
          </w:tcPr>
          <w:p>
            <w:pPr>
              <w:spacing w:after="0"/>
              <w:rPr>
                <w:sz w:val="7"/>
                <w:szCs w:val="7"/>
                <w:color w:val="auto"/>
              </w:rPr>
            </w:pPr>
          </w:p>
        </w:tc>
        <w:tc>
          <w:tcPr>
            <w:tcW w:w="420" w:type="dxa"/>
            <w:vAlign w:val="bottom"/>
            <w:shd w:val="clear" w:color="auto" w:fill="000000"/>
          </w:tcPr>
          <w:p>
            <w:pPr>
              <w:spacing w:after="0"/>
              <w:rPr>
                <w:sz w:val="7"/>
                <w:szCs w:val="7"/>
                <w:color w:val="auto"/>
              </w:rPr>
            </w:pPr>
          </w:p>
        </w:tc>
        <w:tc>
          <w:tcPr>
            <w:tcW w:w="98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5760" w:type="dxa"/>
            <w:vAlign w:val="bottom"/>
            <w:vMerge w:val="restart"/>
          </w:tcPr>
          <w:p>
            <w:pPr>
              <w:spacing w:after="0"/>
              <w:rPr>
                <w:sz w:val="20"/>
                <w:szCs w:val="20"/>
                <w:color w:val="auto"/>
              </w:rPr>
            </w:pPr>
            <w:r>
              <w:rPr>
                <w:rFonts w:ascii="Arial" w:cs="Arial" w:eastAsia="Arial" w:hAnsi="Arial"/>
                <w:sz w:val="16"/>
                <w:szCs w:val="16"/>
                <w:color w:val="auto"/>
              </w:rPr>
              <w:t>Weighted-average number of shares outstanding, diluted (thousands)</w:t>
            </w: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250,373</w:t>
            </w:r>
          </w:p>
        </w:tc>
        <w:tc>
          <w:tcPr>
            <w:tcW w:w="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245,017</w:t>
            </w:r>
          </w:p>
        </w:tc>
        <w:tc>
          <w:tcPr>
            <w:tcW w:w="0" w:type="dxa"/>
            <w:vAlign w:val="bottom"/>
          </w:tcPr>
          <w:p>
            <w:pPr>
              <w:spacing w:after="0"/>
              <w:rPr>
                <w:sz w:val="1"/>
                <w:szCs w:val="1"/>
                <w:color w:val="auto"/>
              </w:rPr>
            </w:pPr>
          </w:p>
        </w:tc>
      </w:tr>
      <w:tr>
        <w:trPr>
          <w:trHeight w:val="81"/>
        </w:trPr>
        <w:tc>
          <w:tcPr>
            <w:tcW w:w="5760" w:type="dxa"/>
            <w:vAlign w:val="bottom"/>
            <w:vMerge w:val="continue"/>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1180" w:type="dxa"/>
            <w:vAlign w:val="bottom"/>
            <w:shd w:val="clear" w:color="auto" w:fill="000000"/>
          </w:tcPr>
          <w:p>
            <w:pPr>
              <w:spacing w:after="0"/>
              <w:rPr>
                <w:sz w:val="7"/>
                <w:szCs w:val="7"/>
                <w:color w:val="auto"/>
              </w:rPr>
            </w:pPr>
          </w:p>
        </w:tc>
        <w:tc>
          <w:tcPr>
            <w:tcW w:w="420" w:type="dxa"/>
            <w:vAlign w:val="bottom"/>
            <w:shd w:val="clear" w:color="auto" w:fill="000000"/>
          </w:tcPr>
          <w:p>
            <w:pPr>
              <w:spacing w:after="0"/>
              <w:rPr>
                <w:sz w:val="7"/>
                <w:szCs w:val="7"/>
                <w:color w:val="auto"/>
              </w:rPr>
            </w:pPr>
          </w:p>
        </w:tc>
        <w:tc>
          <w:tcPr>
            <w:tcW w:w="98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5760" w:type="dxa"/>
            <w:vAlign w:val="bottom"/>
          </w:tcPr>
          <w:p>
            <w:pPr>
              <w:spacing w:after="0"/>
              <w:rPr>
                <w:sz w:val="20"/>
                <w:szCs w:val="20"/>
                <w:color w:val="auto"/>
              </w:rPr>
            </w:pPr>
            <w:r>
              <w:rPr>
                <w:rFonts w:ascii="Arial" w:cs="Arial" w:eastAsia="Arial" w:hAnsi="Arial"/>
                <w:sz w:val="16"/>
                <w:szCs w:val="16"/>
                <w:color w:val="auto"/>
              </w:rPr>
              <w:t>Dividends declared per share of common stock</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0.39</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0.39</w:t>
            </w:r>
          </w:p>
        </w:tc>
        <w:tc>
          <w:tcPr>
            <w:tcW w:w="0" w:type="dxa"/>
            <w:vAlign w:val="bottom"/>
          </w:tcPr>
          <w:p>
            <w:pPr>
              <w:spacing w:after="0"/>
              <w:rPr>
                <w:sz w:val="1"/>
                <w:szCs w:val="1"/>
                <w:color w:val="auto"/>
              </w:rPr>
            </w:pPr>
          </w:p>
        </w:tc>
      </w:tr>
      <w:tr>
        <w:trPr>
          <w:trHeight w:val="81"/>
        </w:trPr>
        <w:tc>
          <w:tcPr>
            <w:tcW w:w="5760" w:type="dxa"/>
            <w:vAlign w:val="bottom"/>
            <w:shd w:val="clear" w:color="auto" w:fill="000000"/>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1180" w:type="dxa"/>
            <w:vAlign w:val="bottom"/>
            <w:shd w:val="clear" w:color="auto" w:fill="000000"/>
          </w:tcPr>
          <w:p>
            <w:pPr>
              <w:spacing w:after="0"/>
              <w:rPr>
                <w:sz w:val="7"/>
                <w:szCs w:val="7"/>
                <w:color w:val="auto"/>
              </w:rPr>
            </w:pPr>
          </w:p>
        </w:tc>
        <w:tc>
          <w:tcPr>
            <w:tcW w:w="420" w:type="dxa"/>
            <w:vAlign w:val="bottom"/>
            <w:shd w:val="clear" w:color="auto" w:fill="000000"/>
          </w:tcPr>
          <w:p>
            <w:pPr>
              <w:spacing w:after="0"/>
              <w:rPr>
                <w:sz w:val="7"/>
                <w:szCs w:val="7"/>
                <w:color w:val="auto"/>
              </w:rPr>
            </w:pPr>
          </w:p>
        </w:tc>
        <w:tc>
          <w:tcPr>
            <w:tcW w:w="98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ectPr>
          <w:pgSz w:w="11900" w:h="16838" w:orient="portrait"/>
          <w:cols w:equalWidth="0" w:num="1">
            <w:col w:w="10219"/>
          </w:cols>
          <w:pgMar w:left="240" w:top="144" w:right="1440"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5737225" cy="3517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37225" cy="3517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60"/>
              <w:spacing w:after="0"/>
              <w:rPr>
                <w:sz w:val="20"/>
                <w:szCs w:val="20"/>
                <w:color w:val="auto"/>
              </w:rPr>
            </w:pPr>
            <w:r>
              <w:rPr>
                <w:rFonts w:ascii="Arial" w:cs="Arial" w:eastAsia="Arial" w:hAnsi="Arial"/>
                <w:sz w:val="14"/>
                <w:szCs w:val="14"/>
                <w:color w:val="auto"/>
              </w:rPr>
              <w:t>March 31,</w:t>
            </w:r>
          </w:p>
        </w:tc>
        <w:tc>
          <w:tcPr>
            <w:tcW w:w="120" w:type="dxa"/>
            <w:vAlign w:val="bottom"/>
          </w:tcPr>
          <w:p>
            <w:pPr>
              <w:spacing w:after="0"/>
              <w:rPr>
                <w:sz w:val="14"/>
                <w:szCs w:val="14"/>
                <w:color w:val="auto"/>
              </w:rPr>
            </w:pPr>
          </w:p>
        </w:tc>
        <w:tc>
          <w:tcPr>
            <w:tcW w:w="1060" w:type="dxa"/>
            <w:vAlign w:val="bottom"/>
          </w:tcPr>
          <w:p>
            <w:pPr>
              <w:jc w:val="right"/>
              <w:ind w:right="6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74"/>
        </w:trPr>
        <w:tc>
          <w:tcPr>
            <w:tcW w:w="67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color w:val="auto"/>
              </w:rPr>
              <w:t>2010</w:t>
            </w: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2009</w:t>
            </w:r>
          </w:p>
        </w:tc>
        <w:tc>
          <w:tcPr>
            <w:tcW w:w="0" w:type="dxa"/>
            <w:vAlign w:val="bottom"/>
          </w:tcPr>
          <w:p>
            <w:pPr>
              <w:spacing w:after="0"/>
              <w:rPr>
                <w:sz w:val="1"/>
                <w:szCs w:val="1"/>
                <w:color w:val="auto"/>
              </w:rPr>
            </w:pPr>
          </w:p>
        </w:tc>
      </w:tr>
      <w:tr>
        <w:trPr>
          <w:trHeight w:val="198"/>
        </w:trPr>
        <w:tc>
          <w:tcPr>
            <w:tcW w:w="6700" w:type="dxa"/>
            <w:vAlign w:val="bottom"/>
            <w:vMerge w:val="restart"/>
          </w:tcPr>
          <w:p>
            <w:pPr>
              <w:spacing w:after="0"/>
              <w:rPr>
                <w:sz w:val="20"/>
                <w:szCs w:val="20"/>
                <w:color w:val="auto"/>
              </w:rPr>
            </w:pPr>
            <w:r>
              <w:rPr>
                <w:rFonts w:ascii="Arial" w:cs="Arial" w:eastAsia="Arial" w:hAnsi="Arial"/>
                <w:sz w:val="16"/>
                <w:szCs w:val="16"/>
                <w:color w:val="auto"/>
              </w:rPr>
              <w:t>ASSETS</w:t>
            </w:r>
          </w:p>
        </w:tc>
        <w:tc>
          <w:tcPr>
            <w:tcW w:w="140" w:type="dxa"/>
            <w:vAlign w:val="bottom"/>
          </w:tcPr>
          <w:p>
            <w:pPr>
              <w:spacing w:after="0"/>
              <w:rPr>
                <w:sz w:val="17"/>
                <w:szCs w:val="17"/>
                <w:color w:val="auto"/>
              </w:rPr>
            </w:pPr>
          </w:p>
        </w:tc>
        <w:tc>
          <w:tcPr>
            <w:tcW w:w="1020" w:type="dxa"/>
            <w:vAlign w:val="bottom"/>
          </w:tcPr>
          <w:p>
            <w:pPr>
              <w:jc w:val="center"/>
              <w:ind w:right="60"/>
              <w:spacing w:after="0"/>
              <w:rPr>
                <w:sz w:val="20"/>
                <w:szCs w:val="20"/>
                <w:color w:val="auto"/>
              </w:rPr>
            </w:pPr>
            <w:r>
              <w:rPr>
                <w:rFonts w:ascii="Arial" w:cs="Arial" w:eastAsia="Arial" w:hAnsi="Arial"/>
                <w:sz w:val="14"/>
                <w:szCs w:val="14"/>
                <w:color w:val="auto"/>
              </w:rPr>
              <w:t>(unaudited)</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7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700" w:type="dxa"/>
            <w:vAlign w:val="bottom"/>
          </w:tcPr>
          <w:p>
            <w:pPr>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222</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Restricted cash</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Trade accounts receivable, net</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848</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971</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Other accounts and notes receivable, net</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Due from unconsolidated affiliates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Income taxes receivable</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221</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Inventories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Regulatory assets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Fixed-price contracts and other derivatives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Insurance receivable related to wildfire litigation (Note 10)</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194</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187"/>
        </w:trPr>
        <w:tc>
          <w:tcPr>
            <w:tcW w:w="6700" w:type="dxa"/>
            <w:vAlign w:val="bottom"/>
          </w:tcPr>
          <w:p>
            <w:pPr>
              <w:ind w:left="18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w:t>
            </w: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183"/>
        </w:trPr>
        <w:tc>
          <w:tcPr>
            <w:tcW w:w="6700" w:type="dxa"/>
            <w:vAlign w:val="bottom"/>
          </w:tcPr>
          <w:p>
            <w:pPr>
              <w:ind w:left="360"/>
              <w:spacing w:after="0" w:line="183" w:lineRule="exact"/>
              <w:rPr>
                <w:sz w:val="20"/>
                <w:szCs w:val="20"/>
                <w:color w:val="auto"/>
              </w:rPr>
            </w:pPr>
            <w:r>
              <w:rPr>
                <w:rFonts w:ascii="Arial" w:cs="Arial" w:eastAsia="Arial" w:hAnsi="Arial"/>
                <w:sz w:val="16"/>
                <w:szCs w:val="16"/>
                <w:color w:val="auto"/>
              </w:rPr>
              <w:t>Total current assets</w:t>
            </w: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2,107</w:t>
            </w: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2,295</w:t>
            </w:r>
          </w:p>
        </w:tc>
        <w:tc>
          <w:tcPr>
            <w:tcW w:w="0" w:type="dxa"/>
            <w:vAlign w:val="bottom"/>
          </w:tcPr>
          <w:p>
            <w:pPr>
              <w:spacing w:after="0"/>
              <w:rPr>
                <w:sz w:val="1"/>
                <w:szCs w:val="1"/>
                <w:color w:val="auto"/>
              </w:rPr>
            </w:pPr>
          </w:p>
        </w:tc>
      </w:tr>
      <w:tr>
        <w:trPr>
          <w:trHeight w:val="374"/>
        </w:trPr>
        <w:tc>
          <w:tcPr>
            <w:tcW w:w="6700" w:type="dxa"/>
            <w:vAlign w:val="bottom"/>
          </w:tcPr>
          <w:p>
            <w:pPr>
              <w:spacing w:after="0"/>
              <w:rPr>
                <w:sz w:val="20"/>
                <w:szCs w:val="20"/>
                <w:color w:val="auto"/>
              </w:rPr>
            </w:pPr>
            <w:r>
              <w:rPr>
                <w:rFonts w:ascii="Arial" w:cs="Arial" w:eastAsia="Arial" w:hAnsi="Arial"/>
                <w:sz w:val="16"/>
                <w:szCs w:val="16"/>
                <w:color w:val="auto"/>
              </w:rPr>
              <w:t>Investments and other assets:</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Regulatory assets arising from fixed-price contracts and other derivatives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251</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Regulatory assets arising from pension and other postretirement</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00" w:type="dxa"/>
            <w:vAlign w:val="bottom"/>
          </w:tcPr>
          <w:p>
            <w:pPr>
              <w:ind w:left="360"/>
              <w:spacing w:after="0"/>
              <w:rPr>
                <w:sz w:val="20"/>
                <w:szCs w:val="20"/>
                <w:color w:val="auto"/>
              </w:rPr>
            </w:pPr>
            <w:r>
              <w:rPr>
                <w:rFonts w:ascii="Arial" w:cs="Arial" w:eastAsia="Arial" w:hAnsi="Arial"/>
                <w:sz w:val="16"/>
                <w:szCs w:val="16"/>
                <w:color w:val="auto"/>
              </w:rPr>
              <w:t>benefit obligations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978</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959</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Other regulatory assets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739</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603</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Nuclear decommissioning trusts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706</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678</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Investment in RBS Sempra Commodities LLP</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2,178</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2,172</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Other investments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2,202</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2,151</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Goodwill and other intangible assets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523</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524</w:t>
            </w:r>
          </w:p>
        </w:tc>
        <w:tc>
          <w:tcPr>
            <w:tcW w:w="0" w:type="dxa"/>
            <w:vAlign w:val="bottom"/>
          </w:tcPr>
          <w:p>
            <w:pPr>
              <w:spacing w:after="0"/>
              <w:rPr>
                <w:sz w:val="1"/>
                <w:szCs w:val="1"/>
                <w:color w:val="auto"/>
              </w:rPr>
            </w:pPr>
          </w:p>
        </w:tc>
      </w:tr>
      <w:tr>
        <w:trPr>
          <w:trHeight w:val="187"/>
        </w:trPr>
        <w:tc>
          <w:tcPr>
            <w:tcW w:w="6700" w:type="dxa"/>
            <w:vAlign w:val="bottom"/>
          </w:tcPr>
          <w:p>
            <w:pPr>
              <w:ind w:left="180"/>
              <w:spacing w:after="0"/>
              <w:rPr>
                <w:sz w:val="20"/>
                <w:szCs w:val="20"/>
                <w:color w:val="auto"/>
              </w:rPr>
            </w:pPr>
            <w:r>
              <w:rPr>
                <w:rFonts w:ascii="Arial" w:cs="Arial" w:eastAsia="Arial" w:hAnsi="Arial"/>
                <w:sz w:val="16"/>
                <w:szCs w:val="16"/>
                <w:color w:val="auto"/>
              </w:rPr>
              <w:t>Sundry</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598</w:t>
            </w: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608</w:t>
            </w:r>
          </w:p>
        </w:tc>
        <w:tc>
          <w:tcPr>
            <w:tcW w:w="0" w:type="dxa"/>
            <w:vAlign w:val="bottom"/>
          </w:tcPr>
          <w:p>
            <w:pPr>
              <w:spacing w:after="0"/>
              <w:rPr>
                <w:sz w:val="1"/>
                <w:szCs w:val="1"/>
                <w:color w:val="auto"/>
              </w:rPr>
            </w:pPr>
          </w:p>
        </w:tc>
      </w:tr>
      <w:tr>
        <w:trPr>
          <w:trHeight w:val="183"/>
        </w:trPr>
        <w:tc>
          <w:tcPr>
            <w:tcW w:w="6700" w:type="dxa"/>
            <w:vAlign w:val="bottom"/>
          </w:tcPr>
          <w:p>
            <w:pPr>
              <w:ind w:left="360"/>
              <w:spacing w:after="0" w:line="183" w:lineRule="exact"/>
              <w:rPr>
                <w:sz w:val="20"/>
                <w:szCs w:val="20"/>
                <w:color w:val="auto"/>
              </w:rPr>
            </w:pPr>
            <w:r>
              <w:rPr>
                <w:rFonts w:ascii="Arial" w:cs="Arial" w:eastAsia="Arial" w:hAnsi="Arial"/>
                <w:sz w:val="16"/>
                <w:szCs w:val="16"/>
                <w:color w:val="auto"/>
              </w:rPr>
              <w:t>Total investments and other assets</w:t>
            </w: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8,175</w:t>
            </w: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7,936</w:t>
            </w:r>
          </w:p>
        </w:tc>
        <w:tc>
          <w:tcPr>
            <w:tcW w:w="0" w:type="dxa"/>
            <w:vAlign w:val="bottom"/>
          </w:tcPr>
          <w:p>
            <w:pPr>
              <w:spacing w:after="0"/>
              <w:rPr>
                <w:sz w:val="1"/>
                <w:szCs w:val="1"/>
                <w:color w:val="auto"/>
              </w:rPr>
            </w:pPr>
          </w:p>
        </w:tc>
      </w:tr>
      <w:tr>
        <w:trPr>
          <w:trHeight w:val="374"/>
        </w:trPr>
        <w:tc>
          <w:tcPr>
            <w:tcW w:w="6700" w:type="dxa"/>
            <w:vAlign w:val="bottom"/>
          </w:tcPr>
          <w:p>
            <w:pPr>
              <w:spacing w:after="0"/>
              <w:rPr>
                <w:sz w:val="20"/>
                <w:szCs w:val="20"/>
                <w:color w:val="auto"/>
              </w:rPr>
            </w:pPr>
            <w:r>
              <w:rPr>
                <w:rFonts w:ascii="Arial" w:cs="Arial" w:eastAsia="Arial" w:hAnsi="Arial"/>
                <w:sz w:val="16"/>
                <w:szCs w:val="16"/>
                <w:color w:val="auto"/>
              </w:rPr>
              <w:t>Property, plant and equipment:</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Property, plant and equipment</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25,391</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25,034</w:t>
            </w:r>
          </w:p>
        </w:tc>
        <w:tc>
          <w:tcPr>
            <w:tcW w:w="0" w:type="dxa"/>
            <w:vAlign w:val="bottom"/>
          </w:tcPr>
          <w:p>
            <w:pPr>
              <w:spacing w:after="0"/>
              <w:rPr>
                <w:sz w:val="1"/>
                <w:szCs w:val="1"/>
                <w:color w:val="auto"/>
              </w:rPr>
            </w:pPr>
          </w:p>
        </w:tc>
      </w:tr>
      <w:tr>
        <w:trPr>
          <w:trHeight w:val="187"/>
        </w:trPr>
        <w:tc>
          <w:tcPr>
            <w:tcW w:w="6700" w:type="dxa"/>
            <w:vAlign w:val="bottom"/>
          </w:tcPr>
          <w:p>
            <w:pPr>
              <w:ind w:left="180"/>
              <w:spacing w:after="0"/>
              <w:rPr>
                <w:sz w:val="20"/>
                <w:szCs w:val="20"/>
                <w:color w:val="auto"/>
              </w:rPr>
            </w:pPr>
            <w:r>
              <w:rPr>
                <w:rFonts w:ascii="Arial" w:cs="Arial" w:eastAsia="Arial" w:hAnsi="Arial"/>
                <w:sz w:val="16"/>
                <w:szCs w:val="16"/>
                <w:color w:val="auto"/>
              </w:rPr>
              <w:t>Less accumulated depreciation and amortization</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(6,901)</w:t>
            </w: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(6,753)</w:t>
            </w:r>
          </w:p>
        </w:tc>
        <w:tc>
          <w:tcPr>
            <w:tcW w:w="0" w:type="dxa"/>
            <w:vAlign w:val="bottom"/>
          </w:tcPr>
          <w:p>
            <w:pPr>
              <w:spacing w:after="0"/>
              <w:rPr>
                <w:sz w:val="1"/>
                <w:szCs w:val="1"/>
                <w:color w:val="auto"/>
              </w:rPr>
            </w:pPr>
          </w:p>
        </w:tc>
      </w:tr>
      <w:tr>
        <w:trPr>
          <w:trHeight w:val="183"/>
        </w:trPr>
        <w:tc>
          <w:tcPr>
            <w:tcW w:w="6700" w:type="dxa"/>
            <w:vAlign w:val="bottom"/>
          </w:tcPr>
          <w:p>
            <w:pPr>
              <w:ind w:left="360"/>
              <w:spacing w:after="0" w:line="183" w:lineRule="exact"/>
              <w:rPr>
                <w:sz w:val="20"/>
                <w:szCs w:val="20"/>
                <w:color w:val="auto"/>
              </w:rPr>
            </w:pPr>
            <w:r>
              <w:rPr>
                <w:rFonts w:ascii="Arial" w:cs="Arial" w:eastAsia="Arial" w:hAnsi="Arial"/>
                <w:sz w:val="16"/>
                <w:szCs w:val="16"/>
                <w:color w:val="auto"/>
              </w:rPr>
              <w:t>Property, plant and equipment, net ($645 at March 31, 2010 related to VIEs)</w:t>
            </w: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18,490</w:t>
            </w: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18,281</w:t>
            </w:r>
          </w:p>
        </w:tc>
        <w:tc>
          <w:tcPr>
            <w:tcW w:w="0" w:type="dxa"/>
            <w:vAlign w:val="bottom"/>
          </w:tcPr>
          <w:p>
            <w:pPr>
              <w:spacing w:after="0"/>
              <w:rPr>
                <w:sz w:val="1"/>
                <w:szCs w:val="1"/>
                <w:color w:val="auto"/>
              </w:rPr>
            </w:pPr>
          </w:p>
        </w:tc>
      </w:tr>
      <w:tr>
        <w:trPr>
          <w:trHeight w:val="183"/>
        </w:trPr>
        <w:tc>
          <w:tcPr>
            <w:tcW w:w="6700" w:type="dxa"/>
            <w:vAlign w:val="bottom"/>
          </w:tcPr>
          <w:p>
            <w:pPr>
              <w:spacing w:after="0" w:line="183" w:lineRule="exact"/>
              <w:rPr>
                <w:sz w:val="20"/>
                <w:szCs w:val="20"/>
                <w:color w:val="auto"/>
              </w:rPr>
            </w:pPr>
            <w:r>
              <w:rPr>
                <w:rFonts w:ascii="Arial" w:cs="Arial" w:eastAsia="Arial" w:hAnsi="Arial"/>
                <w:sz w:val="16"/>
                <w:szCs w:val="16"/>
                <w:color w:val="auto"/>
              </w:rPr>
              <w:t>Total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28,772</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line="183" w:lineRule="exact"/>
              <w:rPr>
                <w:sz w:val="20"/>
                <w:szCs w:val="20"/>
                <w:color w:val="auto"/>
              </w:rPr>
            </w:pPr>
            <w:r>
              <w:rPr>
                <w:rFonts w:ascii="Arial" w:cs="Arial" w:eastAsia="Arial" w:hAnsi="Arial"/>
                <w:sz w:val="16"/>
                <w:szCs w:val="16"/>
                <w:color w:val="auto"/>
              </w:rPr>
              <w:t>28,512</w:t>
            </w:r>
          </w:p>
        </w:tc>
        <w:tc>
          <w:tcPr>
            <w:tcW w:w="0" w:type="dxa"/>
            <w:vAlign w:val="bottom"/>
          </w:tcPr>
          <w:p>
            <w:pPr>
              <w:spacing w:after="0"/>
              <w:rPr>
                <w:sz w:val="1"/>
                <w:szCs w:val="1"/>
                <w:color w:val="auto"/>
              </w:rPr>
            </w:pPr>
          </w:p>
        </w:tc>
      </w:tr>
      <w:tr>
        <w:trPr>
          <w:trHeight w:val="81"/>
        </w:trPr>
        <w:tc>
          <w:tcPr>
            <w:tcW w:w="6700" w:type="dxa"/>
            <w:vAlign w:val="bottom"/>
            <w:shd w:val="clear" w:color="auto" w:fill="000000"/>
          </w:tcPr>
          <w:p>
            <w:pPr>
              <w:spacing w:after="0"/>
              <w:rPr>
                <w:sz w:val="7"/>
                <w:szCs w:val="7"/>
                <w:color w:val="auto"/>
              </w:rPr>
            </w:pPr>
          </w:p>
        </w:tc>
        <w:tc>
          <w:tcPr>
            <w:tcW w:w="140" w:type="dxa"/>
            <w:vAlign w:val="bottom"/>
            <w:shd w:val="clear" w:color="auto" w:fill="000000"/>
          </w:tcPr>
          <w:p>
            <w:pPr>
              <w:spacing w:after="0"/>
              <w:rPr>
                <w:sz w:val="7"/>
                <w:szCs w:val="7"/>
                <w:color w:val="auto"/>
              </w:rPr>
            </w:pPr>
          </w:p>
        </w:tc>
        <w:tc>
          <w:tcPr>
            <w:tcW w:w="1020" w:type="dxa"/>
            <w:vAlign w:val="bottom"/>
            <w:shd w:val="clear" w:color="auto" w:fill="000000"/>
          </w:tcPr>
          <w:p>
            <w:pPr>
              <w:spacing w:after="0"/>
              <w:rPr>
                <w:sz w:val="7"/>
                <w:szCs w:val="7"/>
                <w:color w:val="auto"/>
              </w:rPr>
            </w:pPr>
          </w:p>
        </w:tc>
        <w:tc>
          <w:tcPr>
            <w:tcW w:w="120" w:type="dxa"/>
            <w:vAlign w:val="bottom"/>
            <w:shd w:val="clear" w:color="auto" w:fill="000000"/>
          </w:tcPr>
          <w:p>
            <w:pPr>
              <w:spacing w:after="0"/>
              <w:rPr>
                <w:sz w:val="7"/>
                <w:szCs w:val="7"/>
                <w:color w:val="auto"/>
              </w:rPr>
            </w:pPr>
          </w:p>
        </w:tc>
        <w:tc>
          <w:tcPr>
            <w:tcW w:w="106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ectPr>
          <w:pgSz w:w="11900" w:h="16838" w:orient="portrait"/>
          <w:cols w:equalWidth="0" w:num="1">
            <w:col w:w="10219"/>
          </w:cols>
          <w:pgMar w:left="240" w:top="135" w:right="1440"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5737225" cy="3517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37225" cy="3517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60"/>
              <w:spacing w:after="0"/>
              <w:rPr>
                <w:sz w:val="20"/>
                <w:szCs w:val="20"/>
                <w:color w:val="auto"/>
              </w:rPr>
            </w:pPr>
            <w:r>
              <w:rPr>
                <w:rFonts w:ascii="Arial" w:cs="Arial" w:eastAsia="Arial" w:hAnsi="Arial"/>
                <w:sz w:val="14"/>
                <w:szCs w:val="14"/>
                <w:color w:val="auto"/>
              </w:rPr>
              <w:t>March 31,</w:t>
            </w:r>
          </w:p>
        </w:tc>
        <w:tc>
          <w:tcPr>
            <w:tcW w:w="120" w:type="dxa"/>
            <w:vAlign w:val="bottom"/>
          </w:tcPr>
          <w:p>
            <w:pPr>
              <w:spacing w:after="0"/>
              <w:rPr>
                <w:sz w:val="14"/>
                <w:szCs w:val="14"/>
                <w:color w:val="auto"/>
              </w:rPr>
            </w:pPr>
          </w:p>
        </w:tc>
        <w:tc>
          <w:tcPr>
            <w:tcW w:w="1060" w:type="dxa"/>
            <w:vAlign w:val="bottom"/>
          </w:tcPr>
          <w:p>
            <w:pPr>
              <w:jc w:val="right"/>
              <w:ind w:right="59"/>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74"/>
        </w:trPr>
        <w:tc>
          <w:tcPr>
            <w:tcW w:w="67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color w:val="auto"/>
              </w:rPr>
              <w:t>2010</w:t>
            </w: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color w:val="auto"/>
              </w:rPr>
              <w:t>2009</w:t>
            </w:r>
          </w:p>
        </w:tc>
        <w:tc>
          <w:tcPr>
            <w:tcW w:w="0" w:type="dxa"/>
            <w:vAlign w:val="bottom"/>
          </w:tcPr>
          <w:p>
            <w:pPr>
              <w:spacing w:after="0"/>
              <w:rPr>
                <w:sz w:val="1"/>
                <w:szCs w:val="1"/>
                <w:color w:val="auto"/>
              </w:rPr>
            </w:pPr>
          </w:p>
        </w:tc>
      </w:tr>
      <w:tr>
        <w:trPr>
          <w:trHeight w:val="198"/>
        </w:trPr>
        <w:tc>
          <w:tcPr>
            <w:tcW w:w="6700" w:type="dxa"/>
            <w:vAlign w:val="bottom"/>
            <w:vMerge w:val="restart"/>
          </w:tcPr>
          <w:p>
            <w:pPr>
              <w:spacing w:after="0"/>
              <w:rPr>
                <w:sz w:val="20"/>
                <w:szCs w:val="20"/>
                <w:color w:val="auto"/>
              </w:rPr>
            </w:pPr>
            <w:r>
              <w:rPr>
                <w:rFonts w:ascii="Arial" w:cs="Arial" w:eastAsia="Arial" w:hAnsi="Arial"/>
                <w:sz w:val="16"/>
                <w:szCs w:val="16"/>
                <w:color w:val="auto"/>
              </w:rPr>
              <w:t>LIABILITIES AND EQUITY</w:t>
            </w:r>
          </w:p>
        </w:tc>
        <w:tc>
          <w:tcPr>
            <w:tcW w:w="140" w:type="dxa"/>
            <w:vAlign w:val="bottom"/>
          </w:tcPr>
          <w:p>
            <w:pPr>
              <w:spacing w:after="0"/>
              <w:rPr>
                <w:sz w:val="17"/>
                <w:szCs w:val="17"/>
                <w:color w:val="auto"/>
              </w:rPr>
            </w:pPr>
          </w:p>
        </w:tc>
        <w:tc>
          <w:tcPr>
            <w:tcW w:w="1020" w:type="dxa"/>
            <w:vAlign w:val="bottom"/>
          </w:tcPr>
          <w:p>
            <w:pPr>
              <w:jc w:val="center"/>
              <w:ind w:right="60"/>
              <w:spacing w:after="0"/>
              <w:rPr>
                <w:sz w:val="20"/>
                <w:szCs w:val="20"/>
                <w:color w:val="auto"/>
              </w:rPr>
            </w:pPr>
            <w:r>
              <w:rPr>
                <w:rFonts w:ascii="Arial" w:cs="Arial" w:eastAsia="Arial" w:hAnsi="Arial"/>
                <w:sz w:val="14"/>
                <w:szCs w:val="14"/>
                <w:color w:val="auto"/>
              </w:rPr>
              <w:t>(unaudited)</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7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700" w:type="dxa"/>
            <w:vAlign w:val="bottom"/>
          </w:tcPr>
          <w:p>
            <w:pPr>
              <w:spacing w:after="0"/>
              <w:rPr>
                <w:sz w:val="20"/>
                <w:szCs w:val="20"/>
                <w:color w:val="auto"/>
              </w:rPr>
            </w:pPr>
            <w:r>
              <w:rPr>
                <w:rFonts w:ascii="Arial" w:cs="Arial" w:eastAsia="Arial" w:hAnsi="Arial"/>
                <w:sz w:val="16"/>
                <w:szCs w:val="16"/>
                <w:color w:val="auto"/>
              </w:rPr>
              <w:t>Current liabilities:</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Short-term debt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912</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618</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Accounts payable - trade</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554</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522</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Accounts payable - other</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Due to unconsolidated affiliates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Dividends and interest payable</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223</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Accrued compensation and benefits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162</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Regulatory balancing accounts, net</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517</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Current portion of long-term debt</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327</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573</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Fixed-price contracts and other derivatives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Customer deposits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144</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Reserve for wildfire litigation (Note 10)</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300</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187"/>
        </w:trPr>
        <w:tc>
          <w:tcPr>
            <w:tcW w:w="6700" w:type="dxa"/>
            <w:vAlign w:val="bottom"/>
          </w:tcPr>
          <w:p>
            <w:pPr>
              <w:ind w:left="18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870</w:t>
            </w: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629</w:t>
            </w:r>
          </w:p>
        </w:tc>
        <w:tc>
          <w:tcPr>
            <w:tcW w:w="0" w:type="dxa"/>
            <w:vAlign w:val="bottom"/>
          </w:tcPr>
          <w:p>
            <w:pPr>
              <w:spacing w:after="0"/>
              <w:rPr>
                <w:sz w:val="1"/>
                <w:szCs w:val="1"/>
                <w:color w:val="auto"/>
              </w:rPr>
            </w:pPr>
          </w:p>
        </w:tc>
      </w:tr>
      <w:tr>
        <w:trPr>
          <w:trHeight w:val="183"/>
        </w:trPr>
        <w:tc>
          <w:tcPr>
            <w:tcW w:w="6700" w:type="dxa"/>
            <w:vAlign w:val="bottom"/>
          </w:tcPr>
          <w:p>
            <w:pPr>
              <w:ind w:left="360"/>
              <w:spacing w:after="0" w:line="183" w:lineRule="exact"/>
              <w:rPr>
                <w:sz w:val="20"/>
                <w:szCs w:val="20"/>
                <w:color w:val="auto"/>
              </w:rPr>
            </w:pPr>
            <w:r>
              <w:rPr>
                <w:rFonts w:ascii="Arial" w:cs="Arial" w:eastAsia="Arial" w:hAnsi="Arial"/>
                <w:sz w:val="16"/>
                <w:szCs w:val="16"/>
                <w:color w:val="auto"/>
              </w:rPr>
              <w:t>Total current liabilities</w:t>
            </w: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4,238</w:t>
            </w: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3,888</w:t>
            </w:r>
          </w:p>
        </w:tc>
        <w:tc>
          <w:tcPr>
            <w:tcW w:w="0" w:type="dxa"/>
            <w:vAlign w:val="bottom"/>
          </w:tcPr>
          <w:p>
            <w:pPr>
              <w:spacing w:after="0"/>
              <w:rPr>
                <w:sz w:val="1"/>
                <w:szCs w:val="1"/>
                <w:color w:val="auto"/>
              </w:rPr>
            </w:pPr>
          </w:p>
        </w:tc>
      </w:tr>
      <w:tr>
        <w:trPr>
          <w:trHeight w:val="183"/>
        </w:trPr>
        <w:tc>
          <w:tcPr>
            <w:tcW w:w="6700" w:type="dxa"/>
            <w:vAlign w:val="bottom"/>
          </w:tcPr>
          <w:p>
            <w:pPr>
              <w:spacing w:after="0" w:line="183" w:lineRule="exact"/>
              <w:rPr>
                <w:sz w:val="20"/>
                <w:szCs w:val="20"/>
                <w:color w:val="auto"/>
              </w:rPr>
            </w:pPr>
            <w:r>
              <w:rPr>
                <w:rFonts w:ascii="Arial" w:cs="Arial" w:eastAsia="Arial" w:hAnsi="Arial"/>
                <w:sz w:val="16"/>
                <w:szCs w:val="16"/>
                <w:color w:val="auto"/>
              </w:rPr>
              <w:t>Long-term debt ($421 at March 31, 2010 related to VIEs)</w:t>
            </w: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7,198</w:t>
            </w: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7,460</w:t>
            </w:r>
          </w:p>
        </w:tc>
        <w:tc>
          <w:tcPr>
            <w:tcW w:w="0" w:type="dxa"/>
            <w:vAlign w:val="bottom"/>
          </w:tcPr>
          <w:p>
            <w:pPr>
              <w:spacing w:after="0"/>
              <w:rPr>
                <w:sz w:val="1"/>
                <w:szCs w:val="1"/>
                <w:color w:val="auto"/>
              </w:rPr>
            </w:pPr>
          </w:p>
        </w:tc>
      </w:tr>
      <w:tr>
        <w:trPr>
          <w:trHeight w:val="374"/>
        </w:trPr>
        <w:tc>
          <w:tcPr>
            <w:tcW w:w="6700" w:type="dxa"/>
            <w:vAlign w:val="bottom"/>
          </w:tcPr>
          <w:p>
            <w:pPr>
              <w:spacing w:after="0"/>
              <w:rPr>
                <w:sz w:val="20"/>
                <w:szCs w:val="20"/>
                <w:color w:val="auto"/>
              </w:rPr>
            </w:pPr>
            <w:r>
              <w:rPr>
                <w:rFonts w:ascii="Arial" w:cs="Arial" w:eastAsia="Arial" w:hAnsi="Arial"/>
                <w:sz w:val="16"/>
                <w:szCs w:val="16"/>
                <w:color w:val="auto"/>
              </w:rPr>
              <w:t>Deferred credits and other liabilities:</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Due to unconsolidated affiliate</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Customer advances for construction</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147</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Pension and other postretirement benefit obligations, net of plan assets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1,268</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1,252</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1,419</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1,318</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Deferred investment tax credits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Regulatory liabilities arising from removal obligations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2,598</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2,557</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Asset retirement obligations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1,298</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1,277</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Other regulatory liabilities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172</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Fixed-price contracts and other derivatives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309</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312</w:t>
            </w:r>
          </w:p>
        </w:tc>
        <w:tc>
          <w:tcPr>
            <w:tcW w:w="0" w:type="dxa"/>
            <w:vAlign w:val="bottom"/>
          </w:tcPr>
          <w:p>
            <w:pPr>
              <w:spacing w:after="0"/>
              <w:rPr>
                <w:sz w:val="1"/>
                <w:szCs w:val="1"/>
                <w:color w:val="auto"/>
              </w:rPr>
            </w:pPr>
          </w:p>
        </w:tc>
      </w:tr>
      <w:tr>
        <w:trPr>
          <w:trHeight w:val="187"/>
        </w:trPr>
        <w:tc>
          <w:tcPr>
            <w:tcW w:w="6700" w:type="dxa"/>
            <w:vAlign w:val="bottom"/>
          </w:tcPr>
          <w:p>
            <w:pPr>
              <w:ind w:left="180"/>
              <w:spacing w:after="0"/>
              <w:rPr>
                <w:sz w:val="20"/>
                <w:szCs w:val="20"/>
                <w:color w:val="auto"/>
              </w:rPr>
            </w:pPr>
            <w:r>
              <w:rPr>
                <w:rFonts w:ascii="Arial" w:cs="Arial" w:eastAsia="Arial" w:hAnsi="Arial"/>
                <w:sz w:val="16"/>
                <w:szCs w:val="16"/>
                <w:color w:val="auto"/>
              </w:rPr>
              <w:t>Deferred credits and other</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698</w:t>
            </w: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735</w:t>
            </w:r>
          </w:p>
        </w:tc>
        <w:tc>
          <w:tcPr>
            <w:tcW w:w="0" w:type="dxa"/>
            <w:vAlign w:val="bottom"/>
          </w:tcPr>
          <w:p>
            <w:pPr>
              <w:spacing w:after="0"/>
              <w:rPr>
                <w:sz w:val="1"/>
                <w:szCs w:val="1"/>
                <w:color w:val="auto"/>
              </w:rPr>
            </w:pPr>
          </w:p>
        </w:tc>
      </w:tr>
      <w:tr>
        <w:trPr>
          <w:trHeight w:val="183"/>
        </w:trPr>
        <w:tc>
          <w:tcPr>
            <w:tcW w:w="6700" w:type="dxa"/>
            <w:vAlign w:val="bottom"/>
          </w:tcPr>
          <w:p>
            <w:pPr>
              <w:ind w:left="360"/>
              <w:spacing w:after="0" w:line="183" w:lineRule="exact"/>
              <w:rPr>
                <w:sz w:val="20"/>
                <w:szCs w:val="20"/>
                <w:color w:val="auto"/>
              </w:rPr>
            </w:pPr>
            <w:r>
              <w:rPr>
                <w:rFonts w:ascii="Arial" w:cs="Arial" w:eastAsia="Arial" w:hAnsi="Arial"/>
                <w:sz w:val="16"/>
                <w:szCs w:val="16"/>
                <w:color w:val="auto"/>
              </w:rPr>
              <w:t>Total deferred credits and other liabilities</w:t>
            </w: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7,962</w:t>
            </w: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7,834</w:t>
            </w:r>
          </w:p>
        </w:tc>
        <w:tc>
          <w:tcPr>
            <w:tcW w:w="0" w:type="dxa"/>
            <w:vAlign w:val="bottom"/>
          </w:tcPr>
          <w:p>
            <w:pPr>
              <w:spacing w:after="0"/>
              <w:rPr>
                <w:sz w:val="1"/>
                <w:szCs w:val="1"/>
                <w:color w:val="auto"/>
              </w:rPr>
            </w:pPr>
          </w:p>
        </w:tc>
      </w:tr>
      <w:tr>
        <w:trPr>
          <w:trHeight w:val="183"/>
        </w:trPr>
        <w:tc>
          <w:tcPr>
            <w:tcW w:w="6700" w:type="dxa"/>
            <w:vAlign w:val="bottom"/>
          </w:tcPr>
          <w:p>
            <w:pPr>
              <w:spacing w:after="0" w:line="183" w:lineRule="exact"/>
              <w:rPr>
                <w:sz w:val="20"/>
                <w:szCs w:val="20"/>
                <w:color w:val="auto"/>
              </w:rPr>
            </w:pPr>
            <w:r>
              <w:rPr>
                <w:rFonts w:ascii="Arial" w:cs="Arial" w:eastAsia="Arial" w:hAnsi="Arial"/>
                <w:sz w:val="16"/>
                <w:szCs w:val="16"/>
                <w:color w:val="auto"/>
              </w:rPr>
              <w:t>Contingently redeemable preferred stock of subsidiary</w:t>
            </w: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79</w:t>
            </w: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379"/>
        </w:trPr>
        <w:tc>
          <w:tcPr>
            <w:tcW w:w="6700" w:type="dxa"/>
            <w:vAlign w:val="bottom"/>
          </w:tcPr>
          <w:p>
            <w:pPr>
              <w:spacing w:after="0"/>
              <w:rPr>
                <w:sz w:val="20"/>
                <w:szCs w:val="20"/>
                <w:color w:val="auto"/>
              </w:rPr>
            </w:pPr>
            <w:r>
              <w:rPr>
                <w:rFonts w:ascii="Arial" w:cs="Arial" w:eastAsia="Arial" w:hAnsi="Arial"/>
                <w:sz w:val="16"/>
                <w:szCs w:val="16"/>
                <w:color w:val="auto"/>
              </w:rPr>
              <w:t>Commitments and contingencies (Note 10)</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6700" w:type="dxa"/>
            <w:vAlign w:val="bottom"/>
          </w:tcPr>
          <w:p>
            <w:pPr>
              <w:spacing w:after="0"/>
              <w:rPr>
                <w:sz w:val="20"/>
                <w:szCs w:val="20"/>
                <w:color w:val="auto"/>
              </w:rPr>
            </w:pPr>
            <w:r>
              <w:rPr>
                <w:rFonts w:ascii="Arial" w:cs="Arial" w:eastAsia="Arial" w:hAnsi="Arial"/>
                <w:sz w:val="16"/>
                <w:szCs w:val="16"/>
                <w:color w:val="auto"/>
              </w:rPr>
              <w:t>Equity:</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Preferred stock (50 million shares authorized; none issued)</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Common stock (750 million shares authorized; 247 million</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00" w:type="dxa"/>
            <w:vAlign w:val="bottom"/>
          </w:tcPr>
          <w:p>
            <w:pPr>
              <w:ind w:left="360"/>
              <w:spacing w:after="0"/>
              <w:rPr>
                <w:sz w:val="20"/>
                <w:szCs w:val="20"/>
                <w:color w:val="auto"/>
              </w:rPr>
            </w:pPr>
            <w:r>
              <w:rPr>
                <w:rFonts w:ascii="Arial" w:cs="Arial" w:eastAsia="Arial" w:hAnsi="Arial"/>
                <w:sz w:val="16"/>
                <w:szCs w:val="16"/>
                <w:color w:val="auto"/>
              </w:rPr>
              <w:t>shares outstanding at March 31, 2010 and December 31, 2009, no par value)</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2,462</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2,418</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Retained earnings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6,981</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6,971</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Deferred compensation</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87"/>
        </w:trPr>
        <w:tc>
          <w:tcPr>
            <w:tcW w:w="6700" w:type="dxa"/>
            <w:vAlign w:val="bottom"/>
          </w:tcPr>
          <w:p>
            <w:pPr>
              <w:ind w:left="180"/>
              <w:spacing w:after="0"/>
              <w:rPr>
                <w:sz w:val="20"/>
                <w:szCs w:val="20"/>
                <w:color w:val="auto"/>
              </w:rPr>
            </w:pPr>
            <w:r>
              <w:rPr>
                <w:rFonts w:ascii="Arial" w:cs="Arial" w:eastAsia="Arial" w:hAnsi="Arial"/>
                <w:sz w:val="16"/>
                <w:szCs w:val="16"/>
                <w:color w:val="auto"/>
              </w:rPr>
              <w:t>Accumulated other comprehensive income (loss)</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w:t>
            </w: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w:t>
            </w:r>
          </w:p>
        </w:tc>
        <w:tc>
          <w:tcPr>
            <w:tcW w:w="0" w:type="dxa"/>
            <w:vAlign w:val="bottom"/>
          </w:tcPr>
          <w:p>
            <w:pPr>
              <w:spacing w:after="0"/>
              <w:rPr>
                <w:sz w:val="1"/>
                <w:szCs w:val="1"/>
                <w:color w:val="auto"/>
              </w:rPr>
            </w:pPr>
          </w:p>
        </w:tc>
      </w:tr>
      <w:tr>
        <w:trPr>
          <w:trHeight w:val="184"/>
        </w:trPr>
        <w:tc>
          <w:tcPr>
            <w:tcW w:w="6700" w:type="dxa"/>
            <w:vAlign w:val="bottom"/>
          </w:tcPr>
          <w:p>
            <w:pPr>
              <w:ind w:left="360"/>
              <w:spacing w:after="0"/>
              <w:rPr>
                <w:sz w:val="20"/>
                <w:szCs w:val="20"/>
                <w:color w:val="auto"/>
              </w:rPr>
            </w:pPr>
            <w:r>
              <w:rPr>
                <w:rFonts w:ascii="Arial" w:cs="Arial" w:eastAsia="Arial" w:hAnsi="Arial"/>
                <w:sz w:val="16"/>
                <w:szCs w:val="16"/>
                <w:color w:val="auto"/>
              </w:rPr>
              <w:t>Total Sempra Energy shareholders' equity</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9,060</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9,007</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Preferred stock of subsidiaries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87"/>
        </w:trPr>
        <w:tc>
          <w:tcPr>
            <w:tcW w:w="6700" w:type="dxa"/>
            <w:vAlign w:val="bottom"/>
          </w:tcPr>
          <w:p>
            <w:pPr>
              <w:ind w:left="180"/>
              <w:spacing w:after="0"/>
              <w:rPr>
                <w:sz w:val="20"/>
                <w:szCs w:val="20"/>
                <w:color w:val="auto"/>
              </w:rPr>
            </w:pPr>
            <w:r>
              <w:rPr>
                <w:rFonts w:ascii="Arial" w:cs="Arial" w:eastAsia="Arial" w:hAnsi="Arial"/>
                <w:sz w:val="16"/>
                <w:szCs w:val="16"/>
                <w:color w:val="auto"/>
              </w:rPr>
              <w:t>Other noncontrolling interests</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183"/>
        </w:trPr>
        <w:tc>
          <w:tcPr>
            <w:tcW w:w="6700" w:type="dxa"/>
            <w:vAlign w:val="bottom"/>
          </w:tcPr>
          <w:p>
            <w:pPr>
              <w:ind w:left="360"/>
              <w:spacing w:after="0" w:line="183" w:lineRule="exact"/>
              <w:rPr>
                <w:sz w:val="20"/>
                <w:szCs w:val="20"/>
                <w:color w:val="auto"/>
              </w:rPr>
            </w:pPr>
            <w:r>
              <w:rPr>
                <w:rFonts w:ascii="Arial" w:cs="Arial" w:eastAsia="Arial" w:hAnsi="Arial"/>
                <w:sz w:val="16"/>
                <w:szCs w:val="16"/>
                <w:color w:val="auto"/>
              </w:rPr>
              <w:t>Total equity</w:t>
            </w: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9,295</w:t>
            </w: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9,251</w:t>
            </w:r>
          </w:p>
        </w:tc>
        <w:tc>
          <w:tcPr>
            <w:tcW w:w="0" w:type="dxa"/>
            <w:vAlign w:val="bottom"/>
          </w:tcPr>
          <w:p>
            <w:pPr>
              <w:spacing w:after="0"/>
              <w:rPr>
                <w:sz w:val="1"/>
                <w:szCs w:val="1"/>
                <w:color w:val="auto"/>
              </w:rPr>
            </w:pPr>
          </w:p>
        </w:tc>
      </w:tr>
      <w:tr>
        <w:trPr>
          <w:trHeight w:val="183"/>
        </w:trPr>
        <w:tc>
          <w:tcPr>
            <w:tcW w:w="6700" w:type="dxa"/>
            <w:vAlign w:val="bottom"/>
          </w:tcPr>
          <w:p>
            <w:pPr>
              <w:spacing w:after="0" w:line="183" w:lineRule="exact"/>
              <w:rPr>
                <w:sz w:val="20"/>
                <w:szCs w:val="20"/>
                <w:color w:val="auto"/>
              </w:rPr>
            </w:pPr>
            <w:r>
              <w:rPr>
                <w:rFonts w:ascii="Arial" w:cs="Arial" w:eastAsia="Arial" w:hAnsi="Arial"/>
                <w:sz w:val="16"/>
                <w:szCs w:val="16"/>
                <w:color w:val="auto"/>
              </w:rPr>
              <w:t>Total liabilities and equity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28,772</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line="183" w:lineRule="exact"/>
              <w:rPr>
                <w:sz w:val="20"/>
                <w:szCs w:val="20"/>
                <w:color w:val="auto"/>
              </w:rPr>
            </w:pPr>
            <w:r>
              <w:rPr>
                <w:rFonts w:ascii="Arial" w:cs="Arial" w:eastAsia="Arial" w:hAnsi="Arial"/>
                <w:sz w:val="16"/>
                <w:szCs w:val="16"/>
                <w:color w:val="auto"/>
              </w:rPr>
              <w:t>28,512</w:t>
            </w:r>
          </w:p>
        </w:tc>
        <w:tc>
          <w:tcPr>
            <w:tcW w:w="0" w:type="dxa"/>
            <w:vAlign w:val="bottom"/>
          </w:tcPr>
          <w:p>
            <w:pPr>
              <w:spacing w:after="0"/>
              <w:rPr>
                <w:sz w:val="1"/>
                <w:szCs w:val="1"/>
                <w:color w:val="auto"/>
              </w:rPr>
            </w:pPr>
          </w:p>
        </w:tc>
      </w:tr>
      <w:tr>
        <w:trPr>
          <w:trHeight w:val="81"/>
        </w:trPr>
        <w:tc>
          <w:tcPr>
            <w:tcW w:w="6700" w:type="dxa"/>
            <w:vAlign w:val="bottom"/>
            <w:shd w:val="clear" w:color="auto" w:fill="000000"/>
          </w:tcPr>
          <w:p>
            <w:pPr>
              <w:spacing w:after="0"/>
              <w:rPr>
                <w:sz w:val="7"/>
                <w:szCs w:val="7"/>
                <w:color w:val="auto"/>
              </w:rPr>
            </w:pPr>
          </w:p>
        </w:tc>
        <w:tc>
          <w:tcPr>
            <w:tcW w:w="140" w:type="dxa"/>
            <w:vAlign w:val="bottom"/>
            <w:shd w:val="clear" w:color="auto" w:fill="000000"/>
          </w:tcPr>
          <w:p>
            <w:pPr>
              <w:spacing w:after="0"/>
              <w:rPr>
                <w:sz w:val="7"/>
                <w:szCs w:val="7"/>
                <w:color w:val="auto"/>
              </w:rPr>
            </w:pPr>
          </w:p>
        </w:tc>
        <w:tc>
          <w:tcPr>
            <w:tcW w:w="1020" w:type="dxa"/>
            <w:vAlign w:val="bottom"/>
            <w:shd w:val="clear" w:color="auto" w:fill="000000"/>
          </w:tcPr>
          <w:p>
            <w:pPr>
              <w:spacing w:after="0"/>
              <w:rPr>
                <w:sz w:val="7"/>
                <w:szCs w:val="7"/>
                <w:color w:val="auto"/>
              </w:rPr>
            </w:pPr>
          </w:p>
        </w:tc>
        <w:tc>
          <w:tcPr>
            <w:tcW w:w="120" w:type="dxa"/>
            <w:vAlign w:val="bottom"/>
            <w:shd w:val="clear" w:color="auto" w:fill="000000"/>
          </w:tcPr>
          <w:p>
            <w:pPr>
              <w:spacing w:after="0"/>
              <w:rPr>
                <w:sz w:val="7"/>
                <w:szCs w:val="7"/>
                <w:color w:val="auto"/>
              </w:rPr>
            </w:pPr>
          </w:p>
        </w:tc>
        <w:tc>
          <w:tcPr>
            <w:tcW w:w="106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ectPr>
          <w:pgSz w:w="11900" w:h="16838" w:orient="portrait"/>
          <w:cols w:equalWidth="0" w:num="1">
            <w:col w:w="10219"/>
          </w:cols>
          <w:pgMar w:left="240" w:top="135" w:right="1440"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5582920" cy="3517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82920" cy="3517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STATEMENTS OF CONSOLIDATED CASH FLOWS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100" w:type="dxa"/>
            <w:vAlign w:val="bottom"/>
            <w:gridSpan w:val="4"/>
          </w:tcPr>
          <w:p>
            <w:pPr>
              <w:jc w:val="center"/>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57"/>
        </w:trPr>
        <w:tc>
          <w:tcPr>
            <w:tcW w:w="5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center"/>
              <w:spacing w:after="0" w:line="157" w:lineRule="exact"/>
              <w:rPr>
                <w:sz w:val="20"/>
                <w:szCs w:val="20"/>
                <w:color w:val="auto"/>
              </w:rPr>
            </w:pPr>
            <w:r>
              <w:rPr>
                <w:rFonts w:ascii="Arial" w:cs="Arial" w:eastAsia="Arial" w:hAnsi="Arial"/>
                <w:sz w:val="14"/>
                <w:szCs w:val="14"/>
                <w:color w:val="auto"/>
              </w:rPr>
              <w:t>March 31,</w:t>
            </w:r>
          </w:p>
        </w:tc>
        <w:tc>
          <w:tcPr>
            <w:tcW w:w="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8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2010</w:t>
            </w:r>
          </w:p>
        </w:tc>
        <w:tc>
          <w:tcPr>
            <w:tcW w:w="3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color w:val="auto"/>
              </w:rPr>
              <w:t>2009</w:t>
            </w:r>
          </w:p>
        </w:tc>
        <w:tc>
          <w:tcPr>
            <w:tcW w:w="0" w:type="dxa"/>
            <w:vAlign w:val="bottom"/>
          </w:tcPr>
          <w:p>
            <w:pPr>
              <w:spacing w:after="0"/>
              <w:rPr>
                <w:sz w:val="1"/>
                <w:szCs w:val="1"/>
                <w:color w:val="auto"/>
              </w:rPr>
            </w:pPr>
          </w:p>
        </w:tc>
      </w:tr>
      <w:tr>
        <w:trPr>
          <w:trHeight w:val="198"/>
        </w:trPr>
        <w:tc>
          <w:tcPr>
            <w:tcW w:w="5820" w:type="dxa"/>
            <w:vAlign w:val="bottom"/>
            <w:vMerge w:val="restart"/>
          </w:tcPr>
          <w:p>
            <w:pPr>
              <w:spacing w:after="0"/>
              <w:rPr>
                <w:sz w:val="20"/>
                <w:szCs w:val="20"/>
                <w:color w:val="auto"/>
              </w:rPr>
            </w:pPr>
            <w:r>
              <w:rPr>
                <w:rFonts w:ascii="Arial" w:cs="Arial" w:eastAsia="Arial" w:hAnsi="Arial"/>
                <w:sz w:val="16"/>
                <w:szCs w:val="16"/>
                <w:color w:val="auto"/>
              </w:rPr>
              <w:t>CASH FLOWS FROM OPERATING ACTIVITIES</w:t>
            </w:r>
          </w:p>
        </w:tc>
        <w:tc>
          <w:tcPr>
            <w:tcW w:w="8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40" w:type="dxa"/>
            <w:vAlign w:val="bottom"/>
            <w:gridSpan w:val="3"/>
          </w:tcPr>
          <w:p>
            <w:pPr>
              <w:jc w:val="center"/>
              <w:ind w:right="579"/>
              <w:spacing w:after="0"/>
              <w:rPr>
                <w:sz w:val="20"/>
                <w:szCs w:val="20"/>
                <w:color w:val="auto"/>
              </w:rPr>
            </w:pPr>
            <w:r>
              <w:rPr>
                <w:rFonts w:ascii="Arial" w:cs="Arial" w:eastAsia="Arial" w:hAnsi="Arial"/>
                <w:sz w:val="14"/>
                <w:szCs w:val="14"/>
                <w:color w:val="auto"/>
              </w:rPr>
              <w:t>(unaudited)</w:t>
            </w:r>
          </w:p>
        </w:tc>
        <w:tc>
          <w:tcPr>
            <w:tcW w:w="0" w:type="dxa"/>
            <w:vAlign w:val="bottom"/>
          </w:tcPr>
          <w:p>
            <w:pPr>
              <w:spacing w:after="0"/>
              <w:rPr>
                <w:sz w:val="1"/>
                <w:szCs w:val="1"/>
                <w:color w:val="auto"/>
              </w:rPr>
            </w:pPr>
          </w:p>
        </w:tc>
      </w:tr>
      <w:tr>
        <w:trPr>
          <w:trHeight w:val="176"/>
        </w:trPr>
        <w:tc>
          <w:tcPr>
            <w:tcW w:w="582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82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540" w:type="dxa"/>
            <w:vAlign w:val="bottom"/>
            <w:gridSpan w:val="2"/>
          </w:tcPr>
          <w:p>
            <w:pPr>
              <w:jc w:val="right"/>
              <w:ind w:right="488"/>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100</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325</w:t>
            </w:r>
          </w:p>
        </w:tc>
        <w:tc>
          <w:tcPr>
            <w:tcW w:w="0" w:type="dxa"/>
            <w:vAlign w:val="bottom"/>
          </w:tcPr>
          <w:p>
            <w:pPr>
              <w:spacing w:after="0"/>
              <w:rPr>
                <w:sz w:val="1"/>
                <w:szCs w:val="1"/>
                <w:color w:val="auto"/>
              </w:rPr>
            </w:pPr>
          </w:p>
        </w:tc>
      </w:tr>
      <w:tr>
        <w:trPr>
          <w:trHeight w:val="189"/>
        </w:trPr>
        <w:tc>
          <w:tcPr>
            <w:tcW w:w="5820" w:type="dxa"/>
            <w:vAlign w:val="bottom"/>
          </w:tcPr>
          <w:p>
            <w:pPr>
              <w:ind w:left="180"/>
              <w:spacing w:after="0"/>
              <w:rPr>
                <w:sz w:val="20"/>
                <w:szCs w:val="20"/>
                <w:color w:val="auto"/>
              </w:rPr>
            </w:pPr>
            <w:r>
              <w:rPr>
                <w:rFonts w:ascii="Arial" w:cs="Arial" w:eastAsia="Arial" w:hAnsi="Arial"/>
                <w:sz w:val="16"/>
                <w:szCs w:val="16"/>
                <w:color w:val="auto"/>
              </w:rPr>
              <w:t>Adjustments to reconcile net income to net cash provided</w:t>
            </w:r>
          </w:p>
        </w:tc>
        <w:tc>
          <w:tcPr>
            <w:tcW w:w="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20" w:type="dxa"/>
            <w:vAlign w:val="bottom"/>
          </w:tcPr>
          <w:p>
            <w:pPr>
              <w:ind w:left="360"/>
              <w:spacing w:after="0"/>
              <w:rPr>
                <w:sz w:val="20"/>
                <w:szCs w:val="20"/>
                <w:color w:val="auto"/>
              </w:rPr>
            </w:pPr>
            <w:r>
              <w:rPr>
                <w:rFonts w:ascii="Arial" w:cs="Arial" w:eastAsia="Arial" w:hAnsi="Arial"/>
                <w:sz w:val="16"/>
                <w:szCs w:val="16"/>
                <w:color w:val="auto"/>
              </w:rPr>
              <w:t>by operating activities:</w:t>
            </w:r>
          </w:p>
        </w:tc>
        <w:tc>
          <w:tcPr>
            <w:tcW w:w="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20" w:type="dxa"/>
            <w:vAlign w:val="bottom"/>
          </w:tcPr>
          <w:p>
            <w:pPr>
              <w:ind w:left="540"/>
              <w:spacing w:after="0"/>
              <w:rPr>
                <w:sz w:val="20"/>
                <w:szCs w:val="20"/>
                <w:color w:val="auto"/>
              </w:rPr>
            </w:pPr>
            <w:r>
              <w:rPr>
                <w:rFonts w:ascii="Arial" w:cs="Arial" w:eastAsia="Arial" w:hAnsi="Arial"/>
                <w:sz w:val="16"/>
                <w:szCs w:val="16"/>
                <w:color w:val="auto"/>
              </w:rPr>
              <w:t>Depreciation and amortization</w:t>
            </w:r>
          </w:p>
        </w:tc>
        <w:tc>
          <w:tcPr>
            <w:tcW w:w="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210</w:t>
            </w: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189"/>
        </w:trPr>
        <w:tc>
          <w:tcPr>
            <w:tcW w:w="5820" w:type="dxa"/>
            <w:vAlign w:val="bottom"/>
          </w:tcPr>
          <w:p>
            <w:pPr>
              <w:ind w:left="540"/>
              <w:spacing w:after="0"/>
              <w:rPr>
                <w:sz w:val="20"/>
                <w:szCs w:val="20"/>
                <w:color w:val="auto"/>
              </w:rPr>
            </w:pPr>
            <w:r>
              <w:rPr>
                <w:rFonts w:ascii="Arial" w:cs="Arial" w:eastAsia="Arial" w:hAnsi="Arial"/>
                <w:sz w:val="16"/>
                <w:szCs w:val="16"/>
                <w:color w:val="auto"/>
              </w:rPr>
              <w:t>Deferred income taxes and investment tax credits</w:t>
            </w:r>
          </w:p>
        </w:tc>
        <w:tc>
          <w:tcPr>
            <w:tcW w:w="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61</w:t>
            </w: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89"/>
        </w:trPr>
        <w:tc>
          <w:tcPr>
            <w:tcW w:w="5820" w:type="dxa"/>
            <w:vAlign w:val="bottom"/>
          </w:tcPr>
          <w:p>
            <w:pPr>
              <w:ind w:left="540"/>
              <w:spacing w:after="0"/>
              <w:rPr>
                <w:sz w:val="20"/>
                <w:szCs w:val="20"/>
                <w:color w:val="auto"/>
              </w:rPr>
            </w:pPr>
            <w:r>
              <w:rPr>
                <w:rFonts w:ascii="Arial" w:cs="Arial" w:eastAsia="Arial" w:hAnsi="Arial"/>
                <w:sz w:val="16"/>
                <w:szCs w:val="16"/>
                <w:color w:val="auto"/>
              </w:rPr>
              <w:t>Equity earnings</w:t>
            </w:r>
          </w:p>
        </w:tc>
        <w:tc>
          <w:tcPr>
            <w:tcW w:w="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(34)</w:t>
            </w: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189"/>
        </w:trPr>
        <w:tc>
          <w:tcPr>
            <w:tcW w:w="5820" w:type="dxa"/>
            <w:vAlign w:val="bottom"/>
          </w:tcPr>
          <w:p>
            <w:pPr>
              <w:ind w:left="540"/>
              <w:spacing w:after="0"/>
              <w:rPr>
                <w:sz w:val="20"/>
                <w:szCs w:val="20"/>
                <w:color w:val="auto"/>
              </w:rPr>
            </w:pPr>
            <w:r>
              <w:rPr>
                <w:rFonts w:ascii="Arial" w:cs="Arial" w:eastAsia="Arial" w:hAnsi="Arial"/>
                <w:sz w:val="16"/>
                <w:szCs w:val="16"/>
                <w:color w:val="auto"/>
              </w:rPr>
              <w:t>Other</w:t>
            </w:r>
          </w:p>
        </w:tc>
        <w:tc>
          <w:tcPr>
            <w:tcW w:w="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7</w:t>
            </w: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89"/>
        </w:trPr>
        <w:tc>
          <w:tcPr>
            <w:tcW w:w="5820" w:type="dxa"/>
            <w:vAlign w:val="bottom"/>
          </w:tcPr>
          <w:p>
            <w:pPr>
              <w:ind w:left="180"/>
              <w:spacing w:after="0"/>
              <w:rPr>
                <w:sz w:val="20"/>
                <w:szCs w:val="20"/>
                <w:color w:val="auto"/>
              </w:rPr>
            </w:pPr>
            <w:r>
              <w:rPr>
                <w:rFonts w:ascii="Arial" w:cs="Arial" w:eastAsia="Arial" w:hAnsi="Arial"/>
                <w:sz w:val="16"/>
                <w:szCs w:val="16"/>
                <w:color w:val="auto"/>
              </w:rPr>
              <w:t>Net change in other working capital components</w:t>
            </w:r>
          </w:p>
        </w:tc>
        <w:tc>
          <w:tcPr>
            <w:tcW w:w="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534</w:t>
            </w: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491</w:t>
            </w:r>
          </w:p>
        </w:tc>
        <w:tc>
          <w:tcPr>
            <w:tcW w:w="0" w:type="dxa"/>
            <w:vAlign w:val="bottom"/>
          </w:tcPr>
          <w:p>
            <w:pPr>
              <w:spacing w:after="0"/>
              <w:rPr>
                <w:sz w:val="1"/>
                <w:szCs w:val="1"/>
                <w:color w:val="auto"/>
              </w:rPr>
            </w:pPr>
          </w:p>
        </w:tc>
      </w:tr>
      <w:tr>
        <w:trPr>
          <w:trHeight w:val="189"/>
        </w:trPr>
        <w:tc>
          <w:tcPr>
            <w:tcW w:w="5820" w:type="dxa"/>
            <w:vAlign w:val="bottom"/>
          </w:tcPr>
          <w:p>
            <w:pPr>
              <w:ind w:left="180"/>
              <w:spacing w:after="0"/>
              <w:rPr>
                <w:sz w:val="20"/>
                <w:szCs w:val="20"/>
                <w:color w:val="auto"/>
              </w:rPr>
            </w:pPr>
            <w:r>
              <w:rPr>
                <w:rFonts w:ascii="Arial" w:cs="Arial" w:eastAsia="Arial" w:hAnsi="Arial"/>
                <w:sz w:val="16"/>
                <w:szCs w:val="16"/>
                <w:color w:val="auto"/>
              </w:rPr>
              <w:t>Distribution from RBS Sempra Commodities LLP</w:t>
            </w:r>
          </w:p>
        </w:tc>
        <w:tc>
          <w:tcPr>
            <w:tcW w:w="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189"/>
        </w:trPr>
        <w:tc>
          <w:tcPr>
            <w:tcW w:w="5820" w:type="dxa"/>
            <w:vAlign w:val="bottom"/>
          </w:tcPr>
          <w:p>
            <w:pPr>
              <w:ind w:left="180"/>
              <w:spacing w:after="0"/>
              <w:rPr>
                <w:sz w:val="20"/>
                <w:szCs w:val="20"/>
                <w:color w:val="auto"/>
              </w:rPr>
            </w:pPr>
            <w:r>
              <w:rPr>
                <w:rFonts w:ascii="Arial" w:cs="Arial" w:eastAsia="Arial" w:hAnsi="Arial"/>
                <w:sz w:val="16"/>
                <w:szCs w:val="16"/>
                <w:color w:val="auto"/>
              </w:rPr>
              <w:t>Changes in other assets</w:t>
            </w:r>
          </w:p>
        </w:tc>
        <w:tc>
          <w:tcPr>
            <w:tcW w:w="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18</w:t>
            </w: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87"/>
        </w:trPr>
        <w:tc>
          <w:tcPr>
            <w:tcW w:w="5820" w:type="dxa"/>
            <w:vAlign w:val="bottom"/>
          </w:tcPr>
          <w:p>
            <w:pPr>
              <w:ind w:left="180"/>
              <w:spacing w:after="0"/>
              <w:rPr>
                <w:sz w:val="20"/>
                <w:szCs w:val="20"/>
                <w:color w:val="auto"/>
              </w:rPr>
            </w:pPr>
            <w:r>
              <w:rPr>
                <w:rFonts w:ascii="Arial" w:cs="Arial" w:eastAsia="Arial" w:hAnsi="Arial"/>
                <w:sz w:val="16"/>
                <w:szCs w:val="16"/>
                <w:color w:val="auto"/>
              </w:rPr>
              <w:t>Changes in other liabilities</w:t>
            </w:r>
          </w:p>
        </w:tc>
        <w:tc>
          <w:tcPr>
            <w:tcW w:w="88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3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83"/>
        </w:trPr>
        <w:tc>
          <w:tcPr>
            <w:tcW w:w="5820" w:type="dxa"/>
            <w:vAlign w:val="bottom"/>
          </w:tcPr>
          <w:p>
            <w:pPr>
              <w:ind w:left="360"/>
              <w:spacing w:after="0" w:line="183" w:lineRule="exact"/>
              <w:rPr>
                <w:sz w:val="20"/>
                <w:szCs w:val="20"/>
                <w:color w:val="auto"/>
              </w:rPr>
            </w:pPr>
            <w:r>
              <w:rPr>
                <w:rFonts w:ascii="Arial" w:cs="Arial" w:eastAsia="Arial" w:hAnsi="Arial"/>
                <w:sz w:val="16"/>
                <w:szCs w:val="16"/>
                <w:color w:val="auto"/>
              </w:rPr>
              <w:t>Net cash provided by operating activities</w:t>
            </w:r>
          </w:p>
        </w:tc>
        <w:tc>
          <w:tcPr>
            <w:tcW w:w="88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888</w:t>
            </w:r>
          </w:p>
        </w:tc>
        <w:tc>
          <w:tcPr>
            <w:tcW w:w="3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1,139</w:t>
            </w:r>
          </w:p>
        </w:tc>
        <w:tc>
          <w:tcPr>
            <w:tcW w:w="0" w:type="dxa"/>
            <w:vAlign w:val="bottom"/>
          </w:tcPr>
          <w:p>
            <w:pPr>
              <w:spacing w:after="0"/>
              <w:rPr>
                <w:sz w:val="1"/>
                <w:szCs w:val="1"/>
                <w:color w:val="auto"/>
              </w:rPr>
            </w:pPr>
          </w:p>
        </w:tc>
      </w:tr>
      <w:tr>
        <w:trPr>
          <w:trHeight w:val="374"/>
        </w:trPr>
        <w:tc>
          <w:tcPr>
            <w:tcW w:w="582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820" w:type="dxa"/>
            <w:vAlign w:val="bottom"/>
          </w:tcPr>
          <w:p>
            <w:pPr>
              <w:ind w:left="180"/>
              <w:spacing w:after="0"/>
              <w:rPr>
                <w:sz w:val="20"/>
                <w:szCs w:val="20"/>
                <w:color w:val="auto"/>
              </w:rPr>
            </w:pPr>
            <w:r>
              <w:rPr>
                <w:rFonts w:ascii="Arial" w:cs="Arial" w:eastAsia="Arial" w:hAnsi="Arial"/>
                <w:sz w:val="16"/>
                <w:szCs w:val="16"/>
                <w:color w:val="auto"/>
              </w:rPr>
              <w:t>Expenditures for property, plant and equipment</w:t>
            </w:r>
          </w:p>
        </w:tc>
        <w:tc>
          <w:tcPr>
            <w:tcW w:w="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96"/>
              </w:rPr>
              <w:t>(446)</w:t>
            </w: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(492)</w:t>
            </w:r>
          </w:p>
        </w:tc>
        <w:tc>
          <w:tcPr>
            <w:tcW w:w="0" w:type="dxa"/>
            <w:vAlign w:val="bottom"/>
          </w:tcPr>
          <w:p>
            <w:pPr>
              <w:spacing w:after="0"/>
              <w:rPr>
                <w:sz w:val="1"/>
                <w:szCs w:val="1"/>
                <w:color w:val="auto"/>
              </w:rPr>
            </w:pPr>
          </w:p>
        </w:tc>
      </w:tr>
      <w:tr>
        <w:trPr>
          <w:trHeight w:val="189"/>
        </w:trPr>
        <w:tc>
          <w:tcPr>
            <w:tcW w:w="5820" w:type="dxa"/>
            <w:vAlign w:val="bottom"/>
          </w:tcPr>
          <w:p>
            <w:pPr>
              <w:ind w:left="180"/>
              <w:spacing w:after="0"/>
              <w:rPr>
                <w:sz w:val="20"/>
                <w:szCs w:val="20"/>
                <w:color w:val="auto"/>
              </w:rPr>
            </w:pPr>
            <w:r>
              <w:rPr>
                <w:rFonts w:ascii="Arial" w:cs="Arial" w:eastAsia="Arial" w:hAnsi="Arial"/>
                <w:sz w:val="16"/>
                <w:szCs w:val="16"/>
                <w:color w:val="auto"/>
              </w:rPr>
              <w:t>Expenditures for investments</w:t>
            </w:r>
          </w:p>
        </w:tc>
        <w:tc>
          <w:tcPr>
            <w:tcW w:w="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(74)</w:t>
            </w: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89"/>
        </w:trPr>
        <w:tc>
          <w:tcPr>
            <w:tcW w:w="5820" w:type="dxa"/>
            <w:vAlign w:val="bottom"/>
          </w:tcPr>
          <w:p>
            <w:pPr>
              <w:ind w:left="180"/>
              <w:spacing w:after="0"/>
              <w:rPr>
                <w:sz w:val="20"/>
                <w:szCs w:val="20"/>
                <w:color w:val="auto"/>
              </w:rPr>
            </w:pPr>
            <w:r>
              <w:rPr>
                <w:rFonts w:ascii="Arial" w:cs="Arial" w:eastAsia="Arial" w:hAnsi="Arial"/>
                <w:sz w:val="16"/>
                <w:szCs w:val="16"/>
                <w:color w:val="auto"/>
              </w:rPr>
              <w:t>Distributions from investments</w:t>
            </w:r>
          </w:p>
        </w:tc>
        <w:tc>
          <w:tcPr>
            <w:tcW w:w="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24</w:t>
            </w: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89"/>
        </w:trPr>
        <w:tc>
          <w:tcPr>
            <w:tcW w:w="5820" w:type="dxa"/>
            <w:vAlign w:val="bottom"/>
          </w:tcPr>
          <w:p>
            <w:pPr>
              <w:ind w:left="180"/>
              <w:spacing w:after="0"/>
              <w:rPr>
                <w:sz w:val="20"/>
                <w:szCs w:val="20"/>
                <w:color w:val="auto"/>
              </w:rPr>
            </w:pPr>
            <w:r>
              <w:rPr>
                <w:rFonts w:ascii="Arial" w:cs="Arial" w:eastAsia="Arial" w:hAnsi="Arial"/>
                <w:sz w:val="16"/>
                <w:szCs w:val="16"/>
                <w:color w:val="auto"/>
              </w:rPr>
              <w:t>Purchases of nuclear decommissioning and other trust assets</w:t>
            </w:r>
          </w:p>
        </w:tc>
        <w:tc>
          <w:tcPr>
            <w:tcW w:w="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(44)</w:t>
            </w: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189"/>
        </w:trPr>
        <w:tc>
          <w:tcPr>
            <w:tcW w:w="5820" w:type="dxa"/>
            <w:vAlign w:val="bottom"/>
          </w:tcPr>
          <w:p>
            <w:pPr>
              <w:ind w:left="180"/>
              <w:spacing w:after="0"/>
              <w:rPr>
                <w:sz w:val="20"/>
                <w:szCs w:val="20"/>
                <w:color w:val="auto"/>
              </w:rPr>
            </w:pPr>
            <w:r>
              <w:rPr>
                <w:rFonts w:ascii="Arial" w:cs="Arial" w:eastAsia="Arial" w:hAnsi="Arial"/>
                <w:sz w:val="16"/>
                <w:szCs w:val="16"/>
                <w:color w:val="auto"/>
              </w:rPr>
              <w:t>Proceeds from sales by nuclear decommissioning and other trusts</w:t>
            </w:r>
          </w:p>
        </w:tc>
        <w:tc>
          <w:tcPr>
            <w:tcW w:w="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46</w:t>
            </w: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187"/>
        </w:trPr>
        <w:tc>
          <w:tcPr>
            <w:tcW w:w="5820" w:type="dxa"/>
            <w:vAlign w:val="bottom"/>
          </w:tcPr>
          <w:p>
            <w:pPr>
              <w:ind w:left="180"/>
              <w:spacing w:after="0"/>
              <w:rPr>
                <w:sz w:val="20"/>
                <w:szCs w:val="20"/>
                <w:color w:val="auto"/>
              </w:rPr>
            </w:pPr>
            <w:r>
              <w:rPr>
                <w:rFonts w:ascii="Arial" w:cs="Arial" w:eastAsia="Arial" w:hAnsi="Arial"/>
                <w:sz w:val="16"/>
                <w:szCs w:val="16"/>
                <w:color w:val="auto"/>
              </w:rPr>
              <w:t>Other</w:t>
            </w:r>
          </w:p>
        </w:tc>
        <w:tc>
          <w:tcPr>
            <w:tcW w:w="88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3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83"/>
        </w:trPr>
        <w:tc>
          <w:tcPr>
            <w:tcW w:w="5820" w:type="dxa"/>
            <w:vAlign w:val="bottom"/>
          </w:tcPr>
          <w:p>
            <w:pPr>
              <w:ind w:left="360"/>
              <w:spacing w:after="0" w:line="183" w:lineRule="exact"/>
              <w:rPr>
                <w:sz w:val="20"/>
                <w:szCs w:val="20"/>
                <w:color w:val="auto"/>
              </w:rPr>
            </w:pPr>
            <w:r>
              <w:rPr>
                <w:rFonts w:ascii="Arial" w:cs="Arial" w:eastAsia="Arial" w:hAnsi="Arial"/>
                <w:sz w:val="16"/>
                <w:szCs w:val="16"/>
                <w:color w:val="auto"/>
              </w:rPr>
              <w:t>Net cash used in investing activities</w:t>
            </w:r>
          </w:p>
        </w:tc>
        <w:tc>
          <w:tcPr>
            <w:tcW w:w="88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96"/>
              </w:rPr>
              <w:t>(496)</w:t>
            </w:r>
          </w:p>
        </w:tc>
        <w:tc>
          <w:tcPr>
            <w:tcW w:w="3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(522)</w:t>
            </w:r>
          </w:p>
        </w:tc>
        <w:tc>
          <w:tcPr>
            <w:tcW w:w="0" w:type="dxa"/>
            <w:vAlign w:val="bottom"/>
          </w:tcPr>
          <w:p>
            <w:pPr>
              <w:spacing w:after="0"/>
              <w:rPr>
                <w:sz w:val="1"/>
                <w:szCs w:val="1"/>
                <w:color w:val="auto"/>
              </w:rPr>
            </w:pPr>
          </w:p>
        </w:tc>
      </w:tr>
      <w:tr>
        <w:trPr>
          <w:trHeight w:val="374"/>
        </w:trPr>
        <w:tc>
          <w:tcPr>
            <w:tcW w:w="582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820" w:type="dxa"/>
            <w:vAlign w:val="bottom"/>
          </w:tcPr>
          <w:p>
            <w:pPr>
              <w:ind w:left="180"/>
              <w:spacing w:after="0"/>
              <w:rPr>
                <w:sz w:val="20"/>
                <w:szCs w:val="20"/>
                <w:color w:val="auto"/>
              </w:rPr>
            </w:pPr>
            <w:r>
              <w:rPr>
                <w:rFonts w:ascii="Arial" w:cs="Arial" w:eastAsia="Arial" w:hAnsi="Arial"/>
                <w:sz w:val="16"/>
                <w:szCs w:val="16"/>
                <w:color w:val="auto"/>
              </w:rPr>
              <w:t>Common dividends paid</w:t>
            </w:r>
          </w:p>
        </w:tc>
        <w:tc>
          <w:tcPr>
            <w:tcW w:w="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(86)</w:t>
            </w: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189"/>
        </w:trPr>
        <w:tc>
          <w:tcPr>
            <w:tcW w:w="5820" w:type="dxa"/>
            <w:vAlign w:val="bottom"/>
          </w:tcPr>
          <w:p>
            <w:pPr>
              <w:ind w:left="180"/>
              <w:spacing w:after="0"/>
              <w:rPr>
                <w:sz w:val="20"/>
                <w:szCs w:val="20"/>
                <w:color w:val="auto"/>
              </w:rPr>
            </w:pPr>
            <w:r>
              <w:rPr>
                <w:rFonts w:ascii="Arial" w:cs="Arial" w:eastAsia="Arial" w:hAnsi="Arial"/>
                <w:sz w:val="16"/>
                <w:szCs w:val="16"/>
                <w:color w:val="auto"/>
              </w:rPr>
              <w:t>Preferred dividends paid by subsidiaries</w:t>
            </w:r>
          </w:p>
        </w:tc>
        <w:tc>
          <w:tcPr>
            <w:tcW w:w="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w:t>
            </w: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9"/>
        </w:trPr>
        <w:tc>
          <w:tcPr>
            <w:tcW w:w="5820" w:type="dxa"/>
            <w:vAlign w:val="bottom"/>
          </w:tcPr>
          <w:p>
            <w:pPr>
              <w:ind w:left="180"/>
              <w:spacing w:after="0"/>
              <w:rPr>
                <w:sz w:val="20"/>
                <w:szCs w:val="20"/>
                <w:color w:val="auto"/>
              </w:rPr>
            </w:pPr>
            <w:r>
              <w:rPr>
                <w:rFonts w:ascii="Arial" w:cs="Arial" w:eastAsia="Arial" w:hAnsi="Arial"/>
                <w:sz w:val="16"/>
                <w:szCs w:val="16"/>
                <w:color w:val="auto"/>
              </w:rPr>
              <w:t>Issuances of common stock</w:t>
            </w:r>
          </w:p>
        </w:tc>
        <w:tc>
          <w:tcPr>
            <w:tcW w:w="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14</w:t>
            </w: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89"/>
        </w:trPr>
        <w:tc>
          <w:tcPr>
            <w:tcW w:w="5820" w:type="dxa"/>
            <w:vAlign w:val="bottom"/>
          </w:tcPr>
          <w:p>
            <w:pPr>
              <w:ind w:left="180"/>
              <w:spacing w:after="0"/>
              <w:rPr>
                <w:sz w:val="20"/>
                <w:szCs w:val="20"/>
                <w:color w:val="auto"/>
              </w:rPr>
            </w:pPr>
            <w:r>
              <w:rPr>
                <w:rFonts w:ascii="Arial" w:cs="Arial" w:eastAsia="Arial" w:hAnsi="Arial"/>
                <w:sz w:val="16"/>
                <w:szCs w:val="16"/>
                <w:color w:val="auto"/>
              </w:rPr>
              <w:t>Repurchases of common stock</w:t>
            </w:r>
          </w:p>
        </w:tc>
        <w:tc>
          <w:tcPr>
            <w:tcW w:w="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w:t>
            </w: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5820" w:type="dxa"/>
            <w:vAlign w:val="bottom"/>
          </w:tcPr>
          <w:p>
            <w:pPr>
              <w:ind w:left="180"/>
              <w:spacing w:after="0"/>
              <w:rPr>
                <w:sz w:val="20"/>
                <w:szCs w:val="20"/>
                <w:color w:val="auto"/>
              </w:rPr>
            </w:pPr>
            <w:r>
              <w:rPr>
                <w:rFonts w:ascii="Arial" w:cs="Arial" w:eastAsia="Arial" w:hAnsi="Arial"/>
                <w:sz w:val="16"/>
                <w:szCs w:val="16"/>
                <w:color w:val="auto"/>
              </w:rPr>
              <w:t>Increase (decrease) in short-term debt, net</w:t>
            </w:r>
          </w:p>
        </w:tc>
        <w:tc>
          <w:tcPr>
            <w:tcW w:w="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294</w:t>
            </w: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189"/>
        </w:trPr>
        <w:tc>
          <w:tcPr>
            <w:tcW w:w="5820" w:type="dxa"/>
            <w:vAlign w:val="bottom"/>
          </w:tcPr>
          <w:p>
            <w:pPr>
              <w:ind w:left="180"/>
              <w:spacing w:after="0"/>
              <w:rPr>
                <w:sz w:val="20"/>
                <w:szCs w:val="20"/>
                <w:color w:val="auto"/>
              </w:rPr>
            </w:pPr>
            <w:r>
              <w:rPr>
                <w:rFonts w:ascii="Arial" w:cs="Arial" w:eastAsia="Arial" w:hAnsi="Arial"/>
                <w:sz w:val="16"/>
                <w:szCs w:val="16"/>
                <w:color w:val="auto"/>
              </w:rPr>
              <w:t>Issuances of debt (maturities greater than 90 days)</w:t>
            </w:r>
          </w:p>
        </w:tc>
        <w:tc>
          <w:tcPr>
            <w:tcW w:w="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12</w:t>
            </w: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89"/>
        </w:trPr>
        <w:tc>
          <w:tcPr>
            <w:tcW w:w="5820" w:type="dxa"/>
            <w:vAlign w:val="bottom"/>
          </w:tcPr>
          <w:p>
            <w:pPr>
              <w:ind w:left="180"/>
              <w:spacing w:after="0"/>
              <w:rPr>
                <w:sz w:val="20"/>
                <w:szCs w:val="20"/>
                <w:color w:val="auto"/>
              </w:rPr>
            </w:pPr>
            <w:r>
              <w:rPr>
                <w:rFonts w:ascii="Arial" w:cs="Arial" w:eastAsia="Arial" w:hAnsi="Arial"/>
                <w:sz w:val="16"/>
                <w:szCs w:val="16"/>
                <w:color w:val="auto"/>
              </w:rPr>
              <w:t>Payments on debt (maturities greater than 90 days)</w:t>
            </w:r>
          </w:p>
        </w:tc>
        <w:tc>
          <w:tcPr>
            <w:tcW w:w="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96"/>
              </w:rPr>
              <w:t>(507)</w:t>
            </w: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89"/>
        </w:trPr>
        <w:tc>
          <w:tcPr>
            <w:tcW w:w="5820" w:type="dxa"/>
            <w:vAlign w:val="bottom"/>
          </w:tcPr>
          <w:p>
            <w:pPr>
              <w:ind w:left="180"/>
              <w:spacing w:after="0"/>
              <w:rPr>
                <w:sz w:val="20"/>
                <w:szCs w:val="20"/>
                <w:color w:val="auto"/>
              </w:rPr>
            </w:pPr>
            <w:r>
              <w:rPr>
                <w:rFonts w:ascii="Arial" w:cs="Arial" w:eastAsia="Arial" w:hAnsi="Arial"/>
                <w:sz w:val="16"/>
                <w:szCs w:val="16"/>
                <w:color w:val="auto"/>
              </w:rPr>
              <w:t>Purchase of noncontrolling interest</w:t>
            </w:r>
          </w:p>
        </w:tc>
        <w:tc>
          <w:tcPr>
            <w:tcW w:w="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187"/>
        </w:trPr>
        <w:tc>
          <w:tcPr>
            <w:tcW w:w="5820" w:type="dxa"/>
            <w:vAlign w:val="bottom"/>
          </w:tcPr>
          <w:p>
            <w:pPr>
              <w:ind w:left="180"/>
              <w:spacing w:after="0"/>
              <w:rPr>
                <w:sz w:val="20"/>
                <w:szCs w:val="20"/>
                <w:color w:val="auto"/>
              </w:rPr>
            </w:pPr>
            <w:r>
              <w:rPr>
                <w:rFonts w:ascii="Arial" w:cs="Arial" w:eastAsia="Arial" w:hAnsi="Arial"/>
                <w:sz w:val="16"/>
                <w:szCs w:val="16"/>
                <w:color w:val="auto"/>
              </w:rPr>
              <w:t>Other</w:t>
            </w:r>
          </w:p>
        </w:tc>
        <w:tc>
          <w:tcPr>
            <w:tcW w:w="88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3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83"/>
        </w:trPr>
        <w:tc>
          <w:tcPr>
            <w:tcW w:w="5820" w:type="dxa"/>
            <w:vAlign w:val="bottom"/>
          </w:tcPr>
          <w:p>
            <w:pPr>
              <w:ind w:left="360"/>
              <w:spacing w:after="0" w:line="183" w:lineRule="exact"/>
              <w:rPr>
                <w:sz w:val="20"/>
                <w:szCs w:val="20"/>
                <w:color w:val="auto"/>
              </w:rPr>
            </w:pPr>
            <w:r>
              <w:rPr>
                <w:rFonts w:ascii="Arial" w:cs="Arial" w:eastAsia="Arial" w:hAnsi="Arial"/>
                <w:sz w:val="16"/>
                <w:szCs w:val="16"/>
                <w:color w:val="auto"/>
              </w:rPr>
              <w:t>Net cash used in financing activities</w:t>
            </w:r>
          </w:p>
        </w:tc>
        <w:tc>
          <w:tcPr>
            <w:tcW w:w="88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96"/>
              </w:rPr>
              <w:t>(280)</w:t>
            </w:r>
          </w:p>
        </w:tc>
        <w:tc>
          <w:tcPr>
            <w:tcW w:w="3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374"/>
        </w:trPr>
        <w:tc>
          <w:tcPr>
            <w:tcW w:w="5820" w:type="dxa"/>
            <w:vAlign w:val="bottom"/>
          </w:tcPr>
          <w:p>
            <w:pPr>
              <w:spacing w:after="0"/>
              <w:rPr>
                <w:sz w:val="20"/>
                <w:szCs w:val="20"/>
                <w:color w:val="auto"/>
              </w:rPr>
            </w:pPr>
            <w:r>
              <w:rPr>
                <w:rFonts w:ascii="Arial" w:cs="Arial" w:eastAsia="Arial" w:hAnsi="Arial"/>
                <w:sz w:val="16"/>
                <w:szCs w:val="16"/>
                <w:color w:val="auto"/>
              </w:rPr>
              <w:t>Increase in cash and cash equivalents</w:t>
            </w: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112</w:t>
            </w: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389</w:t>
            </w:r>
          </w:p>
        </w:tc>
        <w:tc>
          <w:tcPr>
            <w:tcW w:w="0" w:type="dxa"/>
            <w:vAlign w:val="bottom"/>
          </w:tcPr>
          <w:p>
            <w:pPr>
              <w:spacing w:after="0"/>
              <w:rPr>
                <w:sz w:val="1"/>
                <w:szCs w:val="1"/>
                <w:color w:val="auto"/>
              </w:rPr>
            </w:pPr>
          </w:p>
        </w:tc>
      </w:tr>
      <w:tr>
        <w:trPr>
          <w:trHeight w:val="187"/>
        </w:trPr>
        <w:tc>
          <w:tcPr>
            <w:tcW w:w="5820" w:type="dxa"/>
            <w:vAlign w:val="bottom"/>
          </w:tcPr>
          <w:p>
            <w:pPr>
              <w:spacing w:after="0"/>
              <w:rPr>
                <w:sz w:val="20"/>
                <w:szCs w:val="20"/>
                <w:color w:val="auto"/>
              </w:rPr>
            </w:pPr>
            <w:r>
              <w:rPr>
                <w:rFonts w:ascii="Arial" w:cs="Arial" w:eastAsia="Arial" w:hAnsi="Arial"/>
                <w:sz w:val="16"/>
                <w:szCs w:val="16"/>
                <w:color w:val="auto"/>
              </w:rPr>
              <w:t>Cash and cash equivalents, January 1</w:t>
            </w:r>
          </w:p>
        </w:tc>
        <w:tc>
          <w:tcPr>
            <w:tcW w:w="88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3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w:t>
            </w:r>
          </w:p>
        </w:tc>
        <w:tc>
          <w:tcPr>
            <w:tcW w:w="0" w:type="dxa"/>
            <w:vAlign w:val="bottom"/>
          </w:tcPr>
          <w:p>
            <w:pPr>
              <w:spacing w:after="0"/>
              <w:rPr>
                <w:sz w:val="1"/>
                <w:szCs w:val="1"/>
                <w:color w:val="auto"/>
              </w:rPr>
            </w:pPr>
          </w:p>
        </w:tc>
      </w:tr>
      <w:tr>
        <w:trPr>
          <w:trHeight w:val="183"/>
        </w:trPr>
        <w:tc>
          <w:tcPr>
            <w:tcW w:w="5820" w:type="dxa"/>
            <w:vAlign w:val="bottom"/>
          </w:tcPr>
          <w:p>
            <w:pPr>
              <w:spacing w:after="0" w:line="183" w:lineRule="exact"/>
              <w:rPr>
                <w:sz w:val="20"/>
                <w:szCs w:val="20"/>
                <w:color w:val="auto"/>
              </w:rPr>
            </w:pPr>
            <w:r>
              <w:rPr>
                <w:rFonts w:ascii="Arial" w:cs="Arial" w:eastAsia="Arial" w:hAnsi="Arial"/>
                <w:sz w:val="16"/>
                <w:szCs w:val="16"/>
                <w:color w:val="auto"/>
              </w:rPr>
              <w:t>Cash and cash equivalents, March 31</w:t>
            </w:r>
          </w:p>
        </w:tc>
        <w:tc>
          <w:tcPr>
            <w:tcW w:w="1540" w:type="dxa"/>
            <w:vAlign w:val="bottom"/>
            <w:gridSpan w:val="2"/>
          </w:tcPr>
          <w:p>
            <w:pPr>
              <w:jc w:val="right"/>
              <w:ind w:right="488"/>
              <w:spacing w:after="0" w:line="183" w:lineRule="exact"/>
              <w:rPr>
                <w:sz w:val="20"/>
                <w:szCs w:val="20"/>
                <w:color w:val="auto"/>
              </w:rPr>
            </w:pPr>
            <w:r>
              <w:rPr>
                <w:rFonts w:ascii="Arial" w:cs="Arial" w:eastAsia="Arial" w:hAnsi="Arial"/>
                <w:sz w:val="16"/>
                <w:szCs w:val="16"/>
                <w:color w:val="auto"/>
              </w:rPr>
              <w:t>$</w:t>
            </w:r>
          </w:p>
        </w:tc>
        <w:tc>
          <w:tcPr>
            <w:tcW w:w="380" w:type="dxa"/>
            <w:vAlign w:val="bottom"/>
          </w:tcPr>
          <w:p>
            <w:pPr>
              <w:jc w:val="right"/>
              <w:spacing w:after="0" w:line="183" w:lineRule="exact"/>
              <w:rPr>
                <w:sz w:val="20"/>
                <w:szCs w:val="20"/>
                <w:color w:val="auto"/>
              </w:rPr>
            </w:pPr>
            <w:r>
              <w:rPr>
                <w:rFonts w:ascii="Arial" w:cs="Arial" w:eastAsia="Arial" w:hAnsi="Arial"/>
                <w:sz w:val="16"/>
                <w:szCs w:val="16"/>
                <w:color w:val="auto"/>
              </w:rPr>
              <w:t>222</w:t>
            </w:r>
          </w:p>
        </w:tc>
        <w:tc>
          <w:tcPr>
            <w:tcW w:w="340" w:type="dxa"/>
            <w:vAlign w:val="bottom"/>
          </w:tcPr>
          <w:p>
            <w:pPr>
              <w:jc w:val="right"/>
              <w:ind w:right="159"/>
              <w:spacing w:after="0" w:line="183" w:lineRule="exact"/>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auto"/>
              </w:rPr>
              <w:t>720</w:t>
            </w:r>
          </w:p>
        </w:tc>
        <w:tc>
          <w:tcPr>
            <w:tcW w:w="0" w:type="dxa"/>
            <w:vAlign w:val="bottom"/>
          </w:tcPr>
          <w:p>
            <w:pPr>
              <w:spacing w:after="0"/>
              <w:rPr>
                <w:sz w:val="1"/>
                <w:szCs w:val="1"/>
                <w:color w:val="auto"/>
              </w:rPr>
            </w:pPr>
          </w:p>
        </w:tc>
      </w:tr>
      <w:tr>
        <w:trPr>
          <w:trHeight w:val="81"/>
        </w:trPr>
        <w:tc>
          <w:tcPr>
            <w:tcW w:w="582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660" w:type="dxa"/>
            <w:vAlign w:val="bottom"/>
            <w:shd w:val="clear" w:color="auto" w:fill="000000"/>
          </w:tcPr>
          <w:p>
            <w:pPr>
              <w:spacing w:after="0"/>
              <w:rPr>
                <w:sz w:val="7"/>
                <w:szCs w:val="7"/>
                <w:color w:val="auto"/>
              </w:rPr>
            </w:pPr>
          </w:p>
        </w:tc>
        <w:tc>
          <w:tcPr>
            <w:tcW w:w="38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7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ectPr>
          <w:pgSz w:w="11900" w:h="16838" w:orient="portrait"/>
          <w:cols w:equalWidth="0" w:num="1">
            <w:col w:w="10219"/>
          </w:cols>
          <w:pgMar w:left="240" w:top="135" w:right="1440"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5411470" cy="3517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11470" cy="3517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STATEMENTS OF CONSOLIDATED CASH FLOWS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0" w:type="dxa"/>
            <w:vAlign w:val="bottom"/>
            <w:gridSpan w:val="3"/>
          </w:tcPr>
          <w:p>
            <w:pPr>
              <w:jc w:val="center"/>
              <w:ind w:left="168"/>
              <w:spacing w:after="0"/>
              <w:rPr>
                <w:sz w:val="20"/>
                <w:szCs w:val="20"/>
                <w:color w:val="auto"/>
              </w:rPr>
            </w:pPr>
            <w:r>
              <w:rPr>
                <w:rFonts w:ascii="Arial" w:cs="Arial" w:eastAsia="Arial" w:hAnsi="Arial"/>
                <w:sz w:val="14"/>
                <w:szCs w:val="14"/>
                <w:color w:val="auto"/>
              </w:rPr>
              <w:t>Three months ended</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center"/>
              <w:ind w:right="282"/>
              <w:spacing w:after="0" w:line="157" w:lineRule="exact"/>
              <w:rPr>
                <w:sz w:val="20"/>
                <w:szCs w:val="20"/>
                <w:color w:val="auto"/>
              </w:rPr>
            </w:pPr>
            <w:r>
              <w:rPr>
                <w:rFonts w:ascii="Arial" w:cs="Arial" w:eastAsia="Arial" w:hAnsi="Arial"/>
                <w:sz w:val="14"/>
                <w:szCs w:val="14"/>
                <w:color w:val="auto"/>
              </w:rPr>
              <w:t>March 31,</w:t>
            </w:r>
          </w:p>
        </w:tc>
        <w:tc>
          <w:tcPr>
            <w:tcW w:w="2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7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2010</w:t>
            </w:r>
          </w:p>
        </w:tc>
        <w:tc>
          <w:tcPr>
            <w:tcW w:w="2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color w:val="auto"/>
              </w:rPr>
              <w:t>2009</w:t>
            </w: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780" w:type="dxa"/>
            <w:vAlign w:val="bottom"/>
            <w:vMerge w:val="restart"/>
          </w:tcPr>
          <w:p>
            <w:pPr>
              <w:spacing w:after="0"/>
              <w:rPr>
                <w:sz w:val="20"/>
                <w:szCs w:val="20"/>
                <w:color w:val="auto"/>
              </w:rPr>
            </w:pPr>
            <w:r>
              <w:rPr>
                <w:rFonts w:ascii="Arial" w:cs="Arial" w:eastAsia="Arial" w:hAnsi="Arial"/>
                <w:sz w:val="16"/>
                <w:szCs w:val="16"/>
                <w:color w:val="auto"/>
              </w:rPr>
              <w:t>SUPPLEMENTAL DISCLOSURE OF CASH FLOW INFORMATION</w:t>
            </w:r>
          </w:p>
        </w:tc>
        <w:tc>
          <w:tcPr>
            <w:tcW w:w="920" w:type="dxa"/>
            <w:vAlign w:val="bottom"/>
          </w:tcPr>
          <w:p>
            <w:pPr>
              <w:spacing w:after="0"/>
              <w:rPr>
                <w:sz w:val="17"/>
                <w:szCs w:val="17"/>
                <w:color w:val="auto"/>
              </w:rPr>
            </w:pPr>
          </w:p>
        </w:tc>
        <w:tc>
          <w:tcPr>
            <w:tcW w:w="1600" w:type="dxa"/>
            <w:vAlign w:val="bottom"/>
            <w:gridSpan w:val="3"/>
          </w:tcPr>
          <w:p>
            <w:pPr>
              <w:jc w:val="center"/>
              <w:ind w:left="168"/>
              <w:spacing w:after="0"/>
              <w:rPr>
                <w:sz w:val="20"/>
                <w:szCs w:val="20"/>
                <w:color w:val="auto"/>
              </w:rPr>
            </w:pPr>
            <w:r>
              <w:rPr>
                <w:rFonts w:ascii="Arial" w:cs="Arial" w:eastAsia="Arial" w:hAnsi="Arial"/>
                <w:sz w:val="14"/>
                <w:szCs w:val="14"/>
                <w:color w:val="auto"/>
              </w:rPr>
              <w:t>(unaudited)</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78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780" w:type="dxa"/>
            <w:vAlign w:val="bottom"/>
          </w:tcPr>
          <w:p>
            <w:pPr>
              <w:ind w:left="180"/>
              <w:spacing w:after="0"/>
              <w:rPr>
                <w:sz w:val="20"/>
                <w:szCs w:val="20"/>
                <w:color w:val="auto"/>
              </w:rPr>
            </w:pPr>
            <w:r>
              <w:rPr>
                <w:rFonts w:ascii="Arial" w:cs="Arial" w:eastAsia="Arial" w:hAnsi="Arial"/>
                <w:sz w:val="16"/>
                <w:szCs w:val="16"/>
                <w:color w:val="auto"/>
              </w:rPr>
              <w:t>Interest payments, net of amounts capitalized</w:t>
            </w:r>
          </w:p>
        </w:tc>
        <w:tc>
          <w:tcPr>
            <w:tcW w:w="1520" w:type="dxa"/>
            <w:vAlign w:val="bottom"/>
            <w:gridSpan w:val="2"/>
          </w:tcPr>
          <w:p>
            <w:pPr>
              <w:jc w:val="right"/>
              <w:ind w:right="428"/>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71</w:t>
            </w:r>
          </w:p>
        </w:tc>
        <w:tc>
          <w:tcPr>
            <w:tcW w:w="720" w:type="dxa"/>
            <w:vAlign w:val="bottom"/>
          </w:tcPr>
          <w:p>
            <w:pPr>
              <w:jc w:val="right"/>
              <w:ind w:right="522"/>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w w:val="89"/>
              </w:rPr>
              <w:t>56</w:t>
            </w:r>
          </w:p>
        </w:tc>
        <w:tc>
          <w:tcPr>
            <w:tcW w:w="0" w:type="dxa"/>
            <w:vAlign w:val="bottom"/>
          </w:tcPr>
          <w:p>
            <w:pPr>
              <w:spacing w:after="0"/>
              <w:rPr>
                <w:sz w:val="1"/>
                <w:szCs w:val="1"/>
                <w:color w:val="auto"/>
              </w:rPr>
            </w:pPr>
          </w:p>
        </w:tc>
      </w:tr>
      <w:tr>
        <w:trPr>
          <w:trHeight w:val="195"/>
        </w:trPr>
        <w:tc>
          <w:tcPr>
            <w:tcW w:w="5780" w:type="dxa"/>
            <w:vAlign w:val="bottom"/>
          </w:tcPr>
          <w:p>
            <w:pPr>
              <w:ind w:left="180"/>
              <w:spacing w:after="0"/>
              <w:rPr>
                <w:sz w:val="20"/>
                <w:szCs w:val="20"/>
                <w:color w:val="auto"/>
              </w:rPr>
            </w:pPr>
            <w:r>
              <w:rPr>
                <w:rFonts w:ascii="Arial" w:cs="Arial" w:eastAsia="Arial" w:hAnsi="Arial"/>
                <w:sz w:val="16"/>
                <w:szCs w:val="16"/>
                <w:color w:val="auto"/>
              </w:rPr>
              <w:t>Income tax refunds, net</w:t>
            </w:r>
          </w:p>
        </w:tc>
        <w:tc>
          <w:tcPr>
            <w:tcW w:w="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73</w:t>
            </w:r>
          </w:p>
        </w:tc>
        <w:tc>
          <w:tcPr>
            <w:tcW w:w="72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w w:val="89"/>
              </w:rPr>
              <w:t>52</w:t>
            </w:r>
          </w:p>
        </w:tc>
        <w:tc>
          <w:tcPr>
            <w:tcW w:w="0" w:type="dxa"/>
            <w:vAlign w:val="bottom"/>
          </w:tcPr>
          <w:p>
            <w:pPr>
              <w:spacing w:after="0"/>
              <w:rPr>
                <w:sz w:val="1"/>
                <w:szCs w:val="1"/>
                <w:color w:val="auto"/>
              </w:rPr>
            </w:pPr>
          </w:p>
        </w:tc>
      </w:tr>
      <w:tr>
        <w:trPr>
          <w:trHeight w:val="373"/>
        </w:trPr>
        <w:tc>
          <w:tcPr>
            <w:tcW w:w="5780" w:type="dxa"/>
            <w:vAlign w:val="bottom"/>
          </w:tcPr>
          <w:p>
            <w:pPr>
              <w:spacing w:after="0"/>
              <w:rPr>
                <w:sz w:val="20"/>
                <w:szCs w:val="20"/>
                <w:color w:val="auto"/>
              </w:rPr>
            </w:pPr>
            <w:r>
              <w:rPr>
                <w:rFonts w:ascii="Arial" w:cs="Arial" w:eastAsia="Arial" w:hAnsi="Arial"/>
                <w:sz w:val="16"/>
                <w:szCs w:val="16"/>
                <w:color w:val="auto"/>
              </w:rPr>
              <w:t>SUPPLEMENTAL DISCLOSURE OF NONCASH ACTIVITIES</w:t>
            </w: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780" w:type="dxa"/>
            <w:vAlign w:val="bottom"/>
          </w:tcPr>
          <w:p>
            <w:pPr>
              <w:ind w:left="180"/>
              <w:spacing w:after="0"/>
              <w:rPr>
                <w:sz w:val="20"/>
                <w:szCs w:val="20"/>
                <w:color w:val="auto"/>
              </w:rPr>
            </w:pPr>
            <w:r>
              <w:rPr>
                <w:rFonts w:ascii="Arial" w:cs="Arial" w:eastAsia="Arial" w:hAnsi="Arial"/>
                <w:sz w:val="16"/>
                <w:szCs w:val="16"/>
                <w:color w:val="auto"/>
              </w:rPr>
              <w:t>Dividends declared but not paid</w:t>
            </w:r>
          </w:p>
        </w:tc>
        <w:tc>
          <w:tcPr>
            <w:tcW w:w="1520" w:type="dxa"/>
            <w:vAlign w:val="bottom"/>
            <w:gridSpan w:val="2"/>
          </w:tcPr>
          <w:p>
            <w:pPr>
              <w:jc w:val="right"/>
              <w:ind w:right="428"/>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99</w:t>
            </w:r>
          </w:p>
        </w:tc>
        <w:tc>
          <w:tcPr>
            <w:tcW w:w="720" w:type="dxa"/>
            <w:vAlign w:val="bottom"/>
          </w:tcPr>
          <w:p>
            <w:pPr>
              <w:jc w:val="right"/>
              <w:ind w:right="522"/>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w w:val="89"/>
              </w:rPr>
              <w:t>98</w:t>
            </w:r>
          </w:p>
        </w:tc>
        <w:tc>
          <w:tcPr>
            <w:tcW w:w="0" w:type="dxa"/>
            <w:vAlign w:val="bottom"/>
          </w:tcPr>
          <w:p>
            <w:pPr>
              <w:spacing w:after="0"/>
              <w:rPr>
                <w:sz w:val="1"/>
                <w:szCs w:val="1"/>
                <w:color w:val="auto"/>
              </w:rPr>
            </w:pPr>
          </w:p>
        </w:tc>
      </w:tr>
      <w:tr>
        <w:trPr>
          <w:trHeight w:val="81"/>
        </w:trPr>
        <w:tc>
          <w:tcPr>
            <w:tcW w:w="5780" w:type="dxa"/>
            <w:vAlign w:val="bottom"/>
            <w:shd w:val="clear" w:color="auto" w:fill="000000"/>
          </w:tcPr>
          <w:p>
            <w:pPr>
              <w:spacing w:after="0"/>
              <w:rPr>
                <w:sz w:val="7"/>
                <w:szCs w:val="7"/>
                <w:color w:val="auto"/>
              </w:rPr>
            </w:pPr>
          </w:p>
        </w:tc>
        <w:tc>
          <w:tcPr>
            <w:tcW w:w="920" w:type="dxa"/>
            <w:vAlign w:val="bottom"/>
            <w:shd w:val="clear" w:color="auto" w:fill="000000"/>
          </w:tcPr>
          <w:p>
            <w:pPr>
              <w:spacing w:after="0"/>
              <w:rPr>
                <w:sz w:val="7"/>
                <w:szCs w:val="7"/>
                <w:color w:val="auto"/>
              </w:rPr>
            </w:pPr>
          </w:p>
        </w:tc>
        <w:tc>
          <w:tcPr>
            <w:tcW w:w="600" w:type="dxa"/>
            <w:vAlign w:val="bottom"/>
            <w:shd w:val="clear" w:color="auto" w:fill="000000"/>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72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ectPr>
          <w:pgSz w:w="11900" w:h="16838" w:orient="portrait"/>
          <w:cols w:equalWidth="0" w:num="1">
            <w:col w:w="10219"/>
          </w:cols>
          <w:pgMar w:left="240" w:top="135" w:right="1440"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color w:val="auto"/>
        </w:rPr>
        <w:t>SAN DIEGO GAS &amp; ELECTRIC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4562475" cy="3517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562475" cy="3517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1920" w:type="dxa"/>
            <w:vAlign w:val="bottom"/>
            <w:gridSpan w:val="4"/>
          </w:tcPr>
          <w:p>
            <w:pPr>
              <w:jc w:val="center"/>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57"/>
        </w:trPr>
        <w:tc>
          <w:tcPr>
            <w:tcW w:w="528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center"/>
              <w:ind w:right="225"/>
              <w:spacing w:after="0" w:line="157" w:lineRule="exact"/>
              <w:rPr>
                <w:sz w:val="20"/>
                <w:szCs w:val="20"/>
                <w:color w:val="auto"/>
              </w:rPr>
            </w:pPr>
            <w:r>
              <w:rPr>
                <w:rFonts w:ascii="Arial" w:cs="Arial" w:eastAsia="Arial" w:hAnsi="Arial"/>
                <w:sz w:val="14"/>
                <w:szCs w:val="14"/>
                <w:color w:val="auto"/>
              </w:rPr>
              <w:t>March 31,</w:t>
            </w:r>
          </w:p>
        </w:tc>
        <w:tc>
          <w:tcPr>
            <w:tcW w:w="3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2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2010</w:t>
            </w:r>
          </w:p>
        </w:tc>
        <w:tc>
          <w:tcPr>
            <w:tcW w:w="3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2009</w:t>
            </w:r>
          </w:p>
        </w:tc>
        <w:tc>
          <w:tcPr>
            <w:tcW w:w="3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280" w:type="dxa"/>
            <w:vAlign w:val="bottom"/>
            <w:vMerge w:val="restart"/>
          </w:tcPr>
          <w:p>
            <w:pPr>
              <w:spacing w:after="0"/>
              <w:rPr>
                <w:sz w:val="20"/>
                <w:szCs w:val="20"/>
                <w:color w:val="auto"/>
              </w:rPr>
            </w:pPr>
            <w:r>
              <w:rPr>
                <w:rFonts w:ascii="Arial" w:cs="Arial" w:eastAsia="Arial" w:hAnsi="Arial"/>
                <w:sz w:val="16"/>
                <w:szCs w:val="16"/>
                <w:color w:val="auto"/>
              </w:rPr>
              <w:t>Operating revenues</w:t>
            </w:r>
          </w:p>
        </w:tc>
        <w:tc>
          <w:tcPr>
            <w:tcW w:w="1580" w:type="dxa"/>
            <w:vAlign w:val="bottom"/>
            <w:gridSpan w:val="3"/>
          </w:tcPr>
          <w:p>
            <w:pPr>
              <w:jc w:val="center"/>
              <w:ind w:left="264"/>
              <w:spacing w:after="0"/>
              <w:rPr>
                <w:sz w:val="20"/>
                <w:szCs w:val="20"/>
                <w:color w:val="auto"/>
              </w:rPr>
            </w:pPr>
            <w:r>
              <w:rPr>
                <w:rFonts w:ascii="Arial" w:cs="Arial" w:eastAsia="Arial" w:hAnsi="Arial"/>
                <w:sz w:val="14"/>
                <w:szCs w:val="14"/>
                <w:color w:val="auto"/>
              </w:rPr>
              <w:t>(unaudited)</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28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80" w:type="dxa"/>
            <w:vAlign w:val="bottom"/>
          </w:tcPr>
          <w:p>
            <w:pPr>
              <w:ind w:left="180"/>
              <w:spacing w:after="0"/>
              <w:rPr>
                <w:sz w:val="20"/>
                <w:szCs w:val="20"/>
                <w:color w:val="auto"/>
              </w:rPr>
            </w:pPr>
            <w:r>
              <w:rPr>
                <w:rFonts w:ascii="Arial" w:cs="Arial" w:eastAsia="Arial" w:hAnsi="Arial"/>
                <w:sz w:val="16"/>
                <w:szCs w:val="16"/>
                <w:color w:val="auto"/>
              </w:rPr>
              <w:t>Electric</w:t>
            </w:r>
          </w:p>
        </w:tc>
        <w:tc>
          <w:tcPr>
            <w:tcW w:w="640" w:type="dxa"/>
            <w:vAlign w:val="bottom"/>
          </w:tcPr>
          <w:p>
            <w:pPr>
              <w:jc w:val="right"/>
              <w:ind w:right="464"/>
              <w:spacing w:after="0"/>
              <w:rPr>
                <w:sz w:val="20"/>
                <w:szCs w:val="20"/>
                <w:color w:val="auto"/>
              </w:rPr>
            </w:pPr>
            <w:r>
              <w:rPr>
                <w:rFonts w:ascii="Arial" w:cs="Arial" w:eastAsia="Arial" w:hAnsi="Arial"/>
                <w:sz w:val="16"/>
                <w:szCs w:val="16"/>
                <w:color w:val="auto"/>
                <w:w w:val="89"/>
              </w:rPr>
              <w:t>$</w:t>
            </w:r>
          </w:p>
        </w:tc>
        <w:tc>
          <w:tcPr>
            <w:tcW w:w="320" w:type="dxa"/>
            <w:vAlign w:val="bottom"/>
          </w:tcPr>
          <w:p>
            <w:pPr>
              <w:jc w:val="right"/>
              <w:spacing w:after="0"/>
              <w:rPr>
                <w:sz w:val="20"/>
                <w:szCs w:val="20"/>
                <w:color w:val="auto"/>
              </w:rPr>
            </w:pPr>
            <w:r>
              <w:rPr>
                <w:rFonts w:ascii="Arial" w:cs="Arial" w:eastAsia="Arial" w:hAnsi="Arial"/>
                <w:sz w:val="16"/>
                <w:szCs w:val="16"/>
                <w:color w:val="auto"/>
                <w:w w:val="89"/>
              </w:rPr>
              <w:t>563</w:t>
            </w:r>
          </w:p>
        </w:tc>
        <w:tc>
          <w:tcPr>
            <w:tcW w:w="620" w:type="dxa"/>
            <w:vAlign w:val="bottom"/>
          </w:tcPr>
          <w:p>
            <w:pPr>
              <w:jc w:val="right"/>
              <w:ind w:right="465"/>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6"/>
                <w:szCs w:val="16"/>
                <w:color w:val="auto"/>
                <w:w w:val="97"/>
              </w:rPr>
              <w:t>553</w:t>
            </w:r>
          </w:p>
        </w:tc>
        <w:tc>
          <w:tcPr>
            <w:tcW w:w="0" w:type="dxa"/>
            <w:vAlign w:val="bottom"/>
          </w:tcPr>
          <w:p>
            <w:pPr>
              <w:spacing w:after="0"/>
              <w:rPr>
                <w:sz w:val="1"/>
                <w:szCs w:val="1"/>
                <w:color w:val="auto"/>
              </w:rPr>
            </w:pPr>
          </w:p>
        </w:tc>
      </w:tr>
      <w:tr>
        <w:trPr>
          <w:trHeight w:val="187"/>
        </w:trPr>
        <w:tc>
          <w:tcPr>
            <w:tcW w:w="5280" w:type="dxa"/>
            <w:vAlign w:val="bottom"/>
          </w:tcPr>
          <w:p>
            <w:pPr>
              <w:ind w:left="180"/>
              <w:spacing w:after="0"/>
              <w:rPr>
                <w:sz w:val="20"/>
                <w:szCs w:val="20"/>
                <w:color w:val="auto"/>
              </w:rPr>
            </w:pPr>
            <w:r>
              <w:rPr>
                <w:rFonts w:ascii="Arial" w:cs="Arial" w:eastAsia="Arial" w:hAnsi="Arial"/>
                <w:sz w:val="16"/>
                <w:szCs w:val="16"/>
                <w:color w:val="auto"/>
              </w:rPr>
              <w:t>Natural gas</w:t>
            </w:r>
          </w:p>
        </w:tc>
        <w:tc>
          <w:tcPr>
            <w:tcW w:w="6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179</w:t>
            </w:r>
          </w:p>
        </w:tc>
        <w:tc>
          <w:tcPr>
            <w:tcW w:w="6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179</w:t>
            </w:r>
          </w:p>
        </w:tc>
        <w:tc>
          <w:tcPr>
            <w:tcW w:w="0" w:type="dxa"/>
            <w:vAlign w:val="bottom"/>
          </w:tcPr>
          <w:p>
            <w:pPr>
              <w:spacing w:after="0"/>
              <w:rPr>
                <w:sz w:val="1"/>
                <w:szCs w:val="1"/>
                <w:color w:val="auto"/>
              </w:rPr>
            </w:pPr>
          </w:p>
        </w:tc>
      </w:tr>
      <w:tr>
        <w:trPr>
          <w:trHeight w:val="183"/>
        </w:trPr>
        <w:tc>
          <w:tcPr>
            <w:tcW w:w="5280" w:type="dxa"/>
            <w:vAlign w:val="bottom"/>
          </w:tcPr>
          <w:p>
            <w:pPr>
              <w:ind w:left="360"/>
              <w:spacing w:after="0" w:line="183" w:lineRule="exact"/>
              <w:rPr>
                <w:sz w:val="20"/>
                <w:szCs w:val="20"/>
                <w:color w:val="auto"/>
              </w:rPr>
            </w:pPr>
            <w:r>
              <w:rPr>
                <w:rFonts w:ascii="Arial" w:cs="Arial" w:eastAsia="Arial" w:hAnsi="Arial"/>
                <w:sz w:val="16"/>
                <w:szCs w:val="16"/>
                <w:color w:val="auto"/>
              </w:rPr>
              <w:t>Total operating revenues</w:t>
            </w:r>
          </w:p>
        </w:tc>
        <w:tc>
          <w:tcPr>
            <w:tcW w:w="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742</w:t>
            </w:r>
          </w:p>
        </w:tc>
        <w:tc>
          <w:tcPr>
            <w:tcW w:w="6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97"/>
              </w:rPr>
              <w:t>732</w:t>
            </w:r>
          </w:p>
        </w:tc>
        <w:tc>
          <w:tcPr>
            <w:tcW w:w="0" w:type="dxa"/>
            <w:vAlign w:val="bottom"/>
          </w:tcPr>
          <w:p>
            <w:pPr>
              <w:spacing w:after="0"/>
              <w:rPr>
                <w:sz w:val="1"/>
                <w:szCs w:val="1"/>
                <w:color w:val="auto"/>
              </w:rPr>
            </w:pPr>
          </w:p>
        </w:tc>
      </w:tr>
      <w:tr>
        <w:trPr>
          <w:trHeight w:val="184"/>
        </w:trPr>
        <w:tc>
          <w:tcPr>
            <w:tcW w:w="5280" w:type="dxa"/>
            <w:vAlign w:val="bottom"/>
          </w:tcPr>
          <w:p>
            <w:pPr>
              <w:spacing w:after="0"/>
              <w:rPr>
                <w:sz w:val="20"/>
                <w:szCs w:val="20"/>
                <w:color w:val="auto"/>
              </w:rPr>
            </w:pPr>
            <w:r>
              <w:rPr>
                <w:rFonts w:ascii="Arial" w:cs="Arial" w:eastAsia="Arial" w:hAnsi="Arial"/>
                <w:sz w:val="16"/>
                <w:szCs w:val="16"/>
                <w:color w:val="auto"/>
              </w:rPr>
              <w:t>Operating expenses</w:t>
            </w: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80" w:type="dxa"/>
            <w:vAlign w:val="bottom"/>
          </w:tcPr>
          <w:p>
            <w:pPr>
              <w:ind w:left="180"/>
              <w:spacing w:after="0"/>
              <w:rPr>
                <w:sz w:val="20"/>
                <w:szCs w:val="20"/>
                <w:color w:val="auto"/>
              </w:rPr>
            </w:pPr>
            <w:r>
              <w:rPr>
                <w:rFonts w:ascii="Arial" w:cs="Arial" w:eastAsia="Arial" w:hAnsi="Arial"/>
                <w:sz w:val="16"/>
                <w:szCs w:val="16"/>
                <w:color w:val="auto"/>
              </w:rPr>
              <w:t>Cost of electric fuel and purchased power</w:t>
            </w:r>
          </w:p>
        </w:tc>
        <w:tc>
          <w:tcPr>
            <w:tcW w:w="6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w w:val="89"/>
              </w:rPr>
              <w:t>148</w:t>
            </w:r>
          </w:p>
        </w:tc>
        <w:tc>
          <w:tcPr>
            <w:tcW w:w="6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w w:val="97"/>
              </w:rPr>
              <w:t>171</w:t>
            </w:r>
          </w:p>
        </w:tc>
        <w:tc>
          <w:tcPr>
            <w:tcW w:w="0" w:type="dxa"/>
            <w:vAlign w:val="bottom"/>
          </w:tcPr>
          <w:p>
            <w:pPr>
              <w:spacing w:after="0"/>
              <w:rPr>
                <w:sz w:val="1"/>
                <w:szCs w:val="1"/>
                <w:color w:val="auto"/>
              </w:rPr>
            </w:pPr>
          </w:p>
        </w:tc>
      </w:tr>
      <w:tr>
        <w:trPr>
          <w:trHeight w:val="189"/>
        </w:trPr>
        <w:tc>
          <w:tcPr>
            <w:tcW w:w="5280" w:type="dxa"/>
            <w:vAlign w:val="bottom"/>
          </w:tcPr>
          <w:p>
            <w:pPr>
              <w:ind w:left="180"/>
              <w:spacing w:after="0"/>
              <w:rPr>
                <w:sz w:val="20"/>
                <w:szCs w:val="20"/>
                <w:color w:val="auto"/>
              </w:rPr>
            </w:pPr>
            <w:r>
              <w:rPr>
                <w:rFonts w:ascii="Arial" w:cs="Arial" w:eastAsia="Arial" w:hAnsi="Arial"/>
                <w:sz w:val="16"/>
                <w:szCs w:val="16"/>
                <w:color w:val="auto"/>
              </w:rPr>
              <w:t>Cost of natural gas</w:t>
            </w:r>
          </w:p>
        </w:tc>
        <w:tc>
          <w:tcPr>
            <w:tcW w:w="6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89</w:t>
            </w:r>
          </w:p>
        </w:tc>
        <w:tc>
          <w:tcPr>
            <w:tcW w:w="6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189"/>
        </w:trPr>
        <w:tc>
          <w:tcPr>
            <w:tcW w:w="5280" w:type="dxa"/>
            <w:vAlign w:val="bottom"/>
          </w:tcPr>
          <w:p>
            <w:pPr>
              <w:ind w:left="180"/>
              <w:spacing w:after="0"/>
              <w:rPr>
                <w:sz w:val="20"/>
                <w:szCs w:val="20"/>
                <w:color w:val="auto"/>
              </w:rPr>
            </w:pPr>
            <w:r>
              <w:rPr>
                <w:rFonts w:ascii="Arial" w:cs="Arial" w:eastAsia="Arial" w:hAnsi="Arial"/>
                <w:sz w:val="16"/>
                <w:szCs w:val="16"/>
                <w:color w:val="auto"/>
              </w:rPr>
              <w:t>Operation and maintenance</w:t>
            </w:r>
          </w:p>
        </w:tc>
        <w:tc>
          <w:tcPr>
            <w:tcW w:w="6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w w:val="89"/>
              </w:rPr>
              <w:t>232</w:t>
            </w:r>
          </w:p>
        </w:tc>
        <w:tc>
          <w:tcPr>
            <w:tcW w:w="6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w w:val="97"/>
              </w:rPr>
              <w:t>181</w:t>
            </w:r>
          </w:p>
        </w:tc>
        <w:tc>
          <w:tcPr>
            <w:tcW w:w="0" w:type="dxa"/>
            <w:vAlign w:val="bottom"/>
          </w:tcPr>
          <w:p>
            <w:pPr>
              <w:spacing w:after="0"/>
              <w:rPr>
                <w:sz w:val="1"/>
                <w:szCs w:val="1"/>
                <w:color w:val="auto"/>
              </w:rPr>
            </w:pPr>
          </w:p>
        </w:tc>
      </w:tr>
      <w:tr>
        <w:trPr>
          <w:trHeight w:val="189"/>
        </w:trPr>
        <w:tc>
          <w:tcPr>
            <w:tcW w:w="528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6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92</w:t>
            </w:r>
          </w:p>
        </w:tc>
        <w:tc>
          <w:tcPr>
            <w:tcW w:w="6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187"/>
        </w:trPr>
        <w:tc>
          <w:tcPr>
            <w:tcW w:w="5280" w:type="dxa"/>
            <w:vAlign w:val="bottom"/>
          </w:tcPr>
          <w:p>
            <w:pPr>
              <w:ind w:left="180"/>
              <w:spacing w:after="0"/>
              <w:rPr>
                <w:sz w:val="20"/>
                <w:szCs w:val="20"/>
                <w:color w:val="auto"/>
              </w:rPr>
            </w:pPr>
            <w:r>
              <w:rPr>
                <w:rFonts w:ascii="Arial" w:cs="Arial" w:eastAsia="Arial" w:hAnsi="Arial"/>
                <w:sz w:val="16"/>
                <w:szCs w:val="16"/>
                <w:color w:val="auto"/>
              </w:rPr>
              <w:t>Franchise fees and other taxes</w:t>
            </w:r>
          </w:p>
        </w:tc>
        <w:tc>
          <w:tcPr>
            <w:tcW w:w="6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6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183"/>
        </w:trPr>
        <w:tc>
          <w:tcPr>
            <w:tcW w:w="5280" w:type="dxa"/>
            <w:vAlign w:val="bottom"/>
          </w:tcPr>
          <w:p>
            <w:pPr>
              <w:ind w:left="360"/>
              <w:spacing w:after="0" w:line="183" w:lineRule="exact"/>
              <w:rPr>
                <w:sz w:val="20"/>
                <w:szCs w:val="20"/>
                <w:color w:val="auto"/>
              </w:rPr>
            </w:pPr>
            <w:r>
              <w:rPr>
                <w:rFonts w:ascii="Arial" w:cs="Arial" w:eastAsia="Arial" w:hAnsi="Arial"/>
                <w:sz w:val="16"/>
                <w:szCs w:val="16"/>
                <w:color w:val="auto"/>
              </w:rPr>
              <w:t>Total operating expenses</w:t>
            </w:r>
          </w:p>
        </w:tc>
        <w:tc>
          <w:tcPr>
            <w:tcW w:w="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604</w:t>
            </w:r>
          </w:p>
        </w:tc>
        <w:tc>
          <w:tcPr>
            <w:tcW w:w="6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97"/>
              </w:rPr>
              <w:t>557</w:t>
            </w:r>
          </w:p>
        </w:tc>
        <w:tc>
          <w:tcPr>
            <w:tcW w:w="0" w:type="dxa"/>
            <w:vAlign w:val="bottom"/>
          </w:tcPr>
          <w:p>
            <w:pPr>
              <w:spacing w:after="0"/>
              <w:rPr>
                <w:sz w:val="1"/>
                <w:szCs w:val="1"/>
                <w:color w:val="auto"/>
              </w:rPr>
            </w:pPr>
          </w:p>
        </w:tc>
      </w:tr>
      <w:tr>
        <w:trPr>
          <w:trHeight w:val="184"/>
        </w:trPr>
        <w:tc>
          <w:tcPr>
            <w:tcW w:w="5280" w:type="dxa"/>
            <w:vAlign w:val="bottom"/>
          </w:tcPr>
          <w:p>
            <w:pPr>
              <w:spacing w:after="0"/>
              <w:rPr>
                <w:sz w:val="20"/>
                <w:szCs w:val="20"/>
                <w:color w:val="auto"/>
              </w:rPr>
            </w:pPr>
            <w:r>
              <w:rPr>
                <w:rFonts w:ascii="Arial" w:cs="Arial" w:eastAsia="Arial" w:hAnsi="Arial"/>
                <w:sz w:val="16"/>
                <w:szCs w:val="16"/>
                <w:color w:val="auto"/>
              </w:rPr>
              <w:t>Operating income</w:t>
            </w:r>
          </w:p>
        </w:tc>
        <w:tc>
          <w:tcPr>
            <w:tcW w:w="6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w w:val="89"/>
              </w:rPr>
              <w:t>138</w:t>
            </w:r>
          </w:p>
        </w:tc>
        <w:tc>
          <w:tcPr>
            <w:tcW w:w="6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w w:val="97"/>
              </w:rPr>
              <w:t>175</w:t>
            </w:r>
          </w:p>
        </w:tc>
        <w:tc>
          <w:tcPr>
            <w:tcW w:w="0" w:type="dxa"/>
            <w:vAlign w:val="bottom"/>
          </w:tcPr>
          <w:p>
            <w:pPr>
              <w:spacing w:after="0"/>
              <w:rPr>
                <w:sz w:val="1"/>
                <w:szCs w:val="1"/>
                <w:color w:val="auto"/>
              </w:rPr>
            </w:pPr>
          </w:p>
        </w:tc>
      </w:tr>
      <w:tr>
        <w:trPr>
          <w:trHeight w:val="189"/>
        </w:trPr>
        <w:tc>
          <w:tcPr>
            <w:tcW w:w="5280" w:type="dxa"/>
            <w:vAlign w:val="bottom"/>
          </w:tcPr>
          <w:p>
            <w:pPr>
              <w:spacing w:after="0"/>
              <w:rPr>
                <w:sz w:val="20"/>
                <w:szCs w:val="20"/>
                <w:color w:val="auto"/>
              </w:rPr>
            </w:pPr>
            <w:r>
              <w:rPr>
                <w:rFonts w:ascii="Arial" w:cs="Arial" w:eastAsia="Arial" w:hAnsi="Arial"/>
                <w:sz w:val="16"/>
                <w:szCs w:val="16"/>
                <w:color w:val="auto"/>
              </w:rPr>
              <w:t>Other income, net</w:t>
            </w:r>
          </w:p>
        </w:tc>
        <w:tc>
          <w:tcPr>
            <w:tcW w:w="6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87"/>
        </w:trPr>
        <w:tc>
          <w:tcPr>
            <w:tcW w:w="5280" w:type="dxa"/>
            <w:vAlign w:val="bottom"/>
          </w:tcPr>
          <w:p>
            <w:pPr>
              <w:spacing w:after="0"/>
              <w:rPr>
                <w:sz w:val="20"/>
                <w:szCs w:val="20"/>
                <w:color w:val="auto"/>
              </w:rPr>
            </w:pPr>
            <w:r>
              <w:rPr>
                <w:rFonts w:ascii="Arial" w:cs="Arial" w:eastAsia="Arial" w:hAnsi="Arial"/>
                <w:sz w:val="16"/>
                <w:szCs w:val="16"/>
                <w:color w:val="auto"/>
              </w:rPr>
              <w:t>Interest expense</w:t>
            </w:r>
          </w:p>
        </w:tc>
        <w:tc>
          <w:tcPr>
            <w:tcW w:w="6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6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84"/>
        </w:trPr>
        <w:tc>
          <w:tcPr>
            <w:tcW w:w="528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6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w w:val="89"/>
              </w:rPr>
              <w:t>107</w:t>
            </w:r>
          </w:p>
        </w:tc>
        <w:tc>
          <w:tcPr>
            <w:tcW w:w="6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w w:val="97"/>
              </w:rPr>
              <w:t>167</w:t>
            </w:r>
          </w:p>
        </w:tc>
        <w:tc>
          <w:tcPr>
            <w:tcW w:w="0" w:type="dxa"/>
            <w:vAlign w:val="bottom"/>
          </w:tcPr>
          <w:p>
            <w:pPr>
              <w:spacing w:after="0"/>
              <w:rPr>
                <w:sz w:val="1"/>
                <w:szCs w:val="1"/>
                <w:color w:val="auto"/>
              </w:rPr>
            </w:pPr>
          </w:p>
        </w:tc>
      </w:tr>
      <w:tr>
        <w:trPr>
          <w:trHeight w:val="187"/>
        </w:trPr>
        <w:tc>
          <w:tcPr>
            <w:tcW w:w="5280" w:type="dxa"/>
            <w:vAlign w:val="bottom"/>
          </w:tcPr>
          <w:p>
            <w:pPr>
              <w:spacing w:after="0"/>
              <w:rPr>
                <w:sz w:val="20"/>
                <w:szCs w:val="20"/>
                <w:color w:val="auto"/>
              </w:rPr>
            </w:pPr>
            <w:r>
              <w:rPr>
                <w:rFonts w:ascii="Arial" w:cs="Arial" w:eastAsia="Arial" w:hAnsi="Arial"/>
                <w:sz w:val="16"/>
                <w:szCs w:val="16"/>
                <w:color w:val="auto"/>
              </w:rPr>
              <w:t>Income tax expense</w:t>
            </w:r>
          </w:p>
        </w:tc>
        <w:tc>
          <w:tcPr>
            <w:tcW w:w="6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6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184"/>
        </w:trPr>
        <w:tc>
          <w:tcPr>
            <w:tcW w:w="5280" w:type="dxa"/>
            <w:vAlign w:val="bottom"/>
          </w:tcPr>
          <w:p>
            <w:pPr>
              <w:spacing w:after="0"/>
              <w:rPr>
                <w:sz w:val="20"/>
                <w:szCs w:val="20"/>
                <w:color w:val="auto"/>
              </w:rPr>
            </w:pPr>
            <w:r>
              <w:rPr>
                <w:rFonts w:ascii="Arial" w:cs="Arial" w:eastAsia="Arial" w:hAnsi="Arial"/>
                <w:sz w:val="16"/>
                <w:szCs w:val="16"/>
                <w:color w:val="auto"/>
              </w:rPr>
              <w:t>Net income</w:t>
            </w:r>
          </w:p>
        </w:tc>
        <w:tc>
          <w:tcPr>
            <w:tcW w:w="6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76</w:t>
            </w:r>
          </w:p>
        </w:tc>
        <w:tc>
          <w:tcPr>
            <w:tcW w:w="6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w w:val="97"/>
              </w:rPr>
              <w:t>107</w:t>
            </w:r>
          </w:p>
        </w:tc>
        <w:tc>
          <w:tcPr>
            <w:tcW w:w="0" w:type="dxa"/>
            <w:vAlign w:val="bottom"/>
          </w:tcPr>
          <w:p>
            <w:pPr>
              <w:spacing w:after="0"/>
              <w:rPr>
                <w:sz w:val="1"/>
                <w:szCs w:val="1"/>
                <w:color w:val="auto"/>
              </w:rPr>
            </w:pPr>
          </w:p>
        </w:tc>
      </w:tr>
      <w:tr>
        <w:trPr>
          <w:trHeight w:val="187"/>
        </w:trPr>
        <w:tc>
          <w:tcPr>
            <w:tcW w:w="5280" w:type="dxa"/>
            <w:vAlign w:val="bottom"/>
          </w:tcPr>
          <w:p>
            <w:pPr>
              <w:spacing w:after="0"/>
              <w:rPr>
                <w:sz w:val="20"/>
                <w:szCs w:val="20"/>
                <w:color w:val="auto"/>
              </w:rPr>
            </w:pPr>
            <w:r>
              <w:rPr>
                <w:rFonts w:ascii="Arial" w:cs="Arial" w:eastAsia="Arial" w:hAnsi="Arial"/>
                <w:sz w:val="16"/>
                <w:szCs w:val="16"/>
                <w:color w:val="auto"/>
              </w:rPr>
              <w:t>Losses (earnings) attributable to noncontrolling interests</w:t>
            </w:r>
          </w:p>
        </w:tc>
        <w:tc>
          <w:tcPr>
            <w:tcW w:w="6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6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84"/>
        </w:trPr>
        <w:tc>
          <w:tcPr>
            <w:tcW w:w="5280" w:type="dxa"/>
            <w:vAlign w:val="bottom"/>
          </w:tcPr>
          <w:p>
            <w:pPr>
              <w:spacing w:after="0"/>
              <w:rPr>
                <w:sz w:val="20"/>
                <w:szCs w:val="20"/>
                <w:color w:val="auto"/>
              </w:rPr>
            </w:pPr>
            <w:r>
              <w:rPr>
                <w:rFonts w:ascii="Arial" w:cs="Arial" w:eastAsia="Arial" w:hAnsi="Arial"/>
                <w:sz w:val="16"/>
                <w:szCs w:val="16"/>
                <w:color w:val="auto"/>
              </w:rPr>
              <w:t>Earnings</w:t>
            </w:r>
          </w:p>
        </w:tc>
        <w:tc>
          <w:tcPr>
            <w:tcW w:w="6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84</w:t>
            </w:r>
          </w:p>
        </w:tc>
        <w:tc>
          <w:tcPr>
            <w:tcW w:w="6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w w:val="97"/>
              </w:rPr>
              <w:t>100</w:t>
            </w:r>
          </w:p>
        </w:tc>
        <w:tc>
          <w:tcPr>
            <w:tcW w:w="0" w:type="dxa"/>
            <w:vAlign w:val="bottom"/>
          </w:tcPr>
          <w:p>
            <w:pPr>
              <w:spacing w:after="0"/>
              <w:rPr>
                <w:sz w:val="1"/>
                <w:szCs w:val="1"/>
                <w:color w:val="auto"/>
              </w:rPr>
            </w:pPr>
          </w:p>
        </w:tc>
      </w:tr>
      <w:tr>
        <w:trPr>
          <w:trHeight w:val="187"/>
        </w:trPr>
        <w:tc>
          <w:tcPr>
            <w:tcW w:w="5280" w:type="dxa"/>
            <w:vAlign w:val="bottom"/>
          </w:tcPr>
          <w:p>
            <w:pPr>
              <w:spacing w:after="0"/>
              <w:rPr>
                <w:sz w:val="20"/>
                <w:szCs w:val="20"/>
                <w:color w:val="auto"/>
              </w:rPr>
            </w:pPr>
            <w:r>
              <w:rPr>
                <w:rFonts w:ascii="Arial" w:cs="Arial" w:eastAsia="Arial" w:hAnsi="Arial"/>
                <w:sz w:val="16"/>
                <w:szCs w:val="16"/>
                <w:color w:val="auto"/>
              </w:rPr>
              <w:t>Preferred dividend requirements</w:t>
            </w:r>
          </w:p>
        </w:tc>
        <w:tc>
          <w:tcPr>
            <w:tcW w:w="6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6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3"/>
        </w:trPr>
        <w:tc>
          <w:tcPr>
            <w:tcW w:w="5280" w:type="dxa"/>
            <w:vAlign w:val="bottom"/>
          </w:tcPr>
          <w:p>
            <w:pPr>
              <w:spacing w:after="0" w:line="183" w:lineRule="exact"/>
              <w:rPr>
                <w:sz w:val="20"/>
                <w:szCs w:val="20"/>
                <w:color w:val="auto"/>
              </w:rPr>
            </w:pPr>
            <w:r>
              <w:rPr>
                <w:rFonts w:ascii="Arial" w:cs="Arial" w:eastAsia="Arial" w:hAnsi="Arial"/>
                <w:sz w:val="16"/>
                <w:szCs w:val="16"/>
                <w:color w:val="auto"/>
              </w:rPr>
              <w:t>Earnings attributable to common shares</w:t>
            </w:r>
          </w:p>
        </w:tc>
        <w:tc>
          <w:tcPr>
            <w:tcW w:w="640" w:type="dxa"/>
            <w:vAlign w:val="bottom"/>
          </w:tcPr>
          <w:p>
            <w:pPr>
              <w:jc w:val="right"/>
              <w:ind w:right="464"/>
              <w:spacing w:after="0" w:line="183" w:lineRule="exact"/>
              <w:rPr>
                <w:sz w:val="20"/>
                <w:szCs w:val="20"/>
                <w:color w:val="auto"/>
              </w:rPr>
            </w:pPr>
            <w:r>
              <w:rPr>
                <w:rFonts w:ascii="Arial" w:cs="Arial" w:eastAsia="Arial" w:hAnsi="Arial"/>
                <w:sz w:val="16"/>
                <w:szCs w:val="16"/>
                <w:color w:val="auto"/>
                <w:w w:val="89"/>
              </w:rPr>
              <w:t>$</w:t>
            </w:r>
          </w:p>
        </w:tc>
        <w:tc>
          <w:tcPr>
            <w:tcW w:w="320" w:type="dxa"/>
            <w:vAlign w:val="bottom"/>
          </w:tcPr>
          <w:p>
            <w:pPr>
              <w:jc w:val="right"/>
              <w:spacing w:after="0" w:line="183" w:lineRule="exact"/>
              <w:rPr>
                <w:sz w:val="20"/>
                <w:szCs w:val="20"/>
                <w:color w:val="auto"/>
              </w:rPr>
            </w:pPr>
            <w:r>
              <w:rPr>
                <w:rFonts w:ascii="Arial" w:cs="Arial" w:eastAsia="Arial" w:hAnsi="Arial"/>
                <w:sz w:val="16"/>
                <w:szCs w:val="16"/>
                <w:color w:val="auto"/>
              </w:rPr>
              <w:t>83</w:t>
            </w:r>
          </w:p>
        </w:tc>
        <w:tc>
          <w:tcPr>
            <w:tcW w:w="620" w:type="dxa"/>
            <w:vAlign w:val="bottom"/>
          </w:tcPr>
          <w:p>
            <w:pPr>
              <w:jc w:val="right"/>
              <w:ind w:right="465"/>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line="183" w:lineRule="exact"/>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81"/>
        </w:trPr>
        <w:tc>
          <w:tcPr>
            <w:tcW w:w="5280" w:type="dxa"/>
            <w:vAlign w:val="bottom"/>
            <w:shd w:val="clear" w:color="auto" w:fill="000000"/>
          </w:tcPr>
          <w:p>
            <w:pPr>
              <w:spacing w:after="0"/>
              <w:rPr>
                <w:sz w:val="7"/>
                <w:szCs w:val="7"/>
                <w:color w:val="auto"/>
              </w:rPr>
            </w:pPr>
          </w:p>
        </w:tc>
        <w:tc>
          <w:tcPr>
            <w:tcW w:w="64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62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ectPr>
          <w:pgSz w:w="11900" w:h="16838" w:orient="portrait"/>
          <w:cols w:equalWidth="0" w:num="1">
            <w:col w:w="10219"/>
          </w:cols>
          <w:pgMar w:left="240" w:top="864" w:right="1440"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auto"/>
        </w:rPr>
        <w:t>SAN DIEGO GAS &amp; ELECTRIC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5737225" cy="3517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37225" cy="3517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60"/>
              <w:spacing w:after="0"/>
              <w:rPr>
                <w:sz w:val="20"/>
                <w:szCs w:val="20"/>
                <w:color w:val="auto"/>
              </w:rPr>
            </w:pPr>
            <w:r>
              <w:rPr>
                <w:rFonts w:ascii="Arial" w:cs="Arial" w:eastAsia="Arial" w:hAnsi="Arial"/>
                <w:sz w:val="14"/>
                <w:szCs w:val="14"/>
                <w:color w:val="auto"/>
              </w:rPr>
              <w:t>March 31,</w:t>
            </w:r>
          </w:p>
        </w:tc>
        <w:tc>
          <w:tcPr>
            <w:tcW w:w="120" w:type="dxa"/>
            <w:vAlign w:val="bottom"/>
          </w:tcPr>
          <w:p>
            <w:pPr>
              <w:spacing w:after="0"/>
              <w:rPr>
                <w:sz w:val="14"/>
                <w:szCs w:val="14"/>
                <w:color w:val="auto"/>
              </w:rPr>
            </w:pPr>
          </w:p>
        </w:tc>
        <w:tc>
          <w:tcPr>
            <w:tcW w:w="1060" w:type="dxa"/>
            <w:vAlign w:val="bottom"/>
          </w:tcPr>
          <w:p>
            <w:pPr>
              <w:jc w:val="right"/>
              <w:ind w:right="6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74"/>
        </w:trPr>
        <w:tc>
          <w:tcPr>
            <w:tcW w:w="67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color w:val="auto"/>
              </w:rPr>
              <w:t>2010</w:t>
            </w: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2009</w:t>
            </w:r>
          </w:p>
        </w:tc>
        <w:tc>
          <w:tcPr>
            <w:tcW w:w="0" w:type="dxa"/>
            <w:vAlign w:val="bottom"/>
          </w:tcPr>
          <w:p>
            <w:pPr>
              <w:spacing w:after="0"/>
              <w:rPr>
                <w:sz w:val="1"/>
                <w:szCs w:val="1"/>
                <w:color w:val="auto"/>
              </w:rPr>
            </w:pPr>
          </w:p>
        </w:tc>
      </w:tr>
      <w:tr>
        <w:trPr>
          <w:trHeight w:val="198"/>
        </w:trPr>
        <w:tc>
          <w:tcPr>
            <w:tcW w:w="6700" w:type="dxa"/>
            <w:vAlign w:val="bottom"/>
            <w:vMerge w:val="restart"/>
          </w:tcPr>
          <w:p>
            <w:pPr>
              <w:spacing w:after="0"/>
              <w:rPr>
                <w:sz w:val="20"/>
                <w:szCs w:val="20"/>
                <w:color w:val="auto"/>
              </w:rPr>
            </w:pPr>
            <w:r>
              <w:rPr>
                <w:rFonts w:ascii="Arial" w:cs="Arial" w:eastAsia="Arial" w:hAnsi="Arial"/>
                <w:sz w:val="16"/>
                <w:szCs w:val="16"/>
                <w:color w:val="auto"/>
              </w:rPr>
              <w:t>ASSETS</w:t>
            </w:r>
          </w:p>
        </w:tc>
        <w:tc>
          <w:tcPr>
            <w:tcW w:w="140" w:type="dxa"/>
            <w:vAlign w:val="bottom"/>
          </w:tcPr>
          <w:p>
            <w:pPr>
              <w:spacing w:after="0"/>
              <w:rPr>
                <w:sz w:val="17"/>
                <w:szCs w:val="17"/>
                <w:color w:val="auto"/>
              </w:rPr>
            </w:pPr>
          </w:p>
        </w:tc>
        <w:tc>
          <w:tcPr>
            <w:tcW w:w="1020" w:type="dxa"/>
            <w:vAlign w:val="bottom"/>
          </w:tcPr>
          <w:p>
            <w:pPr>
              <w:jc w:val="center"/>
              <w:ind w:right="60"/>
              <w:spacing w:after="0"/>
              <w:rPr>
                <w:sz w:val="20"/>
                <w:szCs w:val="20"/>
                <w:color w:val="auto"/>
              </w:rPr>
            </w:pPr>
            <w:r>
              <w:rPr>
                <w:rFonts w:ascii="Arial" w:cs="Arial" w:eastAsia="Arial" w:hAnsi="Arial"/>
                <w:sz w:val="14"/>
                <w:szCs w:val="14"/>
                <w:color w:val="auto"/>
              </w:rPr>
              <w:t>(unaudited)</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7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700" w:type="dxa"/>
            <w:vAlign w:val="bottom"/>
          </w:tcPr>
          <w:p>
            <w:pPr>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Restricted cash</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Accounts receivable - trade</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228</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Accounts receivable - other</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Due from unconsolidated affiliates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Income taxes receivable</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Inventories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Regulatory assets arising from fixed-price contracts and other derivatives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Other regulatory assets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Fixed-price contracts and other derivatives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Insurance receivable related to wildfire litigation (Note 10)</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194</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187"/>
        </w:trPr>
        <w:tc>
          <w:tcPr>
            <w:tcW w:w="6700" w:type="dxa"/>
            <w:vAlign w:val="bottom"/>
          </w:tcPr>
          <w:p>
            <w:pPr>
              <w:ind w:left="18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183"/>
        </w:trPr>
        <w:tc>
          <w:tcPr>
            <w:tcW w:w="6700" w:type="dxa"/>
            <w:vAlign w:val="bottom"/>
          </w:tcPr>
          <w:p>
            <w:pPr>
              <w:ind w:left="360"/>
              <w:spacing w:after="0" w:line="183" w:lineRule="exact"/>
              <w:rPr>
                <w:sz w:val="20"/>
                <w:szCs w:val="20"/>
                <w:color w:val="auto"/>
              </w:rPr>
            </w:pPr>
            <w:r>
              <w:rPr>
                <w:rFonts w:ascii="Arial" w:cs="Arial" w:eastAsia="Arial" w:hAnsi="Arial"/>
                <w:sz w:val="16"/>
                <w:szCs w:val="16"/>
                <w:color w:val="auto"/>
              </w:rPr>
              <w:t>Total current assets</w:t>
            </w: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765</w:t>
            </w: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886</w:t>
            </w:r>
          </w:p>
        </w:tc>
        <w:tc>
          <w:tcPr>
            <w:tcW w:w="0" w:type="dxa"/>
            <w:vAlign w:val="bottom"/>
          </w:tcPr>
          <w:p>
            <w:pPr>
              <w:spacing w:after="0"/>
              <w:rPr>
                <w:sz w:val="1"/>
                <w:szCs w:val="1"/>
                <w:color w:val="auto"/>
              </w:rPr>
            </w:pPr>
          </w:p>
        </w:tc>
      </w:tr>
      <w:tr>
        <w:trPr>
          <w:trHeight w:val="374"/>
        </w:trPr>
        <w:tc>
          <w:tcPr>
            <w:tcW w:w="6700" w:type="dxa"/>
            <w:vAlign w:val="bottom"/>
          </w:tcPr>
          <w:p>
            <w:pPr>
              <w:spacing w:after="0"/>
              <w:rPr>
                <w:sz w:val="20"/>
                <w:szCs w:val="20"/>
                <w:color w:val="auto"/>
              </w:rPr>
            </w:pPr>
            <w:r>
              <w:rPr>
                <w:rFonts w:ascii="Arial" w:cs="Arial" w:eastAsia="Arial" w:hAnsi="Arial"/>
                <w:sz w:val="16"/>
                <w:szCs w:val="16"/>
                <w:color w:val="auto"/>
              </w:rPr>
              <w:t>Other assets:</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Due from unconsolidated affiliate</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Deferred taxes recoverable in rates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449</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415</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Regulatory assets arising from fixed-price contracts and other derivatives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250</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Regulatory assets arising from pension and other postretirement</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00" w:type="dxa"/>
            <w:vAlign w:val="bottom"/>
          </w:tcPr>
          <w:p>
            <w:pPr>
              <w:ind w:left="360"/>
              <w:spacing w:after="0"/>
              <w:rPr>
                <w:sz w:val="20"/>
                <w:szCs w:val="20"/>
                <w:color w:val="auto"/>
              </w:rPr>
            </w:pPr>
            <w:r>
              <w:rPr>
                <w:rFonts w:ascii="Arial" w:cs="Arial" w:eastAsia="Arial" w:hAnsi="Arial"/>
                <w:sz w:val="16"/>
                <w:szCs w:val="16"/>
                <w:color w:val="auto"/>
              </w:rPr>
              <w:t>benefit obligations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349</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342</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Other regulatory assets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158</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Nuclear decommissioning trusts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706</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678</w:t>
            </w:r>
          </w:p>
        </w:tc>
        <w:tc>
          <w:tcPr>
            <w:tcW w:w="0" w:type="dxa"/>
            <w:vAlign w:val="bottom"/>
          </w:tcPr>
          <w:p>
            <w:pPr>
              <w:spacing w:after="0"/>
              <w:rPr>
                <w:sz w:val="1"/>
                <w:szCs w:val="1"/>
                <w:color w:val="auto"/>
              </w:rPr>
            </w:pPr>
          </w:p>
        </w:tc>
      </w:tr>
      <w:tr>
        <w:trPr>
          <w:trHeight w:val="187"/>
        </w:trPr>
        <w:tc>
          <w:tcPr>
            <w:tcW w:w="6700" w:type="dxa"/>
            <w:vAlign w:val="bottom"/>
          </w:tcPr>
          <w:p>
            <w:pPr>
              <w:ind w:left="180"/>
              <w:spacing w:after="0"/>
              <w:rPr>
                <w:sz w:val="20"/>
                <w:szCs w:val="20"/>
                <w:color w:val="auto"/>
              </w:rPr>
            </w:pPr>
            <w:r>
              <w:rPr>
                <w:rFonts w:ascii="Arial" w:cs="Arial" w:eastAsia="Arial" w:hAnsi="Arial"/>
                <w:sz w:val="16"/>
                <w:szCs w:val="16"/>
                <w:color w:val="auto"/>
              </w:rPr>
              <w:t>Sundry</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183"/>
        </w:trPr>
        <w:tc>
          <w:tcPr>
            <w:tcW w:w="6700" w:type="dxa"/>
            <w:vAlign w:val="bottom"/>
          </w:tcPr>
          <w:p>
            <w:pPr>
              <w:ind w:left="360"/>
              <w:spacing w:after="0" w:line="183" w:lineRule="exact"/>
              <w:rPr>
                <w:sz w:val="20"/>
                <w:szCs w:val="20"/>
                <w:color w:val="auto"/>
              </w:rPr>
            </w:pPr>
            <w:r>
              <w:rPr>
                <w:rFonts w:ascii="Arial" w:cs="Arial" w:eastAsia="Arial" w:hAnsi="Arial"/>
                <w:sz w:val="16"/>
                <w:szCs w:val="16"/>
                <w:color w:val="auto"/>
              </w:rPr>
              <w:t>Total other assets</w:t>
            </w: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1,955</w:t>
            </w: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1,774</w:t>
            </w:r>
          </w:p>
        </w:tc>
        <w:tc>
          <w:tcPr>
            <w:tcW w:w="0" w:type="dxa"/>
            <w:vAlign w:val="bottom"/>
          </w:tcPr>
          <w:p>
            <w:pPr>
              <w:spacing w:after="0"/>
              <w:rPr>
                <w:sz w:val="1"/>
                <w:szCs w:val="1"/>
                <w:color w:val="auto"/>
              </w:rPr>
            </w:pPr>
          </w:p>
        </w:tc>
      </w:tr>
      <w:tr>
        <w:trPr>
          <w:trHeight w:val="374"/>
        </w:trPr>
        <w:tc>
          <w:tcPr>
            <w:tcW w:w="6700" w:type="dxa"/>
            <w:vAlign w:val="bottom"/>
          </w:tcPr>
          <w:p>
            <w:pPr>
              <w:spacing w:after="0"/>
              <w:rPr>
                <w:sz w:val="20"/>
                <w:szCs w:val="20"/>
                <w:color w:val="auto"/>
              </w:rPr>
            </w:pPr>
            <w:r>
              <w:rPr>
                <w:rFonts w:ascii="Arial" w:cs="Arial" w:eastAsia="Arial" w:hAnsi="Arial"/>
                <w:sz w:val="16"/>
                <w:szCs w:val="16"/>
                <w:color w:val="auto"/>
              </w:rPr>
              <w:t>Property, plant and equipment:</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Property, plant and equipment</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10,359</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10,156</w:t>
            </w:r>
          </w:p>
        </w:tc>
        <w:tc>
          <w:tcPr>
            <w:tcW w:w="0" w:type="dxa"/>
            <w:vAlign w:val="bottom"/>
          </w:tcPr>
          <w:p>
            <w:pPr>
              <w:spacing w:after="0"/>
              <w:rPr>
                <w:sz w:val="1"/>
                <w:szCs w:val="1"/>
                <w:color w:val="auto"/>
              </w:rPr>
            </w:pPr>
          </w:p>
        </w:tc>
      </w:tr>
      <w:tr>
        <w:trPr>
          <w:trHeight w:val="187"/>
        </w:trPr>
        <w:tc>
          <w:tcPr>
            <w:tcW w:w="6700" w:type="dxa"/>
            <w:vAlign w:val="bottom"/>
          </w:tcPr>
          <w:p>
            <w:pPr>
              <w:ind w:left="180"/>
              <w:spacing w:after="0"/>
              <w:rPr>
                <w:sz w:val="20"/>
                <w:szCs w:val="20"/>
                <w:color w:val="auto"/>
              </w:rPr>
            </w:pPr>
            <w:r>
              <w:rPr>
                <w:rFonts w:ascii="Arial" w:cs="Arial" w:eastAsia="Arial" w:hAnsi="Arial"/>
                <w:sz w:val="16"/>
                <w:szCs w:val="16"/>
                <w:color w:val="auto"/>
              </w:rPr>
              <w:t>Less accumulated depreciation and amortization</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(2,644)</w:t>
            </w: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(2,587)</w:t>
            </w:r>
          </w:p>
        </w:tc>
        <w:tc>
          <w:tcPr>
            <w:tcW w:w="0" w:type="dxa"/>
            <w:vAlign w:val="bottom"/>
          </w:tcPr>
          <w:p>
            <w:pPr>
              <w:spacing w:after="0"/>
              <w:rPr>
                <w:sz w:val="1"/>
                <w:szCs w:val="1"/>
                <w:color w:val="auto"/>
              </w:rPr>
            </w:pPr>
          </w:p>
        </w:tc>
      </w:tr>
      <w:tr>
        <w:trPr>
          <w:trHeight w:val="183"/>
        </w:trPr>
        <w:tc>
          <w:tcPr>
            <w:tcW w:w="6700" w:type="dxa"/>
            <w:vAlign w:val="bottom"/>
          </w:tcPr>
          <w:p>
            <w:pPr>
              <w:ind w:left="360"/>
              <w:spacing w:after="0" w:line="183" w:lineRule="exact"/>
              <w:rPr>
                <w:sz w:val="20"/>
                <w:szCs w:val="20"/>
                <w:color w:val="auto"/>
              </w:rPr>
            </w:pPr>
            <w:r>
              <w:rPr>
                <w:rFonts w:ascii="Arial" w:cs="Arial" w:eastAsia="Arial" w:hAnsi="Arial"/>
                <w:sz w:val="16"/>
                <w:szCs w:val="16"/>
                <w:color w:val="auto"/>
              </w:rPr>
              <w:t>Property, plant and equipment, net ($645 at March 31, 2010 related to VIEs)</w:t>
            </w: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7,715</w:t>
            </w: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7,569</w:t>
            </w:r>
          </w:p>
        </w:tc>
        <w:tc>
          <w:tcPr>
            <w:tcW w:w="0" w:type="dxa"/>
            <w:vAlign w:val="bottom"/>
          </w:tcPr>
          <w:p>
            <w:pPr>
              <w:spacing w:after="0"/>
              <w:rPr>
                <w:sz w:val="1"/>
                <w:szCs w:val="1"/>
                <w:color w:val="auto"/>
              </w:rPr>
            </w:pPr>
          </w:p>
        </w:tc>
      </w:tr>
      <w:tr>
        <w:trPr>
          <w:trHeight w:val="183"/>
        </w:trPr>
        <w:tc>
          <w:tcPr>
            <w:tcW w:w="6700" w:type="dxa"/>
            <w:vAlign w:val="bottom"/>
          </w:tcPr>
          <w:p>
            <w:pPr>
              <w:spacing w:after="0" w:line="183" w:lineRule="exact"/>
              <w:rPr>
                <w:sz w:val="20"/>
                <w:szCs w:val="20"/>
                <w:color w:val="auto"/>
              </w:rPr>
            </w:pPr>
            <w:r>
              <w:rPr>
                <w:rFonts w:ascii="Arial" w:cs="Arial" w:eastAsia="Arial" w:hAnsi="Arial"/>
                <w:sz w:val="16"/>
                <w:szCs w:val="16"/>
                <w:color w:val="auto"/>
              </w:rPr>
              <w:t>Total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10,435</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line="183" w:lineRule="exact"/>
              <w:rPr>
                <w:sz w:val="20"/>
                <w:szCs w:val="20"/>
                <w:color w:val="auto"/>
              </w:rPr>
            </w:pPr>
            <w:r>
              <w:rPr>
                <w:rFonts w:ascii="Arial" w:cs="Arial" w:eastAsia="Arial" w:hAnsi="Arial"/>
                <w:sz w:val="16"/>
                <w:szCs w:val="16"/>
                <w:color w:val="auto"/>
              </w:rPr>
              <w:t>10,229</w:t>
            </w:r>
          </w:p>
        </w:tc>
        <w:tc>
          <w:tcPr>
            <w:tcW w:w="0" w:type="dxa"/>
            <w:vAlign w:val="bottom"/>
          </w:tcPr>
          <w:p>
            <w:pPr>
              <w:spacing w:after="0"/>
              <w:rPr>
                <w:sz w:val="1"/>
                <w:szCs w:val="1"/>
                <w:color w:val="auto"/>
              </w:rPr>
            </w:pPr>
          </w:p>
        </w:tc>
      </w:tr>
      <w:tr>
        <w:trPr>
          <w:trHeight w:val="81"/>
        </w:trPr>
        <w:tc>
          <w:tcPr>
            <w:tcW w:w="6700" w:type="dxa"/>
            <w:vAlign w:val="bottom"/>
            <w:shd w:val="clear" w:color="auto" w:fill="000000"/>
          </w:tcPr>
          <w:p>
            <w:pPr>
              <w:spacing w:after="0"/>
              <w:rPr>
                <w:sz w:val="7"/>
                <w:szCs w:val="7"/>
                <w:color w:val="auto"/>
              </w:rPr>
            </w:pPr>
          </w:p>
        </w:tc>
        <w:tc>
          <w:tcPr>
            <w:tcW w:w="140" w:type="dxa"/>
            <w:vAlign w:val="bottom"/>
            <w:shd w:val="clear" w:color="auto" w:fill="000000"/>
          </w:tcPr>
          <w:p>
            <w:pPr>
              <w:spacing w:after="0"/>
              <w:rPr>
                <w:sz w:val="7"/>
                <w:szCs w:val="7"/>
                <w:color w:val="auto"/>
              </w:rPr>
            </w:pPr>
          </w:p>
        </w:tc>
        <w:tc>
          <w:tcPr>
            <w:tcW w:w="1020" w:type="dxa"/>
            <w:vAlign w:val="bottom"/>
            <w:shd w:val="clear" w:color="auto" w:fill="000000"/>
          </w:tcPr>
          <w:p>
            <w:pPr>
              <w:spacing w:after="0"/>
              <w:rPr>
                <w:sz w:val="7"/>
                <w:szCs w:val="7"/>
                <w:color w:val="auto"/>
              </w:rPr>
            </w:pPr>
          </w:p>
        </w:tc>
        <w:tc>
          <w:tcPr>
            <w:tcW w:w="120" w:type="dxa"/>
            <w:vAlign w:val="bottom"/>
            <w:shd w:val="clear" w:color="auto" w:fill="000000"/>
          </w:tcPr>
          <w:p>
            <w:pPr>
              <w:spacing w:after="0"/>
              <w:rPr>
                <w:sz w:val="7"/>
                <w:szCs w:val="7"/>
                <w:color w:val="auto"/>
              </w:rPr>
            </w:pPr>
          </w:p>
        </w:tc>
        <w:tc>
          <w:tcPr>
            <w:tcW w:w="106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ectPr>
          <w:pgSz w:w="11900" w:h="16838" w:orient="portrait"/>
          <w:cols w:equalWidth="0" w:num="1">
            <w:col w:w="10219"/>
          </w:cols>
          <w:pgMar w:left="240" w:top="135" w:right="1440"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auto"/>
        </w:rPr>
        <w:t>SAN DIEGO GAS &amp; ELECTRIC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5771515" cy="3517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71515" cy="3517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60"/>
              <w:spacing w:after="0"/>
              <w:rPr>
                <w:sz w:val="20"/>
                <w:szCs w:val="20"/>
                <w:color w:val="auto"/>
              </w:rPr>
            </w:pPr>
            <w:r>
              <w:rPr>
                <w:rFonts w:ascii="Arial" w:cs="Arial" w:eastAsia="Arial" w:hAnsi="Arial"/>
                <w:sz w:val="14"/>
                <w:szCs w:val="14"/>
                <w:color w:val="auto"/>
              </w:rPr>
              <w:t>March 31,</w:t>
            </w:r>
          </w:p>
        </w:tc>
        <w:tc>
          <w:tcPr>
            <w:tcW w:w="120" w:type="dxa"/>
            <w:vAlign w:val="bottom"/>
          </w:tcPr>
          <w:p>
            <w:pPr>
              <w:spacing w:after="0"/>
              <w:rPr>
                <w:sz w:val="14"/>
                <w:szCs w:val="14"/>
                <w:color w:val="auto"/>
              </w:rPr>
            </w:pPr>
          </w:p>
        </w:tc>
        <w:tc>
          <w:tcPr>
            <w:tcW w:w="1060" w:type="dxa"/>
            <w:vAlign w:val="bottom"/>
          </w:tcPr>
          <w:p>
            <w:pPr>
              <w:jc w:val="right"/>
              <w:ind w:right="6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74"/>
        </w:trPr>
        <w:tc>
          <w:tcPr>
            <w:tcW w:w="67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color w:val="auto"/>
              </w:rPr>
              <w:t>2010</w:t>
            </w: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2009</w:t>
            </w:r>
          </w:p>
        </w:tc>
        <w:tc>
          <w:tcPr>
            <w:tcW w:w="0" w:type="dxa"/>
            <w:vAlign w:val="bottom"/>
          </w:tcPr>
          <w:p>
            <w:pPr>
              <w:spacing w:after="0"/>
              <w:rPr>
                <w:sz w:val="1"/>
                <w:szCs w:val="1"/>
                <w:color w:val="auto"/>
              </w:rPr>
            </w:pPr>
          </w:p>
        </w:tc>
      </w:tr>
      <w:tr>
        <w:trPr>
          <w:trHeight w:val="198"/>
        </w:trPr>
        <w:tc>
          <w:tcPr>
            <w:tcW w:w="6740" w:type="dxa"/>
            <w:vAlign w:val="bottom"/>
            <w:vMerge w:val="restart"/>
          </w:tcPr>
          <w:p>
            <w:pPr>
              <w:spacing w:after="0"/>
              <w:rPr>
                <w:sz w:val="20"/>
                <w:szCs w:val="20"/>
                <w:color w:val="auto"/>
              </w:rPr>
            </w:pPr>
            <w:r>
              <w:rPr>
                <w:rFonts w:ascii="Arial" w:cs="Arial" w:eastAsia="Arial" w:hAnsi="Arial"/>
                <w:sz w:val="16"/>
                <w:szCs w:val="16"/>
                <w:color w:val="auto"/>
              </w:rPr>
              <w:t>LIABILITIES AND EQUITY</w:t>
            </w:r>
          </w:p>
        </w:tc>
        <w:tc>
          <w:tcPr>
            <w:tcW w:w="160" w:type="dxa"/>
            <w:vAlign w:val="bottom"/>
          </w:tcPr>
          <w:p>
            <w:pPr>
              <w:spacing w:after="0"/>
              <w:rPr>
                <w:sz w:val="17"/>
                <w:szCs w:val="17"/>
                <w:color w:val="auto"/>
              </w:rPr>
            </w:pPr>
          </w:p>
        </w:tc>
        <w:tc>
          <w:tcPr>
            <w:tcW w:w="1020" w:type="dxa"/>
            <w:vAlign w:val="bottom"/>
          </w:tcPr>
          <w:p>
            <w:pPr>
              <w:jc w:val="center"/>
              <w:ind w:right="60"/>
              <w:spacing w:after="0"/>
              <w:rPr>
                <w:sz w:val="20"/>
                <w:szCs w:val="20"/>
                <w:color w:val="auto"/>
              </w:rPr>
            </w:pPr>
            <w:r>
              <w:rPr>
                <w:rFonts w:ascii="Arial" w:cs="Arial" w:eastAsia="Arial" w:hAnsi="Arial"/>
                <w:sz w:val="14"/>
                <w:szCs w:val="14"/>
                <w:color w:val="auto"/>
              </w:rPr>
              <w:t>(unaudited)</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7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740" w:type="dxa"/>
            <w:vAlign w:val="bottom"/>
          </w:tcPr>
          <w:p>
            <w:pPr>
              <w:spacing w:after="0"/>
              <w:rPr>
                <w:sz w:val="20"/>
                <w:szCs w:val="20"/>
                <w:color w:val="auto"/>
              </w:rPr>
            </w:pPr>
            <w:r>
              <w:rPr>
                <w:rFonts w:ascii="Arial" w:cs="Arial" w:eastAsia="Arial" w:hAnsi="Arial"/>
                <w:sz w:val="16"/>
                <w:szCs w:val="16"/>
                <w:color w:val="auto"/>
              </w:rPr>
              <w:t>Current liabilities:</w:t>
            </w:r>
          </w:p>
        </w:tc>
        <w:tc>
          <w:tcPr>
            <w:tcW w:w="160" w:type="dxa"/>
            <w:vAlign w:val="bottom"/>
            <w:vMerge w:val="restart"/>
          </w:tcPr>
          <w:p>
            <w:pPr>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740" w:type="dxa"/>
            <w:vAlign w:val="bottom"/>
          </w:tcPr>
          <w:p>
            <w:pPr>
              <w:ind w:left="180"/>
              <w:spacing w:after="0"/>
              <w:rPr>
                <w:sz w:val="20"/>
                <w:szCs w:val="20"/>
                <w:color w:val="auto"/>
              </w:rPr>
            </w:pPr>
            <w:r>
              <w:rPr>
                <w:rFonts w:ascii="Arial" w:cs="Arial" w:eastAsia="Arial" w:hAnsi="Arial"/>
                <w:sz w:val="16"/>
                <w:szCs w:val="16"/>
                <w:color w:val="auto"/>
              </w:rPr>
              <w:t>Short-term debt</w:t>
            </w:r>
          </w:p>
        </w:tc>
        <w:tc>
          <w:tcPr>
            <w:tcW w:w="160" w:type="dxa"/>
            <w:vAlign w:val="bottom"/>
            <w:vMerge w:val="continue"/>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197"/>
        </w:trPr>
        <w:tc>
          <w:tcPr>
            <w:tcW w:w="674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174</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197"/>
        </w:trPr>
        <w:tc>
          <w:tcPr>
            <w:tcW w:w="6740" w:type="dxa"/>
            <w:vAlign w:val="bottom"/>
          </w:tcPr>
          <w:p>
            <w:pPr>
              <w:ind w:left="180"/>
              <w:spacing w:after="0"/>
              <w:rPr>
                <w:sz w:val="20"/>
                <w:szCs w:val="20"/>
                <w:color w:val="auto"/>
              </w:rPr>
            </w:pPr>
            <w:r>
              <w:rPr>
                <w:rFonts w:ascii="Arial" w:cs="Arial" w:eastAsia="Arial" w:hAnsi="Arial"/>
                <w:sz w:val="16"/>
                <w:szCs w:val="16"/>
                <w:color w:val="auto"/>
              </w:rPr>
              <w:t>Due to unconsolidated affiliate</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740" w:type="dxa"/>
            <w:vAlign w:val="bottom"/>
          </w:tcPr>
          <w:p>
            <w:pPr>
              <w:ind w:left="180"/>
              <w:spacing w:after="0"/>
              <w:rPr>
                <w:sz w:val="20"/>
                <w:szCs w:val="20"/>
                <w:color w:val="auto"/>
              </w:rPr>
            </w:pPr>
            <w:r>
              <w:rPr>
                <w:rFonts w:ascii="Arial" w:cs="Arial" w:eastAsia="Arial" w:hAnsi="Arial"/>
                <w:sz w:val="16"/>
                <w:szCs w:val="16"/>
                <w:color w:val="auto"/>
              </w:rPr>
              <w:t>Regulatory balancing accounts, net</w:t>
            </w: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195</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189"/>
        </w:trPr>
        <w:tc>
          <w:tcPr>
            <w:tcW w:w="6740" w:type="dxa"/>
            <w:vAlign w:val="bottom"/>
          </w:tcPr>
          <w:p>
            <w:pPr>
              <w:ind w:left="180"/>
              <w:spacing w:after="0"/>
              <w:rPr>
                <w:sz w:val="20"/>
                <w:szCs w:val="20"/>
                <w:color w:val="auto"/>
              </w:rPr>
            </w:pPr>
            <w:r>
              <w:rPr>
                <w:rFonts w:ascii="Arial" w:cs="Arial" w:eastAsia="Arial" w:hAnsi="Arial"/>
                <w:sz w:val="16"/>
                <w:szCs w:val="16"/>
                <w:color w:val="auto"/>
              </w:rPr>
              <w:t>Customer deposits</w:t>
            </w: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189"/>
        </w:trPr>
        <w:tc>
          <w:tcPr>
            <w:tcW w:w="6740" w:type="dxa"/>
            <w:vAlign w:val="bottom"/>
          </w:tcPr>
          <w:p>
            <w:pPr>
              <w:ind w:left="180"/>
              <w:spacing w:after="0"/>
              <w:rPr>
                <w:sz w:val="20"/>
                <w:szCs w:val="20"/>
                <w:color w:val="auto"/>
              </w:rPr>
            </w:pPr>
            <w:r>
              <w:rPr>
                <w:rFonts w:ascii="Arial" w:cs="Arial" w:eastAsia="Arial" w:hAnsi="Arial"/>
                <w:sz w:val="16"/>
                <w:szCs w:val="16"/>
                <w:color w:val="auto"/>
              </w:rPr>
              <w:t>Fixed-price contracts and other derivatives</w:t>
            </w: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189"/>
        </w:trPr>
        <w:tc>
          <w:tcPr>
            <w:tcW w:w="6740" w:type="dxa"/>
            <w:vAlign w:val="bottom"/>
          </w:tcPr>
          <w:p>
            <w:pPr>
              <w:ind w:left="180"/>
              <w:spacing w:after="0"/>
              <w:rPr>
                <w:sz w:val="20"/>
                <w:szCs w:val="20"/>
                <w:color w:val="auto"/>
              </w:rPr>
            </w:pPr>
            <w:r>
              <w:rPr>
                <w:rFonts w:ascii="Arial" w:cs="Arial" w:eastAsia="Arial" w:hAnsi="Arial"/>
                <w:sz w:val="16"/>
                <w:szCs w:val="16"/>
                <w:color w:val="auto"/>
              </w:rPr>
              <w:t>Accrued compensation and benefits</w:t>
            </w: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189"/>
        </w:trPr>
        <w:tc>
          <w:tcPr>
            <w:tcW w:w="6740" w:type="dxa"/>
            <w:vAlign w:val="bottom"/>
          </w:tcPr>
          <w:p>
            <w:pPr>
              <w:ind w:left="180"/>
              <w:spacing w:after="0"/>
              <w:rPr>
                <w:sz w:val="20"/>
                <w:szCs w:val="20"/>
                <w:color w:val="auto"/>
              </w:rPr>
            </w:pPr>
            <w:r>
              <w:rPr>
                <w:rFonts w:ascii="Arial" w:cs="Arial" w:eastAsia="Arial" w:hAnsi="Arial"/>
                <w:sz w:val="16"/>
                <w:szCs w:val="16"/>
                <w:color w:val="auto"/>
              </w:rPr>
              <w:t>Current portion of long-term debt</w:t>
            </w: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189"/>
        </w:trPr>
        <w:tc>
          <w:tcPr>
            <w:tcW w:w="6740" w:type="dxa"/>
            <w:vAlign w:val="bottom"/>
          </w:tcPr>
          <w:p>
            <w:pPr>
              <w:ind w:left="180"/>
              <w:spacing w:after="0"/>
              <w:rPr>
                <w:sz w:val="20"/>
                <w:szCs w:val="20"/>
                <w:color w:val="auto"/>
              </w:rPr>
            </w:pPr>
            <w:r>
              <w:rPr>
                <w:rFonts w:ascii="Arial" w:cs="Arial" w:eastAsia="Arial" w:hAnsi="Arial"/>
                <w:sz w:val="16"/>
                <w:szCs w:val="16"/>
                <w:color w:val="auto"/>
              </w:rPr>
              <w:t>Reserve for wildfire litigation (Note 10)</w:t>
            </w: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300</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187"/>
        </w:trPr>
        <w:tc>
          <w:tcPr>
            <w:tcW w:w="6740" w:type="dxa"/>
            <w:vAlign w:val="bottom"/>
          </w:tcPr>
          <w:p>
            <w:pPr>
              <w:ind w:left="18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w:t>
            </w: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183"/>
        </w:trPr>
        <w:tc>
          <w:tcPr>
            <w:tcW w:w="6740" w:type="dxa"/>
            <w:vAlign w:val="bottom"/>
          </w:tcPr>
          <w:p>
            <w:pPr>
              <w:ind w:left="360"/>
              <w:spacing w:after="0" w:line="183" w:lineRule="exact"/>
              <w:rPr>
                <w:sz w:val="20"/>
                <w:szCs w:val="20"/>
                <w:color w:val="auto"/>
              </w:rPr>
            </w:pPr>
            <w:r>
              <w:rPr>
                <w:rFonts w:ascii="Arial" w:cs="Arial" w:eastAsia="Arial" w:hAnsi="Arial"/>
                <w:sz w:val="16"/>
                <w:szCs w:val="16"/>
                <w:color w:val="auto"/>
              </w:rPr>
              <w:t>Total current liabilities</w:t>
            </w: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1,171</w:t>
            </w: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1,124</w:t>
            </w:r>
          </w:p>
        </w:tc>
        <w:tc>
          <w:tcPr>
            <w:tcW w:w="0" w:type="dxa"/>
            <w:vAlign w:val="bottom"/>
          </w:tcPr>
          <w:p>
            <w:pPr>
              <w:spacing w:after="0"/>
              <w:rPr>
                <w:sz w:val="1"/>
                <w:szCs w:val="1"/>
                <w:color w:val="auto"/>
              </w:rPr>
            </w:pPr>
          </w:p>
        </w:tc>
      </w:tr>
      <w:tr>
        <w:trPr>
          <w:trHeight w:val="183"/>
        </w:trPr>
        <w:tc>
          <w:tcPr>
            <w:tcW w:w="6740" w:type="dxa"/>
            <w:vAlign w:val="bottom"/>
          </w:tcPr>
          <w:p>
            <w:pPr>
              <w:spacing w:after="0" w:line="183" w:lineRule="exact"/>
              <w:rPr>
                <w:sz w:val="20"/>
                <w:szCs w:val="20"/>
                <w:color w:val="auto"/>
              </w:rPr>
            </w:pPr>
            <w:r>
              <w:rPr>
                <w:rFonts w:ascii="Arial" w:cs="Arial" w:eastAsia="Arial" w:hAnsi="Arial"/>
                <w:sz w:val="16"/>
                <w:szCs w:val="16"/>
                <w:color w:val="auto"/>
              </w:rPr>
              <w:t>Long-term debt ($421 at March 31, 2010 related to VIEs)</w:t>
            </w: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2,622</w:t>
            </w: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2,623</w:t>
            </w:r>
          </w:p>
        </w:tc>
        <w:tc>
          <w:tcPr>
            <w:tcW w:w="0" w:type="dxa"/>
            <w:vAlign w:val="bottom"/>
          </w:tcPr>
          <w:p>
            <w:pPr>
              <w:spacing w:after="0"/>
              <w:rPr>
                <w:sz w:val="1"/>
                <w:szCs w:val="1"/>
                <w:color w:val="auto"/>
              </w:rPr>
            </w:pPr>
          </w:p>
        </w:tc>
      </w:tr>
      <w:tr>
        <w:trPr>
          <w:trHeight w:val="374"/>
        </w:trPr>
        <w:tc>
          <w:tcPr>
            <w:tcW w:w="6740" w:type="dxa"/>
            <w:vAlign w:val="bottom"/>
          </w:tcPr>
          <w:p>
            <w:pPr>
              <w:spacing w:after="0"/>
              <w:rPr>
                <w:sz w:val="20"/>
                <w:szCs w:val="20"/>
                <w:color w:val="auto"/>
              </w:rPr>
            </w:pPr>
            <w:r>
              <w:rPr>
                <w:rFonts w:ascii="Arial" w:cs="Arial" w:eastAsia="Arial" w:hAnsi="Arial"/>
                <w:sz w:val="16"/>
                <w:szCs w:val="16"/>
                <w:color w:val="auto"/>
              </w:rPr>
              <w:t>Deferred credits and other liabilities:</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740" w:type="dxa"/>
            <w:vAlign w:val="bottom"/>
          </w:tcPr>
          <w:p>
            <w:pPr>
              <w:ind w:left="180"/>
              <w:spacing w:after="0"/>
              <w:rPr>
                <w:sz w:val="20"/>
                <w:szCs w:val="20"/>
                <w:color w:val="auto"/>
              </w:rPr>
            </w:pPr>
            <w:r>
              <w:rPr>
                <w:rFonts w:ascii="Arial" w:cs="Arial" w:eastAsia="Arial" w:hAnsi="Arial"/>
                <w:sz w:val="16"/>
                <w:szCs w:val="16"/>
                <w:color w:val="auto"/>
              </w:rPr>
              <w:t>Customer advances for construction</w:t>
            </w: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89"/>
        </w:trPr>
        <w:tc>
          <w:tcPr>
            <w:tcW w:w="6740" w:type="dxa"/>
            <w:vAlign w:val="bottom"/>
          </w:tcPr>
          <w:p>
            <w:pPr>
              <w:ind w:left="180"/>
              <w:spacing w:after="0"/>
              <w:rPr>
                <w:sz w:val="20"/>
                <w:szCs w:val="20"/>
                <w:color w:val="auto"/>
              </w:rPr>
            </w:pPr>
            <w:r>
              <w:rPr>
                <w:rFonts w:ascii="Arial" w:cs="Arial" w:eastAsia="Arial" w:hAnsi="Arial"/>
                <w:sz w:val="16"/>
                <w:szCs w:val="16"/>
                <w:color w:val="auto"/>
              </w:rPr>
              <w:t>Pension and other postretirement benefit obligations, net of plan assets</w:t>
            </w: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373</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370</w:t>
            </w:r>
          </w:p>
        </w:tc>
        <w:tc>
          <w:tcPr>
            <w:tcW w:w="0" w:type="dxa"/>
            <w:vAlign w:val="bottom"/>
          </w:tcPr>
          <w:p>
            <w:pPr>
              <w:spacing w:after="0"/>
              <w:rPr>
                <w:sz w:val="1"/>
                <w:szCs w:val="1"/>
                <w:color w:val="auto"/>
              </w:rPr>
            </w:pPr>
          </w:p>
        </w:tc>
      </w:tr>
      <w:tr>
        <w:trPr>
          <w:trHeight w:val="189"/>
        </w:trPr>
        <w:tc>
          <w:tcPr>
            <w:tcW w:w="674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821</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774</w:t>
            </w:r>
          </w:p>
        </w:tc>
        <w:tc>
          <w:tcPr>
            <w:tcW w:w="0" w:type="dxa"/>
            <w:vAlign w:val="bottom"/>
          </w:tcPr>
          <w:p>
            <w:pPr>
              <w:spacing w:after="0"/>
              <w:rPr>
                <w:sz w:val="1"/>
                <w:szCs w:val="1"/>
                <w:color w:val="auto"/>
              </w:rPr>
            </w:pPr>
          </w:p>
        </w:tc>
      </w:tr>
      <w:tr>
        <w:trPr>
          <w:trHeight w:val="189"/>
        </w:trPr>
        <w:tc>
          <w:tcPr>
            <w:tcW w:w="6740" w:type="dxa"/>
            <w:vAlign w:val="bottom"/>
          </w:tcPr>
          <w:p>
            <w:pPr>
              <w:ind w:left="180"/>
              <w:spacing w:after="0"/>
              <w:rPr>
                <w:sz w:val="20"/>
                <w:szCs w:val="20"/>
                <w:color w:val="auto"/>
              </w:rPr>
            </w:pPr>
            <w:r>
              <w:rPr>
                <w:rFonts w:ascii="Arial" w:cs="Arial" w:eastAsia="Arial" w:hAnsi="Arial"/>
                <w:sz w:val="16"/>
                <w:szCs w:val="16"/>
                <w:color w:val="auto"/>
              </w:rPr>
              <w:t>Deferred investment tax credits</w:t>
            </w: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89"/>
        </w:trPr>
        <w:tc>
          <w:tcPr>
            <w:tcW w:w="6740" w:type="dxa"/>
            <w:vAlign w:val="bottom"/>
          </w:tcPr>
          <w:p>
            <w:pPr>
              <w:ind w:left="180"/>
              <w:spacing w:after="0"/>
              <w:rPr>
                <w:sz w:val="20"/>
                <w:szCs w:val="20"/>
                <w:color w:val="auto"/>
              </w:rPr>
            </w:pPr>
            <w:r>
              <w:rPr>
                <w:rFonts w:ascii="Arial" w:cs="Arial" w:eastAsia="Arial" w:hAnsi="Arial"/>
                <w:sz w:val="16"/>
                <w:szCs w:val="16"/>
                <w:color w:val="auto"/>
              </w:rPr>
              <w:t>Regulatory liabilities arising from removal obligations</w:t>
            </w: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1,363</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1,330</w:t>
            </w:r>
          </w:p>
        </w:tc>
        <w:tc>
          <w:tcPr>
            <w:tcW w:w="0" w:type="dxa"/>
            <w:vAlign w:val="bottom"/>
          </w:tcPr>
          <w:p>
            <w:pPr>
              <w:spacing w:after="0"/>
              <w:rPr>
                <w:sz w:val="1"/>
                <w:szCs w:val="1"/>
                <w:color w:val="auto"/>
              </w:rPr>
            </w:pPr>
          </w:p>
        </w:tc>
      </w:tr>
      <w:tr>
        <w:trPr>
          <w:trHeight w:val="189"/>
        </w:trPr>
        <w:tc>
          <w:tcPr>
            <w:tcW w:w="6740" w:type="dxa"/>
            <w:vAlign w:val="bottom"/>
          </w:tcPr>
          <w:p>
            <w:pPr>
              <w:ind w:left="180"/>
              <w:spacing w:after="0"/>
              <w:rPr>
                <w:sz w:val="20"/>
                <w:szCs w:val="20"/>
                <w:color w:val="auto"/>
              </w:rPr>
            </w:pPr>
            <w:r>
              <w:rPr>
                <w:rFonts w:ascii="Arial" w:cs="Arial" w:eastAsia="Arial" w:hAnsi="Arial"/>
                <w:sz w:val="16"/>
                <w:szCs w:val="16"/>
                <w:color w:val="auto"/>
              </w:rPr>
              <w:t>Asset retirement obligations</w:t>
            </w: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595</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585</w:t>
            </w:r>
          </w:p>
        </w:tc>
        <w:tc>
          <w:tcPr>
            <w:tcW w:w="0" w:type="dxa"/>
            <w:vAlign w:val="bottom"/>
          </w:tcPr>
          <w:p>
            <w:pPr>
              <w:spacing w:after="0"/>
              <w:rPr>
                <w:sz w:val="1"/>
                <w:szCs w:val="1"/>
                <w:color w:val="auto"/>
              </w:rPr>
            </w:pPr>
          </w:p>
        </w:tc>
      </w:tr>
      <w:tr>
        <w:trPr>
          <w:trHeight w:val="189"/>
        </w:trPr>
        <w:tc>
          <w:tcPr>
            <w:tcW w:w="6740" w:type="dxa"/>
            <w:vAlign w:val="bottom"/>
          </w:tcPr>
          <w:p>
            <w:pPr>
              <w:ind w:left="180"/>
              <w:spacing w:after="0"/>
              <w:rPr>
                <w:sz w:val="20"/>
                <w:szCs w:val="20"/>
                <w:color w:val="auto"/>
              </w:rPr>
            </w:pPr>
            <w:r>
              <w:rPr>
                <w:rFonts w:ascii="Arial" w:cs="Arial" w:eastAsia="Arial" w:hAnsi="Arial"/>
                <w:sz w:val="16"/>
                <w:szCs w:val="16"/>
                <w:color w:val="auto"/>
              </w:rPr>
              <w:t>Fixed-price contracts and other derivatives</w:t>
            </w: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263</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265</w:t>
            </w:r>
          </w:p>
        </w:tc>
        <w:tc>
          <w:tcPr>
            <w:tcW w:w="0" w:type="dxa"/>
            <w:vAlign w:val="bottom"/>
          </w:tcPr>
          <w:p>
            <w:pPr>
              <w:spacing w:after="0"/>
              <w:rPr>
                <w:sz w:val="1"/>
                <w:szCs w:val="1"/>
                <w:color w:val="auto"/>
              </w:rPr>
            </w:pPr>
          </w:p>
        </w:tc>
      </w:tr>
      <w:tr>
        <w:trPr>
          <w:trHeight w:val="187"/>
        </w:trPr>
        <w:tc>
          <w:tcPr>
            <w:tcW w:w="6740" w:type="dxa"/>
            <w:vAlign w:val="bottom"/>
          </w:tcPr>
          <w:p>
            <w:pPr>
              <w:ind w:left="180"/>
              <w:spacing w:after="0"/>
              <w:rPr>
                <w:sz w:val="20"/>
                <w:szCs w:val="20"/>
                <w:color w:val="auto"/>
              </w:rPr>
            </w:pPr>
            <w:r>
              <w:rPr>
                <w:rFonts w:ascii="Arial" w:cs="Arial" w:eastAsia="Arial" w:hAnsi="Arial"/>
                <w:sz w:val="16"/>
                <w:szCs w:val="16"/>
                <w:color w:val="auto"/>
              </w:rPr>
              <w:t>Deferred credits and other</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183"/>
        </w:trPr>
        <w:tc>
          <w:tcPr>
            <w:tcW w:w="6740" w:type="dxa"/>
            <w:vAlign w:val="bottom"/>
          </w:tcPr>
          <w:p>
            <w:pPr>
              <w:ind w:left="360"/>
              <w:spacing w:after="0" w:line="183" w:lineRule="exact"/>
              <w:rPr>
                <w:sz w:val="20"/>
                <w:szCs w:val="20"/>
                <w:color w:val="auto"/>
              </w:rPr>
            </w:pPr>
            <w:r>
              <w:rPr>
                <w:rFonts w:ascii="Arial" w:cs="Arial" w:eastAsia="Arial" w:hAnsi="Arial"/>
                <w:sz w:val="16"/>
                <w:szCs w:val="16"/>
                <w:color w:val="auto"/>
              </w:rPr>
              <w:t>Total deferred credits and other liabilities</w:t>
            </w: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3,603</w:t>
            </w: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3,518</w:t>
            </w:r>
          </w:p>
        </w:tc>
        <w:tc>
          <w:tcPr>
            <w:tcW w:w="0" w:type="dxa"/>
            <w:vAlign w:val="bottom"/>
          </w:tcPr>
          <w:p>
            <w:pPr>
              <w:spacing w:after="0"/>
              <w:rPr>
                <w:sz w:val="1"/>
                <w:szCs w:val="1"/>
                <w:color w:val="auto"/>
              </w:rPr>
            </w:pPr>
          </w:p>
        </w:tc>
      </w:tr>
      <w:tr>
        <w:trPr>
          <w:trHeight w:val="183"/>
        </w:trPr>
        <w:tc>
          <w:tcPr>
            <w:tcW w:w="6740" w:type="dxa"/>
            <w:vAlign w:val="bottom"/>
          </w:tcPr>
          <w:p>
            <w:pPr>
              <w:spacing w:after="0" w:line="183" w:lineRule="exact"/>
              <w:rPr>
                <w:sz w:val="20"/>
                <w:szCs w:val="20"/>
                <w:color w:val="auto"/>
              </w:rPr>
            </w:pPr>
            <w:r>
              <w:rPr>
                <w:rFonts w:ascii="Arial" w:cs="Arial" w:eastAsia="Arial" w:hAnsi="Arial"/>
                <w:sz w:val="16"/>
                <w:szCs w:val="16"/>
                <w:color w:val="auto"/>
              </w:rPr>
              <w:t>Contingently redeemable preferred stock</w:t>
            </w: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79</w:t>
            </w: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379"/>
        </w:trPr>
        <w:tc>
          <w:tcPr>
            <w:tcW w:w="6740" w:type="dxa"/>
            <w:vAlign w:val="bottom"/>
          </w:tcPr>
          <w:p>
            <w:pPr>
              <w:spacing w:after="0"/>
              <w:rPr>
                <w:sz w:val="20"/>
                <w:szCs w:val="20"/>
                <w:color w:val="auto"/>
              </w:rPr>
            </w:pPr>
            <w:r>
              <w:rPr>
                <w:rFonts w:ascii="Arial" w:cs="Arial" w:eastAsia="Arial" w:hAnsi="Arial"/>
                <w:sz w:val="16"/>
                <w:szCs w:val="16"/>
                <w:color w:val="auto"/>
              </w:rPr>
              <w:t>Commitments and contingencies (Note 10)</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6740" w:type="dxa"/>
            <w:vAlign w:val="bottom"/>
          </w:tcPr>
          <w:p>
            <w:pPr>
              <w:spacing w:after="0"/>
              <w:rPr>
                <w:sz w:val="20"/>
                <w:szCs w:val="20"/>
                <w:color w:val="auto"/>
              </w:rPr>
            </w:pPr>
            <w:r>
              <w:rPr>
                <w:rFonts w:ascii="Arial" w:cs="Arial" w:eastAsia="Arial" w:hAnsi="Arial"/>
                <w:sz w:val="16"/>
                <w:szCs w:val="16"/>
                <w:color w:val="auto"/>
              </w:rPr>
              <w:t>Equity:</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740" w:type="dxa"/>
            <w:vAlign w:val="bottom"/>
          </w:tcPr>
          <w:p>
            <w:pPr>
              <w:ind w:left="180"/>
              <w:spacing w:after="0"/>
              <w:rPr>
                <w:sz w:val="20"/>
                <w:szCs w:val="20"/>
                <w:color w:val="auto"/>
              </w:rPr>
            </w:pPr>
            <w:r>
              <w:rPr>
                <w:rFonts w:ascii="Arial" w:cs="Arial" w:eastAsia="Arial" w:hAnsi="Arial"/>
                <w:sz w:val="16"/>
                <w:szCs w:val="16"/>
                <w:color w:val="auto"/>
              </w:rPr>
              <w:t>Common stock (255 million shares authorized; 117 million shares outstanding;</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40" w:type="dxa"/>
            <w:vAlign w:val="bottom"/>
          </w:tcPr>
          <w:p>
            <w:pPr>
              <w:ind w:left="360"/>
              <w:spacing w:after="0"/>
              <w:rPr>
                <w:sz w:val="20"/>
                <w:szCs w:val="20"/>
                <w:color w:val="auto"/>
              </w:rPr>
            </w:pPr>
            <w:r>
              <w:rPr>
                <w:rFonts w:ascii="Arial" w:cs="Arial" w:eastAsia="Arial" w:hAnsi="Arial"/>
                <w:sz w:val="16"/>
                <w:szCs w:val="16"/>
                <w:color w:val="auto"/>
              </w:rPr>
              <w:t>no par value)</w:t>
            </w: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1,138</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1,138</w:t>
            </w:r>
          </w:p>
        </w:tc>
        <w:tc>
          <w:tcPr>
            <w:tcW w:w="0" w:type="dxa"/>
            <w:vAlign w:val="bottom"/>
          </w:tcPr>
          <w:p>
            <w:pPr>
              <w:spacing w:after="0"/>
              <w:rPr>
                <w:sz w:val="1"/>
                <w:szCs w:val="1"/>
                <w:color w:val="auto"/>
              </w:rPr>
            </w:pPr>
          </w:p>
        </w:tc>
      </w:tr>
      <w:tr>
        <w:trPr>
          <w:trHeight w:val="189"/>
        </w:trPr>
        <w:tc>
          <w:tcPr>
            <w:tcW w:w="6740" w:type="dxa"/>
            <w:vAlign w:val="bottom"/>
          </w:tcPr>
          <w:p>
            <w:pPr>
              <w:ind w:left="180"/>
              <w:spacing w:after="0"/>
              <w:rPr>
                <w:sz w:val="20"/>
                <w:szCs w:val="20"/>
                <w:color w:val="auto"/>
              </w:rPr>
            </w:pPr>
            <w:r>
              <w:rPr>
                <w:rFonts w:ascii="Arial" w:cs="Arial" w:eastAsia="Arial" w:hAnsi="Arial"/>
                <w:sz w:val="16"/>
                <w:szCs w:val="16"/>
                <w:color w:val="auto"/>
              </w:rPr>
              <w:t>Retained earnings</w:t>
            </w: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1,694</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1,611</w:t>
            </w:r>
          </w:p>
        </w:tc>
        <w:tc>
          <w:tcPr>
            <w:tcW w:w="0" w:type="dxa"/>
            <w:vAlign w:val="bottom"/>
          </w:tcPr>
          <w:p>
            <w:pPr>
              <w:spacing w:after="0"/>
              <w:rPr>
                <w:sz w:val="1"/>
                <w:szCs w:val="1"/>
                <w:color w:val="auto"/>
              </w:rPr>
            </w:pPr>
          </w:p>
        </w:tc>
      </w:tr>
      <w:tr>
        <w:trPr>
          <w:trHeight w:val="187"/>
        </w:trPr>
        <w:tc>
          <w:tcPr>
            <w:tcW w:w="6740" w:type="dxa"/>
            <w:vAlign w:val="bottom"/>
          </w:tcPr>
          <w:p>
            <w:pPr>
              <w:ind w:left="180"/>
              <w:spacing w:after="0"/>
              <w:rPr>
                <w:sz w:val="20"/>
                <w:szCs w:val="20"/>
                <w:color w:val="auto"/>
              </w:rPr>
            </w:pPr>
            <w:r>
              <w:rPr>
                <w:rFonts w:ascii="Arial" w:cs="Arial" w:eastAsia="Arial" w:hAnsi="Arial"/>
                <w:sz w:val="16"/>
                <w:szCs w:val="16"/>
                <w:color w:val="auto"/>
              </w:rPr>
              <w:t>Accumulated other comprehensive income (loss)</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84"/>
        </w:trPr>
        <w:tc>
          <w:tcPr>
            <w:tcW w:w="6740" w:type="dxa"/>
            <w:vAlign w:val="bottom"/>
          </w:tcPr>
          <w:p>
            <w:pPr>
              <w:ind w:left="360"/>
              <w:spacing w:after="0"/>
              <w:rPr>
                <w:sz w:val="20"/>
                <w:szCs w:val="20"/>
                <w:color w:val="auto"/>
              </w:rPr>
            </w:pPr>
            <w:r>
              <w:rPr>
                <w:rFonts w:ascii="Arial" w:cs="Arial" w:eastAsia="Arial" w:hAnsi="Arial"/>
                <w:sz w:val="16"/>
                <w:szCs w:val="16"/>
                <w:color w:val="auto"/>
              </w:rPr>
              <w:t>Total SDG&amp;E shareholders' equity</w:t>
            </w: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2,822</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2,739</w:t>
            </w:r>
          </w:p>
        </w:tc>
        <w:tc>
          <w:tcPr>
            <w:tcW w:w="0" w:type="dxa"/>
            <w:vAlign w:val="bottom"/>
          </w:tcPr>
          <w:p>
            <w:pPr>
              <w:spacing w:after="0"/>
              <w:rPr>
                <w:sz w:val="1"/>
                <w:szCs w:val="1"/>
                <w:color w:val="auto"/>
              </w:rPr>
            </w:pPr>
          </w:p>
        </w:tc>
      </w:tr>
      <w:tr>
        <w:trPr>
          <w:trHeight w:val="187"/>
        </w:trPr>
        <w:tc>
          <w:tcPr>
            <w:tcW w:w="6740" w:type="dxa"/>
            <w:vAlign w:val="bottom"/>
          </w:tcPr>
          <w:p>
            <w:pPr>
              <w:ind w:left="180"/>
              <w:spacing w:after="0"/>
              <w:rPr>
                <w:sz w:val="20"/>
                <w:szCs w:val="20"/>
                <w:color w:val="auto"/>
              </w:rPr>
            </w:pPr>
            <w:r>
              <w:rPr>
                <w:rFonts w:ascii="Arial" w:cs="Arial" w:eastAsia="Arial" w:hAnsi="Arial"/>
                <w:sz w:val="16"/>
                <w:szCs w:val="16"/>
                <w:color w:val="auto"/>
              </w:rPr>
              <w:t>Noncontrolling interests</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w:t>
            </w: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183"/>
        </w:trPr>
        <w:tc>
          <w:tcPr>
            <w:tcW w:w="6740" w:type="dxa"/>
            <w:vAlign w:val="bottom"/>
          </w:tcPr>
          <w:p>
            <w:pPr>
              <w:ind w:left="360"/>
              <w:spacing w:after="0" w:line="183" w:lineRule="exact"/>
              <w:rPr>
                <w:sz w:val="20"/>
                <w:szCs w:val="20"/>
                <w:color w:val="auto"/>
              </w:rPr>
            </w:pPr>
            <w:r>
              <w:rPr>
                <w:rFonts w:ascii="Arial" w:cs="Arial" w:eastAsia="Arial" w:hAnsi="Arial"/>
                <w:sz w:val="16"/>
                <w:szCs w:val="16"/>
                <w:color w:val="auto"/>
              </w:rPr>
              <w:t>Total equity</w:t>
            </w: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2,960</w:t>
            </w: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2,885</w:t>
            </w:r>
          </w:p>
        </w:tc>
        <w:tc>
          <w:tcPr>
            <w:tcW w:w="0" w:type="dxa"/>
            <w:vAlign w:val="bottom"/>
          </w:tcPr>
          <w:p>
            <w:pPr>
              <w:spacing w:after="0"/>
              <w:rPr>
                <w:sz w:val="1"/>
                <w:szCs w:val="1"/>
                <w:color w:val="auto"/>
              </w:rPr>
            </w:pPr>
          </w:p>
        </w:tc>
      </w:tr>
      <w:tr>
        <w:trPr>
          <w:trHeight w:val="183"/>
        </w:trPr>
        <w:tc>
          <w:tcPr>
            <w:tcW w:w="6740" w:type="dxa"/>
            <w:vAlign w:val="bottom"/>
          </w:tcPr>
          <w:p>
            <w:pPr>
              <w:spacing w:after="0" w:line="183" w:lineRule="exact"/>
              <w:rPr>
                <w:sz w:val="20"/>
                <w:szCs w:val="20"/>
                <w:color w:val="auto"/>
              </w:rPr>
            </w:pPr>
            <w:r>
              <w:rPr>
                <w:rFonts w:ascii="Arial" w:cs="Arial" w:eastAsia="Arial" w:hAnsi="Arial"/>
                <w:sz w:val="16"/>
                <w:szCs w:val="16"/>
                <w:color w:val="auto"/>
              </w:rPr>
              <w:t>Total liabilities and equity</w:t>
            </w:r>
          </w:p>
        </w:tc>
        <w:tc>
          <w:tcPr>
            <w:tcW w:w="16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10,435</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line="183" w:lineRule="exact"/>
              <w:rPr>
                <w:sz w:val="20"/>
                <w:szCs w:val="20"/>
                <w:color w:val="auto"/>
              </w:rPr>
            </w:pPr>
            <w:r>
              <w:rPr>
                <w:rFonts w:ascii="Arial" w:cs="Arial" w:eastAsia="Arial" w:hAnsi="Arial"/>
                <w:sz w:val="16"/>
                <w:szCs w:val="16"/>
                <w:color w:val="auto"/>
              </w:rPr>
              <w:t>10,229</w:t>
            </w:r>
          </w:p>
        </w:tc>
        <w:tc>
          <w:tcPr>
            <w:tcW w:w="0" w:type="dxa"/>
            <w:vAlign w:val="bottom"/>
          </w:tcPr>
          <w:p>
            <w:pPr>
              <w:spacing w:after="0"/>
              <w:rPr>
                <w:sz w:val="1"/>
                <w:szCs w:val="1"/>
                <w:color w:val="auto"/>
              </w:rPr>
            </w:pPr>
          </w:p>
        </w:tc>
      </w:tr>
      <w:tr>
        <w:trPr>
          <w:trHeight w:val="81"/>
        </w:trPr>
        <w:tc>
          <w:tcPr>
            <w:tcW w:w="6740" w:type="dxa"/>
            <w:vAlign w:val="bottom"/>
            <w:shd w:val="clear" w:color="auto" w:fill="000000"/>
          </w:tcPr>
          <w:p>
            <w:pPr>
              <w:spacing w:after="0"/>
              <w:rPr>
                <w:sz w:val="7"/>
                <w:szCs w:val="7"/>
                <w:color w:val="auto"/>
              </w:rPr>
            </w:pPr>
          </w:p>
        </w:tc>
        <w:tc>
          <w:tcPr>
            <w:tcW w:w="160" w:type="dxa"/>
            <w:vAlign w:val="bottom"/>
            <w:shd w:val="clear" w:color="auto" w:fill="000000"/>
          </w:tcPr>
          <w:p>
            <w:pPr>
              <w:spacing w:after="0"/>
              <w:rPr>
                <w:sz w:val="7"/>
                <w:szCs w:val="7"/>
                <w:color w:val="auto"/>
              </w:rPr>
            </w:pPr>
          </w:p>
        </w:tc>
        <w:tc>
          <w:tcPr>
            <w:tcW w:w="1020" w:type="dxa"/>
            <w:vAlign w:val="bottom"/>
            <w:shd w:val="clear" w:color="auto" w:fill="000000"/>
          </w:tcPr>
          <w:p>
            <w:pPr>
              <w:spacing w:after="0"/>
              <w:rPr>
                <w:sz w:val="7"/>
                <w:szCs w:val="7"/>
                <w:color w:val="auto"/>
              </w:rPr>
            </w:pPr>
          </w:p>
        </w:tc>
        <w:tc>
          <w:tcPr>
            <w:tcW w:w="120" w:type="dxa"/>
            <w:vAlign w:val="bottom"/>
            <w:shd w:val="clear" w:color="auto" w:fill="000000"/>
          </w:tcPr>
          <w:p>
            <w:pPr>
              <w:spacing w:after="0"/>
              <w:rPr>
                <w:sz w:val="7"/>
                <w:szCs w:val="7"/>
                <w:color w:val="auto"/>
              </w:rPr>
            </w:pPr>
          </w:p>
        </w:tc>
        <w:tc>
          <w:tcPr>
            <w:tcW w:w="106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ectPr>
          <w:pgSz w:w="11900" w:h="16838" w:orient="portrait"/>
          <w:cols w:equalWidth="0" w:num="1">
            <w:col w:w="10219"/>
          </w:cols>
          <w:pgMar w:left="240" w:top="135" w:right="1440"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auto"/>
        </w:rPr>
        <w:t>SAN DIEGO GAS &amp; ELECTRIC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5728335" cy="3517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28335" cy="3517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STATEMENTS OF CONSOLIDATED CASH FLOWS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8" w:lineRule="exact"/>
        <w:rPr>
          <w:sz w:val="20"/>
          <w:szCs w:val="20"/>
          <w:color w:val="auto"/>
        </w:rPr>
      </w:pPr>
    </w:p>
    <w:p>
      <w:pPr>
        <w:jc w:val="center"/>
        <w:ind w:left="4300"/>
        <w:spacing w:after="0"/>
        <w:rPr>
          <w:sz w:val="20"/>
          <w:szCs w:val="20"/>
          <w:color w:val="auto"/>
        </w:rPr>
      </w:pPr>
      <w:r>
        <w:rPr>
          <w:rFonts w:ascii="Arial" w:cs="Arial" w:eastAsia="Arial" w:hAnsi="Arial"/>
          <w:sz w:val="14"/>
          <w:szCs w:val="14"/>
          <w:color w:val="auto"/>
        </w:rPr>
        <w:t>Three months ended</w:t>
      </w:r>
    </w:p>
    <w:p>
      <w:pPr>
        <w:spacing w:after="0" w:line="15" w:lineRule="exact"/>
        <w:rPr>
          <w:sz w:val="20"/>
          <w:szCs w:val="20"/>
          <w:color w:val="auto"/>
        </w:rPr>
      </w:pPr>
    </w:p>
    <w:p>
      <w:pPr>
        <w:jc w:val="center"/>
        <w:ind w:left="4300"/>
        <w:spacing w:after="0"/>
        <w:rPr>
          <w:sz w:val="20"/>
          <w:szCs w:val="20"/>
          <w:color w:val="auto"/>
        </w:rPr>
      </w:pPr>
      <w:r>
        <w:rPr>
          <w:rFonts w:ascii="Arial" w:cs="Arial" w:eastAsia="Arial" w:hAnsi="Arial"/>
          <w:sz w:val="14"/>
          <w:szCs w:val="14"/>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-1905</wp:posOffset>
            </wp:positionV>
            <wp:extent cx="14833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83360" cy="8890"/>
                    </a:xfrm>
                    <a:prstGeom prst="rect">
                      <a:avLst/>
                    </a:prstGeom>
                    <a:noFill/>
                  </pic:spPr>
                </pic:pic>
              </a:graphicData>
            </a:graphic>
          </wp:anchor>
        </w:drawing>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2010</w:t>
            </w:r>
          </w:p>
        </w:tc>
        <w:tc>
          <w:tcPr>
            <w:tcW w:w="4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color w:val="auto"/>
              </w:rPr>
              <w:t>2009</w:t>
            </w:r>
          </w:p>
        </w:tc>
        <w:tc>
          <w:tcPr>
            <w:tcW w:w="0" w:type="dxa"/>
            <w:vAlign w:val="bottom"/>
          </w:tcPr>
          <w:p>
            <w:pPr>
              <w:spacing w:after="0"/>
              <w:rPr>
                <w:sz w:val="1"/>
                <w:szCs w:val="1"/>
                <w:color w:val="auto"/>
              </w:rPr>
            </w:pPr>
          </w:p>
        </w:tc>
      </w:tr>
      <w:tr>
        <w:trPr>
          <w:trHeight w:val="198"/>
        </w:trPr>
        <w:tc>
          <w:tcPr>
            <w:tcW w:w="6700" w:type="dxa"/>
            <w:vAlign w:val="bottom"/>
            <w:vMerge w:val="restart"/>
          </w:tcPr>
          <w:p>
            <w:pPr>
              <w:spacing w:after="0"/>
              <w:rPr>
                <w:sz w:val="20"/>
                <w:szCs w:val="20"/>
                <w:color w:val="auto"/>
              </w:rPr>
            </w:pPr>
            <w:r>
              <w:rPr>
                <w:rFonts w:ascii="Arial" w:cs="Arial" w:eastAsia="Arial" w:hAnsi="Arial"/>
                <w:sz w:val="16"/>
                <w:szCs w:val="16"/>
                <w:color w:val="auto"/>
              </w:rPr>
              <w:t>CASH FLOWS FROM OPERATING ACTIVITIES</w:t>
            </w:r>
          </w:p>
        </w:tc>
        <w:tc>
          <w:tcPr>
            <w:tcW w:w="76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(unaudited)</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70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760" w:type="dxa"/>
            <w:vAlign w:val="bottom"/>
          </w:tcPr>
          <w:p>
            <w:pPr>
              <w:jc w:val="right"/>
              <w:ind w:right="605"/>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76</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Adjustments to reconcile net income to net cash provided by</w:t>
            </w: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00" w:type="dxa"/>
            <w:vAlign w:val="bottom"/>
          </w:tcPr>
          <w:p>
            <w:pPr>
              <w:ind w:left="360"/>
              <w:spacing w:after="0"/>
              <w:rPr>
                <w:sz w:val="20"/>
                <w:szCs w:val="20"/>
                <w:color w:val="auto"/>
              </w:rPr>
            </w:pPr>
            <w:r>
              <w:rPr>
                <w:rFonts w:ascii="Arial" w:cs="Arial" w:eastAsia="Arial" w:hAnsi="Arial"/>
                <w:sz w:val="16"/>
                <w:szCs w:val="16"/>
                <w:color w:val="auto"/>
              </w:rPr>
              <w:t>operating activities:</w:t>
            </w: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00" w:type="dxa"/>
            <w:vAlign w:val="bottom"/>
          </w:tcPr>
          <w:p>
            <w:pPr>
              <w:ind w:left="540"/>
              <w:spacing w:after="0"/>
              <w:rPr>
                <w:sz w:val="20"/>
                <w:szCs w:val="20"/>
                <w:color w:val="auto"/>
              </w:rPr>
            </w:pPr>
            <w:r>
              <w:rPr>
                <w:rFonts w:ascii="Arial" w:cs="Arial" w:eastAsia="Arial" w:hAnsi="Arial"/>
                <w:sz w:val="16"/>
                <w:szCs w:val="16"/>
                <w:color w:val="auto"/>
              </w:rPr>
              <w:t>Depreciation and amortization</w:t>
            </w:r>
          </w:p>
        </w:tc>
        <w:tc>
          <w:tcPr>
            <w:tcW w:w="7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92</w:t>
            </w:r>
          </w:p>
        </w:tc>
        <w:tc>
          <w:tcPr>
            <w:tcW w:w="4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189"/>
        </w:trPr>
        <w:tc>
          <w:tcPr>
            <w:tcW w:w="6700" w:type="dxa"/>
            <w:vAlign w:val="bottom"/>
          </w:tcPr>
          <w:p>
            <w:pPr>
              <w:ind w:left="540"/>
              <w:spacing w:after="0"/>
              <w:rPr>
                <w:sz w:val="20"/>
                <w:szCs w:val="20"/>
                <w:color w:val="auto"/>
              </w:rPr>
            </w:pPr>
            <w:r>
              <w:rPr>
                <w:rFonts w:ascii="Arial" w:cs="Arial" w:eastAsia="Arial" w:hAnsi="Arial"/>
                <w:sz w:val="16"/>
                <w:szCs w:val="16"/>
                <w:color w:val="auto"/>
              </w:rPr>
              <w:t>Deferred income taxes and investment tax credits</w:t>
            </w:r>
          </w:p>
        </w:tc>
        <w:tc>
          <w:tcPr>
            <w:tcW w:w="7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9</w:t>
            </w:r>
          </w:p>
        </w:tc>
        <w:tc>
          <w:tcPr>
            <w:tcW w:w="4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89"/>
        </w:trPr>
        <w:tc>
          <w:tcPr>
            <w:tcW w:w="6700" w:type="dxa"/>
            <w:vAlign w:val="bottom"/>
          </w:tcPr>
          <w:p>
            <w:pPr>
              <w:ind w:left="540"/>
              <w:spacing w:after="0"/>
              <w:rPr>
                <w:sz w:val="20"/>
                <w:szCs w:val="20"/>
                <w:color w:val="auto"/>
              </w:rPr>
            </w:pPr>
            <w:r>
              <w:rPr>
                <w:rFonts w:ascii="Arial" w:cs="Arial" w:eastAsia="Arial" w:hAnsi="Arial"/>
                <w:sz w:val="16"/>
                <w:szCs w:val="16"/>
                <w:color w:val="auto"/>
              </w:rPr>
              <w:t>Other</w:t>
            </w:r>
          </w:p>
        </w:tc>
        <w:tc>
          <w:tcPr>
            <w:tcW w:w="7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Net change in other working capital components</w:t>
            </w:r>
          </w:p>
        </w:tc>
        <w:tc>
          <w:tcPr>
            <w:tcW w:w="7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101</w:t>
            </w:r>
          </w:p>
        </w:tc>
        <w:tc>
          <w:tcPr>
            <w:tcW w:w="4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Changes in other assets</w:t>
            </w:r>
          </w:p>
        </w:tc>
        <w:tc>
          <w:tcPr>
            <w:tcW w:w="7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5</w:t>
            </w:r>
          </w:p>
        </w:tc>
        <w:tc>
          <w:tcPr>
            <w:tcW w:w="4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87"/>
        </w:trPr>
        <w:tc>
          <w:tcPr>
            <w:tcW w:w="6700" w:type="dxa"/>
            <w:vAlign w:val="bottom"/>
          </w:tcPr>
          <w:p>
            <w:pPr>
              <w:ind w:left="180"/>
              <w:spacing w:after="0"/>
              <w:rPr>
                <w:sz w:val="20"/>
                <w:szCs w:val="20"/>
                <w:color w:val="auto"/>
              </w:rPr>
            </w:pPr>
            <w:r>
              <w:rPr>
                <w:rFonts w:ascii="Arial" w:cs="Arial" w:eastAsia="Arial" w:hAnsi="Arial"/>
                <w:sz w:val="16"/>
                <w:szCs w:val="16"/>
                <w:color w:val="auto"/>
              </w:rPr>
              <w:t>Changes in other liabilities</w:t>
            </w:r>
          </w:p>
        </w:tc>
        <w:tc>
          <w:tcPr>
            <w:tcW w:w="7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83"/>
        </w:trPr>
        <w:tc>
          <w:tcPr>
            <w:tcW w:w="6700" w:type="dxa"/>
            <w:vAlign w:val="bottom"/>
          </w:tcPr>
          <w:p>
            <w:pPr>
              <w:ind w:left="360"/>
              <w:spacing w:after="0" w:line="183" w:lineRule="exact"/>
              <w:rPr>
                <w:sz w:val="20"/>
                <w:szCs w:val="20"/>
                <w:color w:val="auto"/>
              </w:rPr>
            </w:pPr>
            <w:r>
              <w:rPr>
                <w:rFonts w:ascii="Arial" w:cs="Arial" w:eastAsia="Arial" w:hAnsi="Arial"/>
                <w:sz w:val="16"/>
                <w:szCs w:val="16"/>
                <w:color w:val="auto"/>
              </w:rPr>
              <w:t>Net cash provided by operating activities</w:t>
            </w:r>
          </w:p>
        </w:tc>
        <w:tc>
          <w:tcPr>
            <w:tcW w:w="7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275</w:t>
            </w:r>
          </w:p>
        </w:tc>
        <w:tc>
          <w:tcPr>
            <w:tcW w:w="4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245</w:t>
            </w:r>
          </w:p>
        </w:tc>
        <w:tc>
          <w:tcPr>
            <w:tcW w:w="0" w:type="dxa"/>
            <w:vAlign w:val="bottom"/>
          </w:tcPr>
          <w:p>
            <w:pPr>
              <w:spacing w:after="0"/>
              <w:rPr>
                <w:sz w:val="1"/>
                <w:szCs w:val="1"/>
                <w:color w:val="auto"/>
              </w:rPr>
            </w:pPr>
          </w:p>
        </w:tc>
      </w:tr>
      <w:tr>
        <w:trPr>
          <w:trHeight w:val="374"/>
        </w:trPr>
        <w:tc>
          <w:tcPr>
            <w:tcW w:w="670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Expenditures for property, plant and equipment</w:t>
            </w:r>
          </w:p>
        </w:tc>
        <w:tc>
          <w:tcPr>
            <w:tcW w:w="7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(290)</w:t>
            </w:r>
          </w:p>
        </w:tc>
        <w:tc>
          <w:tcPr>
            <w:tcW w:w="4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Purchases of nuclear decommissioning trust assets</w:t>
            </w:r>
          </w:p>
        </w:tc>
        <w:tc>
          <w:tcPr>
            <w:tcW w:w="7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(43)</w:t>
            </w:r>
          </w:p>
        </w:tc>
        <w:tc>
          <w:tcPr>
            <w:tcW w:w="4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Proceeds from sales by nuclear decommissioning trusts</w:t>
            </w:r>
          </w:p>
        </w:tc>
        <w:tc>
          <w:tcPr>
            <w:tcW w:w="7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40</w:t>
            </w:r>
          </w:p>
        </w:tc>
        <w:tc>
          <w:tcPr>
            <w:tcW w:w="4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Decrease in loans to affiliates, net</w:t>
            </w:r>
          </w:p>
        </w:tc>
        <w:tc>
          <w:tcPr>
            <w:tcW w:w="7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w:t>
            </w:r>
          </w:p>
        </w:tc>
        <w:tc>
          <w:tcPr>
            <w:tcW w:w="4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187"/>
        </w:trPr>
        <w:tc>
          <w:tcPr>
            <w:tcW w:w="6700" w:type="dxa"/>
            <w:vAlign w:val="bottom"/>
          </w:tcPr>
          <w:p>
            <w:pPr>
              <w:ind w:left="180"/>
              <w:spacing w:after="0"/>
              <w:rPr>
                <w:sz w:val="20"/>
                <w:szCs w:val="20"/>
                <w:color w:val="auto"/>
              </w:rPr>
            </w:pPr>
            <w:r>
              <w:rPr>
                <w:rFonts w:ascii="Arial" w:cs="Arial" w:eastAsia="Arial" w:hAnsi="Arial"/>
                <w:sz w:val="16"/>
                <w:szCs w:val="16"/>
                <w:color w:val="auto"/>
              </w:rPr>
              <w:t>Net increase in restricted cash</w:t>
            </w:r>
          </w:p>
        </w:tc>
        <w:tc>
          <w:tcPr>
            <w:tcW w:w="7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6700" w:type="dxa"/>
            <w:vAlign w:val="bottom"/>
          </w:tcPr>
          <w:p>
            <w:pPr>
              <w:ind w:left="360"/>
              <w:spacing w:after="0" w:line="183" w:lineRule="exact"/>
              <w:rPr>
                <w:sz w:val="20"/>
                <w:szCs w:val="20"/>
                <w:color w:val="auto"/>
              </w:rPr>
            </w:pPr>
            <w:r>
              <w:rPr>
                <w:rFonts w:ascii="Arial" w:cs="Arial" w:eastAsia="Arial" w:hAnsi="Arial"/>
                <w:sz w:val="16"/>
                <w:szCs w:val="16"/>
                <w:color w:val="auto"/>
              </w:rPr>
              <w:t>Net cash used in investing activities</w:t>
            </w:r>
          </w:p>
        </w:tc>
        <w:tc>
          <w:tcPr>
            <w:tcW w:w="7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(300)</w:t>
            </w:r>
          </w:p>
        </w:tc>
        <w:tc>
          <w:tcPr>
            <w:tcW w:w="4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374"/>
        </w:trPr>
        <w:tc>
          <w:tcPr>
            <w:tcW w:w="670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Common dividends paid</w:t>
            </w:r>
          </w:p>
        </w:tc>
        <w:tc>
          <w:tcPr>
            <w:tcW w:w="7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Preferred dividends paid</w:t>
            </w:r>
          </w:p>
        </w:tc>
        <w:tc>
          <w:tcPr>
            <w:tcW w:w="7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w:t>
            </w:r>
          </w:p>
        </w:tc>
        <w:tc>
          <w:tcPr>
            <w:tcW w:w="4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Issuances of long-term debt</w:t>
            </w:r>
          </w:p>
        </w:tc>
        <w:tc>
          <w:tcPr>
            <w:tcW w:w="7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3</w:t>
            </w:r>
          </w:p>
        </w:tc>
        <w:tc>
          <w:tcPr>
            <w:tcW w:w="4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Payments on long-term debt</w:t>
            </w:r>
          </w:p>
        </w:tc>
        <w:tc>
          <w:tcPr>
            <w:tcW w:w="7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(3)</w:t>
            </w:r>
          </w:p>
        </w:tc>
        <w:tc>
          <w:tcPr>
            <w:tcW w:w="4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Increase in short-term debt, net</w:t>
            </w:r>
          </w:p>
        </w:tc>
        <w:tc>
          <w:tcPr>
            <w:tcW w:w="7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27</w:t>
            </w:r>
          </w:p>
        </w:tc>
        <w:tc>
          <w:tcPr>
            <w:tcW w:w="4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187"/>
        </w:trPr>
        <w:tc>
          <w:tcPr>
            <w:tcW w:w="6700" w:type="dxa"/>
            <w:vAlign w:val="bottom"/>
          </w:tcPr>
          <w:p>
            <w:pPr>
              <w:ind w:left="180"/>
              <w:spacing w:after="0"/>
              <w:rPr>
                <w:sz w:val="20"/>
                <w:szCs w:val="20"/>
                <w:color w:val="auto"/>
              </w:rPr>
            </w:pPr>
            <w:r>
              <w:rPr>
                <w:rFonts w:ascii="Arial" w:cs="Arial" w:eastAsia="Arial" w:hAnsi="Arial"/>
                <w:sz w:val="16"/>
                <w:szCs w:val="16"/>
                <w:color w:val="auto"/>
              </w:rPr>
              <w:t>Capital contribution received by Otay Mesa VIE</w:t>
            </w:r>
          </w:p>
        </w:tc>
        <w:tc>
          <w:tcPr>
            <w:tcW w:w="7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83"/>
        </w:trPr>
        <w:tc>
          <w:tcPr>
            <w:tcW w:w="6700" w:type="dxa"/>
            <w:vAlign w:val="bottom"/>
          </w:tcPr>
          <w:p>
            <w:pPr>
              <w:ind w:left="360"/>
              <w:spacing w:after="0" w:line="183" w:lineRule="exact"/>
              <w:rPr>
                <w:sz w:val="20"/>
                <w:szCs w:val="20"/>
                <w:color w:val="auto"/>
              </w:rPr>
            </w:pPr>
            <w:r>
              <w:rPr>
                <w:rFonts w:ascii="Arial" w:cs="Arial" w:eastAsia="Arial" w:hAnsi="Arial"/>
                <w:sz w:val="16"/>
                <w:szCs w:val="16"/>
                <w:color w:val="auto"/>
              </w:rPr>
              <w:t>Net cash provided by (used in) financing activities</w:t>
            </w:r>
          </w:p>
        </w:tc>
        <w:tc>
          <w:tcPr>
            <w:tcW w:w="7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26</w:t>
            </w:r>
          </w:p>
        </w:tc>
        <w:tc>
          <w:tcPr>
            <w:tcW w:w="4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374"/>
        </w:trPr>
        <w:tc>
          <w:tcPr>
            <w:tcW w:w="6700" w:type="dxa"/>
            <w:vAlign w:val="bottom"/>
          </w:tcPr>
          <w:p>
            <w:pPr>
              <w:spacing w:after="0"/>
              <w:rPr>
                <w:sz w:val="20"/>
                <w:szCs w:val="20"/>
                <w:color w:val="auto"/>
              </w:rPr>
            </w:pPr>
            <w:r>
              <w:rPr>
                <w:rFonts w:ascii="Arial" w:cs="Arial" w:eastAsia="Arial" w:hAnsi="Arial"/>
                <w:sz w:val="16"/>
                <w:szCs w:val="16"/>
                <w:color w:val="auto"/>
              </w:rPr>
              <w:t>Increase in cash and cash equivalents</w:t>
            </w:r>
          </w:p>
        </w:tc>
        <w:tc>
          <w:tcPr>
            <w:tcW w:w="7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w:t>
            </w:r>
          </w:p>
        </w:tc>
        <w:tc>
          <w:tcPr>
            <w:tcW w:w="4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87"/>
        </w:trPr>
        <w:tc>
          <w:tcPr>
            <w:tcW w:w="6700" w:type="dxa"/>
            <w:vAlign w:val="bottom"/>
          </w:tcPr>
          <w:p>
            <w:pPr>
              <w:spacing w:after="0"/>
              <w:rPr>
                <w:sz w:val="20"/>
                <w:szCs w:val="20"/>
                <w:color w:val="auto"/>
              </w:rPr>
            </w:pPr>
            <w:r>
              <w:rPr>
                <w:rFonts w:ascii="Arial" w:cs="Arial" w:eastAsia="Arial" w:hAnsi="Arial"/>
                <w:sz w:val="16"/>
                <w:szCs w:val="16"/>
                <w:color w:val="auto"/>
              </w:rPr>
              <w:t>Cash and cash equivalents, January 1</w:t>
            </w:r>
          </w:p>
        </w:tc>
        <w:tc>
          <w:tcPr>
            <w:tcW w:w="7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83"/>
        </w:trPr>
        <w:tc>
          <w:tcPr>
            <w:tcW w:w="6700" w:type="dxa"/>
            <w:vAlign w:val="bottom"/>
            <w:vMerge w:val="restart"/>
          </w:tcPr>
          <w:p>
            <w:pPr>
              <w:spacing w:after="0"/>
              <w:rPr>
                <w:sz w:val="20"/>
                <w:szCs w:val="20"/>
                <w:color w:val="auto"/>
              </w:rPr>
            </w:pPr>
            <w:r>
              <w:rPr>
                <w:rFonts w:ascii="Arial" w:cs="Arial" w:eastAsia="Arial" w:hAnsi="Arial"/>
                <w:sz w:val="16"/>
                <w:szCs w:val="16"/>
                <w:color w:val="auto"/>
              </w:rPr>
              <w:t>Cash and cash equivalents, March 31</w:t>
            </w:r>
          </w:p>
        </w:tc>
        <w:tc>
          <w:tcPr>
            <w:tcW w:w="760" w:type="dxa"/>
            <w:vAlign w:val="bottom"/>
          </w:tcPr>
          <w:p>
            <w:pPr>
              <w:jc w:val="right"/>
              <w:ind w:right="605"/>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line="183" w:lineRule="exact"/>
              <w:rPr>
                <w:sz w:val="20"/>
                <w:szCs w:val="20"/>
                <w:color w:val="auto"/>
              </w:rPr>
            </w:pPr>
            <w:r>
              <w:rPr>
                <w:rFonts w:ascii="Arial" w:cs="Arial" w:eastAsia="Arial" w:hAnsi="Arial"/>
                <w:sz w:val="16"/>
                <w:szCs w:val="16"/>
                <w:color w:val="auto"/>
              </w:rPr>
              <w:t>14</w:t>
            </w:r>
          </w:p>
        </w:tc>
        <w:tc>
          <w:tcPr>
            <w:tcW w:w="400" w:type="dxa"/>
            <w:vAlign w:val="bottom"/>
          </w:tcPr>
          <w:p>
            <w:pPr>
              <w:jc w:val="right"/>
              <w:ind w:right="219"/>
              <w:spacing w:after="0" w:line="183" w:lineRule="exact"/>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81"/>
        </w:trPr>
        <w:tc>
          <w:tcPr>
            <w:tcW w:w="6700" w:type="dxa"/>
            <w:vAlign w:val="bottom"/>
            <w:vMerge w:val="continue"/>
          </w:tcPr>
          <w:p>
            <w:pPr>
              <w:spacing w:after="0"/>
              <w:rPr>
                <w:sz w:val="7"/>
                <w:szCs w:val="7"/>
                <w:color w:val="auto"/>
              </w:rPr>
            </w:pPr>
          </w:p>
        </w:tc>
        <w:tc>
          <w:tcPr>
            <w:tcW w:w="760" w:type="dxa"/>
            <w:vAlign w:val="bottom"/>
            <w:shd w:val="clear" w:color="auto" w:fill="000000"/>
          </w:tcPr>
          <w:p>
            <w:pPr>
              <w:spacing w:after="0"/>
              <w:rPr>
                <w:sz w:val="7"/>
                <w:szCs w:val="7"/>
                <w:color w:val="auto"/>
              </w:rPr>
            </w:pPr>
          </w:p>
        </w:tc>
        <w:tc>
          <w:tcPr>
            <w:tcW w:w="400" w:type="dxa"/>
            <w:vAlign w:val="bottom"/>
            <w:shd w:val="clear" w:color="auto" w:fill="000000"/>
          </w:tcPr>
          <w:p>
            <w:pPr>
              <w:spacing w:after="0"/>
              <w:rPr>
                <w:sz w:val="7"/>
                <w:szCs w:val="7"/>
                <w:color w:val="auto"/>
              </w:rPr>
            </w:pPr>
          </w:p>
        </w:tc>
        <w:tc>
          <w:tcPr>
            <w:tcW w:w="400" w:type="dxa"/>
            <w:vAlign w:val="bottom"/>
            <w:shd w:val="clear" w:color="auto" w:fill="000000"/>
          </w:tcPr>
          <w:p>
            <w:pPr>
              <w:spacing w:after="0"/>
              <w:rPr>
                <w:sz w:val="7"/>
                <w:szCs w:val="7"/>
                <w:color w:val="auto"/>
              </w:rPr>
            </w:pPr>
          </w:p>
        </w:tc>
        <w:tc>
          <w:tcPr>
            <w:tcW w:w="76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380"/>
        </w:trPr>
        <w:tc>
          <w:tcPr>
            <w:tcW w:w="6700" w:type="dxa"/>
            <w:vAlign w:val="bottom"/>
          </w:tcPr>
          <w:p>
            <w:pPr>
              <w:spacing w:after="0"/>
              <w:rPr>
                <w:sz w:val="20"/>
                <w:szCs w:val="20"/>
                <w:color w:val="auto"/>
              </w:rPr>
            </w:pPr>
            <w:r>
              <w:rPr>
                <w:rFonts w:ascii="Arial" w:cs="Arial" w:eastAsia="Arial" w:hAnsi="Arial"/>
                <w:sz w:val="16"/>
                <w:szCs w:val="16"/>
                <w:color w:val="auto"/>
              </w:rPr>
              <w:t>SUPPLEMENTAL DISCLOSURE OF CASH FLOW INFORMATION</w:t>
            </w: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Interest payments, net of amounts capitalized</w:t>
            </w:r>
          </w:p>
        </w:tc>
        <w:tc>
          <w:tcPr>
            <w:tcW w:w="760" w:type="dxa"/>
            <w:vAlign w:val="bottom"/>
          </w:tcPr>
          <w:p>
            <w:pPr>
              <w:jc w:val="right"/>
              <w:ind w:right="605"/>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10</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95"/>
        </w:trPr>
        <w:tc>
          <w:tcPr>
            <w:tcW w:w="6700" w:type="dxa"/>
            <w:vAlign w:val="bottom"/>
          </w:tcPr>
          <w:p>
            <w:pPr>
              <w:ind w:left="180"/>
              <w:spacing w:after="0"/>
              <w:rPr>
                <w:sz w:val="20"/>
                <w:szCs w:val="20"/>
                <w:color w:val="auto"/>
              </w:rPr>
            </w:pPr>
            <w:r>
              <w:rPr>
                <w:rFonts w:ascii="Arial" w:cs="Arial" w:eastAsia="Arial" w:hAnsi="Arial"/>
                <w:sz w:val="16"/>
                <w:szCs w:val="16"/>
                <w:color w:val="auto"/>
              </w:rPr>
              <w:t>Income tax payments (refunds), net</w:t>
            </w:r>
          </w:p>
        </w:tc>
        <w:tc>
          <w:tcPr>
            <w:tcW w:w="7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(26)</w:t>
            </w:r>
          </w:p>
        </w:tc>
        <w:tc>
          <w:tcPr>
            <w:tcW w:w="4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73"/>
        </w:trPr>
        <w:tc>
          <w:tcPr>
            <w:tcW w:w="6700" w:type="dxa"/>
            <w:vAlign w:val="bottom"/>
          </w:tcPr>
          <w:p>
            <w:pPr>
              <w:spacing w:after="0"/>
              <w:rPr>
                <w:sz w:val="20"/>
                <w:szCs w:val="20"/>
                <w:color w:val="auto"/>
              </w:rPr>
            </w:pPr>
            <w:r>
              <w:rPr>
                <w:rFonts w:ascii="Arial" w:cs="Arial" w:eastAsia="Arial" w:hAnsi="Arial"/>
                <w:sz w:val="16"/>
                <w:szCs w:val="16"/>
                <w:color w:val="auto"/>
              </w:rPr>
              <w:t>SUPPLEMENTAL DISCLOSURE OF NONCASH ACTIVITIES</w:t>
            </w: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700" w:type="dxa"/>
            <w:vAlign w:val="bottom"/>
          </w:tcPr>
          <w:p>
            <w:pPr>
              <w:ind w:left="180"/>
              <w:spacing w:after="0"/>
              <w:rPr>
                <w:sz w:val="20"/>
                <w:szCs w:val="20"/>
                <w:color w:val="auto"/>
              </w:rPr>
            </w:pPr>
            <w:r>
              <w:rPr>
                <w:rFonts w:ascii="Arial" w:cs="Arial" w:eastAsia="Arial" w:hAnsi="Arial"/>
                <w:sz w:val="16"/>
                <w:szCs w:val="16"/>
                <w:color w:val="auto"/>
              </w:rPr>
              <w:t>Dividends declared but not paid</w:t>
            </w:r>
          </w:p>
        </w:tc>
        <w:tc>
          <w:tcPr>
            <w:tcW w:w="760" w:type="dxa"/>
            <w:vAlign w:val="bottom"/>
          </w:tcPr>
          <w:p>
            <w:pPr>
              <w:jc w:val="right"/>
              <w:ind w:right="605"/>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1</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81"/>
        </w:trPr>
        <w:tc>
          <w:tcPr>
            <w:tcW w:w="6700" w:type="dxa"/>
            <w:vAlign w:val="bottom"/>
            <w:shd w:val="clear" w:color="auto" w:fill="000000"/>
          </w:tcPr>
          <w:p>
            <w:pPr>
              <w:spacing w:after="0"/>
              <w:rPr>
                <w:sz w:val="7"/>
                <w:szCs w:val="7"/>
                <w:color w:val="auto"/>
              </w:rPr>
            </w:pPr>
          </w:p>
        </w:tc>
        <w:tc>
          <w:tcPr>
            <w:tcW w:w="760" w:type="dxa"/>
            <w:vAlign w:val="bottom"/>
            <w:shd w:val="clear" w:color="auto" w:fill="000000"/>
          </w:tcPr>
          <w:p>
            <w:pPr>
              <w:spacing w:after="0"/>
              <w:rPr>
                <w:sz w:val="7"/>
                <w:szCs w:val="7"/>
                <w:color w:val="auto"/>
              </w:rPr>
            </w:pPr>
          </w:p>
        </w:tc>
        <w:tc>
          <w:tcPr>
            <w:tcW w:w="400" w:type="dxa"/>
            <w:vAlign w:val="bottom"/>
            <w:shd w:val="clear" w:color="auto" w:fill="000000"/>
          </w:tcPr>
          <w:p>
            <w:pPr>
              <w:spacing w:after="0"/>
              <w:rPr>
                <w:sz w:val="7"/>
                <w:szCs w:val="7"/>
                <w:color w:val="auto"/>
              </w:rPr>
            </w:pPr>
          </w:p>
        </w:tc>
        <w:tc>
          <w:tcPr>
            <w:tcW w:w="400" w:type="dxa"/>
            <w:vAlign w:val="bottom"/>
            <w:shd w:val="clear" w:color="auto" w:fill="000000"/>
          </w:tcPr>
          <w:p>
            <w:pPr>
              <w:spacing w:after="0"/>
              <w:rPr>
                <w:sz w:val="7"/>
                <w:szCs w:val="7"/>
                <w:color w:val="auto"/>
              </w:rPr>
            </w:pPr>
          </w:p>
        </w:tc>
        <w:tc>
          <w:tcPr>
            <w:tcW w:w="76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ectPr>
          <w:pgSz w:w="11900" w:h="16838" w:orient="portrait"/>
          <w:cols w:equalWidth="0" w:num="1">
            <w:col w:w="10219"/>
          </w:cols>
          <w:pgMar w:left="240" w:top="135" w:right="1440"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color w:val="auto"/>
        </w:rPr>
        <w:t>PACIFIC ENTERPRISES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4562475" cy="3517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562475" cy="3517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3"/>
          </w:tcPr>
          <w:p>
            <w:pPr>
              <w:jc w:val="center"/>
              <w:ind w:right="120"/>
              <w:spacing w:after="0"/>
              <w:rPr>
                <w:sz w:val="20"/>
                <w:szCs w:val="20"/>
                <w:color w:val="auto"/>
              </w:rPr>
            </w:pPr>
            <w:r>
              <w:rPr>
                <w:rFonts w:ascii="Arial" w:cs="Arial" w:eastAsia="Arial" w:hAnsi="Arial"/>
                <w:sz w:val="14"/>
                <w:szCs w:val="14"/>
                <w:color w:val="auto"/>
              </w:rPr>
              <w:t>Three months ended</w:t>
            </w:r>
          </w:p>
        </w:tc>
      </w:tr>
      <w:tr>
        <w:trPr>
          <w:trHeight w:val="157"/>
        </w:trPr>
        <w:tc>
          <w:tcPr>
            <w:tcW w:w="52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3"/>
          </w:tcPr>
          <w:p>
            <w:pPr>
              <w:jc w:val="center"/>
              <w:ind w:right="120"/>
              <w:spacing w:after="0" w:line="157" w:lineRule="exact"/>
              <w:rPr>
                <w:sz w:val="20"/>
                <w:szCs w:val="20"/>
                <w:color w:val="auto"/>
              </w:rPr>
            </w:pPr>
            <w:r>
              <w:rPr>
                <w:rFonts w:ascii="Arial" w:cs="Arial" w:eastAsia="Arial" w:hAnsi="Arial"/>
                <w:sz w:val="14"/>
                <w:szCs w:val="14"/>
                <w:color w:val="auto"/>
              </w:rPr>
              <w:t>March 31,</w:t>
            </w:r>
          </w:p>
        </w:tc>
      </w:tr>
      <w:tr>
        <w:trPr>
          <w:trHeight w:val="183"/>
        </w:trPr>
        <w:tc>
          <w:tcPr>
            <w:tcW w:w="52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color w:val="auto"/>
              </w:rPr>
              <w:t>2010</w:t>
            </w: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color w:val="auto"/>
              </w:rPr>
              <w:t>2009</w:t>
            </w:r>
          </w:p>
        </w:tc>
      </w:tr>
      <w:tr>
        <w:trPr>
          <w:trHeight w:val="198"/>
        </w:trPr>
        <w:tc>
          <w:tcPr>
            <w:tcW w:w="5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gridSpan w:val="3"/>
          </w:tcPr>
          <w:p>
            <w:pPr>
              <w:jc w:val="center"/>
              <w:ind w:right="120"/>
              <w:spacing w:after="0"/>
              <w:rPr>
                <w:sz w:val="20"/>
                <w:szCs w:val="20"/>
                <w:color w:val="auto"/>
              </w:rPr>
            </w:pPr>
            <w:r>
              <w:rPr>
                <w:rFonts w:ascii="Arial" w:cs="Arial" w:eastAsia="Arial" w:hAnsi="Arial"/>
                <w:sz w:val="14"/>
                <w:szCs w:val="14"/>
                <w:color w:val="auto"/>
              </w:rPr>
              <w:t>(unaudited)</w:t>
            </w:r>
          </w:p>
        </w:tc>
      </w:tr>
      <w:tr>
        <w:trPr>
          <w:trHeight w:val="363"/>
        </w:trPr>
        <w:tc>
          <w:tcPr>
            <w:tcW w:w="5280" w:type="dxa"/>
            <w:vAlign w:val="bottom"/>
          </w:tcPr>
          <w:p>
            <w:pPr>
              <w:spacing w:after="0"/>
              <w:rPr>
                <w:sz w:val="20"/>
                <w:szCs w:val="20"/>
                <w:color w:val="auto"/>
              </w:rPr>
            </w:pPr>
            <w:r>
              <w:rPr>
                <w:rFonts w:ascii="Arial" w:cs="Arial" w:eastAsia="Arial" w:hAnsi="Arial"/>
                <w:sz w:val="16"/>
                <w:szCs w:val="16"/>
                <w:color w:val="auto"/>
              </w:rPr>
              <w:t>Operating revenues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1,182</w:t>
            </w: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920</w:t>
            </w:r>
          </w:p>
        </w:tc>
      </w:tr>
      <w:tr>
        <w:trPr>
          <w:trHeight w:val="184"/>
        </w:trPr>
        <w:tc>
          <w:tcPr>
            <w:tcW w:w="5280" w:type="dxa"/>
            <w:vAlign w:val="bottom"/>
          </w:tcPr>
          <w:p>
            <w:pPr>
              <w:spacing w:after="0"/>
              <w:rPr>
                <w:sz w:val="20"/>
                <w:szCs w:val="20"/>
                <w:color w:val="auto"/>
              </w:rPr>
            </w:pPr>
            <w:r>
              <w:rPr>
                <w:rFonts w:ascii="Arial" w:cs="Arial" w:eastAsia="Arial" w:hAnsi="Arial"/>
                <w:sz w:val="16"/>
                <w:szCs w:val="16"/>
                <w:color w:val="auto"/>
              </w:rPr>
              <w:t>Operating expenses</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9"/>
        </w:trPr>
        <w:tc>
          <w:tcPr>
            <w:tcW w:w="5280" w:type="dxa"/>
            <w:vAlign w:val="bottom"/>
          </w:tcPr>
          <w:p>
            <w:pPr>
              <w:ind w:left="180"/>
              <w:spacing w:after="0"/>
              <w:rPr>
                <w:sz w:val="20"/>
                <w:szCs w:val="20"/>
                <w:color w:val="auto"/>
              </w:rPr>
            </w:pPr>
            <w:r>
              <w:rPr>
                <w:rFonts w:ascii="Arial" w:cs="Arial" w:eastAsia="Arial" w:hAnsi="Arial"/>
                <w:sz w:val="16"/>
                <w:szCs w:val="16"/>
                <w:color w:val="auto"/>
              </w:rPr>
              <w:t>Cost of natural gas</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674</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455</w:t>
            </w:r>
          </w:p>
        </w:tc>
      </w:tr>
      <w:tr>
        <w:trPr>
          <w:trHeight w:val="189"/>
        </w:trPr>
        <w:tc>
          <w:tcPr>
            <w:tcW w:w="5280" w:type="dxa"/>
            <w:vAlign w:val="bottom"/>
          </w:tcPr>
          <w:p>
            <w:pPr>
              <w:ind w:left="180"/>
              <w:spacing w:after="0"/>
              <w:rPr>
                <w:sz w:val="20"/>
                <w:szCs w:val="20"/>
                <w:color w:val="auto"/>
              </w:rPr>
            </w:pPr>
            <w:r>
              <w:rPr>
                <w:rFonts w:ascii="Arial" w:cs="Arial" w:eastAsia="Arial" w:hAnsi="Arial"/>
                <w:sz w:val="16"/>
                <w:szCs w:val="16"/>
                <w:color w:val="auto"/>
              </w:rPr>
              <w:t>Operation and maintenance</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261</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251</w:t>
            </w:r>
          </w:p>
        </w:tc>
      </w:tr>
      <w:tr>
        <w:trPr>
          <w:trHeight w:val="189"/>
        </w:trPr>
        <w:tc>
          <w:tcPr>
            <w:tcW w:w="5280" w:type="dxa"/>
            <w:vAlign w:val="bottom"/>
          </w:tcPr>
          <w:p>
            <w:pPr>
              <w:ind w:left="180"/>
              <w:spacing w:after="0"/>
              <w:rPr>
                <w:sz w:val="20"/>
                <w:szCs w:val="20"/>
                <w:color w:val="auto"/>
              </w:rPr>
            </w:pPr>
            <w:r>
              <w:rPr>
                <w:rFonts w:ascii="Arial" w:cs="Arial" w:eastAsia="Arial" w:hAnsi="Arial"/>
                <w:sz w:val="16"/>
                <w:szCs w:val="16"/>
                <w:color w:val="auto"/>
              </w:rPr>
              <w:t>Depreciation</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75</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187"/>
        </w:trPr>
        <w:tc>
          <w:tcPr>
            <w:tcW w:w="5280" w:type="dxa"/>
            <w:vAlign w:val="bottom"/>
          </w:tcPr>
          <w:p>
            <w:pPr>
              <w:ind w:left="180"/>
              <w:spacing w:after="0"/>
              <w:rPr>
                <w:sz w:val="20"/>
                <w:szCs w:val="20"/>
                <w:color w:val="auto"/>
              </w:rPr>
            </w:pPr>
            <w:r>
              <w:rPr>
                <w:rFonts w:ascii="Arial" w:cs="Arial" w:eastAsia="Arial" w:hAnsi="Arial"/>
                <w:sz w:val="16"/>
                <w:szCs w:val="16"/>
                <w:color w:val="auto"/>
              </w:rPr>
              <w:t>Franchise fees and other taxes</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r>
      <w:tr>
        <w:trPr>
          <w:trHeight w:val="183"/>
        </w:trPr>
        <w:tc>
          <w:tcPr>
            <w:tcW w:w="5280" w:type="dxa"/>
            <w:vAlign w:val="bottom"/>
          </w:tcPr>
          <w:p>
            <w:pPr>
              <w:ind w:left="360"/>
              <w:spacing w:after="0" w:line="183" w:lineRule="exact"/>
              <w:rPr>
                <w:sz w:val="20"/>
                <w:szCs w:val="20"/>
                <w:color w:val="auto"/>
              </w:rPr>
            </w:pPr>
            <w:r>
              <w:rPr>
                <w:rFonts w:ascii="Arial" w:cs="Arial" w:eastAsia="Arial" w:hAnsi="Arial"/>
                <w:sz w:val="16"/>
                <w:szCs w:val="16"/>
                <w:color w:val="auto"/>
              </w:rPr>
              <w:t>Total operating expenses</w:t>
            </w: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1,047</w:t>
            </w: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810</w:t>
            </w:r>
          </w:p>
        </w:tc>
      </w:tr>
      <w:tr>
        <w:trPr>
          <w:trHeight w:val="184"/>
        </w:trPr>
        <w:tc>
          <w:tcPr>
            <w:tcW w:w="5280" w:type="dxa"/>
            <w:vAlign w:val="bottom"/>
          </w:tcPr>
          <w:p>
            <w:pPr>
              <w:spacing w:after="0"/>
              <w:rPr>
                <w:sz w:val="20"/>
                <w:szCs w:val="20"/>
                <w:color w:val="auto"/>
              </w:rPr>
            </w:pPr>
            <w:r>
              <w:rPr>
                <w:rFonts w:ascii="Arial" w:cs="Arial" w:eastAsia="Arial" w:hAnsi="Arial"/>
                <w:sz w:val="16"/>
                <w:szCs w:val="16"/>
                <w:color w:val="auto"/>
              </w:rPr>
              <w:t>Operating income</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135</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110</w:t>
            </w:r>
          </w:p>
        </w:tc>
      </w:tr>
      <w:tr>
        <w:trPr>
          <w:trHeight w:val="189"/>
        </w:trPr>
        <w:tc>
          <w:tcPr>
            <w:tcW w:w="5280" w:type="dxa"/>
            <w:vAlign w:val="bottom"/>
          </w:tcPr>
          <w:p>
            <w:pPr>
              <w:spacing w:after="0"/>
              <w:rPr>
                <w:sz w:val="20"/>
                <w:szCs w:val="20"/>
                <w:color w:val="auto"/>
              </w:rPr>
            </w:pPr>
            <w:r>
              <w:rPr>
                <w:rFonts w:ascii="Arial" w:cs="Arial" w:eastAsia="Arial" w:hAnsi="Arial"/>
                <w:sz w:val="16"/>
                <w:szCs w:val="16"/>
                <w:color w:val="auto"/>
              </w:rPr>
              <w:t>Other income, net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189"/>
        </w:trPr>
        <w:tc>
          <w:tcPr>
            <w:tcW w:w="5280" w:type="dxa"/>
            <w:vAlign w:val="bottom"/>
          </w:tcPr>
          <w:p>
            <w:pPr>
              <w:spacing w:after="0"/>
              <w:rPr>
                <w:sz w:val="20"/>
                <w:szCs w:val="20"/>
                <w:color w:val="auto"/>
              </w:rPr>
            </w:pPr>
            <w:r>
              <w:rPr>
                <w:rFonts w:ascii="Arial" w:cs="Arial" w:eastAsia="Arial" w:hAnsi="Arial"/>
                <w:sz w:val="16"/>
                <w:szCs w:val="16"/>
                <w:color w:val="auto"/>
              </w:rPr>
              <w:t>Interest income</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187"/>
        </w:trPr>
        <w:tc>
          <w:tcPr>
            <w:tcW w:w="5280" w:type="dxa"/>
            <w:vAlign w:val="bottom"/>
          </w:tcPr>
          <w:p>
            <w:pPr>
              <w:spacing w:after="0"/>
              <w:rPr>
                <w:sz w:val="20"/>
                <w:szCs w:val="20"/>
                <w:color w:val="auto"/>
              </w:rPr>
            </w:pPr>
            <w:r>
              <w:rPr>
                <w:rFonts w:ascii="Arial" w:cs="Arial" w:eastAsia="Arial" w:hAnsi="Arial"/>
                <w:sz w:val="16"/>
                <w:szCs w:val="16"/>
                <w:color w:val="auto"/>
              </w:rPr>
              <w:t>Interest expense</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r>
      <w:tr>
        <w:trPr>
          <w:trHeight w:val="184"/>
        </w:trPr>
        <w:tc>
          <w:tcPr>
            <w:tcW w:w="528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122</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187"/>
        </w:trPr>
        <w:tc>
          <w:tcPr>
            <w:tcW w:w="5280" w:type="dxa"/>
            <w:vAlign w:val="bottom"/>
          </w:tcPr>
          <w:p>
            <w:pPr>
              <w:spacing w:after="0"/>
              <w:rPr>
                <w:sz w:val="20"/>
                <w:szCs w:val="20"/>
                <w:color w:val="auto"/>
              </w:rPr>
            </w:pPr>
            <w:r>
              <w:rPr>
                <w:rFonts w:ascii="Arial" w:cs="Arial" w:eastAsia="Arial" w:hAnsi="Arial"/>
                <w:sz w:val="16"/>
                <w:szCs w:val="16"/>
                <w:color w:val="auto"/>
              </w:rPr>
              <w:t>Income tax expense</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r>
      <w:tr>
        <w:trPr>
          <w:trHeight w:val="184"/>
        </w:trPr>
        <w:tc>
          <w:tcPr>
            <w:tcW w:w="5280" w:type="dxa"/>
            <w:vAlign w:val="bottom"/>
          </w:tcPr>
          <w:p>
            <w:pPr>
              <w:spacing w:after="0"/>
              <w:rPr>
                <w:sz w:val="20"/>
                <w:szCs w:val="20"/>
                <w:color w:val="auto"/>
              </w:rPr>
            </w:pPr>
            <w:r>
              <w:rPr>
                <w:rFonts w:ascii="Arial" w:cs="Arial" w:eastAsia="Arial" w:hAnsi="Arial"/>
                <w:sz w:val="16"/>
                <w:szCs w:val="16"/>
                <w:color w:val="auto"/>
              </w:rPr>
              <w:t>Net income/Earnings</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65</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187"/>
        </w:trPr>
        <w:tc>
          <w:tcPr>
            <w:tcW w:w="5280" w:type="dxa"/>
            <w:vAlign w:val="bottom"/>
          </w:tcPr>
          <w:p>
            <w:pPr>
              <w:spacing w:after="0"/>
              <w:rPr>
                <w:sz w:val="20"/>
                <w:szCs w:val="20"/>
                <w:color w:val="auto"/>
              </w:rPr>
            </w:pPr>
            <w:r>
              <w:rPr>
                <w:rFonts w:ascii="Arial" w:cs="Arial" w:eastAsia="Arial" w:hAnsi="Arial"/>
                <w:sz w:val="16"/>
                <w:szCs w:val="16"/>
                <w:color w:val="auto"/>
              </w:rPr>
              <w:t>Preferred dividend requirements</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183"/>
        </w:trPr>
        <w:tc>
          <w:tcPr>
            <w:tcW w:w="5280" w:type="dxa"/>
            <w:vAlign w:val="bottom"/>
          </w:tcPr>
          <w:p>
            <w:pPr>
              <w:spacing w:after="0" w:line="183" w:lineRule="exact"/>
              <w:rPr>
                <w:sz w:val="20"/>
                <w:szCs w:val="20"/>
                <w:color w:val="auto"/>
              </w:rPr>
            </w:pPr>
            <w:r>
              <w:rPr>
                <w:rFonts w:ascii="Arial" w:cs="Arial" w:eastAsia="Arial" w:hAnsi="Arial"/>
                <w:sz w:val="16"/>
                <w:szCs w:val="16"/>
                <w:color w:val="auto"/>
              </w:rPr>
              <w:t>Earnings attributable to common shares</w:t>
            </w:r>
          </w:p>
        </w:tc>
        <w:tc>
          <w:tcPr>
            <w:tcW w:w="200" w:type="dxa"/>
            <w:vAlign w:val="bottom"/>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auto"/>
              </w:rPr>
              <w:t>64</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58</w:t>
            </w:r>
          </w:p>
        </w:tc>
      </w:tr>
      <w:tr>
        <w:trPr>
          <w:trHeight w:val="81"/>
        </w:trPr>
        <w:tc>
          <w:tcPr>
            <w:tcW w:w="5280" w:type="dxa"/>
            <w:vAlign w:val="bottom"/>
            <w:shd w:val="clear" w:color="auto" w:fill="000000"/>
          </w:tcPr>
          <w:p>
            <w:pPr>
              <w:spacing w:after="0"/>
              <w:rPr>
                <w:sz w:val="7"/>
                <w:szCs w:val="7"/>
                <w:color w:val="auto"/>
              </w:rPr>
            </w:pPr>
          </w:p>
        </w:tc>
        <w:tc>
          <w:tcPr>
            <w:tcW w:w="200" w:type="dxa"/>
            <w:vAlign w:val="bottom"/>
            <w:shd w:val="clear" w:color="auto" w:fill="000000"/>
          </w:tcPr>
          <w:p>
            <w:pPr>
              <w:spacing w:after="0"/>
              <w:rPr>
                <w:sz w:val="7"/>
                <w:szCs w:val="7"/>
                <w:color w:val="auto"/>
              </w:rPr>
            </w:pPr>
          </w:p>
        </w:tc>
        <w:tc>
          <w:tcPr>
            <w:tcW w:w="760" w:type="dxa"/>
            <w:vAlign w:val="bottom"/>
            <w:shd w:val="clear" w:color="auto" w:fill="000000"/>
          </w:tcPr>
          <w:p>
            <w:pPr>
              <w:spacing w:after="0"/>
              <w:rPr>
                <w:sz w:val="7"/>
                <w:szCs w:val="7"/>
                <w:color w:val="auto"/>
              </w:rPr>
            </w:pPr>
          </w:p>
        </w:tc>
        <w:tc>
          <w:tcPr>
            <w:tcW w:w="180" w:type="dxa"/>
            <w:vAlign w:val="bottom"/>
            <w:shd w:val="clear" w:color="auto" w:fill="000000"/>
          </w:tcPr>
          <w:p>
            <w:pPr>
              <w:spacing w:after="0"/>
              <w:rPr>
                <w:sz w:val="7"/>
                <w:szCs w:val="7"/>
                <w:color w:val="auto"/>
              </w:rPr>
            </w:pPr>
          </w:p>
        </w:tc>
        <w:tc>
          <w:tcPr>
            <w:tcW w:w="780" w:type="dxa"/>
            <w:vAlign w:val="bottom"/>
            <w:shd w:val="clear" w:color="auto" w:fill="000000"/>
          </w:tcPr>
          <w:p>
            <w:pPr>
              <w:spacing w:after="0"/>
              <w:rPr>
                <w:sz w:val="7"/>
                <w:szCs w:val="7"/>
                <w:color w:val="auto"/>
              </w:rPr>
            </w:pPr>
          </w:p>
        </w:tc>
      </w:tr>
    </w:tbl>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ectPr>
          <w:pgSz w:w="11900" w:h="16838" w:orient="portrait"/>
          <w:cols w:equalWidth="0" w:num="1">
            <w:col w:w="10219"/>
          </w:cols>
          <w:pgMar w:left="240" w:top="864" w:right="1440"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color w:val="auto"/>
        </w:rPr>
        <w:t>PACIFIC ENTERPRISES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5737225" cy="3517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37225" cy="3517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60"/>
              <w:spacing w:after="0"/>
              <w:rPr>
                <w:sz w:val="20"/>
                <w:szCs w:val="20"/>
                <w:color w:val="auto"/>
              </w:rPr>
            </w:pPr>
            <w:r>
              <w:rPr>
                <w:rFonts w:ascii="Arial" w:cs="Arial" w:eastAsia="Arial" w:hAnsi="Arial"/>
                <w:sz w:val="14"/>
                <w:szCs w:val="14"/>
                <w:color w:val="auto"/>
              </w:rPr>
              <w:t>March 31,</w:t>
            </w:r>
          </w:p>
        </w:tc>
        <w:tc>
          <w:tcPr>
            <w:tcW w:w="120" w:type="dxa"/>
            <w:vAlign w:val="bottom"/>
          </w:tcPr>
          <w:p>
            <w:pPr>
              <w:spacing w:after="0"/>
              <w:rPr>
                <w:sz w:val="14"/>
                <w:szCs w:val="14"/>
                <w:color w:val="auto"/>
              </w:rPr>
            </w:pPr>
          </w:p>
        </w:tc>
        <w:tc>
          <w:tcPr>
            <w:tcW w:w="1060" w:type="dxa"/>
            <w:vAlign w:val="bottom"/>
          </w:tcPr>
          <w:p>
            <w:pPr>
              <w:jc w:val="right"/>
              <w:ind w:right="6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74"/>
        </w:trPr>
        <w:tc>
          <w:tcPr>
            <w:tcW w:w="67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color w:val="auto"/>
              </w:rPr>
              <w:t>2010</w:t>
            </w: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2009</w:t>
            </w:r>
          </w:p>
        </w:tc>
        <w:tc>
          <w:tcPr>
            <w:tcW w:w="0" w:type="dxa"/>
            <w:vAlign w:val="bottom"/>
          </w:tcPr>
          <w:p>
            <w:pPr>
              <w:spacing w:after="0"/>
              <w:rPr>
                <w:sz w:val="1"/>
                <w:szCs w:val="1"/>
                <w:color w:val="auto"/>
              </w:rPr>
            </w:pPr>
          </w:p>
        </w:tc>
      </w:tr>
      <w:tr>
        <w:trPr>
          <w:trHeight w:val="198"/>
        </w:trPr>
        <w:tc>
          <w:tcPr>
            <w:tcW w:w="6700" w:type="dxa"/>
            <w:vAlign w:val="bottom"/>
            <w:vMerge w:val="restart"/>
          </w:tcPr>
          <w:p>
            <w:pPr>
              <w:spacing w:after="0"/>
              <w:rPr>
                <w:sz w:val="20"/>
                <w:szCs w:val="20"/>
                <w:color w:val="auto"/>
              </w:rPr>
            </w:pPr>
            <w:r>
              <w:rPr>
                <w:rFonts w:ascii="Arial" w:cs="Arial" w:eastAsia="Arial" w:hAnsi="Arial"/>
                <w:sz w:val="16"/>
                <w:szCs w:val="16"/>
                <w:color w:val="auto"/>
              </w:rPr>
              <w:t>ASSETS</w:t>
            </w:r>
          </w:p>
        </w:tc>
        <w:tc>
          <w:tcPr>
            <w:tcW w:w="140" w:type="dxa"/>
            <w:vAlign w:val="bottom"/>
          </w:tcPr>
          <w:p>
            <w:pPr>
              <w:spacing w:after="0"/>
              <w:rPr>
                <w:sz w:val="17"/>
                <w:szCs w:val="17"/>
                <w:color w:val="auto"/>
              </w:rPr>
            </w:pPr>
          </w:p>
        </w:tc>
        <w:tc>
          <w:tcPr>
            <w:tcW w:w="1020" w:type="dxa"/>
            <w:vAlign w:val="bottom"/>
          </w:tcPr>
          <w:p>
            <w:pPr>
              <w:jc w:val="center"/>
              <w:ind w:right="60"/>
              <w:spacing w:after="0"/>
              <w:rPr>
                <w:sz w:val="20"/>
                <w:szCs w:val="20"/>
                <w:color w:val="auto"/>
              </w:rPr>
            </w:pPr>
            <w:r>
              <w:rPr>
                <w:rFonts w:ascii="Arial" w:cs="Arial" w:eastAsia="Arial" w:hAnsi="Arial"/>
                <w:sz w:val="14"/>
                <w:szCs w:val="14"/>
                <w:color w:val="auto"/>
              </w:rPr>
              <w:t>(unaudited)</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7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700" w:type="dxa"/>
            <w:vAlign w:val="bottom"/>
          </w:tcPr>
          <w:p>
            <w:pPr>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180</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Accounts receivable - trade</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491</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567</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Accounts receivable - other</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Due from unconsolidated affiliates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155</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Income taxes receivable</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Inventories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Other regulatory assets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87"/>
        </w:trPr>
        <w:tc>
          <w:tcPr>
            <w:tcW w:w="6700" w:type="dxa"/>
            <w:vAlign w:val="bottom"/>
          </w:tcPr>
          <w:p>
            <w:pPr>
              <w:ind w:left="18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183"/>
        </w:trPr>
        <w:tc>
          <w:tcPr>
            <w:tcW w:w="6700" w:type="dxa"/>
            <w:vAlign w:val="bottom"/>
          </w:tcPr>
          <w:p>
            <w:pPr>
              <w:ind w:left="360"/>
              <w:spacing w:after="0" w:line="183" w:lineRule="exact"/>
              <w:rPr>
                <w:sz w:val="20"/>
                <w:szCs w:val="20"/>
                <w:color w:val="auto"/>
              </w:rPr>
            </w:pPr>
            <w:r>
              <w:rPr>
                <w:rFonts w:ascii="Arial" w:cs="Arial" w:eastAsia="Arial" w:hAnsi="Arial"/>
                <w:sz w:val="16"/>
                <w:szCs w:val="16"/>
                <w:color w:val="auto"/>
              </w:rPr>
              <w:t>Total current assets</w:t>
            </w: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952</w:t>
            </w: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849</w:t>
            </w:r>
          </w:p>
        </w:tc>
        <w:tc>
          <w:tcPr>
            <w:tcW w:w="0" w:type="dxa"/>
            <w:vAlign w:val="bottom"/>
          </w:tcPr>
          <w:p>
            <w:pPr>
              <w:spacing w:after="0"/>
              <w:rPr>
                <w:sz w:val="1"/>
                <w:szCs w:val="1"/>
                <w:color w:val="auto"/>
              </w:rPr>
            </w:pPr>
          </w:p>
        </w:tc>
      </w:tr>
      <w:tr>
        <w:trPr>
          <w:trHeight w:val="374"/>
        </w:trPr>
        <w:tc>
          <w:tcPr>
            <w:tcW w:w="6700" w:type="dxa"/>
            <w:vAlign w:val="bottom"/>
          </w:tcPr>
          <w:p>
            <w:pPr>
              <w:spacing w:after="0"/>
              <w:rPr>
                <w:sz w:val="20"/>
                <w:szCs w:val="20"/>
                <w:color w:val="auto"/>
              </w:rPr>
            </w:pPr>
            <w:r>
              <w:rPr>
                <w:rFonts w:ascii="Arial" w:cs="Arial" w:eastAsia="Arial" w:hAnsi="Arial"/>
                <w:sz w:val="16"/>
                <w:szCs w:val="16"/>
                <w:color w:val="auto"/>
              </w:rPr>
              <w:t>Other assets:</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Due from unconsolidated affiliate</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507</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513</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Regulatory assets arising from pension and other postretirement</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00" w:type="dxa"/>
            <w:vAlign w:val="bottom"/>
          </w:tcPr>
          <w:p>
            <w:pPr>
              <w:ind w:left="360"/>
              <w:spacing w:after="0"/>
              <w:rPr>
                <w:sz w:val="20"/>
                <w:szCs w:val="20"/>
                <w:color w:val="auto"/>
              </w:rPr>
            </w:pPr>
            <w:r>
              <w:rPr>
                <w:rFonts w:ascii="Arial" w:cs="Arial" w:eastAsia="Arial" w:hAnsi="Arial"/>
                <w:sz w:val="16"/>
                <w:szCs w:val="16"/>
                <w:color w:val="auto"/>
              </w:rPr>
              <w:t>benefit obligations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629</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617</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Other regulatory assets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187"/>
        </w:trPr>
        <w:tc>
          <w:tcPr>
            <w:tcW w:w="6700" w:type="dxa"/>
            <w:vAlign w:val="bottom"/>
          </w:tcPr>
          <w:p>
            <w:pPr>
              <w:ind w:left="180"/>
              <w:spacing w:after="0"/>
              <w:rPr>
                <w:sz w:val="20"/>
                <w:szCs w:val="20"/>
                <w:color w:val="auto"/>
              </w:rPr>
            </w:pPr>
            <w:r>
              <w:rPr>
                <w:rFonts w:ascii="Arial" w:cs="Arial" w:eastAsia="Arial" w:hAnsi="Arial"/>
                <w:sz w:val="16"/>
                <w:szCs w:val="16"/>
                <w:color w:val="auto"/>
              </w:rPr>
              <w:t>Sundry</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83"/>
        </w:trPr>
        <w:tc>
          <w:tcPr>
            <w:tcW w:w="6700" w:type="dxa"/>
            <w:vAlign w:val="bottom"/>
          </w:tcPr>
          <w:p>
            <w:pPr>
              <w:ind w:left="360"/>
              <w:spacing w:after="0" w:line="183" w:lineRule="exact"/>
              <w:rPr>
                <w:sz w:val="20"/>
                <w:szCs w:val="20"/>
                <w:color w:val="auto"/>
              </w:rPr>
            </w:pPr>
            <w:r>
              <w:rPr>
                <w:rFonts w:ascii="Arial" w:cs="Arial" w:eastAsia="Arial" w:hAnsi="Arial"/>
                <w:sz w:val="16"/>
                <w:szCs w:val="16"/>
                <w:color w:val="auto"/>
              </w:rPr>
              <w:t>Total other assets</w:t>
            </w: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1,306</w:t>
            </w: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1,301</w:t>
            </w:r>
          </w:p>
        </w:tc>
        <w:tc>
          <w:tcPr>
            <w:tcW w:w="0" w:type="dxa"/>
            <w:vAlign w:val="bottom"/>
          </w:tcPr>
          <w:p>
            <w:pPr>
              <w:spacing w:after="0"/>
              <w:rPr>
                <w:sz w:val="1"/>
                <w:szCs w:val="1"/>
                <w:color w:val="auto"/>
              </w:rPr>
            </w:pPr>
          </w:p>
        </w:tc>
      </w:tr>
      <w:tr>
        <w:trPr>
          <w:trHeight w:val="374"/>
        </w:trPr>
        <w:tc>
          <w:tcPr>
            <w:tcW w:w="6700" w:type="dxa"/>
            <w:vAlign w:val="bottom"/>
          </w:tcPr>
          <w:p>
            <w:pPr>
              <w:spacing w:after="0"/>
              <w:rPr>
                <w:sz w:val="20"/>
                <w:szCs w:val="20"/>
                <w:color w:val="auto"/>
              </w:rPr>
            </w:pPr>
            <w:r>
              <w:rPr>
                <w:rFonts w:ascii="Arial" w:cs="Arial" w:eastAsia="Arial" w:hAnsi="Arial"/>
                <w:sz w:val="16"/>
                <w:szCs w:val="16"/>
                <w:color w:val="auto"/>
              </w:rPr>
              <w:t>Property, plant and equipment:</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Property, plant and equipment</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9,381</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9,299</w:t>
            </w:r>
          </w:p>
        </w:tc>
        <w:tc>
          <w:tcPr>
            <w:tcW w:w="0" w:type="dxa"/>
            <w:vAlign w:val="bottom"/>
          </w:tcPr>
          <w:p>
            <w:pPr>
              <w:spacing w:after="0"/>
              <w:rPr>
                <w:sz w:val="1"/>
                <w:szCs w:val="1"/>
                <w:color w:val="auto"/>
              </w:rPr>
            </w:pPr>
          </w:p>
        </w:tc>
      </w:tr>
      <w:tr>
        <w:trPr>
          <w:trHeight w:val="187"/>
        </w:trPr>
        <w:tc>
          <w:tcPr>
            <w:tcW w:w="6700" w:type="dxa"/>
            <w:vAlign w:val="bottom"/>
          </w:tcPr>
          <w:p>
            <w:pPr>
              <w:ind w:left="180"/>
              <w:spacing w:after="0"/>
              <w:rPr>
                <w:sz w:val="20"/>
                <w:szCs w:val="20"/>
                <w:color w:val="auto"/>
              </w:rPr>
            </w:pPr>
            <w:r>
              <w:rPr>
                <w:rFonts w:ascii="Arial" w:cs="Arial" w:eastAsia="Arial" w:hAnsi="Arial"/>
                <w:sz w:val="16"/>
                <w:szCs w:val="16"/>
                <w:color w:val="auto"/>
              </w:rPr>
              <w:t>Less accumulated depreciation and amortization</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(3,666)</w:t>
            </w: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(3,615)</w:t>
            </w:r>
          </w:p>
        </w:tc>
        <w:tc>
          <w:tcPr>
            <w:tcW w:w="0" w:type="dxa"/>
            <w:vAlign w:val="bottom"/>
          </w:tcPr>
          <w:p>
            <w:pPr>
              <w:spacing w:after="0"/>
              <w:rPr>
                <w:sz w:val="1"/>
                <w:szCs w:val="1"/>
                <w:color w:val="auto"/>
              </w:rPr>
            </w:pPr>
          </w:p>
        </w:tc>
      </w:tr>
      <w:tr>
        <w:trPr>
          <w:trHeight w:val="183"/>
        </w:trPr>
        <w:tc>
          <w:tcPr>
            <w:tcW w:w="6700" w:type="dxa"/>
            <w:vAlign w:val="bottom"/>
          </w:tcPr>
          <w:p>
            <w:pPr>
              <w:ind w:left="360"/>
              <w:spacing w:after="0" w:line="183" w:lineRule="exact"/>
              <w:rPr>
                <w:sz w:val="20"/>
                <w:szCs w:val="20"/>
                <w:color w:val="auto"/>
              </w:rPr>
            </w:pPr>
            <w:r>
              <w:rPr>
                <w:rFonts w:ascii="Arial" w:cs="Arial" w:eastAsia="Arial" w:hAnsi="Arial"/>
                <w:sz w:val="16"/>
                <w:szCs w:val="16"/>
                <w:color w:val="auto"/>
              </w:rPr>
              <w:t>Property, plant and equipment, net</w:t>
            </w: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5,715</w:t>
            </w: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5,684</w:t>
            </w:r>
          </w:p>
        </w:tc>
        <w:tc>
          <w:tcPr>
            <w:tcW w:w="0" w:type="dxa"/>
            <w:vAlign w:val="bottom"/>
          </w:tcPr>
          <w:p>
            <w:pPr>
              <w:spacing w:after="0"/>
              <w:rPr>
                <w:sz w:val="1"/>
                <w:szCs w:val="1"/>
                <w:color w:val="auto"/>
              </w:rPr>
            </w:pPr>
          </w:p>
        </w:tc>
      </w:tr>
      <w:tr>
        <w:trPr>
          <w:trHeight w:val="183"/>
        </w:trPr>
        <w:tc>
          <w:tcPr>
            <w:tcW w:w="6700" w:type="dxa"/>
            <w:vAlign w:val="bottom"/>
          </w:tcPr>
          <w:p>
            <w:pPr>
              <w:spacing w:after="0" w:line="183" w:lineRule="exact"/>
              <w:rPr>
                <w:sz w:val="20"/>
                <w:szCs w:val="20"/>
                <w:color w:val="auto"/>
              </w:rPr>
            </w:pPr>
            <w:r>
              <w:rPr>
                <w:rFonts w:ascii="Arial" w:cs="Arial" w:eastAsia="Arial" w:hAnsi="Arial"/>
                <w:sz w:val="16"/>
                <w:szCs w:val="16"/>
                <w:color w:val="auto"/>
              </w:rPr>
              <w:t>Total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7,973</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line="183" w:lineRule="exact"/>
              <w:rPr>
                <w:sz w:val="20"/>
                <w:szCs w:val="20"/>
                <w:color w:val="auto"/>
              </w:rPr>
            </w:pPr>
            <w:r>
              <w:rPr>
                <w:rFonts w:ascii="Arial" w:cs="Arial" w:eastAsia="Arial" w:hAnsi="Arial"/>
                <w:sz w:val="16"/>
                <w:szCs w:val="16"/>
                <w:color w:val="auto"/>
              </w:rPr>
              <w:t>7,834</w:t>
            </w:r>
          </w:p>
        </w:tc>
        <w:tc>
          <w:tcPr>
            <w:tcW w:w="0" w:type="dxa"/>
            <w:vAlign w:val="bottom"/>
          </w:tcPr>
          <w:p>
            <w:pPr>
              <w:spacing w:after="0"/>
              <w:rPr>
                <w:sz w:val="1"/>
                <w:szCs w:val="1"/>
                <w:color w:val="auto"/>
              </w:rPr>
            </w:pPr>
          </w:p>
        </w:tc>
      </w:tr>
      <w:tr>
        <w:trPr>
          <w:trHeight w:val="81"/>
        </w:trPr>
        <w:tc>
          <w:tcPr>
            <w:tcW w:w="6700" w:type="dxa"/>
            <w:vAlign w:val="bottom"/>
            <w:shd w:val="clear" w:color="auto" w:fill="000000"/>
          </w:tcPr>
          <w:p>
            <w:pPr>
              <w:spacing w:after="0"/>
              <w:rPr>
                <w:sz w:val="7"/>
                <w:szCs w:val="7"/>
                <w:color w:val="auto"/>
              </w:rPr>
            </w:pPr>
          </w:p>
        </w:tc>
        <w:tc>
          <w:tcPr>
            <w:tcW w:w="140" w:type="dxa"/>
            <w:vAlign w:val="bottom"/>
            <w:shd w:val="clear" w:color="auto" w:fill="000000"/>
          </w:tcPr>
          <w:p>
            <w:pPr>
              <w:spacing w:after="0"/>
              <w:rPr>
                <w:sz w:val="7"/>
                <w:szCs w:val="7"/>
                <w:color w:val="auto"/>
              </w:rPr>
            </w:pPr>
          </w:p>
        </w:tc>
        <w:tc>
          <w:tcPr>
            <w:tcW w:w="1020" w:type="dxa"/>
            <w:vAlign w:val="bottom"/>
            <w:shd w:val="clear" w:color="auto" w:fill="000000"/>
          </w:tcPr>
          <w:p>
            <w:pPr>
              <w:spacing w:after="0"/>
              <w:rPr>
                <w:sz w:val="7"/>
                <w:szCs w:val="7"/>
                <w:color w:val="auto"/>
              </w:rPr>
            </w:pPr>
          </w:p>
        </w:tc>
        <w:tc>
          <w:tcPr>
            <w:tcW w:w="120" w:type="dxa"/>
            <w:vAlign w:val="bottom"/>
            <w:shd w:val="clear" w:color="auto" w:fill="000000"/>
          </w:tcPr>
          <w:p>
            <w:pPr>
              <w:spacing w:after="0"/>
              <w:rPr>
                <w:sz w:val="7"/>
                <w:szCs w:val="7"/>
                <w:color w:val="auto"/>
              </w:rPr>
            </w:pPr>
          </w:p>
        </w:tc>
        <w:tc>
          <w:tcPr>
            <w:tcW w:w="106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ectPr>
          <w:pgSz w:w="11900" w:h="16838" w:orient="portrait"/>
          <w:cols w:equalWidth="0" w:num="1">
            <w:col w:w="10219"/>
          </w:cols>
          <w:pgMar w:left="240" w:top="135" w:right="1440"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color w:val="auto"/>
        </w:rPr>
        <w:t>PACIFIC ENTERPRISES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5737225" cy="3517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37225" cy="3517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60"/>
              <w:spacing w:after="0"/>
              <w:rPr>
                <w:sz w:val="20"/>
                <w:szCs w:val="20"/>
                <w:color w:val="auto"/>
              </w:rPr>
            </w:pPr>
            <w:r>
              <w:rPr>
                <w:rFonts w:ascii="Arial" w:cs="Arial" w:eastAsia="Arial" w:hAnsi="Arial"/>
                <w:sz w:val="14"/>
                <w:szCs w:val="14"/>
                <w:color w:val="auto"/>
              </w:rPr>
              <w:t>March 31,</w:t>
            </w:r>
          </w:p>
        </w:tc>
        <w:tc>
          <w:tcPr>
            <w:tcW w:w="120" w:type="dxa"/>
            <w:vAlign w:val="bottom"/>
          </w:tcPr>
          <w:p>
            <w:pPr>
              <w:spacing w:after="0"/>
              <w:rPr>
                <w:sz w:val="14"/>
                <w:szCs w:val="14"/>
                <w:color w:val="auto"/>
              </w:rPr>
            </w:pPr>
          </w:p>
        </w:tc>
        <w:tc>
          <w:tcPr>
            <w:tcW w:w="1060" w:type="dxa"/>
            <w:vAlign w:val="bottom"/>
          </w:tcPr>
          <w:p>
            <w:pPr>
              <w:jc w:val="right"/>
              <w:ind w:right="6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74"/>
        </w:trPr>
        <w:tc>
          <w:tcPr>
            <w:tcW w:w="67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color w:val="auto"/>
              </w:rPr>
              <w:t>2010</w:t>
            </w: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2009</w:t>
            </w:r>
          </w:p>
        </w:tc>
        <w:tc>
          <w:tcPr>
            <w:tcW w:w="0" w:type="dxa"/>
            <w:vAlign w:val="bottom"/>
          </w:tcPr>
          <w:p>
            <w:pPr>
              <w:spacing w:after="0"/>
              <w:rPr>
                <w:sz w:val="1"/>
                <w:szCs w:val="1"/>
                <w:color w:val="auto"/>
              </w:rPr>
            </w:pPr>
          </w:p>
        </w:tc>
      </w:tr>
      <w:tr>
        <w:trPr>
          <w:trHeight w:val="198"/>
        </w:trPr>
        <w:tc>
          <w:tcPr>
            <w:tcW w:w="6700" w:type="dxa"/>
            <w:vAlign w:val="bottom"/>
            <w:vMerge w:val="restart"/>
          </w:tcPr>
          <w:p>
            <w:pPr>
              <w:spacing w:after="0"/>
              <w:rPr>
                <w:sz w:val="20"/>
                <w:szCs w:val="20"/>
                <w:color w:val="auto"/>
              </w:rPr>
            </w:pPr>
            <w:r>
              <w:rPr>
                <w:rFonts w:ascii="Arial" w:cs="Arial" w:eastAsia="Arial" w:hAnsi="Arial"/>
                <w:sz w:val="16"/>
                <w:szCs w:val="16"/>
                <w:color w:val="auto"/>
              </w:rPr>
              <w:t>LIABILITIES AND EQUITY</w:t>
            </w:r>
          </w:p>
        </w:tc>
        <w:tc>
          <w:tcPr>
            <w:tcW w:w="140" w:type="dxa"/>
            <w:vAlign w:val="bottom"/>
          </w:tcPr>
          <w:p>
            <w:pPr>
              <w:spacing w:after="0"/>
              <w:rPr>
                <w:sz w:val="17"/>
                <w:szCs w:val="17"/>
                <w:color w:val="auto"/>
              </w:rPr>
            </w:pPr>
          </w:p>
        </w:tc>
        <w:tc>
          <w:tcPr>
            <w:tcW w:w="1020" w:type="dxa"/>
            <w:vAlign w:val="bottom"/>
          </w:tcPr>
          <w:p>
            <w:pPr>
              <w:jc w:val="center"/>
              <w:ind w:right="60"/>
              <w:spacing w:after="0"/>
              <w:rPr>
                <w:sz w:val="20"/>
                <w:szCs w:val="20"/>
                <w:color w:val="auto"/>
              </w:rPr>
            </w:pPr>
            <w:r>
              <w:rPr>
                <w:rFonts w:ascii="Arial" w:cs="Arial" w:eastAsia="Arial" w:hAnsi="Arial"/>
                <w:sz w:val="14"/>
                <w:szCs w:val="14"/>
                <w:color w:val="auto"/>
              </w:rPr>
              <w:t>(unaudited)</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7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700" w:type="dxa"/>
            <w:vAlign w:val="bottom"/>
          </w:tcPr>
          <w:p>
            <w:pPr>
              <w:spacing w:after="0"/>
              <w:rPr>
                <w:sz w:val="20"/>
                <w:szCs w:val="20"/>
                <w:color w:val="auto"/>
              </w:rPr>
            </w:pPr>
            <w:r>
              <w:rPr>
                <w:rFonts w:ascii="Arial" w:cs="Arial" w:eastAsia="Arial" w:hAnsi="Arial"/>
                <w:sz w:val="16"/>
                <w:szCs w:val="16"/>
                <w:color w:val="auto"/>
              </w:rPr>
              <w:t>Current liabilities:</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Accounts payable - trade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244</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Accounts payable - other</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Due to unconsolidated affiliates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Income taxes payable</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Regulatory balancing accounts, net</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Customer deposits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Accrued compensation and benefits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Current portion of long-term debt</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266</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87"/>
        </w:trPr>
        <w:tc>
          <w:tcPr>
            <w:tcW w:w="6700" w:type="dxa"/>
            <w:vAlign w:val="bottom"/>
          </w:tcPr>
          <w:p>
            <w:pPr>
              <w:ind w:left="18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w:t>
            </w: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183"/>
        </w:trPr>
        <w:tc>
          <w:tcPr>
            <w:tcW w:w="6700" w:type="dxa"/>
            <w:vAlign w:val="bottom"/>
          </w:tcPr>
          <w:p>
            <w:pPr>
              <w:ind w:left="360"/>
              <w:spacing w:after="0" w:line="183" w:lineRule="exact"/>
              <w:rPr>
                <w:sz w:val="20"/>
                <w:szCs w:val="20"/>
                <w:color w:val="auto"/>
              </w:rPr>
            </w:pPr>
            <w:r>
              <w:rPr>
                <w:rFonts w:ascii="Arial" w:cs="Arial" w:eastAsia="Arial" w:hAnsi="Arial"/>
                <w:sz w:val="16"/>
                <w:szCs w:val="16"/>
                <w:color w:val="auto"/>
              </w:rPr>
              <w:t>Total current liabilities</w:t>
            </w: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1,382</w:t>
            </w: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988</w:t>
            </w:r>
          </w:p>
        </w:tc>
        <w:tc>
          <w:tcPr>
            <w:tcW w:w="0" w:type="dxa"/>
            <w:vAlign w:val="bottom"/>
          </w:tcPr>
          <w:p>
            <w:pPr>
              <w:spacing w:after="0"/>
              <w:rPr>
                <w:sz w:val="1"/>
                <w:szCs w:val="1"/>
                <w:color w:val="auto"/>
              </w:rPr>
            </w:pPr>
          </w:p>
        </w:tc>
      </w:tr>
      <w:tr>
        <w:trPr>
          <w:trHeight w:val="183"/>
        </w:trPr>
        <w:tc>
          <w:tcPr>
            <w:tcW w:w="6700" w:type="dxa"/>
            <w:vAlign w:val="bottom"/>
          </w:tcPr>
          <w:p>
            <w:pPr>
              <w:spacing w:after="0" w:line="183" w:lineRule="exact"/>
              <w:rPr>
                <w:sz w:val="20"/>
                <w:szCs w:val="20"/>
                <w:color w:val="auto"/>
              </w:rPr>
            </w:pPr>
            <w:r>
              <w:rPr>
                <w:rFonts w:ascii="Arial" w:cs="Arial" w:eastAsia="Arial" w:hAnsi="Arial"/>
                <w:sz w:val="16"/>
                <w:szCs w:val="16"/>
                <w:color w:val="auto"/>
              </w:rPr>
              <w:t>Long-term debt</w:t>
            </w: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1,024</w:t>
            </w: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1,283</w:t>
            </w:r>
          </w:p>
        </w:tc>
        <w:tc>
          <w:tcPr>
            <w:tcW w:w="0" w:type="dxa"/>
            <w:vAlign w:val="bottom"/>
          </w:tcPr>
          <w:p>
            <w:pPr>
              <w:spacing w:after="0"/>
              <w:rPr>
                <w:sz w:val="1"/>
                <w:szCs w:val="1"/>
                <w:color w:val="auto"/>
              </w:rPr>
            </w:pPr>
          </w:p>
        </w:tc>
      </w:tr>
      <w:tr>
        <w:trPr>
          <w:trHeight w:val="184"/>
        </w:trPr>
        <w:tc>
          <w:tcPr>
            <w:tcW w:w="6700" w:type="dxa"/>
            <w:vAlign w:val="bottom"/>
          </w:tcPr>
          <w:p>
            <w:pPr>
              <w:spacing w:after="0"/>
              <w:rPr>
                <w:sz w:val="20"/>
                <w:szCs w:val="20"/>
                <w:color w:val="auto"/>
              </w:rPr>
            </w:pPr>
            <w:r>
              <w:rPr>
                <w:rFonts w:ascii="Arial" w:cs="Arial" w:eastAsia="Arial" w:hAnsi="Arial"/>
                <w:sz w:val="16"/>
                <w:szCs w:val="16"/>
                <w:color w:val="auto"/>
              </w:rPr>
              <w:t>Deferred credits and other liabilities:</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Customer advances for construction</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Pension and other postretirement benefit obligations, net of plan assets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656</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644</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294</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Deferred investment tax credits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Regulatory liabilities arising from removal obligations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1,235</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1,227</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Asset retirement obligations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671</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662</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Deferred taxes refundable in rates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187"/>
        </w:trPr>
        <w:tc>
          <w:tcPr>
            <w:tcW w:w="6700" w:type="dxa"/>
            <w:vAlign w:val="bottom"/>
          </w:tcPr>
          <w:p>
            <w:pPr>
              <w:ind w:left="180"/>
              <w:spacing w:after="0"/>
              <w:rPr>
                <w:sz w:val="20"/>
                <w:szCs w:val="20"/>
                <w:color w:val="auto"/>
              </w:rPr>
            </w:pPr>
            <w:r>
              <w:rPr>
                <w:rFonts w:ascii="Arial" w:cs="Arial" w:eastAsia="Arial" w:hAnsi="Arial"/>
                <w:sz w:val="16"/>
                <w:szCs w:val="16"/>
                <w:color w:val="auto"/>
              </w:rPr>
              <w:t>Deferred credits and other</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w:t>
            </w: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183"/>
        </w:trPr>
        <w:tc>
          <w:tcPr>
            <w:tcW w:w="6700" w:type="dxa"/>
            <w:vAlign w:val="bottom"/>
          </w:tcPr>
          <w:p>
            <w:pPr>
              <w:ind w:left="360"/>
              <w:spacing w:after="0" w:line="183" w:lineRule="exact"/>
              <w:rPr>
                <w:sz w:val="20"/>
                <w:szCs w:val="20"/>
                <w:color w:val="auto"/>
              </w:rPr>
            </w:pPr>
            <w:r>
              <w:rPr>
                <w:rFonts w:ascii="Arial" w:cs="Arial" w:eastAsia="Arial" w:hAnsi="Arial"/>
                <w:sz w:val="16"/>
                <w:szCs w:val="16"/>
                <w:color w:val="auto"/>
              </w:rPr>
              <w:t>Total deferred credits and other liabilities</w:t>
            </w: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3,375</w:t>
            </w: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3,335</w:t>
            </w:r>
          </w:p>
        </w:tc>
        <w:tc>
          <w:tcPr>
            <w:tcW w:w="0" w:type="dxa"/>
            <w:vAlign w:val="bottom"/>
          </w:tcPr>
          <w:p>
            <w:pPr>
              <w:spacing w:after="0"/>
              <w:rPr>
                <w:sz w:val="1"/>
                <w:szCs w:val="1"/>
                <w:color w:val="auto"/>
              </w:rPr>
            </w:pPr>
          </w:p>
        </w:tc>
      </w:tr>
      <w:tr>
        <w:trPr>
          <w:trHeight w:val="379"/>
        </w:trPr>
        <w:tc>
          <w:tcPr>
            <w:tcW w:w="6700" w:type="dxa"/>
            <w:vAlign w:val="bottom"/>
          </w:tcPr>
          <w:p>
            <w:pPr>
              <w:spacing w:after="0"/>
              <w:rPr>
                <w:sz w:val="20"/>
                <w:szCs w:val="20"/>
                <w:color w:val="auto"/>
              </w:rPr>
            </w:pPr>
            <w:r>
              <w:rPr>
                <w:rFonts w:ascii="Arial" w:cs="Arial" w:eastAsia="Arial" w:hAnsi="Arial"/>
                <w:sz w:val="16"/>
                <w:szCs w:val="16"/>
                <w:color w:val="auto"/>
              </w:rPr>
              <w:t>Commitments and contingencies (Note 10)</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6700" w:type="dxa"/>
            <w:vAlign w:val="bottom"/>
          </w:tcPr>
          <w:p>
            <w:pPr>
              <w:spacing w:after="0"/>
              <w:rPr>
                <w:sz w:val="20"/>
                <w:szCs w:val="20"/>
                <w:color w:val="auto"/>
              </w:rPr>
            </w:pPr>
            <w:r>
              <w:rPr>
                <w:rFonts w:ascii="Arial" w:cs="Arial" w:eastAsia="Arial" w:hAnsi="Arial"/>
                <w:sz w:val="16"/>
                <w:szCs w:val="16"/>
                <w:color w:val="auto"/>
              </w:rPr>
              <w:t>Equity:</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Preferred stock</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Common stock (600 million shares authorized; 84 million shares outstanding;</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00" w:type="dxa"/>
            <w:vAlign w:val="bottom"/>
          </w:tcPr>
          <w:p>
            <w:pPr>
              <w:ind w:left="360"/>
              <w:spacing w:after="0"/>
              <w:rPr>
                <w:sz w:val="20"/>
                <w:szCs w:val="20"/>
                <w:color w:val="auto"/>
              </w:rPr>
            </w:pPr>
            <w:r>
              <w:rPr>
                <w:rFonts w:ascii="Arial" w:cs="Arial" w:eastAsia="Arial" w:hAnsi="Arial"/>
                <w:sz w:val="16"/>
                <w:szCs w:val="16"/>
                <w:color w:val="auto"/>
              </w:rPr>
              <w:t>no par value)</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1,462</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1,462</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Retained earnings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655</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691</w:t>
            </w:r>
          </w:p>
        </w:tc>
        <w:tc>
          <w:tcPr>
            <w:tcW w:w="0" w:type="dxa"/>
            <w:vAlign w:val="bottom"/>
          </w:tcPr>
          <w:p>
            <w:pPr>
              <w:spacing w:after="0"/>
              <w:rPr>
                <w:sz w:val="1"/>
                <w:szCs w:val="1"/>
                <w:color w:val="auto"/>
              </w:rPr>
            </w:pPr>
          </w:p>
        </w:tc>
      </w:tr>
      <w:tr>
        <w:trPr>
          <w:trHeight w:val="187"/>
        </w:trPr>
        <w:tc>
          <w:tcPr>
            <w:tcW w:w="6700" w:type="dxa"/>
            <w:vAlign w:val="bottom"/>
          </w:tcPr>
          <w:p>
            <w:pPr>
              <w:ind w:left="180"/>
              <w:spacing w:after="0"/>
              <w:rPr>
                <w:sz w:val="20"/>
                <w:szCs w:val="20"/>
                <w:color w:val="auto"/>
              </w:rPr>
            </w:pPr>
            <w:r>
              <w:rPr>
                <w:rFonts w:ascii="Arial" w:cs="Arial" w:eastAsia="Arial" w:hAnsi="Arial"/>
                <w:sz w:val="16"/>
                <w:szCs w:val="16"/>
                <w:color w:val="auto"/>
              </w:rPr>
              <w:t>Accumulated other comprehensive income (loss)</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84"/>
        </w:trPr>
        <w:tc>
          <w:tcPr>
            <w:tcW w:w="6700" w:type="dxa"/>
            <w:vAlign w:val="bottom"/>
          </w:tcPr>
          <w:p>
            <w:pPr>
              <w:ind w:left="360"/>
              <w:spacing w:after="0"/>
              <w:rPr>
                <w:sz w:val="20"/>
                <w:szCs w:val="20"/>
                <w:color w:val="auto"/>
              </w:rPr>
            </w:pPr>
            <w:r>
              <w:rPr>
                <w:rFonts w:ascii="Arial" w:cs="Arial" w:eastAsia="Arial" w:hAnsi="Arial"/>
                <w:sz w:val="16"/>
                <w:szCs w:val="16"/>
                <w:color w:val="auto"/>
              </w:rPr>
              <w:t>Total Pacific Enterprises shareholders' equity</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2,172</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2,208</w:t>
            </w:r>
          </w:p>
        </w:tc>
        <w:tc>
          <w:tcPr>
            <w:tcW w:w="0" w:type="dxa"/>
            <w:vAlign w:val="bottom"/>
          </w:tcPr>
          <w:p>
            <w:pPr>
              <w:spacing w:after="0"/>
              <w:rPr>
                <w:sz w:val="1"/>
                <w:szCs w:val="1"/>
                <w:color w:val="auto"/>
              </w:rPr>
            </w:pPr>
          </w:p>
        </w:tc>
      </w:tr>
      <w:tr>
        <w:trPr>
          <w:trHeight w:val="187"/>
        </w:trPr>
        <w:tc>
          <w:tcPr>
            <w:tcW w:w="6700" w:type="dxa"/>
            <w:vAlign w:val="bottom"/>
          </w:tcPr>
          <w:p>
            <w:pPr>
              <w:ind w:left="180"/>
              <w:spacing w:after="0"/>
              <w:rPr>
                <w:sz w:val="20"/>
                <w:szCs w:val="20"/>
                <w:color w:val="auto"/>
              </w:rPr>
            </w:pPr>
            <w:r>
              <w:rPr>
                <w:rFonts w:ascii="Arial" w:cs="Arial" w:eastAsia="Arial" w:hAnsi="Arial"/>
                <w:sz w:val="16"/>
                <w:szCs w:val="16"/>
                <w:color w:val="auto"/>
              </w:rPr>
              <w:t>Preferred stock of subsidiary</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83"/>
        </w:trPr>
        <w:tc>
          <w:tcPr>
            <w:tcW w:w="6700" w:type="dxa"/>
            <w:vAlign w:val="bottom"/>
          </w:tcPr>
          <w:p>
            <w:pPr>
              <w:ind w:left="360"/>
              <w:spacing w:after="0" w:line="183" w:lineRule="exact"/>
              <w:rPr>
                <w:sz w:val="20"/>
                <w:szCs w:val="20"/>
                <w:color w:val="auto"/>
              </w:rPr>
            </w:pPr>
            <w:r>
              <w:rPr>
                <w:rFonts w:ascii="Arial" w:cs="Arial" w:eastAsia="Arial" w:hAnsi="Arial"/>
                <w:sz w:val="16"/>
                <w:szCs w:val="16"/>
                <w:color w:val="auto"/>
              </w:rPr>
              <w:t>Total equity</w:t>
            </w: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2,192</w:t>
            </w: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2,228</w:t>
            </w:r>
          </w:p>
        </w:tc>
        <w:tc>
          <w:tcPr>
            <w:tcW w:w="0" w:type="dxa"/>
            <w:vAlign w:val="bottom"/>
          </w:tcPr>
          <w:p>
            <w:pPr>
              <w:spacing w:after="0"/>
              <w:rPr>
                <w:sz w:val="1"/>
                <w:szCs w:val="1"/>
                <w:color w:val="auto"/>
              </w:rPr>
            </w:pPr>
          </w:p>
        </w:tc>
      </w:tr>
      <w:tr>
        <w:trPr>
          <w:trHeight w:val="183"/>
        </w:trPr>
        <w:tc>
          <w:tcPr>
            <w:tcW w:w="6700" w:type="dxa"/>
            <w:vAlign w:val="bottom"/>
          </w:tcPr>
          <w:p>
            <w:pPr>
              <w:spacing w:after="0" w:line="183" w:lineRule="exact"/>
              <w:rPr>
                <w:sz w:val="20"/>
                <w:szCs w:val="20"/>
                <w:color w:val="auto"/>
              </w:rPr>
            </w:pPr>
            <w:r>
              <w:rPr>
                <w:rFonts w:ascii="Arial" w:cs="Arial" w:eastAsia="Arial" w:hAnsi="Arial"/>
                <w:sz w:val="16"/>
                <w:szCs w:val="16"/>
                <w:color w:val="auto"/>
              </w:rPr>
              <w:t>Total liabilities and equity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7,973</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line="183" w:lineRule="exact"/>
              <w:rPr>
                <w:sz w:val="20"/>
                <w:szCs w:val="20"/>
                <w:color w:val="auto"/>
              </w:rPr>
            </w:pPr>
            <w:r>
              <w:rPr>
                <w:rFonts w:ascii="Arial" w:cs="Arial" w:eastAsia="Arial" w:hAnsi="Arial"/>
                <w:sz w:val="16"/>
                <w:szCs w:val="16"/>
                <w:color w:val="auto"/>
              </w:rPr>
              <w:t>7,834</w:t>
            </w:r>
          </w:p>
        </w:tc>
        <w:tc>
          <w:tcPr>
            <w:tcW w:w="0" w:type="dxa"/>
            <w:vAlign w:val="bottom"/>
          </w:tcPr>
          <w:p>
            <w:pPr>
              <w:spacing w:after="0"/>
              <w:rPr>
                <w:sz w:val="1"/>
                <w:szCs w:val="1"/>
                <w:color w:val="auto"/>
              </w:rPr>
            </w:pPr>
          </w:p>
        </w:tc>
      </w:tr>
      <w:tr>
        <w:trPr>
          <w:trHeight w:val="81"/>
        </w:trPr>
        <w:tc>
          <w:tcPr>
            <w:tcW w:w="6700" w:type="dxa"/>
            <w:vAlign w:val="bottom"/>
            <w:shd w:val="clear" w:color="auto" w:fill="000000"/>
          </w:tcPr>
          <w:p>
            <w:pPr>
              <w:spacing w:after="0"/>
              <w:rPr>
                <w:sz w:val="7"/>
                <w:szCs w:val="7"/>
                <w:color w:val="auto"/>
              </w:rPr>
            </w:pPr>
          </w:p>
        </w:tc>
        <w:tc>
          <w:tcPr>
            <w:tcW w:w="140" w:type="dxa"/>
            <w:vAlign w:val="bottom"/>
            <w:shd w:val="clear" w:color="auto" w:fill="000000"/>
          </w:tcPr>
          <w:p>
            <w:pPr>
              <w:spacing w:after="0"/>
              <w:rPr>
                <w:sz w:val="7"/>
                <w:szCs w:val="7"/>
                <w:color w:val="auto"/>
              </w:rPr>
            </w:pPr>
          </w:p>
        </w:tc>
        <w:tc>
          <w:tcPr>
            <w:tcW w:w="1020" w:type="dxa"/>
            <w:vAlign w:val="bottom"/>
            <w:shd w:val="clear" w:color="auto" w:fill="000000"/>
          </w:tcPr>
          <w:p>
            <w:pPr>
              <w:spacing w:after="0"/>
              <w:rPr>
                <w:sz w:val="7"/>
                <w:szCs w:val="7"/>
                <w:color w:val="auto"/>
              </w:rPr>
            </w:pPr>
          </w:p>
        </w:tc>
        <w:tc>
          <w:tcPr>
            <w:tcW w:w="120" w:type="dxa"/>
            <w:vAlign w:val="bottom"/>
            <w:shd w:val="clear" w:color="auto" w:fill="000000"/>
          </w:tcPr>
          <w:p>
            <w:pPr>
              <w:spacing w:after="0"/>
              <w:rPr>
                <w:sz w:val="7"/>
                <w:szCs w:val="7"/>
                <w:color w:val="auto"/>
              </w:rPr>
            </w:pPr>
          </w:p>
        </w:tc>
        <w:tc>
          <w:tcPr>
            <w:tcW w:w="106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ectPr>
          <w:pgSz w:w="11900" w:h="16838" w:orient="portrait"/>
          <w:cols w:equalWidth="0" w:num="1">
            <w:col w:w="10219"/>
          </w:cols>
          <w:pgMar w:left="240" w:top="135" w:right="1440"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color w:val="auto"/>
        </w:rPr>
        <w:t>PACIFIC ENTERPRISES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5445760" cy="3517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445760" cy="3517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STATEMENTS OF CONSOLIDATED CASH FLOWS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3"/>
          </w:tcPr>
          <w:p>
            <w:pPr>
              <w:jc w:val="center"/>
              <w:ind w:right="99"/>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57"/>
        </w:trPr>
        <w:tc>
          <w:tcPr>
            <w:tcW w:w="67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3"/>
          </w:tcPr>
          <w:p>
            <w:pPr>
              <w:jc w:val="center"/>
              <w:ind w:right="99"/>
              <w:spacing w:after="0" w:line="157" w:lineRule="exact"/>
              <w:rPr>
                <w:sz w:val="20"/>
                <w:szCs w:val="20"/>
                <w:color w:val="auto"/>
              </w:rPr>
            </w:pPr>
            <w:r>
              <w:rPr>
                <w:rFonts w:ascii="Arial" w:cs="Arial" w:eastAsia="Arial" w:hAnsi="Arial"/>
                <w:sz w:val="14"/>
                <w:szCs w:val="14"/>
                <w:color w:val="auto"/>
              </w:rPr>
              <w:t>March 31,</w:t>
            </w:r>
          </w:p>
        </w:tc>
        <w:tc>
          <w:tcPr>
            <w:tcW w:w="0" w:type="dxa"/>
            <w:vAlign w:val="bottom"/>
          </w:tcPr>
          <w:p>
            <w:pPr>
              <w:spacing w:after="0"/>
              <w:rPr>
                <w:sz w:val="1"/>
                <w:szCs w:val="1"/>
                <w:color w:val="auto"/>
              </w:rPr>
            </w:pPr>
          </w:p>
        </w:tc>
      </w:tr>
      <w:tr>
        <w:trPr>
          <w:trHeight w:val="183"/>
        </w:trPr>
        <w:tc>
          <w:tcPr>
            <w:tcW w:w="67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2010</w:t>
            </w: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color w:val="auto"/>
              </w:rPr>
              <w:t>2009</w:t>
            </w:r>
          </w:p>
        </w:tc>
        <w:tc>
          <w:tcPr>
            <w:tcW w:w="0" w:type="dxa"/>
            <w:vAlign w:val="bottom"/>
          </w:tcPr>
          <w:p>
            <w:pPr>
              <w:spacing w:after="0"/>
              <w:rPr>
                <w:sz w:val="1"/>
                <w:szCs w:val="1"/>
                <w:color w:val="auto"/>
              </w:rPr>
            </w:pPr>
          </w:p>
        </w:tc>
      </w:tr>
      <w:tr>
        <w:trPr>
          <w:trHeight w:val="198"/>
        </w:trPr>
        <w:tc>
          <w:tcPr>
            <w:tcW w:w="6700" w:type="dxa"/>
            <w:vAlign w:val="bottom"/>
            <w:vMerge w:val="restart"/>
          </w:tcPr>
          <w:p>
            <w:pPr>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tcPr>
          <w:p>
            <w:pPr>
              <w:spacing w:after="0"/>
              <w:rPr>
                <w:sz w:val="17"/>
                <w:szCs w:val="17"/>
                <w:color w:val="auto"/>
              </w:rPr>
            </w:pPr>
          </w:p>
        </w:tc>
        <w:tc>
          <w:tcPr>
            <w:tcW w:w="1700" w:type="dxa"/>
            <w:vAlign w:val="bottom"/>
            <w:gridSpan w:val="3"/>
          </w:tcPr>
          <w:p>
            <w:pPr>
              <w:jc w:val="center"/>
              <w:ind w:right="99"/>
              <w:spacing w:after="0"/>
              <w:rPr>
                <w:sz w:val="20"/>
                <w:szCs w:val="20"/>
                <w:color w:val="auto"/>
              </w:rPr>
            </w:pPr>
            <w:r>
              <w:rPr>
                <w:rFonts w:ascii="Arial" w:cs="Arial" w:eastAsia="Arial" w:hAnsi="Arial"/>
                <w:sz w:val="14"/>
                <w:szCs w:val="14"/>
                <w:color w:val="auto"/>
              </w:rPr>
              <w:t>(unaudited)</w:t>
            </w:r>
          </w:p>
        </w:tc>
        <w:tc>
          <w:tcPr>
            <w:tcW w:w="0" w:type="dxa"/>
            <w:vAlign w:val="bottom"/>
          </w:tcPr>
          <w:p>
            <w:pPr>
              <w:spacing w:after="0"/>
              <w:rPr>
                <w:sz w:val="1"/>
                <w:szCs w:val="1"/>
                <w:color w:val="auto"/>
              </w:rPr>
            </w:pPr>
          </w:p>
        </w:tc>
      </w:tr>
      <w:tr>
        <w:trPr>
          <w:trHeight w:val="176"/>
        </w:trPr>
        <w:tc>
          <w:tcPr>
            <w:tcW w:w="67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65</w:t>
            </w:r>
          </w:p>
        </w:tc>
        <w:tc>
          <w:tcPr>
            <w:tcW w:w="200" w:type="dxa"/>
            <w:vAlign w:val="bottom"/>
          </w:tcPr>
          <w:p>
            <w:pPr>
              <w:jc w:val="center"/>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Adjustments to reconcile net income to net cash provided by</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00" w:type="dxa"/>
            <w:vAlign w:val="bottom"/>
          </w:tcPr>
          <w:p>
            <w:pPr>
              <w:ind w:left="360"/>
              <w:spacing w:after="0"/>
              <w:rPr>
                <w:sz w:val="20"/>
                <w:szCs w:val="20"/>
                <w:color w:val="auto"/>
              </w:rPr>
            </w:pPr>
            <w:r>
              <w:rPr>
                <w:rFonts w:ascii="Arial" w:cs="Arial" w:eastAsia="Arial" w:hAnsi="Arial"/>
                <w:sz w:val="16"/>
                <w:szCs w:val="16"/>
                <w:color w:val="auto"/>
              </w:rPr>
              <w:t>operating activities:</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00" w:type="dxa"/>
            <w:vAlign w:val="bottom"/>
          </w:tcPr>
          <w:p>
            <w:pPr>
              <w:ind w:left="540"/>
              <w:spacing w:after="0"/>
              <w:rPr>
                <w:sz w:val="20"/>
                <w:szCs w:val="20"/>
                <w:color w:val="auto"/>
              </w:rPr>
            </w:pPr>
            <w:r>
              <w:rPr>
                <w:rFonts w:ascii="Arial" w:cs="Arial" w:eastAsia="Arial" w:hAnsi="Arial"/>
                <w:sz w:val="16"/>
                <w:szCs w:val="16"/>
                <w:color w:val="auto"/>
              </w:rPr>
              <w:t>Depreciation</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75</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189"/>
        </w:trPr>
        <w:tc>
          <w:tcPr>
            <w:tcW w:w="6700" w:type="dxa"/>
            <w:vAlign w:val="bottom"/>
          </w:tcPr>
          <w:p>
            <w:pPr>
              <w:ind w:left="540"/>
              <w:spacing w:after="0"/>
              <w:rPr>
                <w:sz w:val="20"/>
                <w:szCs w:val="20"/>
                <w:color w:val="auto"/>
              </w:rPr>
            </w:pPr>
            <w:r>
              <w:rPr>
                <w:rFonts w:ascii="Arial" w:cs="Arial" w:eastAsia="Arial" w:hAnsi="Arial"/>
                <w:sz w:val="16"/>
                <w:szCs w:val="16"/>
                <w:color w:val="auto"/>
              </w:rPr>
              <w:t>Deferred income taxes and investment tax credits</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89"/>
        </w:trPr>
        <w:tc>
          <w:tcPr>
            <w:tcW w:w="6700" w:type="dxa"/>
            <w:vAlign w:val="bottom"/>
          </w:tcPr>
          <w:p>
            <w:pPr>
              <w:ind w:left="54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Net change in other working capital components</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339</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357</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Changes in other assets</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87"/>
        </w:trPr>
        <w:tc>
          <w:tcPr>
            <w:tcW w:w="6700" w:type="dxa"/>
            <w:vAlign w:val="bottom"/>
          </w:tcPr>
          <w:p>
            <w:pPr>
              <w:ind w:left="180"/>
              <w:spacing w:after="0"/>
              <w:rPr>
                <w:sz w:val="20"/>
                <w:szCs w:val="20"/>
                <w:color w:val="auto"/>
              </w:rPr>
            </w:pPr>
            <w:r>
              <w:rPr>
                <w:rFonts w:ascii="Arial" w:cs="Arial" w:eastAsia="Arial" w:hAnsi="Arial"/>
                <w:sz w:val="16"/>
                <w:szCs w:val="16"/>
                <w:color w:val="auto"/>
              </w:rPr>
              <w:t>Changes in other liabilities</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83"/>
        </w:trPr>
        <w:tc>
          <w:tcPr>
            <w:tcW w:w="6700" w:type="dxa"/>
            <w:vAlign w:val="bottom"/>
          </w:tcPr>
          <w:p>
            <w:pPr>
              <w:ind w:left="360"/>
              <w:spacing w:after="0" w:line="183" w:lineRule="exact"/>
              <w:rPr>
                <w:sz w:val="20"/>
                <w:szCs w:val="20"/>
                <w:color w:val="auto"/>
              </w:rPr>
            </w:pPr>
            <w:r>
              <w:rPr>
                <w:rFonts w:ascii="Arial" w:cs="Arial" w:eastAsia="Arial" w:hAnsi="Arial"/>
                <w:sz w:val="16"/>
                <w:szCs w:val="16"/>
                <w:color w:val="auto"/>
              </w:rPr>
              <w:t>Net cash provided by operating activities</w:t>
            </w: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492</w:t>
            </w: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497</w:t>
            </w:r>
          </w:p>
        </w:tc>
        <w:tc>
          <w:tcPr>
            <w:tcW w:w="0" w:type="dxa"/>
            <w:vAlign w:val="bottom"/>
          </w:tcPr>
          <w:p>
            <w:pPr>
              <w:spacing w:after="0"/>
              <w:rPr>
                <w:sz w:val="1"/>
                <w:szCs w:val="1"/>
                <w:color w:val="auto"/>
              </w:rPr>
            </w:pPr>
          </w:p>
        </w:tc>
      </w:tr>
      <w:tr>
        <w:trPr>
          <w:trHeight w:val="374"/>
        </w:trPr>
        <w:tc>
          <w:tcPr>
            <w:tcW w:w="670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Expenditures for property, plant and equipment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(114)</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187"/>
        </w:trPr>
        <w:tc>
          <w:tcPr>
            <w:tcW w:w="6700" w:type="dxa"/>
            <w:vAlign w:val="bottom"/>
          </w:tcPr>
          <w:p>
            <w:pPr>
              <w:ind w:left="180"/>
              <w:spacing w:after="0"/>
              <w:rPr>
                <w:sz w:val="20"/>
                <w:szCs w:val="20"/>
                <w:color w:val="auto"/>
              </w:rPr>
            </w:pPr>
            <w:r>
              <w:rPr>
                <w:rFonts w:ascii="Arial" w:cs="Arial" w:eastAsia="Arial" w:hAnsi="Arial"/>
                <w:sz w:val="16"/>
                <w:szCs w:val="16"/>
                <w:color w:val="auto"/>
              </w:rPr>
              <w:t>Decrease (increase) in loans to affiliates, net</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w:t>
            </w: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3"/>
        </w:trPr>
        <w:tc>
          <w:tcPr>
            <w:tcW w:w="6700" w:type="dxa"/>
            <w:vAlign w:val="bottom"/>
          </w:tcPr>
          <w:p>
            <w:pPr>
              <w:ind w:left="360"/>
              <w:spacing w:after="0" w:line="183" w:lineRule="exact"/>
              <w:rPr>
                <w:sz w:val="20"/>
                <w:szCs w:val="20"/>
                <w:color w:val="auto"/>
              </w:rPr>
            </w:pPr>
            <w:r>
              <w:rPr>
                <w:rFonts w:ascii="Arial" w:cs="Arial" w:eastAsia="Arial" w:hAnsi="Arial"/>
                <w:sz w:val="16"/>
                <w:szCs w:val="16"/>
                <w:color w:val="auto"/>
              </w:rPr>
              <w:t>Net cash used in investing activities</w:t>
            </w: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(260)</w:t>
            </w: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374"/>
        </w:trPr>
        <w:tc>
          <w:tcPr>
            <w:tcW w:w="670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Common dividends paid</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(100)</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7"/>
        </w:trPr>
        <w:tc>
          <w:tcPr>
            <w:tcW w:w="6700" w:type="dxa"/>
            <w:vAlign w:val="bottom"/>
          </w:tcPr>
          <w:p>
            <w:pPr>
              <w:ind w:left="180"/>
              <w:spacing w:after="0"/>
              <w:rPr>
                <w:sz w:val="20"/>
                <w:szCs w:val="20"/>
                <w:color w:val="auto"/>
              </w:rPr>
            </w:pPr>
            <w:r>
              <w:rPr>
                <w:rFonts w:ascii="Arial" w:cs="Arial" w:eastAsia="Arial" w:hAnsi="Arial"/>
                <w:sz w:val="16"/>
                <w:szCs w:val="16"/>
                <w:color w:val="auto"/>
              </w:rPr>
              <w:t>Preferred dividends paid</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3"/>
        </w:trPr>
        <w:tc>
          <w:tcPr>
            <w:tcW w:w="6700" w:type="dxa"/>
            <w:vAlign w:val="bottom"/>
          </w:tcPr>
          <w:p>
            <w:pPr>
              <w:ind w:left="360"/>
              <w:spacing w:after="0" w:line="183" w:lineRule="exact"/>
              <w:rPr>
                <w:sz w:val="20"/>
                <w:szCs w:val="20"/>
                <w:color w:val="auto"/>
              </w:rPr>
            </w:pPr>
            <w:r>
              <w:rPr>
                <w:rFonts w:ascii="Arial" w:cs="Arial" w:eastAsia="Arial" w:hAnsi="Arial"/>
                <w:sz w:val="16"/>
                <w:szCs w:val="16"/>
                <w:color w:val="auto"/>
              </w:rPr>
              <w:t>Net cash used in financing activities</w:t>
            </w: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(101)</w:t>
            </w: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74"/>
        </w:trPr>
        <w:tc>
          <w:tcPr>
            <w:tcW w:w="6700" w:type="dxa"/>
            <w:vAlign w:val="bottom"/>
          </w:tcPr>
          <w:p>
            <w:pPr>
              <w:spacing w:after="0"/>
              <w:rPr>
                <w:sz w:val="20"/>
                <w:szCs w:val="20"/>
                <w:color w:val="auto"/>
              </w:rPr>
            </w:pPr>
            <w:r>
              <w:rPr>
                <w:rFonts w:ascii="Arial" w:cs="Arial" w:eastAsia="Arial" w:hAnsi="Arial"/>
                <w:sz w:val="16"/>
                <w:szCs w:val="16"/>
                <w:color w:val="auto"/>
              </w:rPr>
              <w:t>Increase in cash and cash equivalents</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131</w:t>
            </w: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387</w:t>
            </w:r>
          </w:p>
        </w:tc>
        <w:tc>
          <w:tcPr>
            <w:tcW w:w="0" w:type="dxa"/>
            <w:vAlign w:val="bottom"/>
          </w:tcPr>
          <w:p>
            <w:pPr>
              <w:spacing w:after="0"/>
              <w:rPr>
                <w:sz w:val="1"/>
                <w:szCs w:val="1"/>
                <w:color w:val="auto"/>
              </w:rPr>
            </w:pPr>
          </w:p>
        </w:tc>
      </w:tr>
      <w:tr>
        <w:trPr>
          <w:trHeight w:val="187"/>
        </w:trPr>
        <w:tc>
          <w:tcPr>
            <w:tcW w:w="6700" w:type="dxa"/>
            <w:vAlign w:val="bottom"/>
          </w:tcPr>
          <w:p>
            <w:pPr>
              <w:spacing w:after="0"/>
              <w:rPr>
                <w:sz w:val="20"/>
                <w:szCs w:val="20"/>
                <w:color w:val="auto"/>
              </w:rPr>
            </w:pPr>
            <w:r>
              <w:rPr>
                <w:rFonts w:ascii="Arial" w:cs="Arial" w:eastAsia="Arial" w:hAnsi="Arial"/>
                <w:sz w:val="16"/>
                <w:szCs w:val="16"/>
                <w:color w:val="auto"/>
              </w:rPr>
              <w:t>Cash and cash equivalents, January 1</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183"/>
        </w:trPr>
        <w:tc>
          <w:tcPr>
            <w:tcW w:w="6700" w:type="dxa"/>
            <w:vAlign w:val="bottom"/>
            <w:vMerge w:val="restart"/>
          </w:tcPr>
          <w:p>
            <w:pPr>
              <w:spacing w:after="0"/>
              <w:rPr>
                <w:sz w:val="20"/>
                <w:szCs w:val="20"/>
                <w:color w:val="auto"/>
              </w:rPr>
            </w:pPr>
            <w:r>
              <w:rPr>
                <w:rFonts w:ascii="Arial" w:cs="Arial" w:eastAsia="Arial" w:hAnsi="Arial"/>
                <w:sz w:val="16"/>
                <w:szCs w:val="16"/>
                <w:color w:val="auto"/>
              </w:rPr>
              <w:t>Cash and cash equivalents, March 31</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auto"/>
              </w:rPr>
              <w:t>180</w:t>
            </w:r>
          </w:p>
        </w:tc>
        <w:tc>
          <w:tcPr>
            <w:tcW w:w="200" w:type="dxa"/>
            <w:vAlign w:val="bottom"/>
          </w:tcPr>
          <w:p>
            <w:pPr>
              <w:jc w:val="center"/>
              <w:ind w:right="39"/>
              <w:spacing w:after="0" w:line="183" w:lineRule="exact"/>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593</w:t>
            </w:r>
          </w:p>
        </w:tc>
        <w:tc>
          <w:tcPr>
            <w:tcW w:w="0" w:type="dxa"/>
            <w:vAlign w:val="bottom"/>
          </w:tcPr>
          <w:p>
            <w:pPr>
              <w:spacing w:after="0"/>
              <w:rPr>
                <w:sz w:val="1"/>
                <w:szCs w:val="1"/>
                <w:color w:val="auto"/>
              </w:rPr>
            </w:pPr>
          </w:p>
        </w:tc>
      </w:tr>
      <w:tr>
        <w:trPr>
          <w:trHeight w:val="81"/>
        </w:trPr>
        <w:tc>
          <w:tcPr>
            <w:tcW w:w="6700" w:type="dxa"/>
            <w:vAlign w:val="bottom"/>
            <w:vMerge w:val="continue"/>
          </w:tcPr>
          <w:p>
            <w:pPr>
              <w:spacing w:after="0"/>
              <w:rPr>
                <w:sz w:val="7"/>
                <w:szCs w:val="7"/>
                <w:color w:val="auto"/>
              </w:rPr>
            </w:pPr>
          </w:p>
        </w:tc>
        <w:tc>
          <w:tcPr>
            <w:tcW w:w="180" w:type="dxa"/>
            <w:vAlign w:val="bottom"/>
            <w:shd w:val="clear" w:color="auto" w:fill="000000"/>
          </w:tcPr>
          <w:p>
            <w:pPr>
              <w:spacing w:after="0"/>
              <w:rPr>
                <w:sz w:val="7"/>
                <w:szCs w:val="7"/>
                <w:color w:val="auto"/>
              </w:rPr>
            </w:pPr>
          </w:p>
        </w:tc>
        <w:tc>
          <w:tcPr>
            <w:tcW w:w="720" w:type="dxa"/>
            <w:vAlign w:val="bottom"/>
            <w:shd w:val="clear" w:color="auto" w:fill="000000"/>
          </w:tcPr>
          <w:p>
            <w:pPr>
              <w:spacing w:after="0"/>
              <w:rPr>
                <w:sz w:val="7"/>
                <w:szCs w:val="7"/>
                <w:color w:val="auto"/>
              </w:rPr>
            </w:pPr>
          </w:p>
        </w:tc>
        <w:tc>
          <w:tcPr>
            <w:tcW w:w="200" w:type="dxa"/>
            <w:vAlign w:val="bottom"/>
            <w:shd w:val="clear" w:color="auto" w:fill="000000"/>
          </w:tcPr>
          <w:p>
            <w:pPr>
              <w:spacing w:after="0"/>
              <w:rPr>
                <w:sz w:val="7"/>
                <w:szCs w:val="7"/>
                <w:color w:val="auto"/>
              </w:rPr>
            </w:pPr>
          </w:p>
        </w:tc>
        <w:tc>
          <w:tcPr>
            <w:tcW w:w="78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380"/>
        </w:trPr>
        <w:tc>
          <w:tcPr>
            <w:tcW w:w="6700" w:type="dxa"/>
            <w:vAlign w:val="bottom"/>
          </w:tcPr>
          <w:p>
            <w:pPr>
              <w:spacing w:after="0"/>
              <w:rPr>
                <w:sz w:val="20"/>
                <w:szCs w:val="20"/>
                <w:color w:val="auto"/>
              </w:rPr>
            </w:pPr>
            <w:r>
              <w:rPr>
                <w:rFonts w:ascii="Arial" w:cs="Arial" w:eastAsia="Arial" w:hAnsi="Arial"/>
                <w:sz w:val="16"/>
                <w:szCs w:val="16"/>
                <w:color w:val="auto"/>
              </w:rPr>
              <w:t>SUPPLEMENTAL DISCLOSURE OF CASH FLOW INFORMATION</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Interest payments, net of amounts capitalized</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w:t>
            </w:r>
          </w:p>
        </w:tc>
        <w:tc>
          <w:tcPr>
            <w:tcW w:w="200" w:type="dxa"/>
            <w:vAlign w:val="bottom"/>
          </w:tcPr>
          <w:p>
            <w:pPr>
              <w:jc w:val="center"/>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95"/>
        </w:trPr>
        <w:tc>
          <w:tcPr>
            <w:tcW w:w="6700" w:type="dxa"/>
            <w:vAlign w:val="bottom"/>
          </w:tcPr>
          <w:p>
            <w:pPr>
              <w:ind w:left="180"/>
              <w:spacing w:after="0"/>
              <w:rPr>
                <w:sz w:val="20"/>
                <w:szCs w:val="20"/>
                <w:color w:val="auto"/>
              </w:rPr>
            </w:pPr>
            <w:r>
              <w:rPr>
                <w:rFonts w:ascii="Arial" w:cs="Arial" w:eastAsia="Arial" w:hAnsi="Arial"/>
                <w:sz w:val="16"/>
                <w:szCs w:val="16"/>
                <w:color w:val="auto"/>
              </w:rPr>
              <w:t>Income tax refunds, net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23</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373"/>
        </w:trPr>
        <w:tc>
          <w:tcPr>
            <w:tcW w:w="6700" w:type="dxa"/>
            <w:vAlign w:val="bottom"/>
          </w:tcPr>
          <w:p>
            <w:pPr>
              <w:spacing w:after="0"/>
              <w:rPr>
                <w:sz w:val="20"/>
                <w:szCs w:val="20"/>
                <w:color w:val="auto"/>
              </w:rPr>
            </w:pPr>
            <w:r>
              <w:rPr>
                <w:rFonts w:ascii="Arial" w:cs="Arial" w:eastAsia="Arial" w:hAnsi="Arial"/>
                <w:sz w:val="16"/>
                <w:szCs w:val="16"/>
                <w:color w:val="auto"/>
              </w:rPr>
              <w:t>SUPPLEMENTAL DISCLOSURE OF NONCASH ACTIVITIES</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700" w:type="dxa"/>
            <w:vAlign w:val="bottom"/>
          </w:tcPr>
          <w:p>
            <w:pPr>
              <w:ind w:left="180"/>
              <w:spacing w:after="0"/>
              <w:rPr>
                <w:sz w:val="20"/>
                <w:szCs w:val="20"/>
                <w:color w:val="auto"/>
              </w:rPr>
            </w:pPr>
            <w:r>
              <w:rPr>
                <w:rFonts w:ascii="Arial" w:cs="Arial" w:eastAsia="Arial" w:hAnsi="Arial"/>
                <w:sz w:val="16"/>
                <w:szCs w:val="16"/>
                <w:color w:val="auto"/>
              </w:rPr>
              <w:t>Dividends declared but not paid</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jc w:val="center"/>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81"/>
        </w:trPr>
        <w:tc>
          <w:tcPr>
            <w:tcW w:w="6700" w:type="dxa"/>
            <w:vAlign w:val="bottom"/>
            <w:shd w:val="clear" w:color="auto" w:fill="000000"/>
          </w:tcPr>
          <w:p>
            <w:pPr>
              <w:spacing w:after="0"/>
              <w:rPr>
                <w:sz w:val="7"/>
                <w:szCs w:val="7"/>
                <w:color w:val="auto"/>
              </w:rPr>
            </w:pPr>
          </w:p>
        </w:tc>
        <w:tc>
          <w:tcPr>
            <w:tcW w:w="180" w:type="dxa"/>
            <w:vAlign w:val="bottom"/>
            <w:shd w:val="clear" w:color="auto" w:fill="000000"/>
          </w:tcPr>
          <w:p>
            <w:pPr>
              <w:spacing w:after="0"/>
              <w:rPr>
                <w:sz w:val="7"/>
                <w:szCs w:val="7"/>
                <w:color w:val="auto"/>
              </w:rPr>
            </w:pPr>
          </w:p>
        </w:tc>
        <w:tc>
          <w:tcPr>
            <w:tcW w:w="720" w:type="dxa"/>
            <w:vAlign w:val="bottom"/>
            <w:shd w:val="clear" w:color="auto" w:fill="000000"/>
          </w:tcPr>
          <w:p>
            <w:pPr>
              <w:spacing w:after="0"/>
              <w:rPr>
                <w:sz w:val="7"/>
                <w:szCs w:val="7"/>
                <w:color w:val="auto"/>
              </w:rPr>
            </w:pPr>
          </w:p>
        </w:tc>
        <w:tc>
          <w:tcPr>
            <w:tcW w:w="200" w:type="dxa"/>
            <w:vAlign w:val="bottom"/>
            <w:shd w:val="clear" w:color="auto" w:fill="000000"/>
          </w:tcPr>
          <w:p>
            <w:pPr>
              <w:spacing w:after="0"/>
              <w:rPr>
                <w:sz w:val="7"/>
                <w:szCs w:val="7"/>
                <w:color w:val="auto"/>
              </w:rPr>
            </w:pPr>
          </w:p>
        </w:tc>
        <w:tc>
          <w:tcPr>
            <w:tcW w:w="78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ectPr>
          <w:pgSz w:w="11900" w:h="16838" w:orient="portrait"/>
          <w:cols w:equalWidth="0" w:num="1">
            <w:col w:w="10219"/>
          </w:cols>
          <w:pgMar w:left="240" w:top="135" w:right="1440"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color w:val="auto"/>
        </w:rPr>
        <w:t>SOUTHERN CALIFORNIA GAS COMPANY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4562475" cy="3517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562475" cy="3517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3"/>
          </w:tcPr>
          <w:p>
            <w:pPr>
              <w:jc w:val="center"/>
              <w:ind w:right="120"/>
              <w:spacing w:after="0"/>
              <w:rPr>
                <w:sz w:val="20"/>
                <w:szCs w:val="20"/>
                <w:color w:val="auto"/>
              </w:rPr>
            </w:pPr>
            <w:r>
              <w:rPr>
                <w:rFonts w:ascii="Arial" w:cs="Arial" w:eastAsia="Arial" w:hAnsi="Arial"/>
                <w:sz w:val="14"/>
                <w:szCs w:val="14"/>
                <w:color w:val="auto"/>
              </w:rPr>
              <w:t>Three months ended</w:t>
            </w:r>
          </w:p>
        </w:tc>
      </w:tr>
      <w:tr>
        <w:trPr>
          <w:trHeight w:val="157"/>
        </w:trPr>
        <w:tc>
          <w:tcPr>
            <w:tcW w:w="52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3"/>
          </w:tcPr>
          <w:p>
            <w:pPr>
              <w:jc w:val="center"/>
              <w:ind w:right="120"/>
              <w:spacing w:after="0" w:line="157" w:lineRule="exact"/>
              <w:rPr>
                <w:sz w:val="20"/>
                <w:szCs w:val="20"/>
                <w:color w:val="auto"/>
              </w:rPr>
            </w:pPr>
            <w:r>
              <w:rPr>
                <w:rFonts w:ascii="Arial" w:cs="Arial" w:eastAsia="Arial" w:hAnsi="Arial"/>
                <w:sz w:val="14"/>
                <w:szCs w:val="14"/>
                <w:color w:val="auto"/>
              </w:rPr>
              <w:t>March 31,</w:t>
            </w:r>
          </w:p>
        </w:tc>
      </w:tr>
      <w:tr>
        <w:trPr>
          <w:trHeight w:val="183"/>
        </w:trPr>
        <w:tc>
          <w:tcPr>
            <w:tcW w:w="52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color w:val="auto"/>
              </w:rPr>
              <w:t>2010</w:t>
            </w: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color w:val="auto"/>
              </w:rPr>
              <w:t>2009</w:t>
            </w:r>
          </w:p>
        </w:tc>
      </w:tr>
      <w:tr>
        <w:trPr>
          <w:trHeight w:val="198"/>
        </w:trPr>
        <w:tc>
          <w:tcPr>
            <w:tcW w:w="5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gridSpan w:val="3"/>
          </w:tcPr>
          <w:p>
            <w:pPr>
              <w:jc w:val="center"/>
              <w:ind w:right="120"/>
              <w:spacing w:after="0"/>
              <w:rPr>
                <w:sz w:val="20"/>
                <w:szCs w:val="20"/>
                <w:color w:val="auto"/>
              </w:rPr>
            </w:pPr>
            <w:r>
              <w:rPr>
                <w:rFonts w:ascii="Arial" w:cs="Arial" w:eastAsia="Arial" w:hAnsi="Arial"/>
                <w:sz w:val="14"/>
                <w:szCs w:val="14"/>
                <w:color w:val="auto"/>
              </w:rPr>
              <w:t>(unaudited)</w:t>
            </w:r>
          </w:p>
        </w:tc>
      </w:tr>
      <w:tr>
        <w:trPr>
          <w:trHeight w:val="363"/>
        </w:trPr>
        <w:tc>
          <w:tcPr>
            <w:tcW w:w="5280" w:type="dxa"/>
            <w:vAlign w:val="bottom"/>
          </w:tcPr>
          <w:p>
            <w:pPr>
              <w:spacing w:after="0"/>
              <w:rPr>
                <w:sz w:val="20"/>
                <w:szCs w:val="20"/>
                <w:color w:val="auto"/>
              </w:rPr>
            </w:pPr>
            <w:r>
              <w:rPr>
                <w:rFonts w:ascii="Arial" w:cs="Arial" w:eastAsia="Arial" w:hAnsi="Arial"/>
                <w:sz w:val="16"/>
                <w:szCs w:val="16"/>
                <w:color w:val="auto"/>
              </w:rPr>
              <w:t>Operating revenues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1,182</w:t>
            </w: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920</w:t>
            </w:r>
          </w:p>
        </w:tc>
      </w:tr>
      <w:tr>
        <w:trPr>
          <w:trHeight w:val="184"/>
        </w:trPr>
        <w:tc>
          <w:tcPr>
            <w:tcW w:w="5280" w:type="dxa"/>
            <w:vAlign w:val="bottom"/>
          </w:tcPr>
          <w:p>
            <w:pPr>
              <w:spacing w:after="0"/>
              <w:rPr>
                <w:sz w:val="20"/>
                <w:szCs w:val="20"/>
                <w:color w:val="auto"/>
              </w:rPr>
            </w:pPr>
            <w:r>
              <w:rPr>
                <w:rFonts w:ascii="Arial" w:cs="Arial" w:eastAsia="Arial" w:hAnsi="Arial"/>
                <w:sz w:val="16"/>
                <w:szCs w:val="16"/>
                <w:color w:val="auto"/>
              </w:rPr>
              <w:t>Operating expenses</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9"/>
        </w:trPr>
        <w:tc>
          <w:tcPr>
            <w:tcW w:w="5280" w:type="dxa"/>
            <w:vAlign w:val="bottom"/>
          </w:tcPr>
          <w:p>
            <w:pPr>
              <w:ind w:left="180"/>
              <w:spacing w:after="0"/>
              <w:rPr>
                <w:sz w:val="20"/>
                <w:szCs w:val="20"/>
                <w:color w:val="auto"/>
              </w:rPr>
            </w:pPr>
            <w:r>
              <w:rPr>
                <w:rFonts w:ascii="Arial" w:cs="Arial" w:eastAsia="Arial" w:hAnsi="Arial"/>
                <w:sz w:val="16"/>
                <w:szCs w:val="16"/>
                <w:color w:val="auto"/>
              </w:rPr>
              <w:t>Cost of natural gas</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674</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455</w:t>
            </w:r>
          </w:p>
        </w:tc>
      </w:tr>
      <w:tr>
        <w:trPr>
          <w:trHeight w:val="189"/>
        </w:trPr>
        <w:tc>
          <w:tcPr>
            <w:tcW w:w="5280" w:type="dxa"/>
            <w:vAlign w:val="bottom"/>
          </w:tcPr>
          <w:p>
            <w:pPr>
              <w:ind w:left="180"/>
              <w:spacing w:after="0"/>
              <w:rPr>
                <w:sz w:val="20"/>
                <w:szCs w:val="20"/>
                <w:color w:val="auto"/>
              </w:rPr>
            </w:pPr>
            <w:r>
              <w:rPr>
                <w:rFonts w:ascii="Arial" w:cs="Arial" w:eastAsia="Arial" w:hAnsi="Arial"/>
                <w:sz w:val="16"/>
                <w:szCs w:val="16"/>
                <w:color w:val="auto"/>
              </w:rPr>
              <w:t>Operation and maintenance</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262</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251</w:t>
            </w:r>
          </w:p>
        </w:tc>
      </w:tr>
      <w:tr>
        <w:trPr>
          <w:trHeight w:val="189"/>
        </w:trPr>
        <w:tc>
          <w:tcPr>
            <w:tcW w:w="5280" w:type="dxa"/>
            <w:vAlign w:val="bottom"/>
          </w:tcPr>
          <w:p>
            <w:pPr>
              <w:ind w:left="180"/>
              <w:spacing w:after="0"/>
              <w:rPr>
                <w:sz w:val="20"/>
                <w:szCs w:val="20"/>
                <w:color w:val="auto"/>
              </w:rPr>
            </w:pPr>
            <w:r>
              <w:rPr>
                <w:rFonts w:ascii="Arial" w:cs="Arial" w:eastAsia="Arial" w:hAnsi="Arial"/>
                <w:sz w:val="16"/>
                <w:szCs w:val="16"/>
                <w:color w:val="auto"/>
              </w:rPr>
              <w:t>Depreciation</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75</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187"/>
        </w:trPr>
        <w:tc>
          <w:tcPr>
            <w:tcW w:w="5280" w:type="dxa"/>
            <w:vAlign w:val="bottom"/>
          </w:tcPr>
          <w:p>
            <w:pPr>
              <w:ind w:left="180"/>
              <w:spacing w:after="0"/>
              <w:rPr>
                <w:sz w:val="20"/>
                <w:szCs w:val="20"/>
                <w:color w:val="auto"/>
              </w:rPr>
            </w:pPr>
            <w:r>
              <w:rPr>
                <w:rFonts w:ascii="Arial" w:cs="Arial" w:eastAsia="Arial" w:hAnsi="Arial"/>
                <w:sz w:val="16"/>
                <w:szCs w:val="16"/>
                <w:color w:val="auto"/>
              </w:rPr>
              <w:t>Franchise fees and other taxes</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r>
      <w:tr>
        <w:trPr>
          <w:trHeight w:val="183"/>
        </w:trPr>
        <w:tc>
          <w:tcPr>
            <w:tcW w:w="5280" w:type="dxa"/>
            <w:vAlign w:val="bottom"/>
          </w:tcPr>
          <w:p>
            <w:pPr>
              <w:ind w:left="360"/>
              <w:spacing w:after="0" w:line="183" w:lineRule="exact"/>
              <w:rPr>
                <w:sz w:val="20"/>
                <w:szCs w:val="20"/>
                <w:color w:val="auto"/>
              </w:rPr>
            </w:pPr>
            <w:r>
              <w:rPr>
                <w:rFonts w:ascii="Arial" w:cs="Arial" w:eastAsia="Arial" w:hAnsi="Arial"/>
                <w:sz w:val="16"/>
                <w:szCs w:val="16"/>
                <w:color w:val="auto"/>
              </w:rPr>
              <w:t>Total operating expenses</w:t>
            </w: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1,048</w:t>
            </w: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810</w:t>
            </w:r>
          </w:p>
        </w:tc>
      </w:tr>
      <w:tr>
        <w:trPr>
          <w:trHeight w:val="184"/>
        </w:trPr>
        <w:tc>
          <w:tcPr>
            <w:tcW w:w="5280" w:type="dxa"/>
            <w:vAlign w:val="bottom"/>
          </w:tcPr>
          <w:p>
            <w:pPr>
              <w:spacing w:after="0"/>
              <w:rPr>
                <w:sz w:val="20"/>
                <w:szCs w:val="20"/>
                <w:color w:val="auto"/>
              </w:rPr>
            </w:pPr>
            <w:r>
              <w:rPr>
                <w:rFonts w:ascii="Arial" w:cs="Arial" w:eastAsia="Arial" w:hAnsi="Arial"/>
                <w:sz w:val="16"/>
                <w:szCs w:val="16"/>
                <w:color w:val="auto"/>
              </w:rPr>
              <w:t>Operating income</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134</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110</w:t>
            </w:r>
          </w:p>
        </w:tc>
      </w:tr>
      <w:tr>
        <w:trPr>
          <w:trHeight w:val="189"/>
        </w:trPr>
        <w:tc>
          <w:tcPr>
            <w:tcW w:w="5280" w:type="dxa"/>
            <w:vAlign w:val="bottom"/>
          </w:tcPr>
          <w:p>
            <w:pPr>
              <w:spacing w:after="0"/>
              <w:rPr>
                <w:sz w:val="20"/>
                <w:szCs w:val="20"/>
                <w:color w:val="auto"/>
              </w:rPr>
            </w:pPr>
            <w:r>
              <w:rPr>
                <w:rFonts w:ascii="Arial" w:cs="Arial" w:eastAsia="Arial" w:hAnsi="Arial"/>
                <w:sz w:val="16"/>
                <w:szCs w:val="16"/>
                <w:color w:val="auto"/>
              </w:rPr>
              <w:t>Other income, net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189"/>
        </w:trPr>
        <w:tc>
          <w:tcPr>
            <w:tcW w:w="5280" w:type="dxa"/>
            <w:vAlign w:val="bottom"/>
          </w:tcPr>
          <w:p>
            <w:pPr>
              <w:spacing w:after="0"/>
              <w:rPr>
                <w:sz w:val="20"/>
                <w:szCs w:val="20"/>
                <w:color w:val="auto"/>
              </w:rPr>
            </w:pPr>
            <w:r>
              <w:rPr>
                <w:rFonts w:ascii="Arial" w:cs="Arial" w:eastAsia="Arial" w:hAnsi="Arial"/>
                <w:sz w:val="16"/>
                <w:szCs w:val="16"/>
                <w:color w:val="auto"/>
              </w:rPr>
              <w:t>Interest income</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187"/>
        </w:trPr>
        <w:tc>
          <w:tcPr>
            <w:tcW w:w="5280" w:type="dxa"/>
            <w:vAlign w:val="bottom"/>
          </w:tcPr>
          <w:p>
            <w:pPr>
              <w:spacing w:after="0"/>
              <w:rPr>
                <w:sz w:val="20"/>
                <w:szCs w:val="20"/>
                <w:color w:val="auto"/>
              </w:rPr>
            </w:pPr>
            <w:r>
              <w:rPr>
                <w:rFonts w:ascii="Arial" w:cs="Arial" w:eastAsia="Arial" w:hAnsi="Arial"/>
                <w:sz w:val="16"/>
                <w:szCs w:val="16"/>
                <w:color w:val="auto"/>
              </w:rPr>
              <w:t>Interest expense</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r>
      <w:tr>
        <w:trPr>
          <w:trHeight w:val="184"/>
        </w:trPr>
        <w:tc>
          <w:tcPr>
            <w:tcW w:w="528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121</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187"/>
        </w:trPr>
        <w:tc>
          <w:tcPr>
            <w:tcW w:w="5280" w:type="dxa"/>
            <w:vAlign w:val="bottom"/>
          </w:tcPr>
          <w:p>
            <w:pPr>
              <w:spacing w:after="0"/>
              <w:rPr>
                <w:sz w:val="20"/>
                <w:szCs w:val="20"/>
                <w:color w:val="auto"/>
              </w:rPr>
            </w:pPr>
            <w:r>
              <w:rPr>
                <w:rFonts w:ascii="Arial" w:cs="Arial" w:eastAsia="Arial" w:hAnsi="Arial"/>
                <w:sz w:val="16"/>
                <w:szCs w:val="16"/>
                <w:color w:val="auto"/>
              </w:rPr>
              <w:t>Income tax expense</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r>
      <w:tr>
        <w:trPr>
          <w:trHeight w:val="183"/>
        </w:trPr>
        <w:tc>
          <w:tcPr>
            <w:tcW w:w="5280" w:type="dxa"/>
            <w:vAlign w:val="bottom"/>
          </w:tcPr>
          <w:p>
            <w:pPr>
              <w:spacing w:after="0" w:line="183" w:lineRule="exact"/>
              <w:rPr>
                <w:sz w:val="20"/>
                <w:szCs w:val="20"/>
                <w:color w:val="auto"/>
              </w:rPr>
            </w:pPr>
            <w:r>
              <w:rPr>
                <w:rFonts w:ascii="Arial" w:cs="Arial" w:eastAsia="Arial" w:hAnsi="Arial"/>
                <w:sz w:val="16"/>
                <w:szCs w:val="16"/>
                <w:color w:val="auto"/>
              </w:rPr>
              <w:t>Net income/Earnings attributable to common shares</w:t>
            </w:r>
          </w:p>
        </w:tc>
        <w:tc>
          <w:tcPr>
            <w:tcW w:w="200" w:type="dxa"/>
            <w:vAlign w:val="bottom"/>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auto"/>
              </w:rPr>
              <w:t>65</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59</w:t>
            </w:r>
          </w:p>
        </w:tc>
      </w:tr>
      <w:tr>
        <w:trPr>
          <w:trHeight w:val="81"/>
        </w:trPr>
        <w:tc>
          <w:tcPr>
            <w:tcW w:w="5280" w:type="dxa"/>
            <w:vAlign w:val="bottom"/>
            <w:shd w:val="clear" w:color="auto" w:fill="000000"/>
          </w:tcPr>
          <w:p>
            <w:pPr>
              <w:spacing w:after="0"/>
              <w:rPr>
                <w:sz w:val="7"/>
                <w:szCs w:val="7"/>
                <w:color w:val="auto"/>
              </w:rPr>
            </w:pPr>
          </w:p>
        </w:tc>
        <w:tc>
          <w:tcPr>
            <w:tcW w:w="200" w:type="dxa"/>
            <w:vAlign w:val="bottom"/>
            <w:shd w:val="clear" w:color="auto" w:fill="000000"/>
          </w:tcPr>
          <w:p>
            <w:pPr>
              <w:spacing w:after="0"/>
              <w:rPr>
                <w:sz w:val="7"/>
                <w:szCs w:val="7"/>
                <w:color w:val="auto"/>
              </w:rPr>
            </w:pPr>
          </w:p>
        </w:tc>
        <w:tc>
          <w:tcPr>
            <w:tcW w:w="760" w:type="dxa"/>
            <w:vAlign w:val="bottom"/>
            <w:shd w:val="clear" w:color="auto" w:fill="000000"/>
          </w:tcPr>
          <w:p>
            <w:pPr>
              <w:spacing w:after="0"/>
              <w:rPr>
                <w:sz w:val="7"/>
                <w:szCs w:val="7"/>
                <w:color w:val="auto"/>
              </w:rPr>
            </w:pPr>
          </w:p>
        </w:tc>
        <w:tc>
          <w:tcPr>
            <w:tcW w:w="180" w:type="dxa"/>
            <w:vAlign w:val="bottom"/>
            <w:shd w:val="clear" w:color="auto" w:fill="000000"/>
          </w:tcPr>
          <w:p>
            <w:pPr>
              <w:spacing w:after="0"/>
              <w:rPr>
                <w:sz w:val="7"/>
                <w:szCs w:val="7"/>
                <w:color w:val="auto"/>
              </w:rPr>
            </w:pPr>
          </w:p>
        </w:tc>
        <w:tc>
          <w:tcPr>
            <w:tcW w:w="780" w:type="dxa"/>
            <w:vAlign w:val="bottom"/>
            <w:shd w:val="clear" w:color="auto" w:fill="000000"/>
          </w:tcPr>
          <w:p>
            <w:pPr>
              <w:spacing w:after="0"/>
              <w:rPr>
                <w:sz w:val="7"/>
                <w:szCs w:val="7"/>
                <w:color w:val="auto"/>
              </w:rPr>
            </w:pPr>
          </w:p>
        </w:tc>
      </w:tr>
    </w:tbl>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ectPr>
          <w:pgSz w:w="11900" w:h="16838" w:orient="portrait"/>
          <w:cols w:equalWidth="0" w:num="1">
            <w:col w:w="10219"/>
          </w:cols>
          <w:pgMar w:left="240" w:top="135" w:right="1440"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color w:val="auto"/>
        </w:rPr>
        <w:t>SOUTHERN CALIFORNIA GAS COMPANY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5737225" cy="3517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37225" cy="3517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60"/>
              <w:spacing w:after="0"/>
              <w:rPr>
                <w:sz w:val="20"/>
                <w:szCs w:val="20"/>
                <w:color w:val="auto"/>
              </w:rPr>
            </w:pPr>
            <w:r>
              <w:rPr>
                <w:rFonts w:ascii="Arial" w:cs="Arial" w:eastAsia="Arial" w:hAnsi="Arial"/>
                <w:sz w:val="14"/>
                <w:szCs w:val="14"/>
                <w:color w:val="auto"/>
              </w:rPr>
              <w:t>March 31,</w:t>
            </w:r>
          </w:p>
        </w:tc>
        <w:tc>
          <w:tcPr>
            <w:tcW w:w="120" w:type="dxa"/>
            <w:vAlign w:val="bottom"/>
          </w:tcPr>
          <w:p>
            <w:pPr>
              <w:spacing w:after="0"/>
              <w:rPr>
                <w:sz w:val="14"/>
                <w:szCs w:val="14"/>
                <w:color w:val="auto"/>
              </w:rPr>
            </w:pPr>
          </w:p>
        </w:tc>
        <w:tc>
          <w:tcPr>
            <w:tcW w:w="1060" w:type="dxa"/>
            <w:vAlign w:val="bottom"/>
          </w:tcPr>
          <w:p>
            <w:pPr>
              <w:jc w:val="right"/>
              <w:ind w:right="6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74"/>
        </w:trPr>
        <w:tc>
          <w:tcPr>
            <w:tcW w:w="67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color w:val="auto"/>
              </w:rPr>
              <w:t>2010</w:t>
            </w: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2009</w:t>
            </w:r>
          </w:p>
        </w:tc>
        <w:tc>
          <w:tcPr>
            <w:tcW w:w="0" w:type="dxa"/>
            <w:vAlign w:val="bottom"/>
          </w:tcPr>
          <w:p>
            <w:pPr>
              <w:spacing w:after="0"/>
              <w:rPr>
                <w:sz w:val="1"/>
                <w:szCs w:val="1"/>
                <w:color w:val="auto"/>
              </w:rPr>
            </w:pPr>
          </w:p>
        </w:tc>
      </w:tr>
      <w:tr>
        <w:trPr>
          <w:trHeight w:val="198"/>
        </w:trPr>
        <w:tc>
          <w:tcPr>
            <w:tcW w:w="6700" w:type="dxa"/>
            <w:vAlign w:val="bottom"/>
            <w:vMerge w:val="restart"/>
          </w:tcPr>
          <w:p>
            <w:pPr>
              <w:spacing w:after="0"/>
              <w:rPr>
                <w:sz w:val="20"/>
                <w:szCs w:val="20"/>
                <w:color w:val="auto"/>
              </w:rPr>
            </w:pPr>
            <w:r>
              <w:rPr>
                <w:rFonts w:ascii="Arial" w:cs="Arial" w:eastAsia="Arial" w:hAnsi="Arial"/>
                <w:sz w:val="16"/>
                <w:szCs w:val="16"/>
                <w:color w:val="auto"/>
              </w:rPr>
              <w:t>ASSETS</w:t>
            </w:r>
          </w:p>
        </w:tc>
        <w:tc>
          <w:tcPr>
            <w:tcW w:w="140" w:type="dxa"/>
            <w:vAlign w:val="bottom"/>
          </w:tcPr>
          <w:p>
            <w:pPr>
              <w:spacing w:after="0"/>
              <w:rPr>
                <w:sz w:val="17"/>
                <w:szCs w:val="17"/>
                <w:color w:val="auto"/>
              </w:rPr>
            </w:pPr>
          </w:p>
        </w:tc>
        <w:tc>
          <w:tcPr>
            <w:tcW w:w="1020" w:type="dxa"/>
            <w:vAlign w:val="bottom"/>
          </w:tcPr>
          <w:p>
            <w:pPr>
              <w:jc w:val="center"/>
              <w:ind w:right="60"/>
              <w:spacing w:after="0"/>
              <w:rPr>
                <w:sz w:val="20"/>
                <w:szCs w:val="20"/>
                <w:color w:val="auto"/>
              </w:rPr>
            </w:pPr>
            <w:r>
              <w:rPr>
                <w:rFonts w:ascii="Arial" w:cs="Arial" w:eastAsia="Arial" w:hAnsi="Arial"/>
                <w:sz w:val="14"/>
                <w:szCs w:val="14"/>
                <w:color w:val="auto"/>
              </w:rPr>
              <w:t>(unaudited)</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7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700" w:type="dxa"/>
            <w:vAlign w:val="bottom"/>
          </w:tcPr>
          <w:p>
            <w:pPr>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180</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Accounts receivable - trade</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491</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567</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Accounts receivable - other</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Due from unconsolidated affiliate</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Income taxes receivable</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Inventories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Other regulatory assets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87"/>
        </w:trPr>
        <w:tc>
          <w:tcPr>
            <w:tcW w:w="6700" w:type="dxa"/>
            <w:vAlign w:val="bottom"/>
          </w:tcPr>
          <w:p>
            <w:pPr>
              <w:ind w:left="18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83"/>
        </w:trPr>
        <w:tc>
          <w:tcPr>
            <w:tcW w:w="6700" w:type="dxa"/>
            <w:vAlign w:val="bottom"/>
          </w:tcPr>
          <w:p>
            <w:pPr>
              <w:ind w:left="360"/>
              <w:spacing w:after="0" w:line="183" w:lineRule="exact"/>
              <w:rPr>
                <w:sz w:val="20"/>
                <w:szCs w:val="20"/>
                <w:color w:val="auto"/>
              </w:rPr>
            </w:pPr>
            <w:r>
              <w:rPr>
                <w:rFonts w:ascii="Arial" w:cs="Arial" w:eastAsia="Arial" w:hAnsi="Arial"/>
                <w:sz w:val="16"/>
                <w:szCs w:val="16"/>
                <w:color w:val="auto"/>
              </w:rPr>
              <w:t>Total current assets</w:t>
            </w: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947</w:t>
            </w: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843</w:t>
            </w:r>
          </w:p>
        </w:tc>
        <w:tc>
          <w:tcPr>
            <w:tcW w:w="0" w:type="dxa"/>
            <w:vAlign w:val="bottom"/>
          </w:tcPr>
          <w:p>
            <w:pPr>
              <w:spacing w:after="0"/>
              <w:rPr>
                <w:sz w:val="1"/>
                <w:szCs w:val="1"/>
                <w:color w:val="auto"/>
              </w:rPr>
            </w:pPr>
          </w:p>
        </w:tc>
      </w:tr>
      <w:tr>
        <w:trPr>
          <w:trHeight w:val="374"/>
        </w:trPr>
        <w:tc>
          <w:tcPr>
            <w:tcW w:w="6700" w:type="dxa"/>
            <w:vAlign w:val="bottom"/>
          </w:tcPr>
          <w:p>
            <w:pPr>
              <w:spacing w:after="0"/>
              <w:rPr>
                <w:sz w:val="20"/>
                <w:szCs w:val="20"/>
                <w:color w:val="auto"/>
              </w:rPr>
            </w:pPr>
            <w:r>
              <w:rPr>
                <w:rFonts w:ascii="Arial" w:cs="Arial" w:eastAsia="Arial" w:hAnsi="Arial"/>
                <w:sz w:val="16"/>
                <w:szCs w:val="16"/>
                <w:color w:val="auto"/>
              </w:rPr>
              <w:t>Other assets:</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Regulatory assets arising from pension and other postretirement</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00" w:type="dxa"/>
            <w:vAlign w:val="bottom"/>
          </w:tcPr>
          <w:p>
            <w:pPr>
              <w:ind w:left="360"/>
              <w:spacing w:after="0"/>
              <w:rPr>
                <w:sz w:val="20"/>
                <w:szCs w:val="20"/>
                <w:color w:val="auto"/>
              </w:rPr>
            </w:pPr>
            <w:r>
              <w:rPr>
                <w:rFonts w:ascii="Arial" w:cs="Arial" w:eastAsia="Arial" w:hAnsi="Arial"/>
                <w:sz w:val="16"/>
                <w:szCs w:val="16"/>
                <w:color w:val="auto"/>
              </w:rPr>
              <w:t>benefit obligations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629</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617</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Other regulatory assets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187"/>
        </w:trPr>
        <w:tc>
          <w:tcPr>
            <w:tcW w:w="6700" w:type="dxa"/>
            <w:vAlign w:val="bottom"/>
          </w:tcPr>
          <w:p>
            <w:pPr>
              <w:ind w:left="180"/>
              <w:spacing w:after="0"/>
              <w:rPr>
                <w:sz w:val="20"/>
                <w:szCs w:val="20"/>
                <w:color w:val="auto"/>
              </w:rPr>
            </w:pPr>
            <w:r>
              <w:rPr>
                <w:rFonts w:ascii="Arial" w:cs="Arial" w:eastAsia="Arial" w:hAnsi="Arial"/>
                <w:sz w:val="16"/>
                <w:szCs w:val="16"/>
                <w:color w:val="auto"/>
              </w:rPr>
              <w:t>Sundry</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83"/>
        </w:trPr>
        <w:tc>
          <w:tcPr>
            <w:tcW w:w="6700" w:type="dxa"/>
            <w:vAlign w:val="bottom"/>
          </w:tcPr>
          <w:p>
            <w:pPr>
              <w:ind w:left="360"/>
              <w:spacing w:after="0" w:line="183" w:lineRule="exact"/>
              <w:rPr>
                <w:sz w:val="20"/>
                <w:szCs w:val="20"/>
                <w:color w:val="auto"/>
              </w:rPr>
            </w:pPr>
            <w:r>
              <w:rPr>
                <w:rFonts w:ascii="Arial" w:cs="Arial" w:eastAsia="Arial" w:hAnsi="Arial"/>
                <w:sz w:val="16"/>
                <w:szCs w:val="16"/>
                <w:color w:val="auto"/>
              </w:rPr>
              <w:t>Total other assets</w:t>
            </w: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771</w:t>
            </w: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762</w:t>
            </w:r>
          </w:p>
        </w:tc>
        <w:tc>
          <w:tcPr>
            <w:tcW w:w="0" w:type="dxa"/>
            <w:vAlign w:val="bottom"/>
          </w:tcPr>
          <w:p>
            <w:pPr>
              <w:spacing w:after="0"/>
              <w:rPr>
                <w:sz w:val="1"/>
                <w:szCs w:val="1"/>
                <w:color w:val="auto"/>
              </w:rPr>
            </w:pPr>
          </w:p>
        </w:tc>
      </w:tr>
      <w:tr>
        <w:trPr>
          <w:trHeight w:val="374"/>
        </w:trPr>
        <w:tc>
          <w:tcPr>
            <w:tcW w:w="6700" w:type="dxa"/>
            <w:vAlign w:val="bottom"/>
          </w:tcPr>
          <w:p>
            <w:pPr>
              <w:spacing w:after="0"/>
              <w:rPr>
                <w:sz w:val="20"/>
                <w:szCs w:val="20"/>
                <w:color w:val="auto"/>
              </w:rPr>
            </w:pPr>
            <w:r>
              <w:rPr>
                <w:rFonts w:ascii="Arial" w:cs="Arial" w:eastAsia="Arial" w:hAnsi="Arial"/>
                <w:sz w:val="16"/>
                <w:szCs w:val="16"/>
                <w:color w:val="auto"/>
              </w:rPr>
              <w:t>Property, plant and equipment:</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Property, plant and equipment</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9,380</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9,297</w:t>
            </w:r>
          </w:p>
        </w:tc>
        <w:tc>
          <w:tcPr>
            <w:tcW w:w="0" w:type="dxa"/>
            <w:vAlign w:val="bottom"/>
          </w:tcPr>
          <w:p>
            <w:pPr>
              <w:spacing w:after="0"/>
              <w:rPr>
                <w:sz w:val="1"/>
                <w:szCs w:val="1"/>
                <w:color w:val="auto"/>
              </w:rPr>
            </w:pPr>
          </w:p>
        </w:tc>
      </w:tr>
      <w:tr>
        <w:trPr>
          <w:trHeight w:val="187"/>
        </w:trPr>
        <w:tc>
          <w:tcPr>
            <w:tcW w:w="6700" w:type="dxa"/>
            <w:vAlign w:val="bottom"/>
          </w:tcPr>
          <w:p>
            <w:pPr>
              <w:ind w:left="180"/>
              <w:spacing w:after="0"/>
              <w:rPr>
                <w:sz w:val="20"/>
                <w:szCs w:val="20"/>
                <w:color w:val="auto"/>
              </w:rPr>
            </w:pPr>
            <w:r>
              <w:rPr>
                <w:rFonts w:ascii="Arial" w:cs="Arial" w:eastAsia="Arial" w:hAnsi="Arial"/>
                <w:sz w:val="16"/>
                <w:szCs w:val="16"/>
                <w:color w:val="auto"/>
              </w:rPr>
              <w:t>Less accumulated depreciation and amortization</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(3,666)</w:t>
            </w: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(3,615)</w:t>
            </w:r>
          </w:p>
        </w:tc>
        <w:tc>
          <w:tcPr>
            <w:tcW w:w="0" w:type="dxa"/>
            <w:vAlign w:val="bottom"/>
          </w:tcPr>
          <w:p>
            <w:pPr>
              <w:spacing w:after="0"/>
              <w:rPr>
                <w:sz w:val="1"/>
                <w:szCs w:val="1"/>
                <w:color w:val="auto"/>
              </w:rPr>
            </w:pPr>
          </w:p>
        </w:tc>
      </w:tr>
      <w:tr>
        <w:trPr>
          <w:trHeight w:val="183"/>
        </w:trPr>
        <w:tc>
          <w:tcPr>
            <w:tcW w:w="6700" w:type="dxa"/>
            <w:vAlign w:val="bottom"/>
          </w:tcPr>
          <w:p>
            <w:pPr>
              <w:ind w:left="360"/>
              <w:spacing w:after="0" w:line="183" w:lineRule="exact"/>
              <w:rPr>
                <w:sz w:val="20"/>
                <w:szCs w:val="20"/>
                <w:color w:val="auto"/>
              </w:rPr>
            </w:pPr>
            <w:r>
              <w:rPr>
                <w:rFonts w:ascii="Arial" w:cs="Arial" w:eastAsia="Arial" w:hAnsi="Arial"/>
                <w:sz w:val="16"/>
                <w:szCs w:val="16"/>
                <w:color w:val="auto"/>
              </w:rPr>
              <w:t>Property, plant and equipment, net</w:t>
            </w: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5,714</w:t>
            </w: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5,682</w:t>
            </w:r>
          </w:p>
        </w:tc>
        <w:tc>
          <w:tcPr>
            <w:tcW w:w="0" w:type="dxa"/>
            <w:vAlign w:val="bottom"/>
          </w:tcPr>
          <w:p>
            <w:pPr>
              <w:spacing w:after="0"/>
              <w:rPr>
                <w:sz w:val="1"/>
                <w:szCs w:val="1"/>
                <w:color w:val="auto"/>
              </w:rPr>
            </w:pPr>
          </w:p>
        </w:tc>
      </w:tr>
      <w:tr>
        <w:trPr>
          <w:trHeight w:val="183"/>
        </w:trPr>
        <w:tc>
          <w:tcPr>
            <w:tcW w:w="6700" w:type="dxa"/>
            <w:vAlign w:val="bottom"/>
          </w:tcPr>
          <w:p>
            <w:pPr>
              <w:spacing w:after="0" w:line="183" w:lineRule="exact"/>
              <w:rPr>
                <w:sz w:val="20"/>
                <w:szCs w:val="20"/>
                <w:color w:val="auto"/>
              </w:rPr>
            </w:pPr>
            <w:r>
              <w:rPr>
                <w:rFonts w:ascii="Arial" w:cs="Arial" w:eastAsia="Arial" w:hAnsi="Arial"/>
                <w:sz w:val="16"/>
                <w:szCs w:val="16"/>
                <w:color w:val="auto"/>
              </w:rPr>
              <w:t>Total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7,432</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line="183" w:lineRule="exact"/>
              <w:rPr>
                <w:sz w:val="20"/>
                <w:szCs w:val="20"/>
                <w:color w:val="auto"/>
              </w:rPr>
            </w:pPr>
            <w:r>
              <w:rPr>
                <w:rFonts w:ascii="Arial" w:cs="Arial" w:eastAsia="Arial" w:hAnsi="Arial"/>
                <w:sz w:val="16"/>
                <w:szCs w:val="16"/>
                <w:color w:val="auto"/>
              </w:rPr>
              <w:t>7,287</w:t>
            </w:r>
          </w:p>
        </w:tc>
        <w:tc>
          <w:tcPr>
            <w:tcW w:w="0" w:type="dxa"/>
            <w:vAlign w:val="bottom"/>
          </w:tcPr>
          <w:p>
            <w:pPr>
              <w:spacing w:after="0"/>
              <w:rPr>
                <w:sz w:val="1"/>
                <w:szCs w:val="1"/>
                <w:color w:val="auto"/>
              </w:rPr>
            </w:pPr>
          </w:p>
        </w:tc>
      </w:tr>
      <w:tr>
        <w:trPr>
          <w:trHeight w:val="81"/>
        </w:trPr>
        <w:tc>
          <w:tcPr>
            <w:tcW w:w="6700" w:type="dxa"/>
            <w:vAlign w:val="bottom"/>
            <w:shd w:val="clear" w:color="auto" w:fill="000000"/>
          </w:tcPr>
          <w:p>
            <w:pPr>
              <w:spacing w:after="0"/>
              <w:rPr>
                <w:sz w:val="7"/>
                <w:szCs w:val="7"/>
                <w:color w:val="auto"/>
              </w:rPr>
            </w:pPr>
          </w:p>
        </w:tc>
        <w:tc>
          <w:tcPr>
            <w:tcW w:w="140" w:type="dxa"/>
            <w:vAlign w:val="bottom"/>
            <w:shd w:val="clear" w:color="auto" w:fill="000000"/>
          </w:tcPr>
          <w:p>
            <w:pPr>
              <w:spacing w:after="0"/>
              <w:rPr>
                <w:sz w:val="7"/>
                <w:szCs w:val="7"/>
                <w:color w:val="auto"/>
              </w:rPr>
            </w:pPr>
          </w:p>
        </w:tc>
        <w:tc>
          <w:tcPr>
            <w:tcW w:w="1020" w:type="dxa"/>
            <w:vAlign w:val="bottom"/>
            <w:shd w:val="clear" w:color="auto" w:fill="000000"/>
          </w:tcPr>
          <w:p>
            <w:pPr>
              <w:spacing w:after="0"/>
              <w:rPr>
                <w:sz w:val="7"/>
                <w:szCs w:val="7"/>
                <w:color w:val="auto"/>
              </w:rPr>
            </w:pPr>
          </w:p>
        </w:tc>
        <w:tc>
          <w:tcPr>
            <w:tcW w:w="120" w:type="dxa"/>
            <w:vAlign w:val="bottom"/>
            <w:shd w:val="clear" w:color="auto" w:fill="000000"/>
          </w:tcPr>
          <w:p>
            <w:pPr>
              <w:spacing w:after="0"/>
              <w:rPr>
                <w:sz w:val="7"/>
                <w:szCs w:val="7"/>
                <w:color w:val="auto"/>
              </w:rPr>
            </w:pPr>
          </w:p>
        </w:tc>
        <w:tc>
          <w:tcPr>
            <w:tcW w:w="106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ectPr>
          <w:pgSz w:w="11900" w:h="16838" w:orient="portrait"/>
          <w:cols w:equalWidth="0" w:num="1">
            <w:col w:w="10219"/>
          </w:cols>
          <w:pgMar w:left="240" w:top="135" w:right="1440"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color w:val="auto"/>
        </w:rPr>
        <w:t>SOUTHERN CALIFORNIA GAS COMPANY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5737225" cy="3517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37225" cy="3517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60"/>
              <w:spacing w:after="0"/>
              <w:rPr>
                <w:sz w:val="20"/>
                <w:szCs w:val="20"/>
                <w:color w:val="auto"/>
              </w:rPr>
            </w:pPr>
            <w:r>
              <w:rPr>
                <w:rFonts w:ascii="Arial" w:cs="Arial" w:eastAsia="Arial" w:hAnsi="Arial"/>
                <w:sz w:val="14"/>
                <w:szCs w:val="14"/>
                <w:color w:val="auto"/>
              </w:rPr>
              <w:t>March 31,</w:t>
            </w:r>
          </w:p>
        </w:tc>
        <w:tc>
          <w:tcPr>
            <w:tcW w:w="120" w:type="dxa"/>
            <w:vAlign w:val="bottom"/>
          </w:tcPr>
          <w:p>
            <w:pPr>
              <w:spacing w:after="0"/>
              <w:rPr>
                <w:sz w:val="14"/>
                <w:szCs w:val="14"/>
                <w:color w:val="auto"/>
              </w:rPr>
            </w:pPr>
          </w:p>
        </w:tc>
        <w:tc>
          <w:tcPr>
            <w:tcW w:w="1060" w:type="dxa"/>
            <w:vAlign w:val="bottom"/>
          </w:tcPr>
          <w:p>
            <w:pPr>
              <w:jc w:val="right"/>
              <w:ind w:right="6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74"/>
        </w:trPr>
        <w:tc>
          <w:tcPr>
            <w:tcW w:w="67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color w:val="auto"/>
              </w:rPr>
              <w:t>2010</w:t>
            </w: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2009</w:t>
            </w:r>
          </w:p>
        </w:tc>
        <w:tc>
          <w:tcPr>
            <w:tcW w:w="0" w:type="dxa"/>
            <w:vAlign w:val="bottom"/>
          </w:tcPr>
          <w:p>
            <w:pPr>
              <w:spacing w:after="0"/>
              <w:rPr>
                <w:sz w:val="1"/>
                <w:szCs w:val="1"/>
                <w:color w:val="auto"/>
              </w:rPr>
            </w:pPr>
          </w:p>
        </w:tc>
      </w:tr>
      <w:tr>
        <w:trPr>
          <w:trHeight w:val="198"/>
        </w:trPr>
        <w:tc>
          <w:tcPr>
            <w:tcW w:w="6700" w:type="dxa"/>
            <w:vAlign w:val="bottom"/>
            <w:vMerge w:val="restart"/>
          </w:tcPr>
          <w:p>
            <w:pPr>
              <w:spacing w:after="0"/>
              <w:rPr>
                <w:sz w:val="20"/>
                <w:szCs w:val="20"/>
                <w:color w:val="auto"/>
              </w:rPr>
            </w:pPr>
            <w:r>
              <w:rPr>
                <w:rFonts w:ascii="Arial" w:cs="Arial" w:eastAsia="Arial" w:hAnsi="Arial"/>
                <w:sz w:val="16"/>
                <w:szCs w:val="16"/>
                <w:color w:val="auto"/>
              </w:rPr>
              <w:t>LIABILITIES AND SHAREHOLDERS' EQUITY</w:t>
            </w:r>
          </w:p>
        </w:tc>
        <w:tc>
          <w:tcPr>
            <w:tcW w:w="140" w:type="dxa"/>
            <w:vAlign w:val="bottom"/>
          </w:tcPr>
          <w:p>
            <w:pPr>
              <w:spacing w:after="0"/>
              <w:rPr>
                <w:sz w:val="17"/>
                <w:szCs w:val="17"/>
                <w:color w:val="auto"/>
              </w:rPr>
            </w:pPr>
          </w:p>
        </w:tc>
        <w:tc>
          <w:tcPr>
            <w:tcW w:w="1020" w:type="dxa"/>
            <w:vAlign w:val="bottom"/>
          </w:tcPr>
          <w:p>
            <w:pPr>
              <w:jc w:val="center"/>
              <w:ind w:right="60"/>
              <w:spacing w:after="0"/>
              <w:rPr>
                <w:sz w:val="20"/>
                <w:szCs w:val="20"/>
                <w:color w:val="auto"/>
              </w:rPr>
            </w:pPr>
            <w:r>
              <w:rPr>
                <w:rFonts w:ascii="Arial" w:cs="Arial" w:eastAsia="Arial" w:hAnsi="Arial"/>
                <w:sz w:val="14"/>
                <w:szCs w:val="14"/>
                <w:color w:val="auto"/>
              </w:rPr>
              <w:t>(unaudited)</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7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700" w:type="dxa"/>
            <w:vAlign w:val="bottom"/>
          </w:tcPr>
          <w:p>
            <w:pPr>
              <w:spacing w:after="0"/>
              <w:rPr>
                <w:sz w:val="20"/>
                <w:szCs w:val="20"/>
                <w:color w:val="auto"/>
              </w:rPr>
            </w:pPr>
            <w:r>
              <w:rPr>
                <w:rFonts w:ascii="Arial" w:cs="Arial" w:eastAsia="Arial" w:hAnsi="Arial"/>
                <w:sz w:val="16"/>
                <w:szCs w:val="16"/>
                <w:color w:val="auto"/>
              </w:rPr>
              <w:t>Current liabilities:</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Accounts payable - trade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244</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Accounts payable - other</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Due to unconsolidated affiliate</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Income taxes payable</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Regulatory balancing accounts, net</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Customer deposits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Accrued compensation and benefits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Current portion of long-term debt</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266</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87"/>
        </w:trPr>
        <w:tc>
          <w:tcPr>
            <w:tcW w:w="6700" w:type="dxa"/>
            <w:vAlign w:val="bottom"/>
          </w:tcPr>
          <w:p>
            <w:pPr>
              <w:ind w:left="18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w:t>
            </w: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183"/>
        </w:trPr>
        <w:tc>
          <w:tcPr>
            <w:tcW w:w="6700" w:type="dxa"/>
            <w:vAlign w:val="bottom"/>
          </w:tcPr>
          <w:p>
            <w:pPr>
              <w:ind w:left="360"/>
              <w:spacing w:after="0" w:line="183" w:lineRule="exact"/>
              <w:rPr>
                <w:sz w:val="20"/>
                <w:szCs w:val="20"/>
                <w:color w:val="auto"/>
              </w:rPr>
            </w:pPr>
            <w:r>
              <w:rPr>
                <w:rFonts w:ascii="Arial" w:cs="Arial" w:eastAsia="Arial" w:hAnsi="Arial"/>
                <w:sz w:val="16"/>
                <w:szCs w:val="16"/>
                <w:color w:val="auto"/>
              </w:rPr>
              <w:t>Total current liabilities</w:t>
            </w: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1,299</w:t>
            </w: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901</w:t>
            </w:r>
          </w:p>
        </w:tc>
        <w:tc>
          <w:tcPr>
            <w:tcW w:w="0" w:type="dxa"/>
            <w:vAlign w:val="bottom"/>
          </w:tcPr>
          <w:p>
            <w:pPr>
              <w:spacing w:after="0"/>
              <w:rPr>
                <w:sz w:val="1"/>
                <w:szCs w:val="1"/>
                <w:color w:val="auto"/>
              </w:rPr>
            </w:pPr>
          </w:p>
        </w:tc>
      </w:tr>
      <w:tr>
        <w:trPr>
          <w:trHeight w:val="183"/>
        </w:trPr>
        <w:tc>
          <w:tcPr>
            <w:tcW w:w="6700" w:type="dxa"/>
            <w:vAlign w:val="bottom"/>
          </w:tcPr>
          <w:p>
            <w:pPr>
              <w:spacing w:after="0" w:line="183" w:lineRule="exact"/>
              <w:rPr>
                <w:sz w:val="20"/>
                <w:szCs w:val="20"/>
                <w:color w:val="auto"/>
              </w:rPr>
            </w:pPr>
            <w:r>
              <w:rPr>
                <w:rFonts w:ascii="Arial" w:cs="Arial" w:eastAsia="Arial" w:hAnsi="Arial"/>
                <w:sz w:val="16"/>
                <w:szCs w:val="16"/>
                <w:color w:val="auto"/>
              </w:rPr>
              <w:t>Long-term debt</w:t>
            </w: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1,024</w:t>
            </w: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1,283</w:t>
            </w:r>
          </w:p>
        </w:tc>
        <w:tc>
          <w:tcPr>
            <w:tcW w:w="0" w:type="dxa"/>
            <w:vAlign w:val="bottom"/>
          </w:tcPr>
          <w:p>
            <w:pPr>
              <w:spacing w:after="0"/>
              <w:rPr>
                <w:sz w:val="1"/>
                <w:szCs w:val="1"/>
                <w:color w:val="auto"/>
              </w:rPr>
            </w:pPr>
          </w:p>
        </w:tc>
      </w:tr>
      <w:tr>
        <w:trPr>
          <w:trHeight w:val="184"/>
        </w:trPr>
        <w:tc>
          <w:tcPr>
            <w:tcW w:w="6700" w:type="dxa"/>
            <w:vAlign w:val="bottom"/>
          </w:tcPr>
          <w:p>
            <w:pPr>
              <w:spacing w:after="0"/>
              <w:rPr>
                <w:sz w:val="20"/>
                <w:szCs w:val="20"/>
                <w:color w:val="auto"/>
              </w:rPr>
            </w:pPr>
            <w:r>
              <w:rPr>
                <w:rFonts w:ascii="Arial" w:cs="Arial" w:eastAsia="Arial" w:hAnsi="Arial"/>
                <w:sz w:val="16"/>
                <w:szCs w:val="16"/>
                <w:color w:val="auto"/>
              </w:rPr>
              <w:t>Deferred credits and other liabilities:</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Customer advances for construction</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Pension and other postretirement benefit obligations, net of plan assets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656</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644</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300</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Deferred investment tax credits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Regulatory liabilities arising from removal obligations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1,235</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1,227</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Asset retirement obligations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671</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662</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Deferred taxes refundable in rates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187"/>
        </w:trPr>
        <w:tc>
          <w:tcPr>
            <w:tcW w:w="6700" w:type="dxa"/>
            <w:vAlign w:val="bottom"/>
          </w:tcPr>
          <w:p>
            <w:pPr>
              <w:ind w:left="180"/>
              <w:spacing w:after="0"/>
              <w:rPr>
                <w:sz w:val="20"/>
                <w:szCs w:val="20"/>
                <w:color w:val="auto"/>
              </w:rPr>
            </w:pPr>
            <w:r>
              <w:rPr>
                <w:rFonts w:ascii="Arial" w:cs="Arial" w:eastAsia="Arial" w:hAnsi="Arial"/>
                <w:sz w:val="16"/>
                <w:szCs w:val="16"/>
                <w:color w:val="auto"/>
              </w:rPr>
              <w:t>Deferred credits and other</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w:t>
            </w: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183"/>
        </w:trPr>
        <w:tc>
          <w:tcPr>
            <w:tcW w:w="6700" w:type="dxa"/>
            <w:vAlign w:val="bottom"/>
          </w:tcPr>
          <w:p>
            <w:pPr>
              <w:ind w:left="360"/>
              <w:spacing w:after="0" w:line="183" w:lineRule="exact"/>
              <w:rPr>
                <w:sz w:val="20"/>
                <w:szCs w:val="20"/>
                <w:color w:val="auto"/>
              </w:rPr>
            </w:pPr>
            <w:r>
              <w:rPr>
                <w:rFonts w:ascii="Arial" w:cs="Arial" w:eastAsia="Arial" w:hAnsi="Arial"/>
                <w:sz w:val="16"/>
                <w:szCs w:val="16"/>
                <w:color w:val="auto"/>
              </w:rPr>
              <w:t>Total deferred credits and other liabilities</w:t>
            </w: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3,378</w:t>
            </w: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3,337</w:t>
            </w:r>
          </w:p>
        </w:tc>
        <w:tc>
          <w:tcPr>
            <w:tcW w:w="0" w:type="dxa"/>
            <w:vAlign w:val="bottom"/>
          </w:tcPr>
          <w:p>
            <w:pPr>
              <w:spacing w:after="0"/>
              <w:rPr>
                <w:sz w:val="1"/>
                <w:szCs w:val="1"/>
                <w:color w:val="auto"/>
              </w:rPr>
            </w:pPr>
          </w:p>
        </w:tc>
      </w:tr>
      <w:tr>
        <w:trPr>
          <w:trHeight w:val="379"/>
        </w:trPr>
        <w:tc>
          <w:tcPr>
            <w:tcW w:w="6700" w:type="dxa"/>
            <w:vAlign w:val="bottom"/>
          </w:tcPr>
          <w:p>
            <w:pPr>
              <w:spacing w:after="0"/>
              <w:rPr>
                <w:sz w:val="20"/>
                <w:szCs w:val="20"/>
                <w:color w:val="auto"/>
              </w:rPr>
            </w:pPr>
            <w:r>
              <w:rPr>
                <w:rFonts w:ascii="Arial" w:cs="Arial" w:eastAsia="Arial" w:hAnsi="Arial"/>
                <w:sz w:val="16"/>
                <w:szCs w:val="16"/>
                <w:color w:val="auto"/>
              </w:rPr>
              <w:t>Commitments and contingencies (Note 10)</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6700" w:type="dxa"/>
            <w:vAlign w:val="bottom"/>
          </w:tcPr>
          <w:p>
            <w:pPr>
              <w:spacing w:after="0"/>
              <w:rPr>
                <w:sz w:val="20"/>
                <w:szCs w:val="20"/>
                <w:color w:val="auto"/>
              </w:rPr>
            </w:pPr>
            <w:r>
              <w:rPr>
                <w:rFonts w:ascii="Arial" w:cs="Arial" w:eastAsia="Arial" w:hAnsi="Arial"/>
                <w:sz w:val="16"/>
                <w:szCs w:val="16"/>
                <w:color w:val="auto"/>
              </w:rPr>
              <w:t>Shareholders' equity:</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Preferred stock</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Common stock (100 million shares authorized; 91 million shares outstanding;</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00" w:type="dxa"/>
            <w:vAlign w:val="bottom"/>
          </w:tcPr>
          <w:p>
            <w:pPr>
              <w:ind w:left="360"/>
              <w:spacing w:after="0"/>
              <w:rPr>
                <w:sz w:val="20"/>
                <w:szCs w:val="20"/>
                <w:color w:val="auto"/>
              </w:rPr>
            </w:pPr>
            <w:r>
              <w:rPr>
                <w:rFonts w:ascii="Arial" w:cs="Arial" w:eastAsia="Arial" w:hAnsi="Arial"/>
                <w:sz w:val="16"/>
                <w:szCs w:val="16"/>
                <w:color w:val="auto"/>
              </w:rPr>
              <w:t>no par value)</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866</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866</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Retained earnings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868</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903</w:t>
            </w:r>
          </w:p>
        </w:tc>
        <w:tc>
          <w:tcPr>
            <w:tcW w:w="0" w:type="dxa"/>
            <w:vAlign w:val="bottom"/>
          </w:tcPr>
          <w:p>
            <w:pPr>
              <w:spacing w:after="0"/>
              <w:rPr>
                <w:sz w:val="1"/>
                <w:szCs w:val="1"/>
                <w:color w:val="auto"/>
              </w:rPr>
            </w:pPr>
          </w:p>
        </w:tc>
      </w:tr>
      <w:tr>
        <w:trPr>
          <w:trHeight w:val="187"/>
        </w:trPr>
        <w:tc>
          <w:tcPr>
            <w:tcW w:w="6700" w:type="dxa"/>
            <w:vAlign w:val="bottom"/>
          </w:tcPr>
          <w:p>
            <w:pPr>
              <w:ind w:left="180"/>
              <w:spacing w:after="0"/>
              <w:rPr>
                <w:sz w:val="20"/>
                <w:szCs w:val="20"/>
                <w:color w:val="auto"/>
              </w:rPr>
            </w:pPr>
            <w:r>
              <w:rPr>
                <w:rFonts w:ascii="Arial" w:cs="Arial" w:eastAsia="Arial" w:hAnsi="Arial"/>
                <w:sz w:val="16"/>
                <w:szCs w:val="16"/>
                <w:color w:val="auto"/>
              </w:rPr>
              <w:t>Accumulated other comprehensive income (loss)</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83"/>
        </w:trPr>
        <w:tc>
          <w:tcPr>
            <w:tcW w:w="6700" w:type="dxa"/>
            <w:vAlign w:val="bottom"/>
          </w:tcPr>
          <w:p>
            <w:pPr>
              <w:ind w:left="360"/>
              <w:spacing w:after="0" w:line="183" w:lineRule="exact"/>
              <w:rPr>
                <w:sz w:val="20"/>
                <w:szCs w:val="20"/>
                <w:color w:val="auto"/>
              </w:rPr>
            </w:pPr>
            <w:r>
              <w:rPr>
                <w:rFonts w:ascii="Arial" w:cs="Arial" w:eastAsia="Arial" w:hAnsi="Arial"/>
                <w:sz w:val="16"/>
                <w:szCs w:val="16"/>
                <w:color w:val="auto"/>
              </w:rPr>
              <w:t>Total shareholders' equity</w:t>
            </w: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1,731</w:t>
            </w: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1,766</w:t>
            </w:r>
          </w:p>
        </w:tc>
        <w:tc>
          <w:tcPr>
            <w:tcW w:w="0" w:type="dxa"/>
            <w:vAlign w:val="bottom"/>
          </w:tcPr>
          <w:p>
            <w:pPr>
              <w:spacing w:after="0"/>
              <w:rPr>
                <w:sz w:val="1"/>
                <w:szCs w:val="1"/>
                <w:color w:val="auto"/>
              </w:rPr>
            </w:pPr>
          </w:p>
        </w:tc>
      </w:tr>
      <w:tr>
        <w:trPr>
          <w:trHeight w:val="183"/>
        </w:trPr>
        <w:tc>
          <w:tcPr>
            <w:tcW w:w="6700" w:type="dxa"/>
            <w:vAlign w:val="bottom"/>
          </w:tcPr>
          <w:p>
            <w:pPr>
              <w:spacing w:after="0" w:line="183" w:lineRule="exact"/>
              <w:rPr>
                <w:sz w:val="20"/>
                <w:szCs w:val="20"/>
                <w:color w:val="auto"/>
              </w:rPr>
            </w:pPr>
            <w:r>
              <w:rPr>
                <w:rFonts w:ascii="Arial" w:cs="Arial" w:eastAsia="Arial" w:hAnsi="Arial"/>
                <w:sz w:val="16"/>
                <w:szCs w:val="16"/>
                <w:color w:val="auto"/>
              </w:rPr>
              <w:t>Total liabilities and shareholders' equity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7,432</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line="183" w:lineRule="exact"/>
              <w:rPr>
                <w:sz w:val="20"/>
                <w:szCs w:val="20"/>
                <w:color w:val="auto"/>
              </w:rPr>
            </w:pPr>
            <w:r>
              <w:rPr>
                <w:rFonts w:ascii="Arial" w:cs="Arial" w:eastAsia="Arial" w:hAnsi="Arial"/>
                <w:sz w:val="16"/>
                <w:szCs w:val="16"/>
                <w:color w:val="auto"/>
              </w:rPr>
              <w:t>7,287</w:t>
            </w:r>
          </w:p>
        </w:tc>
        <w:tc>
          <w:tcPr>
            <w:tcW w:w="0" w:type="dxa"/>
            <w:vAlign w:val="bottom"/>
          </w:tcPr>
          <w:p>
            <w:pPr>
              <w:spacing w:after="0"/>
              <w:rPr>
                <w:sz w:val="1"/>
                <w:szCs w:val="1"/>
                <w:color w:val="auto"/>
              </w:rPr>
            </w:pPr>
          </w:p>
        </w:tc>
      </w:tr>
      <w:tr>
        <w:trPr>
          <w:trHeight w:val="81"/>
        </w:trPr>
        <w:tc>
          <w:tcPr>
            <w:tcW w:w="6700" w:type="dxa"/>
            <w:vAlign w:val="bottom"/>
            <w:shd w:val="clear" w:color="auto" w:fill="000000"/>
          </w:tcPr>
          <w:p>
            <w:pPr>
              <w:spacing w:after="0"/>
              <w:rPr>
                <w:sz w:val="7"/>
                <w:szCs w:val="7"/>
                <w:color w:val="auto"/>
              </w:rPr>
            </w:pPr>
          </w:p>
        </w:tc>
        <w:tc>
          <w:tcPr>
            <w:tcW w:w="140" w:type="dxa"/>
            <w:vAlign w:val="bottom"/>
            <w:shd w:val="clear" w:color="auto" w:fill="000000"/>
          </w:tcPr>
          <w:p>
            <w:pPr>
              <w:spacing w:after="0"/>
              <w:rPr>
                <w:sz w:val="7"/>
                <w:szCs w:val="7"/>
                <w:color w:val="auto"/>
              </w:rPr>
            </w:pPr>
          </w:p>
        </w:tc>
        <w:tc>
          <w:tcPr>
            <w:tcW w:w="1020" w:type="dxa"/>
            <w:vAlign w:val="bottom"/>
            <w:shd w:val="clear" w:color="auto" w:fill="000000"/>
          </w:tcPr>
          <w:p>
            <w:pPr>
              <w:spacing w:after="0"/>
              <w:rPr>
                <w:sz w:val="7"/>
                <w:szCs w:val="7"/>
                <w:color w:val="auto"/>
              </w:rPr>
            </w:pPr>
          </w:p>
        </w:tc>
        <w:tc>
          <w:tcPr>
            <w:tcW w:w="120" w:type="dxa"/>
            <w:vAlign w:val="bottom"/>
            <w:shd w:val="clear" w:color="auto" w:fill="000000"/>
          </w:tcPr>
          <w:p>
            <w:pPr>
              <w:spacing w:after="0"/>
              <w:rPr>
                <w:sz w:val="7"/>
                <w:szCs w:val="7"/>
                <w:color w:val="auto"/>
              </w:rPr>
            </w:pPr>
          </w:p>
        </w:tc>
        <w:tc>
          <w:tcPr>
            <w:tcW w:w="106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ectPr>
          <w:pgSz w:w="11900" w:h="16838" w:orient="portrait"/>
          <w:cols w:equalWidth="0" w:num="1">
            <w:col w:w="10219"/>
          </w:cols>
          <w:pgMar w:left="240" w:top="135" w:right="1440"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color w:val="auto"/>
        </w:rPr>
        <w:t>SOUTHERN CALIFORNIA GAS COMPANY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5394325" cy="3517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394325" cy="3517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STATEMENTS OF CONSOLIDATED CASH FLOWS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3"/>
          </w:tcPr>
          <w:p>
            <w:pPr>
              <w:jc w:val="center"/>
              <w:ind w:right="79"/>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57"/>
        </w:trPr>
        <w:tc>
          <w:tcPr>
            <w:tcW w:w="67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3"/>
          </w:tcPr>
          <w:p>
            <w:pPr>
              <w:jc w:val="center"/>
              <w:ind w:right="79"/>
              <w:spacing w:after="0" w:line="157" w:lineRule="exact"/>
              <w:rPr>
                <w:sz w:val="20"/>
                <w:szCs w:val="20"/>
                <w:color w:val="auto"/>
              </w:rPr>
            </w:pPr>
            <w:r>
              <w:rPr>
                <w:rFonts w:ascii="Arial" w:cs="Arial" w:eastAsia="Arial" w:hAnsi="Arial"/>
                <w:sz w:val="14"/>
                <w:szCs w:val="14"/>
                <w:color w:val="auto"/>
              </w:rPr>
              <w:t>March 31,</w:t>
            </w:r>
          </w:p>
        </w:tc>
        <w:tc>
          <w:tcPr>
            <w:tcW w:w="0" w:type="dxa"/>
            <w:vAlign w:val="bottom"/>
          </w:tcPr>
          <w:p>
            <w:pPr>
              <w:spacing w:after="0"/>
              <w:rPr>
                <w:sz w:val="1"/>
                <w:szCs w:val="1"/>
                <w:color w:val="auto"/>
              </w:rPr>
            </w:pPr>
          </w:p>
        </w:tc>
      </w:tr>
      <w:tr>
        <w:trPr>
          <w:trHeight w:val="183"/>
        </w:trPr>
        <w:tc>
          <w:tcPr>
            <w:tcW w:w="67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color w:val="auto"/>
              </w:rPr>
              <w:t>2010</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color w:val="auto"/>
              </w:rPr>
              <w:t>2009</w:t>
            </w:r>
          </w:p>
        </w:tc>
        <w:tc>
          <w:tcPr>
            <w:tcW w:w="0" w:type="dxa"/>
            <w:vAlign w:val="bottom"/>
          </w:tcPr>
          <w:p>
            <w:pPr>
              <w:spacing w:after="0"/>
              <w:rPr>
                <w:sz w:val="1"/>
                <w:szCs w:val="1"/>
                <w:color w:val="auto"/>
              </w:rPr>
            </w:pPr>
          </w:p>
        </w:tc>
      </w:tr>
      <w:tr>
        <w:trPr>
          <w:trHeight w:val="198"/>
        </w:trPr>
        <w:tc>
          <w:tcPr>
            <w:tcW w:w="6700" w:type="dxa"/>
            <w:vAlign w:val="bottom"/>
            <w:vMerge w:val="restart"/>
          </w:tcPr>
          <w:p>
            <w:pPr>
              <w:spacing w:after="0"/>
              <w:rPr>
                <w:sz w:val="20"/>
                <w:szCs w:val="20"/>
                <w:color w:val="auto"/>
              </w:rPr>
            </w:pPr>
            <w:r>
              <w:rPr>
                <w:rFonts w:ascii="Arial" w:cs="Arial" w:eastAsia="Arial" w:hAnsi="Arial"/>
                <w:sz w:val="16"/>
                <w:szCs w:val="16"/>
                <w:color w:val="auto"/>
              </w:rPr>
              <w:t>CASH FLOWS FROM OPERATING ACTIVITIES</w:t>
            </w:r>
          </w:p>
        </w:tc>
        <w:tc>
          <w:tcPr>
            <w:tcW w:w="160" w:type="dxa"/>
            <w:vAlign w:val="bottom"/>
          </w:tcPr>
          <w:p>
            <w:pPr>
              <w:spacing w:after="0"/>
              <w:rPr>
                <w:sz w:val="17"/>
                <w:szCs w:val="17"/>
                <w:color w:val="auto"/>
              </w:rPr>
            </w:pPr>
          </w:p>
        </w:tc>
        <w:tc>
          <w:tcPr>
            <w:tcW w:w="1640" w:type="dxa"/>
            <w:vAlign w:val="bottom"/>
            <w:gridSpan w:val="3"/>
          </w:tcPr>
          <w:p>
            <w:pPr>
              <w:jc w:val="center"/>
              <w:ind w:right="79"/>
              <w:spacing w:after="0"/>
              <w:rPr>
                <w:sz w:val="20"/>
                <w:szCs w:val="20"/>
                <w:color w:val="auto"/>
              </w:rPr>
            </w:pPr>
            <w:r>
              <w:rPr>
                <w:rFonts w:ascii="Arial" w:cs="Arial" w:eastAsia="Arial" w:hAnsi="Arial"/>
                <w:sz w:val="14"/>
                <w:szCs w:val="14"/>
                <w:color w:val="auto"/>
              </w:rPr>
              <w:t>(unaudited)</w:t>
            </w:r>
          </w:p>
        </w:tc>
        <w:tc>
          <w:tcPr>
            <w:tcW w:w="0" w:type="dxa"/>
            <w:vAlign w:val="bottom"/>
          </w:tcPr>
          <w:p>
            <w:pPr>
              <w:spacing w:after="0"/>
              <w:rPr>
                <w:sz w:val="1"/>
                <w:szCs w:val="1"/>
                <w:color w:val="auto"/>
              </w:rPr>
            </w:pPr>
          </w:p>
        </w:tc>
      </w:tr>
      <w:tr>
        <w:trPr>
          <w:trHeight w:val="176"/>
        </w:trPr>
        <w:tc>
          <w:tcPr>
            <w:tcW w:w="67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65</w:t>
            </w:r>
          </w:p>
        </w:tc>
        <w:tc>
          <w:tcPr>
            <w:tcW w:w="180" w:type="dxa"/>
            <w:vAlign w:val="bottom"/>
          </w:tcPr>
          <w:p>
            <w:pPr>
              <w:jc w:val="center"/>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Adjustments to reconcile net income to net cash provided by</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00" w:type="dxa"/>
            <w:vAlign w:val="bottom"/>
          </w:tcPr>
          <w:p>
            <w:pPr>
              <w:ind w:left="360"/>
              <w:spacing w:after="0"/>
              <w:rPr>
                <w:sz w:val="20"/>
                <w:szCs w:val="20"/>
                <w:color w:val="auto"/>
              </w:rPr>
            </w:pPr>
            <w:r>
              <w:rPr>
                <w:rFonts w:ascii="Arial" w:cs="Arial" w:eastAsia="Arial" w:hAnsi="Arial"/>
                <w:sz w:val="16"/>
                <w:szCs w:val="16"/>
                <w:color w:val="auto"/>
              </w:rPr>
              <w:t>operating activities:</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00" w:type="dxa"/>
            <w:vAlign w:val="bottom"/>
          </w:tcPr>
          <w:p>
            <w:pPr>
              <w:ind w:left="540"/>
              <w:spacing w:after="0"/>
              <w:rPr>
                <w:sz w:val="20"/>
                <w:szCs w:val="20"/>
                <w:color w:val="auto"/>
              </w:rPr>
            </w:pPr>
            <w:r>
              <w:rPr>
                <w:rFonts w:ascii="Arial" w:cs="Arial" w:eastAsia="Arial" w:hAnsi="Arial"/>
                <w:sz w:val="16"/>
                <w:szCs w:val="16"/>
                <w:color w:val="auto"/>
              </w:rPr>
              <w:t>Depreciation</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75</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189"/>
        </w:trPr>
        <w:tc>
          <w:tcPr>
            <w:tcW w:w="6700" w:type="dxa"/>
            <w:vAlign w:val="bottom"/>
          </w:tcPr>
          <w:p>
            <w:pPr>
              <w:ind w:left="540"/>
              <w:spacing w:after="0"/>
              <w:rPr>
                <w:sz w:val="20"/>
                <w:szCs w:val="20"/>
                <w:color w:val="auto"/>
              </w:rPr>
            </w:pPr>
            <w:r>
              <w:rPr>
                <w:rFonts w:ascii="Arial" w:cs="Arial" w:eastAsia="Arial" w:hAnsi="Arial"/>
                <w:sz w:val="16"/>
                <w:szCs w:val="16"/>
                <w:color w:val="auto"/>
              </w:rPr>
              <w:t>Deferred income taxes and investment tax credits</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89"/>
        </w:trPr>
        <w:tc>
          <w:tcPr>
            <w:tcW w:w="6700" w:type="dxa"/>
            <w:vAlign w:val="bottom"/>
          </w:tcPr>
          <w:p>
            <w:pPr>
              <w:ind w:left="540"/>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Net change in other working capital components</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346</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357</w:t>
            </w: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Changes in other assets</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87"/>
        </w:trPr>
        <w:tc>
          <w:tcPr>
            <w:tcW w:w="6700" w:type="dxa"/>
            <w:vAlign w:val="bottom"/>
          </w:tcPr>
          <w:p>
            <w:pPr>
              <w:ind w:left="180"/>
              <w:spacing w:after="0"/>
              <w:rPr>
                <w:sz w:val="20"/>
                <w:szCs w:val="20"/>
                <w:color w:val="auto"/>
              </w:rPr>
            </w:pPr>
            <w:r>
              <w:rPr>
                <w:rFonts w:ascii="Arial" w:cs="Arial" w:eastAsia="Arial" w:hAnsi="Arial"/>
                <w:sz w:val="16"/>
                <w:szCs w:val="16"/>
                <w:color w:val="auto"/>
              </w:rPr>
              <w:t>Changes in other liabilities</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83"/>
        </w:trPr>
        <w:tc>
          <w:tcPr>
            <w:tcW w:w="6700" w:type="dxa"/>
            <w:vAlign w:val="bottom"/>
          </w:tcPr>
          <w:p>
            <w:pPr>
              <w:ind w:left="360"/>
              <w:spacing w:after="0" w:line="183" w:lineRule="exact"/>
              <w:rPr>
                <w:sz w:val="20"/>
                <w:szCs w:val="20"/>
                <w:color w:val="auto"/>
              </w:rPr>
            </w:pPr>
            <w:r>
              <w:rPr>
                <w:rFonts w:ascii="Arial" w:cs="Arial" w:eastAsia="Arial" w:hAnsi="Arial"/>
                <w:sz w:val="16"/>
                <w:szCs w:val="16"/>
                <w:color w:val="auto"/>
              </w:rPr>
              <w:t>Net cash provided by operating activities</w:t>
            </w: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501</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499</w:t>
            </w:r>
          </w:p>
        </w:tc>
        <w:tc>
          <w:tcPr>
            <w:tcW w:w="0" w:type="dxa"/>
            <w:vAlign w:val="bottom"/>
          </w:tcPr>
          <w:p>
            <w:pPr>
              <w:spacing w:after="0"/>
              <w:rPr>
                <w:sz w:val="1"/>
                <w:szCs w:val="1"/>
                <w:color w:val="auto"/>
              </w:rPr>
            </w:pPr>
          </w:p>
        </w:tc>
      </w:tr>
      <w:tr>
        <w:trPr>
          <w:trHeight w:val="374"/>
        </w:trPr>
        <w:tc>
          <w:tcPr>
            <w:tcW w:w="670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Expenditures for property, plant and equipment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(114)</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187"/>
        </w:trPr>
        <w:tc>
          <w:tcPr>
            <w:tcW w:w="6700" w:type="dxa"/>
            <w:vAlign w:val="bottom"/>
          </w:tcPr>
          <w:p>
            <w:pPr>
              <w:ind w:left="180"/>
              <w:spacing w:after="0"/>
              <w:rPr>
                <w:sz w:val="20"/>
                <w:szCs w:val="20"/>
                <w:color w:val="auto"/>
              </w:rPr>
            </w:pPr>
            <w:r>
              <w:rPr>
                <w:rFonts w:ascii="Arial" w:cs="Arial" w:eastAsia="Arial" w:hAnsi="Arial"/>
                <w:sz w:val="16"/>
                <w:szCs w:val="16"/>
                <w:color w:val="auto"/>
              </w:rPr>
              <w:t>Increase in loans to affiliates, net</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6700" w:type="dxa"/>
            <w:vAlign w:val="bottom"/>
          </w:tcPr>
          <w:p>
            <w:pPr>
              <w:ind w:left="360"/>
              <w:spacing w:after="0" w:line="183" w:lineRule="exact"/>
              <w:rPr>
                <w:sz w:val="20"/>
                <w:szCs w:val="20"/>
                <w:color w:val="auto"/>
              </w:rPr>
            </w:pPr>
            <w:r>
              <w:rPr>
                <w:rFonts w:ascii="Arial" w:cs="Arial" w:eastAsia="Arial" w:hAnsi="Arial"/>
                <w:sz w:val="16"/>
                <w:szCs w:val="16"/>
                <w:color w:val="auto"/>
              </w:rPr>
              <w:t>Net cash used in investing activities</w:t>
            </w: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(270)</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379"/>
        </w:trPr>
        <w:tc>
          <w:tcPr>
            <w:tcW w:w="670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160" w:type="dxa"/>
            <w:vAlign w:val="bottom"/>
          </w:tcPr>
          <w:p>
            <w:pPr>
              <w:spacing w:after="0"/>
              <w:rPr>
                <w:sz w:val="24"/>
                <w:szCs w:val="2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(100)</w:t>
            </w:r>
          </w:p>
        </w:tc>
        <w:tc>
          <w:tcPr>
            <w:tcW w:w="180" w:type="dxa"/>
            <w:vAlign w:val="bottom"/>
          </w:tcPr>
          <w:p>
            <w:pPr>
              <w:spacing w:after="0"/>
              <w:rPr>
                <w:sz w:val="24"/>
                <w:szCs w:val="2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6700" w:type="dxa"/>
            <w:vAlign w:val="bottom"/>
          </w:tcPr>
          <w:p>
            <w:pPr>
              <w:ind w:left="180"/>
              <w:spacing w:after="0" w:line="181" w:lineRule="exact"/>
              <w:rPr>
                <w:sz w:val="20"/>
                <w:szCs w:val="20"/>
                <w:color w:val="auto"/>
              </w:rPr>
            </w:pPr>
            <w:r>
              <w:rPr>
                <w:rFonts w:ascii="Arial" w:cs="Arial" w:eastAsia="Arial" w:hAnsi="Arial"/>
                <w:sz w:val="16"/>
                <w:szCs w:val="16"/>
                <w:color w:val="auto"/>
              </w:rPr>
              <w:t>Common dividends paid</w:t>
            </w: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700" w:type="dxa"/>
            <w:vAlign w:val="bottom"/>
          </w:tcPr>
          <w:p>
            <w:pPr>
              <w:ind w:left="360"/>
              <w:spacing w:after="0" w:line="183" w:lineRule="exact"/>
              <w:rPr>
                <w:sz w:val="20"/>
                <w:szCs w:val="20"/>
                <w:color w:val="auto"/>
              </w:rPr>
            </w:pPr>
            <w:r>
              <w:rPr>
                <w:rFonts w:ascii="Arial" w:cs="Arial" w:eastAsia="Arial" w:hAnsi="Arial"/>
                <w:sz w:val="16"/>
                <w:szCs w:val="16"/>
                <w:color w:val="auto"/>
              </w:rPr>
              <w:t>Net cash used in financing activities</w:t>
            </w: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(100)</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74"/>
        </w:trPr>
        <w:tc>
          <w:tcPr>
            <w:tcW w:w="6700" w:type="dxa"/>
            <w:vAlign w:val="bottom"/>
          </w:tcPr>
          <w:p>
            <w:pPr>
              <w:spacing w:after="0"/>
              <w:rPr>
                <w:sz w:val="20"/>
                <w:szCs w:val="20"/>
                <w:color w:val="auto"/>
              </w:rPr>
            </w:pPr>
            <w:r>
              <w:rPr>
                <w:rFonts w:ascii="Arial" w:cs="Arial" w:eastAsia="Arial" w:hAnsi="Arial"/>
                <w:sz w:val="16"/>
                <w:szCs w:val="16"/>
                <w:color w:val="auto"/>
              </w:rPr>
              <w:t>Increase in cash and cash equivalents</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131</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387</w:t>
            </w:r>
          </w:p>
        </w:tc>
        <w:tc>
          <w:tcPr>
            <w:tcW w:w="0" w:type="dxa"/>
            <w:vAlign w:val="bottom"/>
          </w:tcPr>
          <w:p>
            <w:pPr>
              <w:spacing w:after="0"/>
              <w:rPr>
                <w:sz w:val="1"/>
                <w:szCs w:val="1"/>
                <w:color w:val="auto"/>
              </w:rPr>
            </w:pPr>
          </w:p>
        </w:tc>
      </w:tr>
      <w:tr>
        <w:trPr>
          <w:trHeight w:val="187"/>
        </w:trPr>
        <w:tc>
          <w:tcPr>
            <w:tcW w:w="6700" w:type="dxa"/>
            <w:vAlign w:val="bottom"/>
          </w:tcPr>
          <w:p>
            <w:pPr>
              <w:spacing w:after="0"/>
              <w:rPr>
                <w:sz w:val="20"/>
                <w:szCs w:val="20"/>
                <w:color w:val="auto"/>
              </w:rPr>
            </w:pPr>
            <w:r>
              <w:rPr>
                <w:rFonts w:ascii="Arial" w:cs="Arial" w:eastAsia="Arial" w:hAnsi="Arial"/>
                <w:sz w:val="16"/>
                <w:szCs w:val="16"/>
                <w:color w:val="auto"/>
              </w:rPr>
              <w:t>Cash and cash equivalents, January 1</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183"/>
        </w:trPr>
        <w:tc>
          <w:tcPr>
            <w:tcW w:w="6700" w:type="dxa"/>
            <w:vAlign w:val="bottom"/>
            <w:vMerge w:val="restart"/>
          </w:tcPr>
          <w:p>
            <w:pPr>
              <w:spacing w:after="0"/>
              <w:rPr>
                <w:sz w:val="20"/>
                <w:szCs w:val="20"/>
                <w:color w:val="auto"/>
              </w:rPr>
            </w:pPr>
            <w:r>
              <w:rPr>
                <w:rFonts w:ascii="Arial" w:cs="Arial" w:eastAsia="Arial" w:hAnsi="Arial"/>
                <w:sz w:val="16"/>
                <w:szCs w:val="16"/>
                <w:color w:val="auto"/>
              </w:rPr>
              <w:t>Cash and cash equivalents, March 31</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auto"/>
              </w:rPr>
              <w:t>180</w:t>
            </w:r>
          </w:p>
        </w:tc>
        <w:tc>
          <w:tcPr>
            <w:tcW w:w="180" w:type="dxa"/>
            <w:vAlign w:val="bottom"/>
          </w:tcPr>
          <w:p>
            <w:pPr>
              <w:jc w:val="center"/>
              <w:ind w:right="19"/>
              <w:spacing w:after="0" w:line="183" w:lineRule="exact"/>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593</w:t>
            </w:r>
          </w:p>
        </w:tc>
        <w:tc>
          <w:tcPr>
            <w:tcW w:w="0" w:type="dxa"/>
            <w:vAlign w:val="bottom"/>
          </w:tcPr>
          <w:p>
            <w:pPr>
              <w:spacing w:after="0"/>
              <w:rPr>
                <w:sz w:val="1"/>
                <w:szCs w:val="1"/>
                <w:color w:val="auto"/>
              </w:rPr>
            </w:pPr>
          </w:p>
        </w:tc>
      </w:tr>
      <w:tr>
        <w:trPr>
          <w:trHeight w:val="81"/>
        </w:trPr>
        <w:tc>
          <w:tcPr>
            <w:tcW w:w="6700" w:type="dxa"/>
            <w:vAlign w:val="bottom"/>
            <w:vMerge w:val="continue"/>
          </w:tcPr>
          <w:p>
            <w:pPr>
              <w:spacing w:after="0"/>
              <w:rPr>
                <w:sz w:val="7"/>
                <w:szCs w:val="7"/>
                <w:color w:val="auto"/>
              </w:rPr>
            </w:pPr>
          </w:p>
        </w:tc>
        <w:tc>
          <w:tcPr>
            <w:tcW w:w="160" w:type="dxa"/>
            <w:vAlign w:val="bottom"/>
            <w:shd w:val="clear" w:color="auto" w:fill="000000"/>
          </w:tcPr>
          <w:p>
            <w:pPr>
              <w:spacing w:after="0"/>
              <w:rPr>
                <w:sz w:val="7"/>
                <w:szCs w:val="7"/>
                <w:color w:val="auto"/>
              </w:rPr>
            </w:pPr>
          </w:p>
        </w:tc>
        <w:tc>
          <w:tcPr>
            <w:tcW w:w="720" w:type="dxa"/>
            <w:vAlign w:val="bottom"/>
            <w:shd w:val="clear" w:color="auto" w:fill="000000"/>
          </w:tcPr>
          <w:p>
            <w:pPr>
              <w:spacing w:after="0"/>
              <w:rPr>
                <w:sz w:val="7"/>
                <w:szCs w:val="7"/>
                <w:color w:val="auto"/>
              </w:rPr>
            </w:pPr>
          </w:p>
        </w:tc>
        <w:tc>
          <w:tcPr>
            <w:tcW w:w="180" w:type="dxa"/>
            <w:vAlign w:val="bottom"/>
            <w:shd w:val="clear" w:color="auto" w:fill="000000"/>
          </w:tcPr>
          <w:p>
            <w:pPr>
              <w:spacing w:after="0"/>
              <w:rPr>
                <w:sz w:val="7"/>
                <w:szCs w:val="7"/>
                <w:color w:val="auto"/>
              </w:rPr>
            </w:pPr>
          </w:p>
        </w:tc>
        <w:tc>
          <w:tcPr>
            <w:tcW w:w="74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380"/>
        </w:trPr>
        <w:tc>
          <w:tcPr>
            <w:tcW w:w="6700" w:type="dxa"/>
            <w:vAlign w:val="bottom"/>
          </w:tcPr>
          <w:p>
            <w:pPr>
              <w:spacing w:after="0"/>
              <w:rPr>
                <w:sz w:val="20"/>
                <w:szCs w:val="20"/>
                <w:color w:val="auto"/>
              </w:rPr>
            </w:pPr>
            <w:r>
              <w:rPr>
                <w:rFonts w:ascii="Arial" w:cs="Arial" w:eastAsia="Arial" w:hAnsi="Arial"/>
                <w:sz w:val="16"/>
                <w:szCs w:val="16"/>
                <w:color w:val="auto"/>
              </w:rPr>
              <w:t>SUPPLEMENTAL DISCLOSURE OF CASH FLOW INFORMATION</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Interest payments, net of amounts capitalized</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w:t>
            </w:r>
          </w:p>
        </w:tc>
        <w:tc>
          <w:tcPr>
            <w:tcW w:w="180" w:type="dxa"/>
            <w:vAlign w:val="bottom"/>
          </w:tcPr>
          <w:p>
            <w:pPr>
              <w:jc w:val="center"/>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87"/>
        </w:trPr>
        <w:tc>
          <w:tcPr>
            <w:tcW w:w="6700" w:type="dxa"/>
            <w:vAlign w:val="bottom"/>
          </w:tcPr>
          <w:p>
            <w:pPr>
              <w:ind w:left="180"/>
              <w:spacing w:after="0"/>
              <w:rPr>
                <w:sz w:val="20"/>
                <w:szCs w:val="20"/>
                <w:color w:val="auto"/>
              </w:rPr>
            </w:pPr>
            <w:r>
              <w:rPr>
                <w:rFonts w:ascii="Arial" w:cs="Arial" w:eastAsia="Arial" w:hAnsi="Arial"/>
                <w:sz w:val="16"/>
                <w:szCs w:val="16"/>
                <w:color w:val="auto"/>
              </w:rPr>
              <w:t>Income tax refunds, net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23</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81"/>
        </w:trPr>
        <w:tc>
          <w:tcPr>
            <w:tcW w:w="6700" w:type="dxa"/>
            <w:vAlign w:val="bottom"/>
            <w:shd w:val="clear" w:color="auto" w:fill="000000"/>
          </w:tcPr>
          <w:p>
            <w:pPr>
              <w:spacing w:after="0"/>
              <w:rPr>
                <w:sz w:val="7"/>
                <w:szCs w:val="7"/>
                <w:color w:val="auto"/>
              </w:rPr>
            </w:pPr>
          </w:p>
        </w:tc>
        <w:tc>
          <w:tcPr>
            <w:tcW w:w="160" w:type="dxa"/>
            <w:vAlign w:val="bottom"/>
            <w:shd w:val="clear" w:color="auto" w:fill="000000"/>
          </w:tcPr>
          <w:p>
            <w:pPr>
              <w:spacing w:after="0"/>
              <w:rPr>
                <w:sz w:val="7"/>
                <w:szCs w:val="7"/>
                <w:color w:val="auto"/>
              </w:rPr>
            </w:pPr>
          </w:p>
        </w:tc>
        <w:tc>
          <w:tcPr>
            <w:tcW w:w="720" w:type="dxa"/>
            <w:vAlign w:val="bottom"/>
            <w:shd w:val="clear" w:color="auto" w:fill="000000"/>
          </w:tcPr>
          <w:p>
            <w:pPr>
              <w:spacing w:after="0"/>
              <w:rPr>
                <w:sz w:val="7"/>
                <w:szCs w:val="7"/>
                <w:color w:val="auto"/>
              </w:rPr>
            </w:pPr>
          </w:p>
        </w:tc>
        <w:tc>
          <w:tcPr>
            <w:tcW w:w="180" w:type="dxa"/>
            <w:vAlign w:val="bottom"/>
            <w:shd w:val="clear" w:color="auto" w:fill="000000"/>
          </w:tcPr>
          <w:p>
            <w:pPr>
              <w:spacing w:after="0"/>
              <w:rPr>
                <w:sz w:val="7"/>
                <w:szCs w:val="7"/>
                <w:color w:val="auto"/>
              </w:rPr>
            </w:pPr>
          </w:p>
        </w:tc>
        <w:tc>
          <w:tcPr>
            <w:tcW w:w="74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ectPr>
          <w:pgSz w:w="11900" w:h="16838" w:orient="portrait"/>
          <w:cols w:equalWidth="0" w:num="1">
            <w:col w:w="10219"/>
          </w:cols>
          <w:pgMar w:left="240" w:top="135" w:right="1440" w:bottom="1440" w:gutter="0" w:footer="0" w:header="0"/>
        </w:sectPr>
      </w:pPr>
    </w:p>
    <w:bookmarkStart w:id="21" w:name="page22"/>
    <w:bookmarkEnd w:id="21"/>
    <w:p>
      <w:pPr>
        <w:spacing w:after="0"/>
        <w:rPr>
          <w:sz w:val="20"/>
          <w:szCs w:val="20"/>
          <w:color w:val="auto"/>
        </w:rPr>
      </w:pPr>
      <w:r>
        <w:rPr>
          <w:rFonts w:ascii="Arial" w:cs="Arial" w:eastAsia="Arial" w:hAnsi="Arial"/>
          <w:sz w:val="23"/>
          <w:szCs w:val="23"/>
          <w:color w:val="auto"/>
        </w:rPr>
        <w:t>SEMPRA ENERGY AND SUBSIDIARIES</w:t>
      </w:r>
    </w:p>
    <w:p>
      <w:pPr>
        <w:spacing w:after="0" w:line="6" w:lineRule="exact"/>
        <w:rPr>
          <w:sz w:val="20"/>
          <w:szCs w:val="20"/>
          <w:color w:val="auto"/>
        </w:rPr>
      </w:pPr>
    </w:p>
    <w:p>
      <w:pPr>
        <w:spacing w:after="0"/>
        <w:rPr>
          <w:sz w:val="20"/>
          <w:szCs w:val="20"/>
          <w:color w:val="auto"/>
        </w:rPr>
      </w:pPr>
      <w:r>
        <w:rPr>
          <w:rFonts w:ascii="Arial" w:cs="Arial" w:eastAsia="Arial" w:hAnsi="Arial"/>
          <w:sz w:val="23"/>
          <w:szCs w:val="23"/>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300990</wp:posOffset>
            </wp:positionV>
            <wp:extent cx="61747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color w:val="auto"/>
        </w:rPr>
        <w:t>NOTE 1. GENERAL</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PRINCIPLES OF CONSOLIDATION</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w:t>
      </w:r>
    </w:p>
    <w:p>
      <w:pPr>
        <w:spacing w:after="0" w:line="20" w:lineRule="exact"/>
        <w:rPr>
          <w:sz w:val="20"/>
          <w:szCs w:val="20"/>
          <w:color w:val="auto"/>
        </w:rPr>
      </w:pPr>
    </w:p>
    <w:p>
      <w:pPr>
        <w:jc w:val="both"/>
        <w:ind w:right="999"/>
        <w:spacing w:after="0" w:line="219" w:lineRule="auto"/>
        <w:rPr>
          <w:sz w:val="20"/>
          <w:szCs w:val="20"/>
          <w:color w:val="auto"/>
        </w:rPr>
      </w:pPr>
      <w:r>
        <w:rPr>
          <w:rFonts w:ascii="Arial" w:cs="Arial" w:eastAsia="Arial" w:hAnsi="Arial"/>
          <w:sz w:val="22"/>
          <w:szCs w:val="22"/>
          <w:color w:val="auto"/>
        </w:rPr>
        <w:t>Sempra Energy's Condensed Consolidated Financial Statements include the accounts of Sempra Energy, a California-based Fortune 500 holding company, its consolidated subsidiaries, and variable interest entities. Sempra Energy’s principal subsidiaries are</w:t>
      </w:r>
    </w:p>
    <w:p>
      <w:pPr>
        <w:spacing w:after="0" w:line="2" w:lineRule="exact"/>
        <w:rPr>
          <w:sz w:val="20"/>
          <w:szCs w:val="20"/>
          <w:color w:val="auto"/>
        </w:rPr>
      </w:pPr>
    </w:p>
    <w:p>
      <w:pPr>
        <w:ind w:left="180" w:right="2579" w:hanging="172"/>
        <w:spacing w:after="0" w:line="241" w:lineRule="auto"/>
        <w:tabs>
          <w:tab w:leader="none" w:pos="153" w:val="left"/>
        </w:tabs>
        <w:numPr>
          <w:ilvl w:val="0"/>
          <w:numId w:val="4"/>
        </w:numPr>
        <w:rPr>
          <w:rFonts w:ascii="Arial" w:cs="Arial" w:eastAsia="Arial" w:hAnsi="Arial"/>
          <w:sz w:val="21"/>
          <w:szCs w:val="21"/>
          <w:color w:val="auto"/>
        </w:rPr>
      </w:pPr>
      <w:r>
        <w:rPr>
          <w:rFonts w:ascii="Arial" w:cs="Arial" w:eastAsia="Arial" w:hAnsi="Arial"/>
          <w:sz w:val="21"/>
          <w:szCs w:val="21"/>
          <w:color w:val="auto"/>
        </w:rPr>
        <w:t>San Diego Gas &amp; Electric Company (SDG&amp;E) and Southern California Gas Company (SoCalGas), which we collectively refer to as the Sempra Utilities; and</w:t>
      </w:r>
    </w:p>
    <w:p>
      <w:pPr>
        <w:spacing w:after="0" w:line="1" w:lineRule="exact"/>
        <w:rPr>
          <w:rFonts w:ascii="Arial" w:cs="Arial" w:eastAsia="Arial" w:hAnsi="Arial"/>
          <w:sz w:val="21"/>
          <w:szCs w:val="21"/>
          <w:color w:val="auto"/>
        </w:rPr>
      </w:pPr>
    </w:p>
    <w:p>
      <w:pPr>
        <w:ind w:left="180" w:right="1979" w:hanging="172"/>
        <w:spacing w:after="0" w:line="234" w:lineRule="auto"/>
        <w:tabs>
          <w:tab w:leader="none" w:pos="153" w:val="left"/>
        </w:tabs>
        <w:numPr>
          <w:ilvl w:val="0"/>
          <w:numId w:val="4"/>
        </w:numPr>
        <w:rPr>
          <w:rFonts w:ascii="Arial" w:cs="Arial" w:eastAsia="Arial" w:hAnsi="Arial"/>
          <w:sz w:val="21"/>
          <w:szCs w:val="21"/>
          <w:color w:val="auto"/>
        </w:rPr>
      </w:pPr>
      <w:r>
        <w:rPr>
          <w:rFonts w:ascii="Arial" w:cs="Arial" w:eastAsia="Arial" w:hAnsi="Arial"/>
          <w:sz w:val="21"/>
          <w:szCs w:val="21"/>
          <w:color w:val="auto"/>
        </w:rPr>
        <w:t>Sempra Global, which is the holding company for Sempra Commodities, Sempra Generation, Sempra Pipelines &amp; Storage, Sempra LNG and other, smaller businesses.</w:t>
      </w:r>
    </w:p>
    <w:p>
      <w:pPr>
        <w:spacing w:after="0" w:line="78" w:lineRule="exact"/>
        <w:rPr>
          <w:sz w:val="20"/>
          <w:szCs w:val="20"/>
          <w:color w:val="auto"/>
        </w:rPr>
      </w:pPr>
    </w:p>
    <w:p>
      <w:pPr>
        <w:ind w:right="679"/>
        <w:spacing w:after="0" w:line="218" w:lineRule="auto"/>
        <w:rPr>
          <w:sz w:val="20"/>
          <w:szCs w:val="20"/>
          <w:color w:val="auto"/>
        </w:rPr>
      </w:pPr>
      <w:r>
        <w:rPr>
          <w:rFonts w:ascii="Arial" w:cs="Arial" w:eastAsia="Arial" w:hAnsi="Arial"/>
          <w:sz w:val="22"/>
          <w:szCs w:val="22"/>
          <w:color w:val="auto"/>
        </w:rPr>
        <w:t>Sempra Energy uses the equity method to account for investments in affiliated companies over which we have the ability to exercise significant influence, but not control. We discuss our investments in unconsolidated subsidiaries in Note 4 below and Note 4 of the Notes to Consolidated Financial Statements in the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20" w:lineRule="exact"/>
        <w:rPr>
          <w:sz w:val="20"/>
          <w:szCs w:val="20"/>
          <w:color w:val="auto"/>
        </w:rPr>
      </w:pPr>
    </w:p>
    <w:p>
      <w:pPr>
        <w:ind w:right="679"/>
        <w:spacing w:after="0" w:line="213" w:lineRule="auto"/>
        <w:rPr>
          <w:sz w:val="20"/>
          <w:szCs w:val="20"/>
          <w:color w:val="auto"/>
        </w:rPr>
      </w:pPr>
      <w:r>
        <w:rPr>
          <w:rFonts w:ascii="Arial" w:cs="Arial" w:eastAsia="Arial" w:hAnsi="Arial"/>
          <w:sz w:val="22"/>
          <w:szCs w:val="22"/>
          <w:color w:val="auto"/>
        </w:rPr>
        <w:t>SDG&amp;E's Condensed Consolidated Financial Statements include its accounts and the accounts of Otay Mesa Energy Center LLC (Otay Mesa VIE) and Orange Grove Energy L.P. (Orange Grove VIE), which are variable interest entities of which SDG&amp;E is the primary beneficiary, as we discuss in Note 5 under "Variable Interest Entities." SDG&amp;E’s common stock is wholly owned by Enova Corporation, which is a wholly owned subsidiary of Sempra Energy.</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Pacific Enterprises and SoCalGas</w:t>
      </w:r>
    </w:p>
    <w:p>
      <w:pPr>
        <w:spacing w:after="0" w:line="22" w:lineRule="exact"/>
        <w:rPr>
          <w:sz w:val="20"/>
          <w:szCs w:val="20"/>
          <w:color w:val="auto"/>
        </w:rPr>
      </w:pPr>
    </w:p>
    <w:p>
      <w:pPr>
        <w:ind w:right="539"/>
        <w:spacing w:after="0" w:line="257" w:lineRule="auto"/>
        <w:rPr>
          <w:sz w:val="20"/>
          <w:szCs w:val="20"/>
          <w:color w:val="auto"/>
        </w:rPr>
      </w:pPr>
      <w:r>
        <w:rPr>
          <w:rFonts w:ascii="Arial" w:cs="Arial" w:eastAsia="Arial" w:hAnsi="Arial"/>
          <w:sz w:val="19"/>
          <w:szCs w:val="19"/>
          <w:color w:val="auto"/>
        </w:rPr>
        <w:t>The Condensed Consolidated Financial Statements of Pacific Enterprises include the accounts of Pacific Enterprises (PE) and its subsidiary, SoCalGas. Sempra Energy owns all of PE’s common stock and PE owns all of SoCalGas’ common stock. SoCalGas’ Condensed Consolidated Financial Statements include its subsidiaries, which comprise less than one percent of its consolidated financial position and results of operations.</w:t>
      </w:r>
    </w:p>
    <w:p>
      <w:pPr>
        <w:spacing w:after="0" w:line="10" w:lineRule="exact"/>
        <w:rPr>
          <w:sz w:val="20"/>
          <w:szCs w:val="20"/>
          <w:color w:val="auto"/>
        </w:rPr>
      </w:pPr>
    </w:p>
    <w:p>
      <w:pPr>
        <w:ind w:right="559"/>
        <w:spacing w:after="0" w:line="232" w:lineRule="auto"/>
        <w:rPr>
          <w:sz w:val="20"/>
          <w:szCs w:val="20"/>
          <w:color w:val="auto"/>
        </w:rPr>
      </w:pPr>
      <w:r>
        <w:rPr>
          <w:rFonts w:ascii="Arial" w:cs="Arial" w:eastAsia="Arial" w:hAnsi="Arial"/>
          <w:sz w:val="22"/>
          <w:szCs w:val="22"/>
          <w:color w:val="auto"/>
        </w:rPr>
        <w:t>PE's operations consist solely of those of SoCalGas and additional items (e.g., cash, intercompany accounts and equity) attributable to serving as a holding company for SoCalGas.</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BASIS OF PRESENTATION</w:t>
      </w:r>
    </w:p>
    <w:p>
      <w:pPr>
        <w:spacing w:after="0" w:line="55" w:lineRule="exact"/>
        <w:rPr>
          <w:sz w:val="20"/>
          <w:szCs w:val="20"/>
          <w:color w:val="auto"/>
        </w:rPr>
      </w:pPr>
    </w:p>
    <w:p>
      <w:pPr>
        <w:ind w:right="579"/>
        <w:spacing w:after="0" w:line="224" w:lineRule="auto"/>
        <w:rPr>
          <w:sz w:val="20"/>
          <w:szCs w:val="20"/>
          <w:color w:val="auto"/>
        </w:rPr>
      </w:pPr>
      <w:r>
        <w:rPr>
          <w:rFonts w:ascii="Arial" w:cs="Arial" w:eastAsia="Arial" w:hAnsi="Arial"/>
          <w:sz w:val="21"/>
          <w:szCs w:val="21"/>
          <w:color w:val="auto"/>
        </w:rPr>
        <w:t>This is a combined report of Sempra Energy, SDG&amp;E, PE and SoCalGas. We provide separate information for SDG&amp;E, PE and SoCalGas as required. In the Notes to Condensed Consolidated Financial Statements (except in Note 11), when only information for SoCalGas is provided, it is the same for PE. References in this report to "we," "our" and "Sempra Energy Consolidated" are to Sempra Energy and its consolidated entities, unless otherwise indicated by the context. We have eliminated intercompany accounts and transactions within each set of consolidated financial statements.</w:t>
      </w:r>
    </w:p>
    <w:p>
      <w:pPr>
        <w:spacing w:after="0" w:line="39" w:lineRule="exact"/>
        <w:rPr>
          <w:sz w:val="20"/>
          <w:szCs w:val="20"/>
          <w:color w:val="auto"/>
        </w:rPr>
      </w:pPr>
    </w:p>
    <w:p>
      <w:pPr>
        <w:ind w:right="499"/>
        <w:spacing w:after="0" w:line="249" w:lineRule="auto"/>
        <w:rPr>
          <w:sz w:val="20"/>
          <w:szCs w:val="20"/>
          <w:color w:val="auto"/>
        </w:rPr>
      </w:pPr>
      <w:r>
        <w:rPr>
          <w:rFonts w:ascii="Arial" w:cs="Arial" w:eastAsia="Arial" w:hAnsi="Arial"/>
          <w:sz w:val="19"/>
          <w:szCs w:val="19"/>
          <w:color w:val="auto"/>
        </w:rPr>
        <w:t>We have prepared the Condensed Consolidated Financial Statements in conformity with accounting principles generally accepted in the United States of America (GAAP) and in accordance with the interim-period-reporting requirements of Form 10-Q. Results of operations for interim periods are not necessarily indicative of results for the entire year. We evaluated events and transactions that occurred after March 31, 2010 through the date the financial statements were issued, and in the opinion of management, the accompanying statements reflect all adjustments necessary for a fair presentation. These adjustments are only of a normal, recurring nature.</w:t>
      </w:r>
    </w:p>
    <w:p>
      <w:pPr>
        <w:spacing w:after="0" w:line="31" w:lineRule="exact"/>
        <w:rPr>
          <w:sz w:val="20"/>
          <w:szCs w:val="20"/>
          <w:color w:val="auto"/>
        </w:rPr>
      </w:pPr>
    </w:p>
    <w:p>
      <w:pPr>
        <w:ind w:right="599"/>
        <w:spacing w:after="0" w:line="223" w:lineRule="auto"/>
        <w:rPr>
          <w:sz w:val="20"/>
          <w:szCs w:val="20"/>
          <w:color w:val="auto"/>
        </w:rPr>
      </w:pPr>
      <w:r>
        <w:rPr>
          <w:rFonts w:ascii="Arial" w:cs="Arial" w:eastAsia="Arial" w:hAnsi="Arial"/>
          <w:sz w:val="22"/>
          <w:szCs w:val="22"/>
          <w:color w:val="auto"/>
        </w:rPr>
        <w:t>You should read the information in this Quarterly Report in conjunction with our Annual Report on Form 10-K for the year ended December 31, 2009 (the Annual Report), which is a combined report for Sempra Energy, SDG&amp;E, PE and SoCalGas.</w:t>
      </w:r>
    </w:p>
    <w:p>
      <w:pPr>
        <w:sectPr>
          <w:pgSz w:w="11900" w:h="16838" w:orient="portrait"/>
          <w:cols w:equalWidth="0" w:num="1">
            <w:col w:w="10219"/>
          </w:cols>
          <w:pgMar w:left="240" w:top="144" w:right="1440" w:bottom="1440" w:gutter="0" w:footer="0" w:header="0"/>
        </w:sectPr>
      </w:pPr>
    </w:p>
    <w:bookmarkStart w:id="22" w:name="page23"/>
    <w:bookmarkEnd w:id="22"/>
    <w:p>
      <w:pPr>
        <w:ind w:right="519"/>
        <w:spacing w:after="0" w:line="223" w:lineRule="auto"/>
        <w:rPr>
          <w:sz w:val="20"/>
          <w:szCs w:val="20"/>
          <w:color w:val="auto"/>
        </w:rPr>
      </w:pPr>
      <w:r>
        <w:rPr>
          <w:rFonts w:ascii="Arial" w:cs="Arial" w:eastAsia="Arial" w:hAnsi="Arial"/>
          <w:sz w:val="22"/>
          <w:szCs w:val="22"/>
          <w:color w:val="auto"/>
        </w:rPr>
        <w:t>Our significant accounting policies are described in Note 1 of the Notes to Consolidated Financial Statements in the Annual Report. We follow the same accounting policies for interim reporting purposes, except for the adoption of new accounting standards as we discuss in Note 2.</w:t>
      </w:r>
    </w:p>
    <w:p>
      <w:pPr>
        <w:spacing w:after="0" w:line="39" w:lineRule="exact"/>
        <w:rPr>
          <w:sz w:val="20"/>
          <w:szCs w:val="20"/>
          <w:color w:val="auto"/>
        </w:rPr>
      </w:pPr>
    </w:p>
    <w:p>
      <w:pPr>
        <w:ind w:right="979"/>
        <w:spacing w:after="0" w:line="218" w:lineRule="auto"/>
        <w:rPr>
          <w:sz w:val="20"/>
          <w:szCs w:val="20"/>
          <w:color w:val="auto"/>
        </w:rPr>
      </w:pPr>
      <w:r>
        <w:rPr>
          <w:rFonts w:ascii="Arial" w:cs="Arial" w:eastAsia="Arial" w:hAnsi="Arial"/>
          <w:sz w:val="22"/>
          <w:szCs w:val="22"/>
          <w:color w:val="auto"/>
        </w:rPr>
        <w:t>The Sempra Utilities and Sempra Pipelines &amp; Storage's Mobile Gas Service Corporation (Mobile Gas) and Ecogas Mexico, S de RL de CV (Ecogas) prepare their financial statements in accordance with GAAP provisions governing regulated operations, as we discuss in Note 1 of the Notes to Consolidated Financial Statements in the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61747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NOTE 2. NEW ACCOUNTING STANDARDS</w:t>
      </w:r>
    </w:p>
    <w:p>
      <w:pPr>
        <w:spacing w:after="0" w:line="49" w:lineRule="exact"/>
        <w:rPr>
          <w:sz w:val="20"/>
          <w:szCs w:val="20"/>
          <w:color w:val="auto"/>
        </w:rPr>
      </w:pPr>
    </w:p>
    <w:p>
      <w:pPr>
        <w:jc w:val="both"/>
        <w:ind w:right="1099"/>
        <w:spacing w:after="0" w:line="234" w:lineRule="auto"/>
        <w:rPr>
          <w:sz w:val="20"/>
          <w:szCs w:val="20"/>
          <w:color w:val="auto"/>
        </w:rPr>
      </w:pPr>
      <w:r>
        <w:rPr>
          <w:rFonts w:ascii="Arial" w:cs="Arial" w:eastAsia="Arial" w:hAnsi="Arial"/>
          <w:sz w:val="21"/>
          <w:szCs w:val="21"/>
          <w:color w:val="auto"/>
        </w:rPr>
        <w:t>We describe below recent pronouncements that have had or may have a significant effect on our financial statements. We do not discuss recent pronouncements that are not anticipated to have an impact on or are unrelated to our financial condition, results of operations, or disclosures.</w:t>
      </w: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SEMPRA ENERGY, SDG&amp;E, PE AND SOCALGAS</w:t>
      </w:r>
    </w:p>
    <w:p>
      <w:pPr>
        <w:spacing w:after="0" w:line="69" w:lineRule="exact"/>
        <w:rPr>
          <w:sz w:val="20"/>
          <w:szCs w:val="20"/>
          <w:color w:val="auto"/>
        </w:rPr>
      </w:pPr>
    </w:p>
    <w:p>
      <w:pPr>
        <w:ind w:right="819"/>
        <w:spacing w:after="0" w:line="216" w:lineRule="auto"/>
        <w:rPr>
          <w:sz w:val="20"/>
          <w:szCs w:val="20"/>
          <w:color w:val="auto"/>
        </w:rPr>
      </w:pPr>
      <w:r>
        <w:rPr>
          <w:rFonts w:ascii="Arial" w:cs="Arial" w:eastAsia="Arial" w:hAnsi="Arial"/>
          <w:sz w:val="22"/>
          <w:szCs w:val="22"/>
          <w:b w:val="1"/>
          <w:bCs w:val="1"/>
          <w:i w:val="1"/>
          <w:iCs w:val="1"/>
          <w:color w:val="auto"/>
        </w:rPr>
        <w:t xml:space="preserve">Accounting Standards Update (ASU) 2009-17, "Improvements to Financial Reporting by Enterprises Involved with Variable Interest Entities" (ASU 2009-17): </w:t>
      </w:r>
      <w:r>
        <w:rPr>
          <w:rFonts w:ascii="Arial" w:cs="Arial" w:eastAsia="Arial" w:hAnsi="Arial"/>
          <w:sz w:val="22"/>
          <w:szCs w:val="22"/>
          <w:color w:val="auto"/>
        </w:rPr>
        <w:t>ASU 2009-17 amends Financial Accounting</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 xml:space="preserve">Standards Board (FASB) Interpretation No. 46(R), </w:t>
      </w:r>
      <w:r>
        <w:rPr>
          <w:rFonts w:ascii="Arial" w:cs="Arial" w:eastAsia="Arial" w:hAnsi="Arial"/>
          <w:sz w:val="22"/>
          <w:szCs w:val="22"/>
          <w:i w:val="1"/>
          <w:iCs w:val="1"/>
          <w:color w:val="auto"/>
        </w:rPr>
        <w:t>Consolidation of Variable Interest Entities – an</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interpretation of ARB No. 51 </w:t>
      </w:r>
      <w:r>
        <w:rPr>
          <w:rFonts w:ascii="Arial" w:cs="Arial" w:eastAsia="Arial" w:hAnsi="Arial"/>
          <w:sz w:val="22"/>
          <w:szCs w:val="22"/>
          <w:color w:val="auto"/>
        </w:rPr>
        <w:t>(FIN 46(R)), which provides consolidation guidance related to variable interest</w:t>
      </w:r>
      <w:r>
        <w:rPr>
          <w:rFonts w:ascii="Arial" w:cs="Arial" w:eastAsia="Arial" w:hAnsi="Arial"/>
          <w:sz w:val="22"/>
          <w:szCs w:val="22"/>
          <w:i w:val="1"/>
          <w:iCs w:val="1"/>
          <w:color w:val="auto"/>
        </w:rPr>
        <w:t xml:space="preserve"> </w:t>
      </w:r>
      <w:r>
        <w:rPr>
          <w:rFonts w:ascii="Arial" w:cs="Arial" w:eastAsia="Arial" w:hAnsi="Arial"/>
          <w:sz w:val="22"/>
          <w:szCs w:val="22"/>
          <w:color w:val="auto"/>
        </w:rPr>
        <w:t>entities.</w:t>
      </w:r>
    </w:p>
    <w:p>
      <w:pPr>
        <w:spacing w:after="0" w:line="37" w:lineRule="exact"/>
        <w:rPr>
          <w:sz w:val="20"/>
          <w:szCs w:val="20"/>
          <w:color w:val="auto"/>
        </w:rPr>
      </w:pPr>
    </w:p>
    <w:p>
      <w:pPr>
        <w:ind w:right="1239"/>
        <w:spacing w:after="0" w:line="232" w:lineRule="auto"/>
        <w:rPr>
          <w:sz w:val="20"/>
          <w:szCs w:val="20"/>
          <w:color w:val="auto"/>
        </w:rPr>
      </w:pPr>
      <w:r>
        <w:rPr>
          <w:rFonts w:ascii="Arial" w:cs="Arial" w:eastAsia="Arial" w:hAnsi="Arial"/>
          <w:sz w:val="22"/>
          <w:szCs w:val="22"/>
          <w:color w:val="auto"/>
        </w:rPr>
        <w:t xml:space="preserve">ASU 2009-17 amends FASB Accounting Standards Codification (ASC) Topic 810, </w:t>
      </w:r>
      <w:r>
        <w:rPr>
          <w:rFonts w:ascii="Arial" w:cs="Arial" w:eastAsia="Arial" w:hAnsi="Arial"/>
          <w:sz w:val="22"/>
          <w:szCs w:val="22"/>
          <w:i w:val="1"/>
          <w:iCs w:val="1"/>
          <w:color w:val="auto"/>
        </w:rPr>
        <w:t>Consolidations,</w:t>
      </w:r>
      <w:r>
        <w:rPr>
          <w:rFonts w:ascii="Arial" w:cs="Arial" w:eastAsia="Arial" w:hAnsi="Arial"/>
          <w:sz w:val="22"/>
          <w:szCs w:val="22"/>
          <w:color w:val="auto"/>
        </w:rPr>
        <w:t xml:space="preserve"> and requires</w:t>
      </w:r>
    </w:p>
    <w:p>
      <w:pPr>
        <w:spacing w:after="0" w:line="2" w:lineRule="exact"/>
        <w:rPr>
          <w:sz w:val="20"/>
          <w:szCs w:val="20"/>
          <w:color w:val="auto"/>
        </w:rPr>
      </w:pPr>
    </w:p>
    <w:p>
      <w:pPr>
        <w:ind w:left="180" w:right="1859" w:hanging="172"/>
        <w:spacing w:after="0" w:line="214" w:lineRule="auto"/>
        <w:tabs>
          <w:tab w:leader="none" w:pos="153" w:val="left"/>
        </w:tabs>
        <w:numPr>
          <w:ilvl w:val="0"/>
          <w:numId w:val="5"/>
        </w:numPr>
        <w:rPr>
          <w:rFonts w:ascii="Arial" w:cs="Arial" w:eastAsia="Arial" w:hAnsi="Arial"/>
          <w:sz w:val="22"/>
          <w:szCs w:val="22"/>
          <w:color w:val="auto"/>
        </w:rPr>
      </w:pPr>
      <w:r>
        <w:rPr>
          <w:rFonts w:ascii="Arial" w:cs="Arial" w:eastAsia="Arial" w:hAnsi="Arial"/>
          <w:sz w:val="22"/>
          <w:szCs w:val="22"/>
          <w:color w:val="auto"/>
        </w:rPr>
        <w:t>a qualitative approach for identifying the primary beneficiary of a variable interest entity based on 1) the power to direct activities that most significantly impact the economic performance of the entity, and 2) the obligation to absorb losses or right to receive benefits that could be significant to the entity;</w:t>
      </w:r>
    </w:p>
    <w:p>
      <w:pPr>
        <w:spacing w:after="0" w:line="2" w:lineRule="exact"/>
        <w:rPr>
          <w:rFonts w:ascii="Arial" w:cs="Arial" w:eastAsia="Arial" w:hAnsi="Arial"/>
          <w:sz w:val="22"/>
          <w:szCs w:val="22"/>
          <w:color w:val="auto"/>
        </w:rPr>
      </w:pPr>
    </w:p>
    <w:p>
      <w:pPr>
        <w:ind w:left="180" w:right="1839" w:hanging="172"/>
        <w:spacing w:after="0" w:line="230" w:lineRule="auto"/>
        <w:tabs>
          <w:tab w:leader="none" w:pos="153" w:val="left"/>
        </w:tabs>
        <w:numPr>
          <w:ilvl w:val="0"/>
          <w:numId w:val="5"/>
        </w:numPr>
        <w:rPr>
          <w:rFonts w:ascii="Arial" w:cs="Arial" w:eastAsia="Arial" w:hAnsi="Arial"/>
          <w:sz w:val="22"/>
          <w:szCs w:val="22"/>
          <w:color w:val="auto"/>
        </w:rPr>
      </w:pPr>
      <w:r>
        <w:rPr>
          <w:rFonts w:ascii="Arial" w:cs="Arial" w:eastAsia="Arial" w:hAnsi="Arial"/>
          <w:sz w:val="22"/>
          <w:szCs w:val="22"/>
          <w:color w:val="auto"/>
        </w:rPr>
        <w:t>ongoing reassessments of whether an enterprise is the primary beneficiary of a variable interest entity; and</w:t>
      </w:r>
    </w:p>
    <w:p>
      <w:pPr>
        <w:spacing w:after="0" w:line="1" w:lineRule="exact"/>
        <w:rPr>
          <w:rFonts w:ascii="Arial" w:cs="Arial" w:eastAsia="Arial" w:hAnsi="Arial"/>
          <w:sz w:val="22"/>
          <w:szCs w:val="22"/>
          <w:color w:val="auto"/>
        </w:rPr>
      </w:pPr>
    </w:p>
    <w:p>
      <w:pPr>
        <w:ind w:left="180" w:right="1879" w:hanging="172"/>
        <w:spacing w:after="0" w:line="258" w:lineRule="auto"/>
        <w:tabs>
          <w:tab w:leader="none" w:pos="153" w:val="left"/>
        </w:tabs>
        <w:numPr>
          <w:ilvl w:val="0"/>
          <w:numId w:val="5"/>
        </w:numPr>
        <w:rPr>
          <w:rFonts w:ascii="Arial" w:cs="Arial" w:eastAsia="Arial" w:hAnsi="Arial"/>
          <w:sz w:val="19"/>
          <w:szCs w:val="19"/>
          <w:color w:val="auto"/>
        </w:rPr>
      </w:pPr>
      <w:r>
        <w:rPr>
          <w:rFonts w:ascii="Arial" w:cs="Arial" w:eastAsia="Arial" w:hAnsi="Arial"/>
          <w:sz w:val="19"/>
          <w:szCs w:val="19"/>
          <w:color w:val="auto"/>
        </w:rPr>
        <w:t>separate disclosure by the primary beneficiary on the face of the balance sheet to identify 1) assets that can only be used to settle obligations of the variable interest entity, and 2) liabilities for which creditors do not have recourse to the primary beneficiary.</w:t>
      </w:r>
    </w:p>
    <w:p>
      <w:pPr>
        <w:spacing w:after="0" w:line="61" w:lineRule="exact"/>
        <w:rPr>
          <w:sz w:val="20"/>
          <w:szCs w:val="20"/>
          <w:color w:val="auto"/>
        </w:rPr>
      </w:pPr>
    </w:p>
    <w:p>
      <w:pPr>
        <w:ind w:right="1079"/>
        <w:spacing w:after="0" w:line="223" w:lineRule="auto"/>
        <w:rPr>
          <w:sz w:val="20"/>
          <w:szCs w:val="20"/>
          <w:color w:val="auto"/>
        </w:rPr>
      </w:pPr>
      <w:r>
        <w:rPr>
          <w:rFonts w:ascii="Arial" w:cs="Arial" w:eastAsia="Arial" w:hAnsi="Arial"/>
          <w:sz w:val="22"/>
          <w:szCs w:val="22"/>
          <w:color w:val="auto"/>
        </w:rPr>
        <w:t>We adopted ASU 2009-17 on January 1, 2010 and it did not have a material effect on earnings, nor on presentation on the interim Condensed Consolidated Balance Sheets for Sempra Energy and SDG&amp;E. We provide the required additional disclosure in Note 5.</w:t>
      </w:r>
    </w:p>
    <w:p>
      <w:pPr>
        <w:spacing w:after="0" w:line="38" w:lineRule="exact"/>
        <w:rPr>
          <w:sz w:val="20"/>
          <w:szCs w:val="20"/>
          <w:color w:val="auto"/>
        </w:rPr>
      </w:pPr>
    </w:p>
    <w:p>
      <w:pPr>
        <w:ind w:right="719"/>
        <w:spacing w:after="0" w:line="223" w:lineRule="auto"/>
        <w:rPr>
          <w:sz w:val="20"/>
          <w:szCs w:val="20"/>
          <w:color w:val="auto"/>
        </w:rPr>
      </w:pPr>
      <w:r>
        <w:rPr>
          <w:rFonts w:ascii="Arial" w:cs="Arial" w:eastAsia="Arial" w:hAnsi="Arial"/>
          <w:sz w:val="22"/>
          <w:szCs w:val="22"/>
          <w:b w:val="1"/>
          <w:bCs w:val="1"/>
          <w:i w:val="1"/>
          <w:iCs w:val="1"/>
          <w:color w:val="auto"/>
        </w:rPr>
        <w:t xml:space="preserve">ASU 2010-06, "Improving Disclosures About Fair Value Measurements" (ASU 2010-06): </w:t>
      </w:r>
      <w:r>
        <w:rPr>
          <w:rFonts w:ascii="Arial" w:cs="Arial" w:eastAsia="Arial" w:hAnsi="Arial"/>
          <w:sz w:val="22"/>
          <w:szCs w:val="22"/>
          <w:color w:val="auto"/>
        </w:rPr>
        <w:t>ASU 2010-06</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 xml:space="preserve">amends ASC Topic 820, </w:t>
      </w:r>
      <w:r>
        <w:rPr>
          <w:rFonts w:ascii="Arial" w:cs="Arial" w:eastAsia="Arial" w:hAnsi="Arial"/>
          <w:sz w:val="22"/>
          <w:szCs w:val="22"/>
          <w:i w:val="1"/>
          <w:iCs w:val="1"/>
          <w:color w:val="auto"/>
        </w:rPr>
        <w:t>Fair Value Measurements and Disclosures,</w:t>
      </w:r>
      <w:r>
        <w:rPr>
          <w:rFonts w:ascii="Arial" w:cs="Arial" w:eastAsia="Arial" w:hAnsi="Arial"/>
          <w:sz w:val="22"/>
          <w:szCs w:val="22"/>
          <w:color w:val="auto"/>
        </w:rPr>
        <w:t xml:space="preserve"> and requires the following additional fair value measurement disclosures:</w:t>
      </w:r>
    </w:p>
    <w:p>
      <w:pPr>
        <w:spacing w:after="0" w:line="24" w:lineRule="exact"/>
        <w:rPr>
          <w:sz w:val="20"/>
          <w:szCs w:val="20"/>
          <w:color w:val="auto"/>
        </w:rPr>
      </w:pPr>
    </w:p>
    <w:p>
      <w:pPr>
        <w:ind w:left="140" w:hanging="132"/>
        <w:spacing w:after="0"/>
        <w:tabs>
          <w:tab w:leader="none" w:pos="140" w:val="left"/>
        </w:tabs>
        <w:numPr>
          <w:ilvl w:val="0"/>
          <w:numId w:val="6"/>
        </w:numPr>
        <w:rPr>
          <w:rFonts w:ascii="Arial" w:cs="Arial" w:eastAsia="Arial" w:hAnsi="Arial"/>
          <w:sz w:val="22"/>
          <w:szCs w:val="22"/>
          <w:color w:val="auto"/>
        </w:rPr>
      </w:pPr>
      <w:r>
        <w:rPr>
          <w:rFonts w:ascii="Arial" w:cs="Arial" w:eastAsia="Arial" w:hAnsi="Arial"/>
          <w:sz w:val="22"/>
          <w:szCs w:val="22"/>
          <w:color w:val="auto"/>
        </w:rPr>
        <w:t>transfers into and out of Levels 1 and 2</w:t>
      </w:r>
    </w:p>
    <w:p>
      <w:pPr>
        <w:spacing w:after="0" w:line="21" w:lineRule="exact"/>
        <w:rPr>
          <w:rFonts w:ascii="Arial" w:cs="Arial" w:eastAsia="Arial" w:hAnsi="Arial"/>
          <w:sz w:val="22"/>
          <w:szCs w:val="22"/>
          <w:color w:val="auto"/>
        </w:rPr>
      </w:pPr>
    </w:p>
    <w:p>
      <w:pPr>
        <w:ind w:left="140" w:hanging="132"/>
        <w:spacing w:after="0"/>
        <w:tabs>
          <w:tab w:leader="none" w:pos="140" w:val="left"/>
        </w:tabs>
        <w:numPr>
          <w:ilvl w:val="0"/>
          <w:numId w:val="6"/>
        </w:numPr>
        <w:rPr>
          <w:rFonts w:ascii="Arial" w:cs="Arial" w:eastAsia="Arial" w:hAnsi="Arial"/>
          <w:sz w:val="22"/>
          <w:szCs w:val="22"/>
          <w:color w:val="auto"/>
        </w:rPr>
      </w:pPr>
      <w:r>
        <w:rPr>
          <w:rFonts w:ascii="Arial" w:cs="Arial" w:eastAsia="Arial" w:hAnsi="Arial"/>
          <w:sz w:val="22"/>
          <w:szCs w:val="22"/>
          <w:color w:val="auto"/>
        </w:rPr>
        <w:t>segregation of classes of assets and liabilities measured at fair value</w:t>
      </w:r>
    </w:p>
    <w:p>
      <w:pPr>
        <w:spacing w:after="0" w:line="17" w:lineRule="exact"/>
        <w:rPr>
          <w:rFonts w:ascii="Arial" w:cs="Arial" w:eastAsia="Arial" w:hAnsi="Arial"/>
          <w:sz w:val="22"/>
          <w:szCs w:val="22"/>
          <w:color w:val="auto"/>
        </w:rPr>
      </w:pPr>
    </w:p>
    <w:p>
      <w:pPr>
        <w:ind w:left="140" w:hanging="132"/>
        <w:spacing w:after="0"/>
        <w:tabs>
          <w:tab w:leader="none" w:pos="140" w:val="left"/>
        </w:tabs>
        <w:numPr>
          <w:ilvl w:val="0"/>
          <w:numId w:val="6"/>
        </w:numPr>
        <w:rPr>
          <w:rFonts w:ascii="Arial" w:cs="Arial" w:eastAsia="Arial" w:hAnsi="Arial"/>
          <w:sz w:val="22"/>
          <w:szCs w:val="22"/>
          <w:color w:val="auto"/>
        </w:rPr>
      </w:pPr>
      <w:r>
        <w:rPr>
          <w:rFonts w:ascii="Arial" w:cs="Arial" w:eastAsia="Arial" w:hAnsi="Arial"/>
          <w:sz w:val="22"/>
          <w:szCs w:val="22"/>
          <w:color w:val="auto"/>
        </w:rPr>
        <w:t>valuation techniques and inputs used for Level 2 and Level 3 instruments</w:t>
      </w:r>
    </w:p>
    <w:p>
      <w:pPr>
        <w:spacing w:after="0" w:line="3" w:lineRule="exact"/>
        <w:rPr>
          <w:rFonts w:ascii="Arial" w:cs="Arial" w:eastAsia="Arial" w:hAnsi="Arial"/>
          <w:sz w:val="22"/>
          <w:szCs w:val="22"/>
          <w:color w:val="auto"/>
        </w:rPr>
      </w:pPr>
    </w:p>
    <w:p>
      <w:pPr>
        <w:ind w:left="180" w:right="2079" w:hanging="172"/>
        <w:spacing w:after="0" w:line="224" w:lineRule="auto"/>
        <w:tabs>
          <w:tab w:leader="none" w:pos="153" w:val="left"/>
        </w:tabs>
        <w:numPr>
          <w:ilvl w:val="0"/>
          <w:numId w:val="6"/>
        </w:numPr>
        <w:rPr>
          <w:rFonts w:ascii="Arial" w:cs="Arial" w:eastAsia="Arial" w:hAnsi="Arial"/>
          <w:sz w:val="22"/>
          <w:szCs w:val="22"/>
          <w:color w:val="auto"/>
        </w:rPr>
      </w:pPr>
      <w:r>
        <w:rPr>
          <w:rFonts w:ascii="Arial" w:cs="Arial" w:eastAsia="Arial" w:hAnsi="Arial"/>
          <w:sz w:val="22"/>
          <w:szCs w:val="22"/>
          <w:color w:val="auto"/>
        </w:rPr>
        <w:t>detailed activity for Level 3 instruments, including separate presentation of purchases, sales, issuances and settlements</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color w:val="auto"/>
        </w:rPr>
        <w:t>We adopted ASU 2010-06 on January 1, 2010, and we provide the additional disclosure in Note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61747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color w:val="auto"/>
        </w:rPr>
        <w:t>NOTE 3. RECENT INVESTMENT ACTIVITY</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SEMPRA PIPELINES &amp; STORAGE</w:t>
      </w:r>
    </w:p>
    <w:p>
      <w:pPr>
        <w:spacing w:after="0" w:line="69" w:lineRule="exact"/>
        <w:rPr>
          <w:sz w:val="20"/>
          <w:szCs w:val="20"/>
          <w:color w:val="auto"/>
        </w:rPr>
      </w:pPr>
    </w:p>
    <w:p>
      <w:pPr>
        <w:ind w:right="679"/>
        <w:spacing w:after="0" w:line="218" w:lineRule="auto"/>
        <w:rPr>
          <w:sz w:val="20"/>
          <w:szCs w:val="20"/>
          <w:color w:val="auto"/>
        </w:rPr>
      </w:pPr>
      <w:r>
        <w:rPr>
          <w:rFonts w:ascii="Arial" w:cs="Arial" w:eastAsia="Arial" w:hAnsi="Arial"/>
          <w:sz w:val="22"/>
          <w:szCs w:val="22"/>
          <w:color w:val="auto"/>
        </w:rPr>
        <w:t>Sempra Pipelines &amp; Storage’s Sempra Midstream is the general partner and 91-percent owner of Bay Gas Storage Company (Bay Gas) and owned 60 percent of Mississippi Hub, LLC (Mississippi Hub) through December 31, 2008. On January 16, 2009, Sempra Midstream purchased the remaining 40-percent ownership interest of Mississippi Hub for $94 million in cash.</w:t>
      </w:r>
    </w:p>
    <w:p>
      <w:pPr>
        <w:spacing w:after="0" w:line="26" w:lineRule="exact"/>
        <w:rPr>
          <w:sz w:val="20"/>
          <w:szCs w:val="20"/>
          <w:color w:val="auto"/>
        </w:rPr>
      </w:pPr>
    </w:p>
    <w:p>
      <w:pPr>
        <w:jc w:val="both"/>
        <w:ind w:right="659"/>
        <w:spacing w:after="0" w:line="223" w:lineRule="auto"/>
        <w:rPr>
          <w:sz w:val="20"/>
          <w:szCs w:val="20"/>
          <w:color w:val="auto"/>
        </w:rPr>
      </w:pPr>
      <w:r>
        <w:rPr>
          <w:rFonts w:ascii="Arial" w:cs="Arial" w:eastAsia="Arial" w:hAnsi="Arial"/>
          <w:sz w:val="22"/>
          <w:szCs w:val="22"/>
          <w:color w:val="auto"/>
        </w:rPr>
        <w:t>On April 30, 2010, Sempra Pipelines &amp; Storage completed the acquisition of the Mexican pipeline and natural gas infrastructure assets of El Paso Corporation for $300 million ($260 million, net of cash acquired and debt assumed).</w:t>
      </w:r>
    </w:p>
    <w:p>
      <w:pPr>
        <w:spacing w:after="0" w:line="38" w:lineRule="exact"/>
        <w:rPr>
          <w:sz w:val="20"/>
          <w:szCs w:val="20"/>
          <w:color w:val="auto"/>
        </w:rPr>
      </w:pPr>
    </w:p>
    <w:p>
      <w:pPr>
        <w:ind w:right="499"/>
        <w:spacing w:after="0" w:line="218" w:lineRule="auto"/>
        <w:rPr>
          <w:sz w:val="20"/>
          <w:szCs w:val="20"/>
          <w:color w:val="auto"/>
        </w:rPr>
      </w:pPr>
      <w:r>
        <w:rPr>
          <w:rFonts w:ascii="Arial" w:cs="Arial" w:eastAsia="Arial" w:hAnsi="Arial"/>
          <w:sz w:val="22"/>
          <w:szCs w:val="22"/>
          <w:color w:val="auto"/>
        </w:rPr>
        <w:t>The acquisition involves El Paso Corporation’s wholly owned natural gas pipeline and compression assets in the Mexican border state of Sonora. It also includes El Paso Corporation’s 50-percent interest in a joint venture with PEMEX, the Mexican state-owned oil company. The joint venture operates two natural gas pipelines and a propane system in northern Mexico.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61747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NOTE 4. INVESTMENTS IN UNCONSOLIDATED ENTITIES</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SEMPRA COMMODITIES</w:t>
      </w:r>
    </w:p>
    <w:p>
      <w:pPr>
        <w:spacing w:after="0" w:line="55" w:lineRule="exact"/>
        <w:rPr>
          <w:sz w:val="20"/>
          <w:szCs w:val="20"/>
          <w:color w:val="auto"/>
        </w:rPr>
      </w:pPr>
    </w:p>
    <w:p>
      <w:pPr>
        <w:ind w:right="499"/>
        <w:spacing w:after="0" w:line="298" w:lineRule="auto"/>
        <w:rPr>
          <w:sz w:val="20"/>
          <w:szCs w:val="20"/>
          <w:color w:val="auto"/>
        </w:rPr>
      </w:pPr>
      <w:r>
        <w:rPr>
          <w:rFonts w:ascii="Arial" w:cs="Arial" w:eastAsia="Arial" w:hAnsi="Arial"/>
          <w:sz w:val="19"/>
          <w:szCs w:val="19"/>
          <w:color w:val="auto"/>
        </w:rPr>
        <w:t>RBS Sempra Commodities LLP (RBS Sempra Commodities) is a limited liability partnership formed in the United Kingdom to own and operate the commodities-marketing businesses previously operated through wholly</w:t>
      </w:r>
    </w:p>
    <w:p>
      <w:pPr>
        <w:sectPr>
          <w:pgSz w:w="11900" w:h="16838" w:orient="portrait"/>
          <w:cols w:equalWidth="0" w:num="1">
            <w:col w:w="10219"/>
          </w:cols>
          <w:pgMar w:left="240" w:top="104" w:right="1440" w:bottom="0" w:gutter="0" w:footer="0" w:header="0"/>
        </w:sectPr>
      </w:pPr>
    </w:p>
    <w:bookmarkStart w:id="23" w:name="page24"/>
    <w:bookmarkEnd w:id="23"/>
    <w:p>
      <w:pPr>
        <w:ind w:right="699"/>
        <w:spacing w:after="0" w:line="289" w:lineRule="auto"/>
        <w:rPr>
          <w:sz w:val="20"/>
          <w:szCs w:val="20"/>
          <w:color w:val="auto"/>
        </w:rPr>
      </w:pPr>
      <w:r>
        <w:rPr>
          <w:rFonts w:ascii="Arial" w:cs="Arial" w:eastAsia="Arial" w:hAnsi="Arial"/>
          <w:sz w:val="19"/>
          <w:szCs w:val="19"/>
          <w:color w:val="auto"/>
        </w:rPr>
        <w:t>owned subsidiaries of Sempra Energy. We account for our investment in RBS Sempra Commodities under the equity method, and report our share of partnership earnings in the Sempra Commodities segment.</w:t>
      </w:r>
    </w:p>
    <w:p>
      <w:pPr>
        <w:spacing w:after="0" w:line="2" w:lineRule="exact"/>
        <w:rPr>
          <w:sz w:val="20"/>
          <w:szCs w:val="20"/>
          <w:color w:val="auto"/>
        </w:rPr>
      </w:pPr>
    </w:p>
    <w:p>
      <w:pPr>
        <w:ind w:right="559"/>
        <w:spacing w:after="0" w:line="245" w:lineRule="auto"/>
        <w:rPr>
          <w:sz w:val="20"/>
          <w:szCs w:val="20"/>
          <w:color w:val="auto"/>
        </w:rPr>
      </w:pPr>
      <w:r>
        <w:rPr>
          <w:rFonts w:ascii="Arial" w:cs="Arial" w:eastAsia="Arial" w:hAnsi="Arial"/>
          <w:sz w:val="19"/>
          <w:szCs w:val="19"/>
          <w:color w:val="auto"/>
        </w:rPr>
        <w:t>For the three months ended March 31, 2010 and 2009, we had $7 million and $153 million, respectively, of pretax equity earnings from RBS Sempra Commodities. The partnership income that is distributable to us on an annual basis is computed on the partnership's basis of accounting, International Financial Reporting Standards (IFRS), as adopted by the European Union. For the three months ended March 31, 2010, the partnership recorded a loss, on an IFRS basis, of $1 million. In the three months ended March 31, 2009, the distributable income, on an IFRS basis, was $114 million. On April 30, 2010, the partnership made a cash distribution to us of $197 million. In the first quarter 2009, we received cash distributions from the partnership of $305 million. We discuss the equity method investment in RBS Sempra Commodities further in Note 4 of the Notes to Consolidated Financial Statements in the Annual Report.</w:t>
      </w:r>
    </w:p>
    <w:p>
      <w:pPr>
        <w:spacing w:after="0" w:line="18" w:lineRule="exact"/>
        <w:rPr>
          <w:sz w:val="20"/>
          <w:szCs w:val="20"/>
          <w:color w:val="auto"/>
        </w:rPr>
      </w:pPr>
    </w:p>
    <w:p>
      <w:pPr>
        <w:ind w:right="619"/>
        <w:spacing w:after="0" w:line="234" w:lineRule="auto"/>
        <w:rPr>
          <w:sz w:val="20"/>
          <w:szCs w:val="20"/>
          <w:color w:val="auto"/>
        </w:rPr>
      </w:pPr>
      <w:r>
        <w:rPr>
          <w:rFonts w:ascii="Arial" w:cs="Arial" w:eastAsia="Arial" w:hAnsi="Arial"/>
          <w:sz w:val="21"/>
          <w:szCs w:val="21"/>
          <w:color w:val="auto"/>
        </w:rPr>
        <w:t>We have indemnified the partnership for certain litigation and tax liabilities related to the businesses purchased by the partnership. We recorded these obligations at a fair value of $5 million on April 1, 2008, the date we formed the partnership. This liability is being amortized over its expected life.</w:t>
      </w:r>
    </w:p>
    <w:p>
      <w:pPr>
        <w:spacing w:after="0" w:line="36" w:lineRule="exact"/>
        <w:rPr>
          <w:sz w:val="20"/>
          <w:szCs w:val="20"/>
          <w:color w:val="auto"/>
        </w:rPr>
      </w:pPr>
    </w:p>
    <w:p>
      <w:pPr>
        <w:ind w:right="619"/>
        <w:spacing w:after="0" w:line="226" w:lineRule="auto"/>
        <w:rPr>
          <w:sz w:val="20"/>
          <w:szCs w:val="20"/>
          <w:color w:val="auto"/>
        </w:rPr>
      </w:pPr>
      <w:r>
        <w:rPr>
          <w:rFonts w:ascii="Arial" w:cs="Arial" w:eastAsia="Arial" w:hAnsi="Arial"/>
          <w:sz w:val="21"/>
          <w:szCs w:val="21"/>
          <w:color w:val="auto"/>
        </w:rPr>
        <w:t>In November 2009, RBS announced its intention to divest its interest in RBS Sempra Commodities in connection with a directive from the European Commission to dispose of certain assets. On February 16, 2010, Sempra Energy, RBS and the partnership (Seller Parties) entered into an agreement (the Purchase Agreement) with J.P. Morgan Ventures Energy Corporation (J.P. Morgan Ventures), whereby J.P. Morgan Ventures will purchase the following businesses from the joint venture:</w:t>
      </w:r>
    </w:p>
    <w:p>
      <w:pPr>
        <w:spacing w:after="0" w:line="38" w:lineRule="exact"/>
        <w:rPr>
          <w:sz w:val="20"/>
          <w:szCs w:val="20"/>
          <w:color w:val="auto"/>
        </w:rPr>
      </w:pPr>
    </w:p>
    <w:p>
      <w:pPr>
        <w:jc w:val="both"/>
        <w:ind w:left="180" w:right="2019" w:hanging="172"/>
        <w:spacing w:after="0" w:line="223" w:lineRule="auto"/>
        <w:tabs>
          <w:tab w:leader="none" w:pos="153"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global oil, metals, coal, emissions (other than emissions related to the partnership’s North American power business), plastics, agricultural commodities and concentrates commodities trading and marketing business</w:t>
      </w:r>
    </w:p>
    <w:p>
      <w:pPr>
        <w:spacing w:after="0" w:line="1" w:lineRule="exact"/>
        <w:rPr>
          <w:rFonts w:ascii="Arial" w:cs="Arial" w:eastAsia="Arial" w:hAnsi="Arial"/>
          <w:sz w:val="22"/>
          <w:szCs w:val="22"/>
          <w:color w:val="auto"/>
        </w:rPr>
      </w:pPr>
    </w:p>
    <w:p>
      <w:pPr>
        <w:ind w:left="140" w:hanging="132"/>
        <w:spacing w:after="0"/>
        <w:tabs>
          <w:tab w:leader="none" w:pos="140"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European power and gas business</w:t>
      </w:r>
    </w:p>
    <w:p>
      <w:pPr>
        <w:spacing w:after="0" w:line="3" w:lineRule="exact"/>
        <w:rPr>
          <w:rFonts w:ascii="Arial" w:cs="Arial" w:eastAsia="Arial" w:hAnsi="Arial"/>
          <w:sz w:val="22"/>
          <w:szCs w:val="22"/>
          <w:color w:val="auto"/>
        </w:rPr>
      </w:pPr>
    </w:p>
    <w:p>
      <w:pPr>
        <w:ind w:left="140" w:hanging="132"/>
        <w:spacing w:after="0"/>
        <w:tabs>
          <w:tab w:leader="none" w:pos="140"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investor products business</w:t>
      </w:r>
    </w:p>
    <w:p>
      <w:pPr>
        <w:spacing w:after="0" w:line="80" w:lineRule="exact"/>
        <w:rPr>
          <w:sz w:val="20"/>
          <w:szCs w:val="20"/>
          <w:color w:val="auto"/>
        </w:rPr>
      </w:pPr>
    </w:p>
    <w:p>
      <w:pPr>
        <w:jc w:val="both"/>
        <w:ind w:right="639"/>
        <w:spacing w:after="0" w:line="257" w:lineRule="auto"/>
        <w:rPr>
          <w:sz w:val="20"/>
          <w:szCs w:val="20"/>
          <w:color w:val="auto"/>
        </w:rPr>
      </w:pPr>
      <w:r>
        <w:rPr>
          <w:rFonts w:ascii="Arial" w:cs="Arial" w:eastAsia="Arial" w:hAnsi="Arial"/>
          <w:sz w:val="19"/>
          <w:szCs w:val="19"/>
          <w:color w:val="auto"/>
        </w:rPr>
        <w:t>The Purchase Agreement does not include RBS Sempra Commodities' North American power and natural gas trading businesses and its retail energy solutions business. These businesses have historically generated 40 to 60 percent of total earnings of the businesses in the partnership, and have averaged more than 50 percent. RBS and Sempra Energy are actively soliciting offers for the sale of these remaining businesses.</w:t>
      </w:r>
    </w:p>
    <w:p>
      <w:pPr>
        <w:sectPr>
          <w:pgSz w:w="11900" w:h="16838" w:orient="portrait"/>
          <w:cols w:equalWidth="0" w:num="1">
            <w:col w:w="10219"/>
          </w:cols>
          <w:pgMar w:left="240" w:top="104" w:right="1440" w:bottom="1440" w:gutter="0" w:footer="0" w:header="0"/>
        </w:sectPr>
      </w:pPr>
    </w:p>
    <w:bookmarkStart w:id="24" w:name="page25"/>
    <w:bookmarkEnd w:id="24"/>
    <w:p>
      <w:pPr>
        <w:ind w:right="519"/>
        <w:spacing w:after="0" w:line="222" w:lineRule="auto"/>
        <w:rPr>
          <w:sz w:val="20"/>
          <w:szCs w:val="20"/>
          <w:color w:val="auto"/>
        </w:rPr>
      </w:pPr>
      <w:r>
        <w:rPr>
          <w:rFonts w:ascii="Arial" w:cs="Arial" w:eastAsia="Arial" w:hAnsi="Arial"/>
          <w:sz w:val="21"/>
          <w:szCs w:val="21"/>
          <w:color w:val="auto"/>
        </w:rPr>
        <w:t>The transaction is expected to close in summer 2010. J.P. Morgan Ventures will pay an aggregate purchase price equal to the estimated tangible book value at closing of the businesses purchased, generally computed on the basis of IFRS as adopted by the European Union, plus $468 million. Sempra Energy will be entitled to 53-1/3 percent of the aggregate purchase price, and RBS will be entitled to 46-2/3 percent of the aggregate purchase price. We are currently evaluating the effect of the proposed transaction on our investment and share of equity method earnings, which will be impacted by the joint venture’s allocation of goodwill to the transaction, differences between GAAP and IFRS, the application of equity method accounting, and the amendments to the partnership agreement described below.</w:t>
      </w:r>
    </w:p>
    <w:p>
      <w:pPr>
        <w:spacing w:after="0" w:line="37" w:lineRule="exact"/>
        <w:rPr>
          <w:sz w:val="20"/>
          <w:szCs w:val="20"/>
          <w:color w:val="auto"/>
        </w:rPr>
      </w:pPr>
    </w:p>
    <w:p>
      <w:pPr>
        <w:ind w:right="759"/>
        <w:spacing w:after="0" w:line="223" w:lineRule="auto"/>
        <w:rPr>
          <w:sz w:val="20"/>
          <w:szCs w:val="20"/>
          <w:color w:val="auto"/>
        </w:rPr>
      </w:pPr>
      <w:r>
        <w:rPr>
          <w:rFonts w:ascii="Arial" w:cs="Arial" w:eastAsia="Arial" w:hAnsi="Arial"/>
          <w:sz w:val="22"/>
          <w:szCs w:val="22"/>
          <w:color w:val="auto"/>
        </w:rPr>
        <w:t>In conjunction with the transaction, JPMorgan Chase &amp; Co. has delivered a guarantee in favor of the Seller Parties to guarantee certain obligations, including the payment obligations, of J.P. Morgan Ventures under the Purchase Agreement.</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The closing is subject to several conditions, including the following:</w:t>
      </w:r>
    </w:p>
    <w:p>
      <w:pPr>
        <w:spacing w:after="0" w:line="22" w:lineRule="exact"/>
        <w:rPr>
          <w:sz w:val="20"/>
          <w:szCs w:val="20"/>
          <w:color w:val="auto"/>
        </w:rPr>
      </w:pPr>
    </w:p>
    <w:p>
      <w:pPr>
        <w:ind w:left="180" w:right="1939" w:hanging="172"/>
        <w:spacing w:after="0" w:line="215" w:lineRule="auto"/>
        <w:tabs>
          <w:tab w:leader="none" w:pos="153" w:val="left"/>
        </w:tabs>
        <w:numPr>
          <w:ilvl w:val="0"/>
          <w:numId w:val="8"/>
        </w:numPr>
        <w:rPr>
          <w:rFonts w:ascii="Arial" w:cs="Arial" w:eastAsia="Arial" w:hAnsi="Arial"/>
          <w:sz w:val="22"/>
          <w:szCs w:val="22"/>
          <w:color w:val="auto"/>
        </w:rPr>
      </w:pPr>
      <w:r>
        <w:rPr>
          <w:rFonts w:ascii="Arial" w:cs="Arial" w:eastAsia="Arial" w:hAnsi="Arial"/>
          <w:sz w:val="22"/>
          <w:szCs w:val="22"/>
          <w:color w:val="auto"/>
        </w:rPr>
        <w:t>governmental approvals from the U.K. Financial Services Authority and the U.S. Department of Justice or Federal Trade Commission under the Hart-Scott-Rodino Antitrust Improvements Act of 1976, as amended, (which approval was received in March 2010), and antitrust approvals from regulators in Canada and in a limited number of other jurisdictions, including the European Union</w:t>
      </w:r>
    </w:p>
    <w:p>
      <w:pPr>
        <w:spacing w:after="0" w:line="1" w:lineRule="exact"/>
        <w:rPr>
          <w:rFonts w:ascii="Arial" w:cs="Arial" w:eastAsia="Arial" w:hAnsi="Arial"/>
          <w:sz w:val="22"/>
          <w:szCs w:val="22"/>
          <w:color w:val="auto"/>
        </w:rPr>
      </w:pPr>
    </w:p>
    <w:p>
      <w:pPr>
        <w:ind w:left="140" w:hanging="132"/>
        <w:spacing w:after="0"/>
        <w:tabs>
          <w:tab w:leader="none" w:pos="140" w:val="left"/>
        </w:tabs>
        <w:numPr>
          <w:ilvl w:val="0"/>
          <w:numId w:val="8"/>
        </w:numPr>
        <w:rPr>
          <w:rFonts w:ascii="Arial" w:cs="Arial" w:eastAsia="Arial" w:hAnsi="Arial"/>
          <w:sz w:val="22"/>
          <w:szCs w:val="22"/>
          <w:color w:val="auto"/>
        </w:rPr>
      </w:pPr>
      <w:r>
        <w:rPr>
          <w:rFonts w:ascii="Arial" w:cs="Arial" w:eastAsia="Arial" w:hAnsi="Arial"/>
          <w:sz w:val="22"/>
          <w:szCs w:val="22"/>
          <w:color w:val="auto"/>
        </w:rPr>
        <w:t>if necessary, the obtaining of a license from the Swiss Federal Market Supervisory Authority</w:t>
      </w:r>
    </w:p>
    <w:p>
      <w:pPr>
        <w:spacing w:after="0" w:line="3" w:lineRule="exact"/>
        <w:rPr>
          <w:rFonts w:ascii="Arial" w:cs="Arial" w:eastAsia="Arial" w:hAnsi="Arial"/>
          <w:sz w:val="22"/>
          <w:szCs w:val="22"/>
          <w:color w:val="auto"/>
        </w:rPr>
      </w:pPr>
    </w:p>
    <w:p>
      <w:pPr>
        <w:ind w:left="180" w:right="1799" w:hanging="172"/>
        <w:spacing w:after="0" w:line="259" w:lineRule="auto"/>
        <w:tabs>
          <w:tab w:leader="none" w:pos="153" w:val="left"/>
        </w:tabs>
        <w:numPr>
          <w:ilvl w:val="0"/>
          <w:numId w:val="8"/>
        </w:numPr>
        <w:rPr>
          <w:rFonts w:ascii="Arial" w:cs="Arial" w:eastAsia="Arial" w:hAnsi="Arial"/>
          <w:sz w:val="19"/>
          <w:szCs w:val="19"/>
          <w:color w:val="auto"/>
        </w:rPr>
      </w:pPr>
      <w:r>
        <w:rPr>
          <w:rFonts w:ascii="Arial" w:cs="Arial" w:eastAsia="Arial" w:hAnsi="Arial"/>
          <w:sz w:val="19"/>
          <w:szCs w:val="19"/>
          <w:color w:val="auto"/>
        </w:rPr>
        <w:t>a condition to the obligation of the Seller Parties to close the transaction that JPMorgan Chase &amp; Co. not experience a ratings downgrade below the level specified in the Purchase Agreement</w:t>
      </w:r>
    </w:p>
    <w:p>
      <w:pPr>
        <w:spacing w:after="0" w:line="1" w:lineRule="exact"/>
        <w:rPr>
          <w:rFonts w:ascii="Arial" w:cs="Arial" w:eastAsia="Arial" w:hAnsi="Arial"/>
          <w:sz w:val="19"/>
          <w:szCs w:val="19"/>
          <w:color w:val="auto"/>
        </w:rPr>
      </w:pPr>
    </w:p>
    <w:p>
      <w:pPr>
        <w:ind w:left="180" w:right="2019" w:hanging="172"/>
        <w:spacing w:after="0" w:line="294" w:lineRule="auto"/>
        <w:tabs>
          <w:tab w:leader="none" w:pos="153" w:val="left"/>
        </w:tabs>
        <w:numPr>
          <w:ilvl w:val="0"/>
          <w:numId w:val="8"/>
        </w:numPr>
        <w:rPr>
          <w:rFonts w:ascii="Arial" w:cs="Arial" w:eastAsia="Arial" w:hAnsi="Arial"/>
          <w:sz w:val="19"/>
          <w:szCs w:val="19"/>
          <w:color w:val="auto"/>
        </w:rPr>
      </w:pPr>
      <w:r>
        <w:rPr>
          <w:rFonts w:ascii="Arial" w:cs="Arial" w:eastAsia="Arial" w:hAnsi="Arial"/>
          <w:sz w:val="19"/>
          <w:szCs w:val="19"/>
          <w:color w:val="auto"/>
        </w:rPr>
        <w:t>entering into certain related agreements, including an agreement pursuant to which the partnership will provide transition services to the purchased businesses following the closing</w:t>
      </w:r>
    </w:p>
    <w:p>
      <w:pPr>
        <w:spacing w:after="0" w:line="28" w:lineRule="exact"/>
        <w:rPr>
          <w:sz w:val="20"/>
          <w:szCs w:val="20"/>
          <w:color w:val="auto"/>
        </w:rPr>
      </w:pPr>
    </w:p>
    <w:p>
      <w:pPr>
        <w:ind w:right="679"/>
        <w:spacing w:after="0" w:line="218" w:lineRule="auto"/>
        <w:rPr>
          <w:sz w:val="20"/>
          <w:szCs w:val="20"/>
          <w:color w:val="auto"/>
        </w:rPr>
      </w:pPr>
      <w:r>
        <w:rPr>
          <w:rFonts w:ascii="Arial" w:cs="Arial" w:eastAsia="Arial" w:hAnsi="Arial"/>
          <w:sz w:val="22"/>
          <w:szCs w:val="22"/>
          <w:color w:val="auto"/>
        </w:rPr>
        <w:t>In connection with the transaction under the Purchase Agreement, we and RBS entered into a letter agreement to negotiate, prior to closing of the transaction, definitive documentation to amend certain provisions of the Limited Liability Partnership Agreement dated April 1, 2008 between Sempra Energy and RBS (Partnership Agreement) to, among other things:</w:t>
      </w:r>
    </w:p>
    <w:p>
      <w:pPr>
        <w:spacing w:after="0" w:line="26" w:lineRule="exact"/>
        <w:rPr>
          <w:sz w:val="20"/>
          <w:szCs w:val="20"/>
          <w:color w:val="auto"/>
        </w:rPr>
      </w:pPr>
    </w:p>
    <w:p>
      <w:pPr>
        <w:ind w:left="140" w:hanging="132"/>
        <w:spacing w:after="0"/>
        <w:tabs>
          <w:tab w:leader="none" w:pos="140" w:val="left"/>
        </w:tabs>
        <w:numPr>
          <w:ilvl w:val="0"/>
          <w:numId w:val="9"/>
        </w:numPr>
        <w:rPr>
          <w:rFonts w:ascii="Arial" w:cs="Arial" w:eastAsia="Arial" w:hAnsi="Arial"/>
          <w:sz w:val="22"/>
          <w:szCs w:val="22"/>
          <w:color w:val="auto"/>
        </w:rPr>
      </w:pPr>
      <w:r>
        <w:rPr>
          <w:rFonts w:ascii="Arial" w:cs="Arial" w:eastAsia="Arial" w:hAnsi="Arial"/>
          <w:sz w:val="22"/>
          <w:szCs w:val="22"/>
          <w:color w:val="auto"/>
        </w:rPr>
        <w:t>consider the distribution of excess cash of the partnership to us and RBS</w:t>
      </w:r>
    </w:p>
    <w:p>
      <w:pPr>
        <w:spacing w:after="0" w:line="21" w:lineRule="exact"/>
        <w:rPr>
          <w:rFonts w:ascii="Arial" w:cs="Arial" w:eastAsia="Arial" w:hAnsi="Arial"/>
          <w:sz w:val="22"/>
          <w:szCs w:val="22"/>
          <w:color w:val="auto"/>
        </w:rPr>
      </w:pPr>
    </w:p>
    <w:p>
      <w:pPr>
        <w:ind w:left="180" w:right="1839" w:hanging="172"/>
        <w:spacing w:after="0" w:line="222" w:lineRule="auto"/>
        <w:tabs>
          <w:tab w:leader="none" w:pos="153" w:val="left"/>
        </w:tabs>
        <w:numPr>
          <w:ilvl w:val="0"/>
          <w:numId w:val="9"/>
        </w:numPr>
        <w:rPr>
          <w:rFonts w:ascii="Arial" w:cs="Arial" w:eastAsia="Arial" w:hAnsi="Arial"/>
          <w:sz w:val="22"/>
          <w:szCs w:val="22"/>
          <w:color w:val="auto"/>
        </w:rPr>
      </w:pPr>
      <w:r>
        <w:rPr>
          <w:rFonts w:ascii="Arial" w:cs="Arial" w:eastAsia="Arial" w:hAnsi="Arial"/>
          <w:sz w:val="22"/>
          <w:szCs w:val="22"/>
          <w:color w:val="auto"/>
        </w:rPr>
        <w:t>eliminate each partner’s preferred return (currently 15 percent per year) and to move to a 50/50 sharing of net income, if and when our invested capital is reduced to $950 million or less by the return of capital to the partners</w:t>
      </w:r>
    </w:p>
    <w:p>
      <w:pPr>
        <w:ind w:left="180" w:right="2019" w:hanging="172"/>
        <w:spacing w:after="0" w:line="214" w:lineRule="auto"/>
        <w:tabs>
          <w:tab w:leader="none" w:pos="153" w:val="left"/>
        </w:tabs>
        <w:numPr>
          <w:ilvl w:val="0"/>
          <w:numId w:val="9"/>
        </w:numPr>
        <w:rPr>
          <w:rFonts w:ascii="Arial" w:cs="Arial" w:eastAsia="Arial" w:hAnsi="Arial"/>
          <w:sz w:val="22"/>
          <w:szCs w:val="22"/>
          <w:color w:val="auto"/>
        </w:rPr>
      </w:pPr>
      <w:r>
        <w:rPr>
          <w:rFonts w:ascii="Arial" w:cs="Arial" w:eastAsia="Arial" w:hAnsi="Arial"/>
          <w:sz w:val="22"/>
          <w:szCs w:val="22"/>
          <w:color w:val="auto"/>
        </w:rPr>
        <w:t>terminate the restrictions on the partners’ ability to transfer their partnership interests prior to April 2012 (but not the partners’ right of first offer and other rights, including our tag-along right with respect to the transfer of that interest or the requirement that any transferee be reasonably acceptable to us)</w:t>
      </w:r>
    </w:p>
    <w:p>
      <w:pPr>
        <w:spacing w:after="0" w:line="79" w:lineRule="exact"/>
        <w:rPr>
          <w:sz w:val="20"/>
          <w:szCs w:val="20"/>
          <w:color w:val="auto"/>
        </w:rPr>
      </w:pPr>
    </w:p>
    <w:p>
      <w:pPr>
        <w:ind w:right="659"/>
        <w:spacing w:after="0" w:line="232" w:lineRule="auto"/>
        <w:rPr>
          <w:sz w:val="20"/>
          <w:szCs w:val="20"/>
          <w:color w:val="auto"/>
        </w:rPr>
      </w:pPr>
      <w:r>
        <w:rPr>
          <w:rFonts w:ascii="Arial" w:cs="Arial" w:eastAsia="Arial" w:hAnsi="Arial"/>
          <w:sz w:val="22"/>
          <w:szCs w:val="22"/>
          <w:color w:val="auto"/>
        </w:rPr>
        <w:t>The letter agreement also provides for negotiating the framework for the entertaining of bids for the remaining part of the partnership’s business.</w:t>
      </w:r>
    </w:p>
    <w:p>
      <w:pPr>
        <w:spacing w:after="0" w:line="38" w:lineRule="exact"/>
        <w:rPr>
          <w:sz w:val="20"/>
          <w:szCs w:val="20"/>
          <w:color w:val="auto"/>
        </w:rPr>
      </w:pPr>
    </w:p>
    <w:p>
      <w:pPr>
        <w:ind w:right="1079"/>
        <w:spacing w:after="0" w:line="232" w:lineRule="auto"/>
        <w:rPr>
          <w:sz w:val="20"/>
          <w:szCs w:val="20"/>
          <w:color w:val="auto"/>
        </w:rPr>
      </w:pPr>
      <w:r>
        <w:rPr>
          <w:rFonts w:ascii="Arial" w:cs="Arial" w:eastAsia="Arial" w:hAnsi="Arial"/>
          <w:sz w:val="22"/>
          <w:szCs w:val="22"/>
          <w:color w:val="auto"/>
        </w:rPr>
        <w:t>The following table shows summarized financial information for RBS Sempra Commodities (on a GAAP basis):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24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3"/>
          </w:tcPr>
          <w:p>
            <w:pPr>
              <w:jc w:val="right"/>
              <w:ind w:right="321"/>
              <w:spacing w:after="0"/>
              <w:rPr>
                <w:sz w:val="20"/>
                <w:szCs w:val="20"/>
                <w:color w:val="auto"/>
              </w:rPr>
            </w:pPr>
            <w:r>
              <w:rPr>
                <w:rFonts w:ascii="Arial" w:cs="Arial" w:eastAsia="Arial" w:hAnsi="Arial"/>
                <w:sz w:val="14"/>
                <w:szCs w:val="14"/>
                <w:color w:val="auto"/>
              </w:rPr>
              <w:t>Three months ended March 31,</w:t>
            </w:r>
          </w:p>
        </w:tc>
        <w:tc>
          <w:tcPr>
            <w:tcW w:w="0" w:type="dxa"/>
            <w:vAlign w:val="bottom"/>
          </w:tcPr>
          <w:p>
            <w:pPr>
              <w:spacing w:after="0"/>
              <w:rPr>
                <w:sz w:val="1"/>
                <w:szCs w:val="1"/>
                <w:color w:val="auto"/>
              </w:rPr>
            </w:pPr>
          </w:p>
        </w:tc>
      </w:tr>
      <w:tr>
        <w:trPr>
          <w:trHeight w:val="156"/>
        </w:trPr>
        <w:tc>
          <w:tcPr>
            <w:tcW w:w="3180" w:type="dxa"/>
            <w:vAlign w:val="bottom"/>
            <w:tcBorders>
              <w:bottom w:val="single" w:sz="8" w:color="auto"/>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02"/>
              <w:spacing w:after="0" w:line="155" w:lineRule="exact"/>
              <w:rPr>
                <w:sz w:val="20"/>
                <w:szCs w:val="20"/>
                <w:color w:val="auto"/>
              </w:rPr>
            </w:pPr>
            <w:r>
              <w:rPr>
                <w:rFonts w:ascii="Arial" w:cs="Arial" w:eastAsia="Arial" w:hAnsi="Arial"/>
                <w:sz w:val="14"/>
                <w:szCs w:val="14"/>
                <w:color w:val="auto"/>
              </w:rPr>
              <w:t>2010</w:t>
            </w: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61"/>
              <w:spacing w:after="0" w:line="155" w:lineRule="exact"/>
              <w:rPr>
                <w:sz w:val="20"/>
                <w:szCs w:val="20"/>
                <w:color w:val="auto"/>
              </w:rPr>
            </w:pPr>
            <w:r>
              <w:rPr>
                <w:rFonts w:ascii="Arial" w:cs="Arial" w:eastAsia="Arial" w:hAnsi="Arial"/>
                <w:sz w:val="14"/>
                <w:szCs w:val="14"/>
                <w:color w:val="auto"/>
              </w:rPr>
              <w:t>2009</w:t>
            </w:r>
          </w:p>
        </w:tc>
        <w:tc>
          <w:tcPr>
            <w:tcW w:w="0" w:type="dxa"/>
            <w:vAlign w:val="bottom"/>
          </w:tcPr>
          <w:p>
            <w:pPr>
              <w:spacing w:after="0"/>
              <w:rPr>
                <w:sz w:val="1"/>
                <w:szCs w:val="1"/>
                <w:color w:val="auto"/>
              </w:rPr>
            </w:pPr>
          </w:p>
        </w:tc>
      </w:tr>
      <w:tr>
        <w:trPr>
          <w:trHeight w:val="184"/>
        </w:trPr>
        <w:tc>
          <w:tcPr>
            <w:tcW w:w="3180" w:type="dxa"/>
            <w:vAlign w:val="bottom"/>
          </w:tcPr>
          <w:p>
            <w:pPr>
              <w:spacing w:after="0"/>
              <w:rPr>
                <w:sz w:val="20"/>
                <w:szCs w:val="20"/>
                <w:color w:val="auto"/>
              </w:rPr>
            </w:pPr>
            <w:r>
              <w:rPr>
                <w:rFonts w:ascii="Arial" w:cs="Arial" w:eastAsia="Arial" w:hAnsi="Arial"/>
                <w:sz w:val="16"/>
                <w:szCs w:val="16"/>
                <w:color w:val="auto"/>
              </w:rPr>
              <w:t>Gross revenues and fee income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206</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509</w:t>
            </w:r>
          </w:p>
        </w:tc>
        <w:tc>
          <w:tcPr>
            <w:tcW w:w="0" w:type="dxa"/>
            <w:vAlign w:val="bottom"/>
          </w:tcPr>
          <w:p>
            <w:pPr>
              <w:spacing w:after="0"/>
              <w:rPr>
                <w:sz w:val="1"/>
                <w:szCs w:val="1"/>
                <w:color w:val="auto"/>
              </w:rPr>
            </w:pPr>
          </w:p>
        </w:tc>
      </w:tr>
      <w:tr>
        <w:trPr>
          <w:trHeight w:val="189"/>
        </w:trPr>
        <w:tc>
          <w:tcPr>
            <w:tcW w:w="3180" w:type="dxa"/>
            <w:vAlign w:val="bottom"/>
          </w:tcPr>
          <w:p>
            <w:pPr>
              <w:spacing w:after="0"/>
              <w:rPr>
                <w:sz w:val="20"/>
                <w:szCs w:val="20"/>
                <w:color w:val="auto"/>
              </w:rPr>
            </w:pPr>
            <w:r>
              <w:rPr>
                <w:rFonts w:ascii="Arial" w:cs="Arial" w:eastAsia="Arial" w:hAnsi="Arial"/>
                <w:sz w:val="16"/>
                <w:szCs w:val="16"/>
                <w:color w:val="auto"/>
              </w:rPr>
              <w:t>Gross profit</w:t>
            </w: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198</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486</w:t>
            </w:r>
          </w:p>
        </w:tc>
        <w:tc>
          <w:tcPr>
            <w:tcW w:w="0" w:type="dxa"/>
            <w:vAlign w:val="bottom"/>
          </w:tcPr>
          <w:p>
            <w:pPr>
              <w:spacing w:after="0"/>
              <w:rPr>
                <w:sz w:val="1"/>
                <w:szCs w:val="1"/>
                <w:color w:val="auto"/>
              </w:rPr>
            </w:pPr>
          </w:p>
        </w:tc>
      </w:tr>
      <w:tr>
        <w:trPr>
          <w:trHeight w:val="189"/>
        </w:trPr>
        <w:tc>
          <w:tcPr>
            <w:tcW w:w="3180" w:type="dxa"/>
            <w:vAlign w:val="bottom"/>
          </w:tcPr>
          <w:p>
            <w:pPr>
              <w:spacing w:after="0"/>
              <w:rPr>
                <w:sz w:val="20"/>
                <w:szCs w:val="20"/>
                <w:color w:val="auto"/>
              </w:rPr>
            </w:pPr>
            <w:r>
              <w:rPr>
                <w:rFonts w:ascii="Arial" w:cs="Arial" w:eastAsia="Arial" w:hAnsi="Arial"/>
                <w:sz w:val="16"/>
                <w:szCs w:val="16"/>
                <w:color w:val="auto"/>
              </w:rPr>
              <w:t>Income from continuing operations</w:t>
            </w: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187"/>
        </w:trPr>
        <w:tc>
          <w:tcPr>
            <w:tcW w:w="3180" w:type="dxa"/>
            <w:vAlign w:val="bottom"/>
          </w:tcPr>
          <w:p>
            <w:pPr>
              <w:spacing w:after="0"/>
              <w:rPr>
                <w:sz w:val="20"/>
                <w:szCs w:val="20"/>
                <w:color w:val="auto"/>
              </w:rPr>
            </w:pPr>
            <w:r>
              <w:rPr>
                <w:rFonts w:ascii="Arial" w:cs="Arial" w:eastAsia="Arial" w:hAnsi="Arial"/>
                <w:sz w:val="16"/>
                <w:szCs w:val="16"/>
                <w:color w:val="auto"/>
              </w:rPr>
              <w:t>Partnership net income</w:t>
            </w: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81"/>
        </w:trPr>
        <w:tc>
          <w:tcPr>
            <w:tcW w:w="3180" w:type="dxa"/>
            <w:vAlign w:val="bottom"/>
            <w:shd w:val="clear" w:color="auto" w:fill="DFDFDF"/>
          </w:tcPr>
          <w:p>
            <w:pPr>
              <w:spacing w:after="0"/>
              <w:rPr>
                <w:sz w:val="7"/>
                <w:szCs w:val="7"/>
                <w:color w:val="auto"/>
              </w:rPr>
            </w:pPr>
          </w:p>
        </w:tc>
        <w:tc>
          <w:tcPr>
            <w:tcW w:w="240" w:type="dxa"/>
            <w:vAlign w:val="bottom"/>
            <w:shd w:val="clear" w:color="auto" w:fill="DFDFDF"/>
          </w:tcPr>
          <w:p>
            <w:pPr>
              <w:spacing w:after="0"/>
              <w:rPr>
                <w:sz w:val="7"/>
                <w:szCs w:val="7"/>
                <w:color w:val="auto"/>
              </w:rPr>
            </w:pPr>
          </w:p>
        </w:tc>
        <w:tc>
          <w:tcPr>
            <w:tcW w:w="1020" w:type="dxa"/>
            <w:vAlign w:val="bottom"/>
            <w:shd w:val="clear" w:color="auto" w:fill="DFDFDF"/>
          </w:tcPr>
          <w:p>
            <w:pPr>
              <w:spacing w:after="0"/>
              <w:rPr>
                <w:sz w:val="7"/>
                <w:szCs w:val="7"/>
                <w:color w:val="auto"/>
              </w:rPr>
            </w:pPr>
          </w:p>
        </w:tc>
        <w:tc>
          <w:tcPr>
            <w:tcW w:w="360" w:type="dxa"/>
            <w:vAlign w:val="bottom"/>
            <w:shd w:val="clear" w:color="auto" w:fill="DFDFDF"/>
          </w:tcPr>
          <w:p>
            <w:pPr>
              <w:spacing w:after="0"/>
              <w:rPr>
                <w:sz w:val="7"/>
                <w:szCs w:val="7"/>
                <w:color w:val="auto"/>
              </w:rPr>
            </w:pPr>
          </w:p>
        </w:tc>
        <w:tc>
          <w:tcPr>
            <w:tcW w:w="1200" w:type="dxa"/>
            <w:vAlign w:val="bottom"/>
            <w:shd w:val="clear" w:color="auto" w:fill="DFDFDF"/>
          </w:tcPr>
          <w:p>
            <w:pPr>
              <w:spacing w:after="0"/>
              <w:rPr>
                <w:sz w:val="7"/>
                <w:szCs w:val="7"/>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We provide information regarding the Sempra Commodities segment in Note 11.</w:t>
      </w: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SEMPRA PIPELINES &amp; STORAGE</w:t>
      </w:r>
    </w:p>
    <w:p>
      <w:pPr>
        <w:spacing w:after="0" w:line="55" w:lineRule="exact"/>
        <w:rPr>
          <w:sz w:val="20"/>
          <w:szCs w:val="20"/>
          <w:color w:val="auto"/>
        </w:rPr>
      </w:pPr>
    </w:p>
    <w:p>
      <w:pPr>
        <w:ind w:right="579"/>
        <w:spacing w:after="0" w:line="216" w:lineRule="auto"/>
        <w:rPr>
          <w:sz w:val="20"/>
          <w:szCs w:val="20"/>
          <w:color w:val="auto"/>
        </w:rPr>
      </w:pPr>
      <w:r>
        <w:rPr>
          <w:rFonts w:ascii="Arial" w:cs="Arial" w:eastAsia="Arial" w:hAnsi="Arial"/>
          <w:sz w:val="22"/>
          <w:szCs w:val="22"/>
          <w:color w:val="auto"/>
        </w:rPr>
        <w:t>In the three months ended March 31, 2010, Sempra Pipelines &amp; Storage contributed $65 million to Rockies Express, a joint venture to own and operate the Rockies Express Pipeline, which was the last contribution required for the construction phase of the project. Sempra Pipelines &amp; Storage contributed $25 million in the first quarter of 2009. We discuss this investment in Note 4 of the Notes to Consolidated Financial Statements in the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61747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NOTE 5. OTHER FINANCIAL DATA</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VARIABLE INTEREST ENTITIES</w:t>
      </w:r>
    </w:p>
    <w:p>
      <w:pPr>
        <w:spacing w:after="0" w:line="69" w:lineRule="exact"/>
        <w:rPr>
          <w:sz w:val="20"/>
          <w:szCs w:val="20"/>
          <w:color w:val="auto"/>
        </w:rPr>
      </w:pPr>
    </w:p>
    <w:p>
      <w:pPr>
        <w:jc w:val="both"/>
        <w:ind w:right="839"/>
        <w:spacing w:after="0" w:line="223" w:lineRule="auto"/>
        <w:rPr>
          <w:sz w:val="20"/>
          <w:szCs w:val="20"/>
          <w:color w:val="auto"/>
        </w:rPr>
      </w:pPr>
      <w:r>
        <w:rPr>
          <w:rFonts w:ascii="Arial" w:cs="Arial" w:eastAsia="Arial" w:hAnsi="Arial"/>
          <w:sz w:val="22"/>
          <w:szCs w:val="22"/>
          <w:color w:val="auto"/>
        </w:rPr>
        <w:t>We consolidate a variable interest entity (VIE) if we are the primary beneficiary of the VIE’s activities. Our determination of whether we are the primary beneficiary is based upon qualitative and quantitative analyses, which assess</w:t>
      </w:r>
    </w:p>
    <w:p>
      <w:pPr>
        <w:spacing w:after="0" w:line="2" w:lineRule="exact"/>
        <w:rPr>
          <w:sz w:val="20"/>
          <w:szCs w:val="20"/>
          <w:color w:val="auto"/>
        </w:rPr>
      </w:pPr>
    </w:p>
    <w:p>
      <w:pPr>
        <w:ind w:left="140" w:hanging="132"/>
        <w:spacing w:after="0"/>
        <w:tabs>
          <w:tab w:leader="none" w:pos="1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purpose and design of the VIE;</w:t>
      </w:r>
    </w:p>
    <w:p>
      <w:pPr>
        <w:spacing w:after="0" w:line="3" w:lineRule="exact"/>
        <w:rPr>
          <w:rFonts w:ascii="Arial" w:cs="Arial" w:eastAsia="Arial" w:hAnsi="Arial"/>
          <w:sz w:val="22"/>
          <w:szCs w:val="22"/>
          <w:color w:val="auto"/>
        </w:rPr>
      </w:pPr>
    </w:p>
    <w:p>
      <w:pPr>
        <w:ind w:left="140" w:hanging="132"/>
        <w:spacing w:after="0"/>
        <w:tabs>
          <w:tab w:leader="none" w:pos="1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nature of the VIE's risks and the risks we absorb;</w:t>
      </w:r>
    </w:p>
    <w:p>
      <w:pPr>
        <w:spacing w:after="0" w:line="3" w:lineRule="exact"/>
        <w:rPr>
          <w:rFonts w:ascii="Arial" w:cs="Arial" w:eastAsia="Arial" w:hAnsi="Arial"/>
          <w:sz w:val="22"/>
          <w:szCs w:val="22"/>
          <w:color w:val="auto"/>
        </w:rPr>
      </w:pPr>
    </w:p>
    <w:p>
      <w:pPr>
        <w:ind w:left="180" w:right="2079" w:hanging="172"/>
        <w:spacing w:after="0" w:line="230" w:lineRule="auto"/>
        <w:tabs>
          <w:tab w:leader="none" w:pos="153"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power to direct activities that most significantly impact the economic performance of the VIE; and</w:t>
      </w:r>
    </w:p>
    <w:p>
      <w:pPr>
        <w:spacing w:after="0" w:line="1" w:lineRule="exact"/>
        <w:rPr>
          <w:rFonts w:ascii="Arial" w:cs="Arial" w:eastAsia="Arial" w:hAnsi="Arial"/>
          <w:sz w:val="22"/>
          <w:szCs w:val="22"/>
          <w:color w:val="auto"/>
        </w:rPr>
      </w:pPr>
    </w:p>
    <w:p>
      <w:pPr>
        <w:ind w:left="140" w:hanging="132"/>
        <w:spacing w:after="0"/>
        <w:tabs>
          <w:tab w:leader="none" w:pos="1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obligation to absorb losses or right to receive benefits that could be significant to the VIE.</w:t>
      </w:r>
    </w:p>
    <w:p>
      <w:pPr>
        <w:sectPr>
          <w:pgSz w:w="11900" w:h="16838" w:orient="portrait"/>
          <w:cols w:equalWidth="0" w:num="1">
            <w:col w:w="10219"/>
          </w:cols>
          <w:pgMar w:left="240" w:top="104" w:right="1440" w:bottom="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Otay Mesa VIE</w:t>
      </w:r>
    </w:p>
    <w:p>
      <w:pPr>
        <w:sectPr>
          <w:pgSz w:w="11900" w:h="16838" w:orient="portrait"/>
          <w:cols w:equalWidth="0" w:num="1">
            <w:col w:w="10219"/>
          </w:cols>
          <w:pgMar w:left="240" w:top="104" w:right="1440" w:bottom="0" w:gutter="0" w:footer="0" w:header="0"/>
          <w:type w:val="continuous"/>
        </w:sectPr>
      </w:pPr>
    </w:p>
    <w:bookmarkStart w:id="25" w:name="page26"/>
    <w:bookmarkEnd w:id="25"/>
    <w:p>
      <w:pPr>
        <w:spacing w:after="0"/>
        <w:rPr>
          <w:sz w:val="20"/>
          <w:szCs w:val="20"/>
          <w:color w:val="auto"/>
        </w:rPr>
      </w:pPr>
      <w:r>
        <w:rPr>
          <w:rFonts w:ascii="Arial" w:cs="Arial" w:eastAsia="Arial" w:hAnsi="Arial"/>
          <w:sz w:val="19"/>
          <w:szCs w:val="19"/>
          <w:color w:val="auto"/>
        </w:rPr>
        <w:t>SDG&amp;E has a 10-year agreement to purchase power generated at the Otay Mesa Energy Center (OMEC), a</w:t>
      </w:r>
    </w:p>
    <w:p>
      <w:pPr>
        <w:spacing w:after="0" w:line="17" w:lineRule="exact"/>
        <w:rPr>
          <w:sz w:val="20"/>
          <w:szCs w:val="20"/>
          <w:color w:val="auto"/>
        </w:rPr>
      </w:pPr>
    </w:p>
    <w:p>
      <w:pPr>
        <w:ind w:right="519"/>
        <w:spacing w:after="0" w:line="245" w:lineRule="auto"/>
        <w:rPr>
          <w:sz w:val="20"/>
          <w:szCs w:val="20"/>
          <w:color w:val="auto"/>
        </w:rPr>
      </w:pPr>
      <w:r>
        <w:rPr>
          <w:rFonts w:ascii="Arial" w:cs="Arial" w:eastAsia="Arial" w:hAnsi="Arial"/>
          <w:sz w:val="19"/>
          <w:szCs w:val="19"/>
          <w:color w:val="auto"/>
        </w:rPr>
        <w:t>573-megawatt (MW) generating facility that began commercial operations in October 2009. SDG&amp;E supplies all of the natural gas to fuel the power plant and purchases its electric generation output (i.e., tolling). The agreement provides SDG&amp;E with the option to purchase the power plant at the end of the contract term in 2019, or upon earlier termination of the purchased-power agreement, at a predetermined price subject to adjustments based on performance of the facility. If SDG&amp;E does not exercise its option, under certain circumstances, it may be required to purchase the power plant at a predetermined price.</w:t>
      </w:r>
    </w:p>
    <w:p>
      <w:pPr>
        <w:spacing w:after="0" w:line="35" w:lineRule="exact"/>
        <w:rPr>
          <w:sz w:val="20"/>
          <w:szCs w:val="20"/>
          <w:color w:val="auto"/>
        </w:rPr>
      </w:pPr>
    </w:p>
    <w:p>
      <w:pPr>
        <w:ind w:right="499"/>
        <w:spacing w:after="0" w:line="281" w:lineRule="auto"/>
        <w:rPr>
          <w:sz w:val="20"/>
          <w:szCs w:val="20"/>
          <w:color w:val="auto"/>
        </w:rPr>
      </w:pPr>
      <w:r>
        <w:rPr>
          <w:rFonts w:ascii="Arial" w:cs="Arial" w:eastAsia="Arial" w:hAnsi="Arial"/>
          <w:sz w:val="19"/>
          <w:szCs w:val="19"/>
          <w:color w:val="auto"/>
        </w:rPr>
        <w:t>The facility owner, Otay Mesa Energy Center LLC (OMEC LLC), is a VIE (Otay Mesa VIE), of which SDG&amp;E is the primary beneficiary. SDG&amp;E has no OMEC LLC voting rights and does not operate OMEC.</w:t>
      </w:r>
    </w:p>
    <w:p>
      <w:pPr>
        <w:spacing w:after="0" w:line="2" w:lineRule="exact"/>
        <w:rPr>
          <w:sz w:val="20"/>
          <w:szCs w:val="20"/>
          <w:color w:val="auto"/>
        </w:rPr>
      </w:pPr>
    </w:p>
    <w:p>
      <w:pPr>
        <w:ind w:right="499"/>
        <w:spacing w:after="0" w:line="220" w:lineRule="auto"/>
        <w:rPr>
          <w:sz w:val="20"/>
          <w:szCs w:val="20"/>
          <w:color w:val="auto"/>
        </w:rPr>
      </w:pPr>
      <w:r>
        <w:rPr>
          <w:rFonts w:ascii="Arial" w:cs="Arial" w:eastAsia="Arial" w:hAnsi="Arial"/>
          <w:sz w:val="21"/>
          <w:szCs w:val="21"/>
          <w:color w:val="auto"/>
        </w:rPr>
        <w:t>SDG&amp;E has the power to direct the dispatch of OMEC's electrical production. Based upon our analysis, this power most significantly impacts the economic performance of Otay Mesa VIE because of the associated exposure to the cost of natural gas, which fuels the plant, and the value of electricity produced. In addition, SDG&amp;E absorbs significant risks of Otay Mesa VIE under the tolling agreement, whereby SDG&amp;E is obligated to purchase and provide fuel to Otay Mesa VIE and purchase all output for the term of the agreement. Separately, through the put option, SDG&amp;E absorbs a significant portion of the risk that the value of Otay Mesa VIE could decline. Accordingly, Sempra Energy and SDG&amp;E have consolidated Otay Mesa VIE since the second quarter of 2007, and have continued to consolidate it in the first quarter of 2010. Otay Mesa VIE's equity of $138 million and $146 million is included on the Condensed Consolidated Balance Shee ts in Other Noncontrolling Interests for Sempra Energy and in Noncontrolling Interests for SDG&amp;E at March 31, 2010 and December 31, 2009, respectively.</w:t>
      </w:r>
    </w:p>
    <w:p>
      <w:pPr>
        <w:spacing w:after="0" w:line="37" w:lineRule="exact"/>
        <w:rPr>
          <w:sz w:val="20"/>
          <w:szCs w:val="20"/>
          <w:color w:val="auto"/>
        </w:rPr>
      </w:pPr>
    </w:p>
    <w:p>
      <w:pPr>
        <w:ind w:right="539"/>
        <w:spacing w:after="0" w:line="249" w:lineRule="auto"/>
        <w:rPr>
          <w:sz w:val="20"/>
          <w:szCs w:val="20"/>
          <w:color w:val="auto"/>
        </w:rPr>
      </w:pPr>
      <w:r>
        <w:rPr>
          <w:rFonts w:ascii="Arial" w:cs="Arial" w:eastAsia="Arial" w:hAnsi="Arial"/>
          <w:sz w:val="19"/>
          <w:szCs w:val="19"/>
          <w:color w:val="auto"/>
        </w:rPr>
        <w:t>OMEC LLC has a loan outstanding of $372 million at March 31, 2010, the proceeds of which were used for the construction of OMEC. The loan is with third party lenders and is secured by OMEC's property, plant and equipment. SDG&amp;E is not a party to the loan agreement and does not have any additional implicit or explicit financial responsibility to OMEC LLC. The loan matures in April 2019 and bears interest at rates varying with market rates. In addition, OMEC LLC has entered into interest rate swap agreements to moderate its exposure to interest rate changes. We provide additional information concerning the interest rate swaps in Note 7.</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Orange Grove VIE</w:t>
      </w:r>
    </w:p>
    <w:p>
      <w:pPr>
        <w:spacing w:after="0" w:line="20" w:lineRule="exact"/>
        <w:rPr>
          <w:sz w:val="20"/>
          <w:szCs w:val="20"/>
          <w:color w:val="auto"/>
        </w:rPr>
      </w:pPr>
    </w:p>
    <w:p>
      <w:pPr>
        <w:ind w:right="499"/>
        <w:spacing w:after="0" w:line="242" w:lineRule="auto"/>
        <w:rPr>
          <w:sz w:val="20"/>
          <w:szCs w:val="20"/>
          <w:color w:val="auto"/>
        </w:rPr>
      </w:pPr>
      <w:r>
        <w:rPr>
          <w:rFonts w:ascii="Arial" w:cs="Arial" w:eastAsia="Arial" w:hAnsi="Arial"/>
          <w:sz w:val="19"/>
          <w:szCs w:val="19"/>
          <w:color w:val="auto"/>
        </w:rPr>
        <w:t>SDG&amp;E has a 25-year tolling agreement to purchase power generated by Orange Grove Energy L.P. (Orange Grove), at its 94-MW generating facility located in San Diego County, California. We expect the facility to be available for commercial operation during the second quarter of 2010. Orange Grove is a VIE (Orange Grove VIE) of which SDG&amp;E is the primary beneficiary. SDG&amp;E has the power to direct the dispatch of electrical production of Orange Grove VIE. Based on our analysis, this power most significantly impacts the economic performance of Orange Grove VIE because of the corresponding exposure to the cost of natural gas, which fuels the plant, and the value of electricity produced. In addition, SDG&amp;E absorbs significant risks of Orange Grove VIE under the tolling arrangement, whereby SDG&amp;E is obligated to purchase and provide fuel to Orange Grove VIE and purchase all output for the term of the agreement. Sempra Energy and S DG&amp;E consolidated Orange Grove VIE beginning with the third quarter of 2009, when all of the conditions precedent in the purchased-power agreement were satisfied, and continued to do so in the first quarter of 2010.</w:t>
      </w:r>
    </w:p>
    <w:p>
      <w:pPr>
        <w:sectPr>
          <w:pgSz w:w="11900" w:h="16838" w:orient="portrait"/>
          <w:cols w:equalWidth="0" w:num="1">
            <w:col w:w="10219"/>
          </w:cols>
          <w:pgMar w:left="240" w:top="104" w:right="1440" w:bottom="1440" w:gutter="0" w:footer="0" w:header="0"/>
        </w:sectPr>
      </w:pPr>
    </w:p>
    <w:bookmarkStart w:id="26" w:name="page27"/>
    <w:bookmarkEnd w:id="26"/>
    <w:p>
      <w:pPr>
        <w:ind w:right="659"/>
        <w:spacing w:after="0" w:line="221" w:lineRule="auto"/>
        <w:rPr>
          <w:sz w:val="20"/>
          <w:szCs w:val="20"/>
          <w:color w:val="auto"/>
        </w:rPr>
      </w:pPr>
      <w:r>
        <w:rPr>
          <w:rFonts w:ascii="Arial" w:cs="Arial" w:eastAsia="Arial" w:hAnsi="Arial"/>
          <w:sz w:val="21"/>
          <w:szCs w:val="21"/>
          <w:color w:val="auto"/>
        </w:rPr>
        <w:t>Orange Grove has credit facilities that provide for a total of $100 million for construction of the generating facility. These credit agreements are with a third party lender and are secured by Orange Grove's assets. SDG&amp;E is not a party to the credit agreements and does not have any additional implicit or explicit financial responsibility to Orange Grove. When Orange Grove completes construction of the generating facility, or on June 30, 2010 if construction is not completed by that date, the credit facilities will convert to a term loan that matures in June 2035. Borrowings under the credit facilities bear interest at rates varying with market rates. At March 31, 2010, Orange Grove had $90 million of outstanding borrowings under the credit facilities and $3 million of letters of credit supported by the facilities. In addition, Orange Grove has a short-term loan outstanding of $36 million.</w:t>
      </w:r>
    </w:p>
    <w:p>
      <w:pPr>
        <w:spacing w:after="0" w:line="39" w:lineRule="exact"/>
        <w:rPr>
          <w:sz w:val="20"/>
          <w:szCs w:val="20"/>
          <w:color w:val="auto"/>
        </w:rPr>
      </w:pPr>
    </w:p>
    <w:p>
      <w:pPr>
        <w:ind w:right="1019"/>
        <w:spacing w:after="0" w:line="232" w:lineRule="auto"/>
        <w:rPr>
          <w:sz w:val="20"/>
          <w:szCs w:val="20"/>
          <w:color w:val="auto"/>
        </w:rPr>
      </w:pPr>
      <w:r>
        <w:rPr>
          <w:rFonts w:ascii="Arial" w:cs="Arial" w:eastAsia="Arial" w:hAnsi="Arial"/>
          <w:sz w:val="22"/>
          <w:szCs w:val="22"/>
          <w:color w:val="auto"/>
        </w:rPr>
        <w:t>We provide additional information about Otay Mesa VIE and Orange Grove VIE in Note 1 of the Notes to Consolidated Financial Statements in the Annual Report.</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Variable Interest Entities</w:t>
      </w:r>
    </w:p>
    <w:p>
      <w:pPr>
        <w:spacing w:after="0" w:line="22" w:lineRule="exact"/>
        <w:rPr>
          <w:sz w:val="20"/>
          <w:szCs w:val="20"/>
          <w:color w:val="auto"/>
        </w:rPr>
      </w:pPr>
    </w:p>
    <w:p>
      <w:pPr>
        <w:ind w:right="539"/>
        <w:spacing w:after="0" w:line="242" w:lineRule="auto"/>
        <w:rPr>
          <w:sz w:val="20"/>
          <w:szCs w:val="20"/>
          <w:color w:val="auto"/>
        </w:rPr>
      </w:pPr>
      <w:r>
        <w:rPr>
          <w:rFonts w:ascii="Arial" w:cs="Arial" w:eastAsia="Arial" w:hAnsi="Arial"/>
          <w:sz w:val="19"/>
          <w:szCs w:val="19"/>
          <w:color w:val="auto"/>
        </w:rPr>
        <w:t>SDG&amp;E's power procurement is subject to reliability requirements that may require SDG&amp;E to enter into various power purchase arrangements which include variable interests. SDG&amp;E evaluates these contracts to determine if variable interests exist and, based on the qualitative and quantitative analyses described above, if SDG&amp;E, and thereby Sempra Energy, is the primary beneficiary. SDG&amp;E has determined that no contracts other than those relating to Otay Mesa VIE and Orange Grove VIE result in SDG&amp;E being the primary beneficiary. Other variable interests involve various elements of fuel and power costs, including certain construction costs, tax credits, and other components of cash flow expected to be paid to or received by our counterparties. In most of theses cases, the expectation of variability is not substantial, and SDG&amp;E generally does not have the power to direct activities that most significantly impact the e conomic performance of the other VIEs. If our ongoing evaluation of these VIEs were to conclude that SDG&amp;E becomes the primary beneficiary and consolidation by SDG&amp;E becomes necessary, the effects are not expected to significantly affect the financial position, results of operations, or liquidity of SDG&amp;E. SDG&amp;E is not exposed to losses or gains as a result of these other VIEs, because all such variability would be recovered in rates.</w:t>
      </w:r>
    </w:p>
    <w:p>
      <w:pPr>
        <w:spacing w:after="0" w:line="40" w:lineRule="exact"/>
        <w:rPr>
          <w:sz w:val="20"/>
          <w:szCs w:val="20"/>
          <w:color w:val="auto"/>
        </w:rPr>
      </w:pPr>
    </w:p>
    <w:p>
      <w:pPr>
        <w:ind w:right="699"/>
        <w:spacing w:after="0" w:line="218" w:lineRule="auto"/>
        <w:rPr>
          <w:sz w:val="20"/>
          <w:szCs w:val="20"/>
          <w:color w:val="auto"/>
        </w:rPr>
      </w:pPr>
      <w:r>
        <w:rPr>
          <w:rFonts w:ascii="Arial" w:cs="Arial" w:eastAsia="Arial" w:hAnsi="Arial"/>
          <w:sz w:val="22"/>
          <w:szCs w:val="22"/>
          <w:color w:val="auto"/>
        </w:rPr>
        <w:t>Sempra Energy’s other business units also enter into arrangements which could include variable interests. We evaluate these contracts based upon the qualitative and quantitative analyses described above. We have determined that these contracts are not variable interests in a VIE and therefore are not subject to the requirements of ASU 2009-17.</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PENSION AND OTHER POSTRETIREMENT BENEFITS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Net Periodic Benefit Cost</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three tables provide the components of net periodic benefit cost:</w:t>
      </w: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PERIODIC BENEFIT COST -- SEMPRA ENERGY CONSOLIDATED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5368290" cy="2317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368290" cy="23177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8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57"/>
        </w:trPr>
        <w:tc>
          <w:tcPr>
            <w:tcW w:w="3380" w:type="dxa"/>
            <w:vAlign w:val="bottom"/>
          </w:tcPr>
          <w:p>
            <w:pPr>
              <w:spacing w:after="0"/>
              <w:rPr>
                <w:sz w:val="13"/>
                <w:szCs w:val="13"/>
                <w:color w:val="auto"/>
              </w:rPr>
            </w:pPr>
          </w:p>
        </w:tc>
        <w:tc>
          <w:tcPr>
            <w:tcW w:w="2160" w:type="dxa"/>
            <w:vAlign w:val="bottom"/>
            <w:tcBorders>
              <w:bottom w:val="single" w:sz="8" w:color="auto"/>
            </w:tcBorders>
            <w:gridSpan w:val="3"/>
          </w:tcPr>
          <w:p>
            <w:pPr>
              <w:jc w:val="right"/>
              <w:ind w:right="265"/>
              <w:spacing w:after="0" w:line="157" w:lineRule="exact"/>
              <w:rPr>
                <w:sz w:val="20"/>
                <w:szCs w:val="20"/>
                <w:color w:val="auto"/>
              </w:rPr>
            </w:pPr>
            <w:r>
              <w:rPr>
                <w:rFonts w:ascii="Arial" w:cs="Arial" w:eastAsia="Arial" w:hAnsi="Arial"/>
                <w:sz w:val="14"/>
                <w:szCs w:val="14"/>
                <w:color w:val="auto"/>
              </w:rPr>
              <w:t>Pension Benefits</w:t>
            </w:r>
          </w:p>
        </w:tc>
        <w:tc>
          <w:tcPr>
            <w:tcW w:w="3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3"/>
          </w:tcPr>
          <w:p>
            <w:pPr>
              <w:jc w:val="right"/>
              <w:ind w:right="240"/>
              <w:spacing w:after="0" w:line="157" w:lineRule="exact"/>
              <w:rPr>
                <w:sz w:val="20"/>
                <w:szCs w:val="20"/>
                <w:color w:val="auto"/>
              </w:rPr>
            </w:pPr>
            <w:r>
              <w:rPr>
                <w:rFonts w:ascii="Arial" w:cs="Arial" w:eastAsia="Arial" w:hAnsi="Arial"/>
                <w:sz w:val="14"/>
                <w:szCs w:val="14"/>
                <w:color w:val="auto"/>
              </w:rPr>
              <w:t>Other Postretirement Benefits</w:t>
            </w:r>
          </w:p>
        </w:tc>
      </w:tr>
      <w:tr>
        <w:trPr>
          <w:trHeight w:val="169"/>
        </w:trPr>
        <w:tc>
          <w:tcPr>
            <w:tcW w:w="3380" w:type="dxa"/>
            <w:vAlign w:val="bottom"/>
          </w:tcPr>
          <w:p>
            <w:pPr>
              <w:spacing w:after="0"/>
              <w:rPr>
                <w:sz w:val="14"/>
                <w:szCs w:val="14"/>
                <w:color w:val="auto"/>
              </w:rPr>
            </w:pPr>
          </w:p>
        </w:tc>
        <w:tc>
          <w:tcPr>
            <w:tcW w:w="2540" w:type="dxa"/>
            <w:vAlign w:val="bottom"/>
            <w:tcBorders>
              <w:bottom w:val="single" w:sz="8" w:color="auto"/>
            </w:tcBorders>
            <w:gridSpan w:val="4"/>
          </w:tcPr>
          <w:p>
            <w:pPr>
              <w:jc w:val="right"/>
              <w:ind w:right="179"/>
              <w:spacing w:after="0"/>
              <w:rPr>
                <w:sz w:val="20"/>
                <w:szCs w:val="20"/>
                <w:color w:val="auto"/>
              </w:rPr>
            </w:pPr>
            <w:r>
              <w:rPr>
                <w:rFonts w:ascii="Arial" w:cs="Arial" w:eastAsia="Arial" w:hAnsi="Arial"/>
                <w:sz w:val="14"/>
                <w:szCs w:val="14"/>
                <w:color w:val="auto"/>
              </w:rPr>
              <w:t>Three months ended March 31,</w:t>
            </w:r>
          </w:p>
        </w:tc>
        <w:tc>
          <w:tcPr>
            <w:tcW w:w="18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Three months ended March 31,</w:t>
            </w:r>
          </w:p>
        </w:tc>
      </w:tr>
      <w:tr>
        <w:trPr>
          <w:trHeight w:val="196"/>
        </w:trPr>
        <w:tc>
          <w:tcPr>
            <w:tcW w:w="3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color w:val="auto"/>
              </w:rPr>
              <w:t>2010</w:t>
            </w: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color w:val="auto"/>
              </w:rPr>
              <w:t>2009</w:t>
            </w:r>
          </w:p>
        </w:tc>
        <w:tc>
          <w:tcPr>
            <w:tcW w:w="3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color w:val="auto"/>
              </w:rPr>
              <w:t>2010</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2009</w:t>
            </w:r>
          </w:p>
        </w:tc>
      </w:tr>
      <w:tr>
        <w:trPr>
          <w:trHeight w:val="184"/>
        </w:trPr>
        <w:tc>
          <w:tcPr>
            <w:tcW w:w="3380" w:type="dxa"/>
            <w:vAlign w:val="bottom"/>
          </w:tcPr>
          <w:p>
            <w:pPr>
              <w:spacing w:after="0"/>
              <w:rPr>
                <w:sz w:val="20"/>
                <w:szCs w:val="20"/>
                <w:color w:val="auto"/>
              </w:rPr>
            </w:pPr>
            <w:r>
              <w:rPr>
                <w:rFonts w:ascii="Arial" w:cs="Arial" w:eastAsia="Arial" w:hAnsi="Arial"/>
                <w:sz w:val="16"/>
                <w:szCs w:val="16"/>
                <w:color w:val="auto"/>
              </w:rPr>
              <w:t>Service cost</w:t>
            </w:r>
          </w:p>
        </w:tc>
        <w:tc>
          <w:tcPr>
            <w:tcW w:w="880" w:type="dxa"/>
            <w:vAlign w:val="bottom"/>
          </w:tcPr>
          <w:p>
            <w:pPr>
              <w:jc w:val="right"/>
              <w:ind w:right="704"/>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22</w:t>
            </w:r>
          </w:p>
        </w:tc>
        <w:tc>
          <w:tcPr>
            <w:tcW w:w="880" w:type="dxa"/>
            <w:vAlign w:val="bottom"/>
          </w:tcPr>
          <w:p>
            <w:pPr>
              <w:jc w:val="right"/>
              <w:ind w:right="725"/>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19</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189"/>
        </w:trPr>
        <w:tc>
          <w:tcPr>
            <w:tcW w:w="3380" w:type="dxa"/>
            <w:vAlign w:val="bottom"/>
          </w:tcPr>
          <w:p>
            <w:pPr>
              <w:spacing w:after="0"/>
              <w:rPr>
                <w:sz w:val="20"/>
                <w:szCs w:val="20"/>
                <w:color w:val="auto"/>
              </w:rPr>
            </w:pPr>
            <w:r>
              <w:rPr>
                <w:rFonts w:ascii="Arial" w:cs="Arial" w:eastAsia="Arial" w:hAnsi="Arial"/>
                <w:sz w:val="16"/>
                <w:szCs w:val="16"/>
                <w:color w:val="auto"/>
              </w:rPr>
              <w:t>Interest cost</w:t>
            </w:r>
          </w:p>
        </w:tc>
        <w:tc>
          <w:tcPr>
            <w:tcW w:w="8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43</w:t>
            </w:r>
          </w:p>
        </w:tc>
        <w:tc>
          <w:tcPr>
            <w:tcW w:w="8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43</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189"/>
        </w:trPr>
        <w:tc>
          <w:tcPr>
            <w:tcW w:w="3380" w:type="dxa"/>
            <w:vAlign w:val="bottom"/>
          </w:tcPr>
          <w:p>
            <w:pPr>
              <w:spacing w:after="0"/>
              <w:rPr>
                <w:sz w:val="20"/>
                <w:szCs w:val="20"/>
                <w:color w:val="auto"/>
              </w:rPr>
            </w:pPr>
            <w:r>
              <w:rPr>
                <w:rFonts w:ascii="Arial" w:cs="Arial" w:eastAsia="Arial" w:hAnsi="Arial"/>
                <w:sz w:val="16"/>
                <w:szCs w:val="16"/>
                <w:color w:val="auto"/>
              </w:rPr>
              <w:t>Expected return on assets</w:t>
            </w:r>
          </w:p>
        </w:tc>
        <w:tc>
          <w:tcPr>
            <w:tcW w:w="8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(36)</w:t>
            </w:r>
          </w:p>
        </w:tc>
        <w:tc>
          <w:tcPr>
            <w:tcW w:w="8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(35)</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189"/>
        </w:trPr>
        <w:tc>
          <w:tcPr>
            <w:tcW w:w="3380" w:type="dxa"/>
            <w:vAlign w:val="bottom"/>
          </w:tcPr>
          <w:p>
            <w:pPr>
              <w:spacing w:after="0"/>
              <w:rPr>
                <w:sz w:val="20"/>
                <w:szCs w:val="20"/>
                <w:color w:val="auto"/>
              </w:rPr>
            </w:pPr>
            <w:r>
              <w:rPr>
                <w:rFonts w:ascii="Arial" w:cs="Arial" w:eastAsia="Arial" w:hAnsi="Arial"/>
                <w:sz w:val="16"/>
                <w:szCs w:val="16"/>
                <w:color w:val="auto"/>
              </w:rPr>
              <w:t>Amortization of:</w:t>
            </w: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9"/>
        </w:trPr>
        <w:tc>
          <w:tcPr>
            <w:tcW w:w="3380" w:type="dxa"/>
            <w:vAlign w:val="bottom"/>
          </w:tcPr>
          <w:p>
            <w:pPr>
              <w:ind w:left="180"/>
              <w:spacing w:after="0"/>
              <w:rPr>
                <w:sz w:val="20"/>
                <w:szCs w:val="20"/>
                <w:color w:val="auto"/>
              </w:rPr>
            </w:pPr>
            <w:r>
              <w:rPr>
                <w:rFonts w:ascii="Arial" w:cs="Arial" w:eastAsia="Arial" w:hAnsi="Arial"/>
                <w:sz w:val="16"/>
                <w:szCs w:val="16"/>
                <w:color w:val="auto"/>
              </w:rPr>
              <w:t>Prior service cost</w:t>
            </w:r>
          </w:p>
        </w:tc>
        <w:tc>
          <w:tcPr>
            <w:tcW w:w="8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w:t>
            </w:r>
          </w:p>
        </w:tc>
        <w:tc>
          <w:tcPr>
            <w:tcW w:w="8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3380" w:type="dxa"/>
            <w:vAlign w:val="bottom"/>
          </w:tcPr>
          <w:p>
            <w:pPr>
              <w:ind w:left="180"/>
              <w:spacing w:after="0"/>
              <w:rPr>
                <w:sz w:val="20"/>
                <w:szCs w:val="20"/>
                <w:color w:val="auto"/>
              </w:rPr>
            </w:pPr>
            <w:r>
              <w:rPr>
                <w:rFonts w:ascii="Arial" w:cs="Arial" w:eastAsia="Arial" w:hAnsi="Arial"/>
                <w:sz w:val="16"/>
                <w:szCs w:val="16"/>
                <w:color w:val="auto"/>
              </w:rPr>
              <w:t>Actuarial loss</w:t>
            </w:r>
          </w:p>
        </w:tc>
        <w:tc>
          <w:tcPr>
            <w:tcW w:w="8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8</w:t>
            </w:r>
          </w:p>
        </w:tc>
        <w:tc>
          <w:tcPr>
            <w:tcW w:w="8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6</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187"/>
        </w:trPr>
        <w:tc>
          <w:tcPr>
            <w:tcW w:w="3380" w:type="dxa"/>
            <w:vAlign w:val="bottom"/>
          </w:tcPr>
          <w:p>
            <w:pPr>
              <w:spacing w:after="0"/>
              <w:rPr>
                <w:sz w:val="20"/>
                <w:szCs w:val="20"/>
                <w:color w:val="auto"/>
              </w:rPr>
            </w:pPr>
            <w:r>
              <w:rPr>
                <w:rFonts w:ascii="Arial" w:cs="Arial" w:eastAsia="Arial" w:hAnsi="Arial"/>
                <w:sz w:val="16"/>
                <w:szCs w:val="16"/>
                <w:color w:val="auto"/>
              </w:rPr>
              <w:t>Regulatory adjustment</w:t>
            </w:r>
          </w:p>
        </w:tc>
        <w:tc>
          <w:tcPr>
            <w:tcW w:w="8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8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183"/>
        </w:trPr>
        <w:tc>
          <w:tcPr>
            <w:tcW w:w="3380" w:type="dxa"/>
            <w:vAlign w:val="bottom"/>
          </w:tcPr>
          <w:p>
            <w:pPr>
              <w:spacing w:after="0" w:line="183" w:lineRule="exact"/>
              <w:rPr>
                <w:sz w:val="20"/>
                <w:szCs w:val="20"/>
                <w:color w:val="auto"/>
              </w:rPr>
            </w:pPr>
            <w:r>
              <w:rPr>
                <w:rFonts w:ascii="Arial" w:cs="Arial" w:eastAsia="Arial" w:hAnsi="Arial"/>
                <w:sz w:val="16"/>
                <w:szCs w:val="16"/>
                <w:color w:val="auto"/>
              </w:rPr>
              <w:t>Total net periodic benefit cost</w:t>
            </w:r>
          </w:p>
        </w:tc>
        <w:tc>
          <w:tcPr>
            <w:tcW w:w="880" w:type="dxa"/>
            <w:vAlign w:val="bottom"/>
          </w:tcPr>
          <w:p>
            <w:pPr>
              <w:jc w:val="right"/>
              <w:ind w:right="704"/>
              <w:spacing w:after="0" w:line="183" w:lineRule="exact"/>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line="183" w:lineRule="exact"/>
              <w:rPr>
                <w:sz w:val="20"/>
                <w:szCs w:val="20"/>
                <w:color w:val="auto"/>
              </w:rPr>
            </w:pPr>
            <w:r>
              <w:rPr>
                <w:rFonts w:ascii="Arial" w:cs="Arial" w:eastAsia="Arial" w:hAnsi="Arial"/>
                <w:sz w:val="16"/>
                <w:szCs w:val="16"/>
                <w:color w:val="auto"/>
              </w:rPr>
              <w:t>9</w:t>
            </w:r>
          </w:p>
        </w:tc>
        <w:tc>
          <w:tcPr>
            <w:tcW w:w="880" w:type="dxa"/>
            <w:vAlign w:val="bottom"/>
          </w:tcPr>
          <w:p>
            <w:pPr>
              <w:jc w:val="right"/>
              <w:ind w:right="725"/>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line="183" w:lineRule="exact"/>
              <w:rPr>
                <w:sz w:val="20"/>
                <w:szCs w:val="20"/>
                <w:color w:val="auto"/>
              </w:rPr>
            </w:pPr>
            <w:r>
              <w:rPr>
                <w:rFonts w:ascii="Arial" w:cs="Arial" w:eastAsia="Arial" w:hAnsi="Arial"/>
                <w:sz w:val="16"/>
                <w:szCs w:val="16"/>
                <w:color w:val="auto"/>
              </w:rPr>
              <w:t>8</w:t>
            </w:r>
          </w:p>
        </w:tc>
        <w:tc>
          <w:tcPr>
            <w:tcW w:w="18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line="183" w:lineRule="exact"/>
              <w:rPr>
                <w:sz w:val="20"/>
                <w:szCs w:val="20"/>
                <w:color w:val="auto"/>
              </w:rPr>
            </w:pPr>
            <w:r>
              <w:rPr>
                <w:rFonts w:ascii="Arial" w:cs="Arial" w:eastAsia="Arial" w:hAnsi="Arial"/>
                <w:sz w:val="16"/>
                <w:szCs w:val="16"/>
                <w:color w:val="auto"/>
              </w:rPr>
              <w:t>14</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9</w:t>
            </w:r>
          </w:p>
        </w:tc>
      </w:tr>
      <w:tr>
        <w:trPr>
          <w:trHeight w:val="81"/>
        </w:trPr>
        <w:tc>
          <w:tcPr>
            <w:tcW w:w="338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40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380" w:type="dxa"/>
            <w:vAlign w:val="bottom"/>
            <w:shd w:val="clear" w:color="auto" w:fill="000000"/>
          </w:tcPr>
          <w:p>
            <w:pPr>
              <w:spacing w:after="0"/>
              <w:rPr>
                <w:sz w:val="7"/>
                <w:szCs w:val="7"/>
                <w:color w:val="auto"/>
              </w:rPr>
            </w:pPr>
          </w:p>
        </w:tc>
        <w:tc>
          <w:tcPr>
            <w:tcW w:w="180" w:type="dxa"/>
            <w:vAlign w:val="bottom"/>
            <w:shd w:val="clear" w:color="auto" w:fill="000000"/>
          </w:tcPr>
          <w:p>
            <w:pPr>
              <w:spacing w:after="0"/>
              <w:rPr>
                <w:sz w:val="7"/>
                <w:szCs w:val="7"/>
                <w:color w:val="auto"/>
              </w:rPr>
            </w:pPr>
          </w:p>
        </w:tc>
        <w:tc>
          <w:tcPr>
            <w:tcW w:w="110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1000" w:type="dxa"/>
            <w:vAlign w:val="bottom"/>
            <w:shd w:val="clear" w:color="auto" w:fill="000000"/>
          </w:tcPr>
          <w:p>
            <w:pPr>
              <w:spacing w:after="0"/>
              <w:rPr>
                <w:sz w:val="7"/>
                <w:szCs w:val="7"/>
                <w:color w:val="auto"/>
              </w:rPr>
            </w:pPr>
          </w:p>
        </w:tc>
      </w:tr>
    </w:tbl>
    <w:p>
      <w:pPr>
        <w:sectPr>
          <w:pgSz w:w="11900" w:h="16838" w:orient="portrait"/>
          <w:cols w:equalWidth="0" w:num="1">
            <w:col w:w="10219"/>
          </w:cols>
          <w:pgMar w:left="240" w:top="104" w:right="1440"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color w:val="auto"/>
        </w:rPr>
        <w:t>NET PERIODIC BENEFIT COST -- SDG&amp;E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5368290" cy="2317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68290" cy="23177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8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57"/>
        </w:trPr>
        <w:tc>
          <w:tcPr>
            <w:tcW w:w="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160" w:type="dxa"/>
            <w:vAlign w:val="bottom"/>
            <w:tcBorders>
              <w:bottom w:val="single" w:sz="8" w:color="auto"/>
            </w:tcBorders>
            <w:gridSpan w:val="3"/>
          </w:tcPr>
          <w:p>
            <w:pPr>
              <w:jc w:val="center"/>
              <w:ind w:left="324"/>
              <w:spacing w:after="0" w:line="157" w:lineRule="exact"/>
              <w:rPr>
                <w:sz w:val="20"/>
                <w:szCs w:val="20"/>
                <w:color w:val="auto"/>
              </w:rPr>
            </w:pPr>
            <w:r>
              <w:rPr>
                <w:rFonts w:ascii="Arial" w:cs="Arial" w:eastAsia="Arial" w:hAnsi="Arial"/>
                <w:sz w:val="14"/>
                <w:szCs w:val="14"/>
                <w:color w:val="auto"/>
              </w:rPr>
              <w:t>Pension Benefits</w:t>
            </w:r>
          </w:p>
        </w:tc>
        <w:tc>
          <w:tcPr>
            <w:tcW w:w="3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340" w:type="dxa"/>
            <w:vAlign w:val="bottom"/>
            <w:tcBorders>
              <w:bottom w:val="single" w:sz="8" w:color="auto"/>
            </w:tcBorders>
            <w:gridSpan w:val="3"/>
          </w:tcPr>
          <w:p>
            <w:pPr>
              <w:jc w:val="right"/>
              <w:ind w:right="240"/>
              <w:spacing w:after="0" w:line="157" w:lineRule="exact"/>
              <w:rPr>
                <w:sz w:val="20"/>
                <w:szCs w:val="20"/>
                <w:color w:val="auto"/>
              </w:rPr>
            </w:pPr>
            <w:r>
              <w:rPr>
                <w:rFonts w:ascii="Arial" w:cs="Arial" w:eastAsia="Arial" w:hAnsi="Arial"/>
                <w:sz w:val="14"/>
                <w:szCs w:val="14"/>
                <w:color w:val="auto"/>
              </w:rPr>
              <w:t>Other Postretirement Benefits</w:t>
            </w:r>
          </w:p>
        </w:tc>
        <w:tc>
          <w:tcPr>
            <w:tcW w:w="60" w:type="dxa"/>
            <w:vAlign w:val="bottom"/>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540" w:type="dxa"/>
            <w:vAlign w:val="bottom"/>
            <w:gridSpan w:val="4"/>
          </w:tcPr>
          <w:p>
            <w:pPr>
              <w:jc w:val="center"/>
              <w:spacing w:after="0"/>
              <w:rPr>
                <w:sz w:val="20"/>
                <w:szCs w:val="20"/>
                <w:color w:val="auto"/>
              </w:rPr>
            </w:pPr>
            <w:r>
              <w:rPr>
                <w:rFonts w:ascii="Arial" w:cs="Arial" w:eastAsia="Arial" w:hAnsi="Arial"/>
                <w:sz w:val="14"/>
                <w:szCs w:val="14"/>
                <w:color w:val="auto"/>
              </w:rPr>
              <w:t>Three months ended March 31,</w:t>
            </w:r>
          </w:p>
        </w:tc>
        <w:tc>
          <w:tcPr>
            <w:tcW w:w="200" w:type="dxa"/>
            <w:vAlign w:val="bottom"/>
          </w:tcPr>
          <w:p>
            <w:pPr>
              <w:spacing w:after="0"/>
              <w:rPr>
                <w:sz w:val="14"/>
                <w:szCs w:val="14"/>
                <w:color w:val="auto"/>
              </w:rPr>
            </w:pPr>
          </w:p>
        </w:tc>
        <w:tc>
          <w:tcPr>
            <w:tcW w:w="2400" w:type="dxa"/>
            <w:vAlign w:val="bottom"/>
            <w:gridSpan w:val="4"/>
          </w:tcPr>
          <w:p>
            <w:pPr>
              <w:jc w:val="right"/>
              <w:ind w:right="320"/>
              <w:spacing w:after="0"/>
              <w:rPr>
                <w:sz w:val="20"/>
                <w:szCs w:val="20"/>
                <w:color w:val="auto"/>
              </w:rPr>
            </w:pPr>
            <w:r>
              <w:rPr>
                <w:rFonts w:ascii="Arial" w:cs="Arial" w:eastAsia="Arial" w:hAnsi="Arial"/>
                <w:sz w:val="14"/>
                <w:szCs w:val="14"/>
                <w:color w:val="auto"/>
              </w:rPr>
              <w:t>Three months ended March 31,</w:t>
            </w:r>
          </w:p>
        </w:tc>
      </w:tr>
      <w:tr>
        <w:trPr>
          <w:trHeight w:val="183"/>
        </w:trPr>
        <w:tc>
          <w:tcPr>
            <w:tcW w:w="20" w:type="dxa"/>
            <w:vAlign w:val="bottom"/>
          </w:tcPr>
          <w:p>
            <w:pPr>
              <w:spacing w:after="0"/>
              <w:rPr>
                <w:sz w:val="15"/>
                <w:szCs w:val="15"/>
                <w:color w:val="auto"/>
              </w:rPr>
            </w:pPr>
          </w:p>
        </w:tc>
        <w:tc>
          <w:tcPr>
            <w:tcW w:w="3360" w:type="dxa"/>
            <w:vAlign w:val="bottom"/>
            <w:tcBorders>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4"/>
                <w:szCs w:val="14"/>
                <w:color w:val="auto"/>
              </w:rPr>
              <w:t>2010</w:t>
            </w:r>
          </w:p>
        </w:tc>
        <w:tc>
          <w:tcPr>
            <w:tcW w:w="40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4"/>
                <w:szCs w:val="14"/>
                <w:color w:val="auto"/>
              </w:rPr>
              <w:t>2009</w:t>
            </w:r>
          </w:p>
        </w:tc>
        <w:tc>
          <w:tcPr>
            <w:tcW w:w="38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22"/>
              <w:spacing w:after="0"/>
              <w:rPr>
                <w:sz w:val="20"/>
                <w:szCs w:val="20"/>
                <w:color w:val="auto"/>
              </w:rPr>
            </w:pPr>
            <w:r>
              <w:rPr>
                <w:rFonts w:ascii="Arial" w:cs="Arial" w:eastAsia="Arial" w:hAnsi="Arial"/>
                <w:sz w:val="14"/>
                <w:szCs w:val="14"/>
                <w:color w:val="auto"/>
              </w:rPr>
              <w:t>2010</w:t>
            </w:r>
          </w:p>
        </w:tc>
        <w:tc>
          <w:tcPr>
            <w:tcW w:w="2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4"/>
                <w:szCs w:val="14"/>
                <w:color w:val="auto"/>
              </w:rPr>
              <w:t>2009</w:t>
            </w:r>
          </w:p>
        </w:tc>
        <w:tc>
          <w:tcPr>
            <w:tcW w:w="60" w:type="dxa"/>
            <w:vAlign w:val="bottom"/>
          </w:tcPr>
          <w:p>
            <w:pPr>
              <w:spacing w:after="0"/>
              <w:rPr>
                <w:sz w:val="15"/>
                <w:szCs w:val="15"/>
                <w:color w:val="auto"/>
              </w:rPr>
            </w:pPr>
          </w:p>
        </w:tc>
      </w:tr>
      <w:tr>
        <w:trPr>
          <w:trHeight w:val="184"/>
        </w:trPr>
        <w:tc>
          <w:tcPr>
            <w:tcW w:w="3380" w:type="dxa"/>
            <w:vAlign w:val="bottom"/>
            <w:gridSpan w:val="2"/>
          </w:tcPr>
          <w:p>
            <w:pPr>
              <w:spacing w:after="0"/>
              <w:rPr>
                <w:sz w:val="20"/>
                <w:szCs w:val="20"/>
                <w:color w:val="auto"/>
              </w:rPr>
            </w:pPr>
            <w:r>
              <w:rPr>
                <w:rFonts w:ascii="Arial" w:cs="Arial" w:eastAsia="Arial" w:hAnsi="Arial"/>
                <w:sz w:val="16"/>
                <w:szCs w:val="16"/>
                <w:color w:val="auto"/>
              </w:rPr>
              <w:t>Service cost</w:t>
            </w:r>
          </w:p>
        </w:tc>
        <w:tc>
          <w:tcPr>
            <w:tcW w:w="880" w:type="dxa"/>
            <w:vAlign w:val="bottom"/>
          </w:tcPr>
          <w:p>
            <w:pPr>
              <w:jc w:val="right"/>
              <w:ind w:right="704"/>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7</w:t>
            </w:r>
          </w:p>
        </w:tc>
        <w:tc>
          <w:tcPr>
            <w:tcW w:w="880" w:type="dxa"/>
            <w:vAlign w:val="bottom"/>
          </w:tcPr>
          <w:p>
            <w:pPr>
              <w:jc w:val="right"/>
              <w:ind w:right="724"/>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6</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w:t>
            </w:r>
          </w:p>
        </w:tc>
        <w:tc>
          <w:tcPr>
            <w:tcW w:w="280" w:type="dxa"/>
            <w:vAlign w:val="bottom"/>
          </w:tcPr>
          <w:p>
            <w:pPr>
              <w:jc w:val="center"/>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w:t>
            </w:r>
          </w:p>
        </w:tc>
        <w:tc>
          <w:tcPr>
            <w:tcW w:w="60" w:type="dxa"/>
            <w:vAlign w:val="bottom"/>
          </w:tcPr>
          <w:p>
            <w:pPr>
              <w:spacing w:after="0"/>
              <w:rPr>
                <w:sz w:val="16"/>
                <w:szCs w:val="16"/>
                <w:color w:val="auto"/>
              </w:rPr>
            </w:pPr>
          </w:p>
        </w:tc>
      </w:tr>
      <w:tr>
        <w:trPr>
          <w:trHeight w:val="189"/>
        </w:trPr>
        <w:tc>
          <w:tcPr>
            <w:tcW w:w="3380" w:type="dxa"/>
            <w:vAlign w:val="bottom"/>
            <w:gridSpan w:val="2"/>
          </w:tcPr>
          <w:p>
            <w:pPr>
              <w:spacing w:after="0"/>
              <w:rPr>
                <w:sz w:val="20"/>
                <w:szCs w:val="20"/>
                <w:color w:val="auto"/>
              </w:rPr>
            </w:pPr>
            <w:r>
              <w:rPr>
                <w:rFonts w:ascii="Arial" w:cs="Arial" w:eastAsia="Arial" w:hAnsi="Arial"/>
                <w:sz w:val="16"/>
                <w:szCs w:val="16"/>
                <w:color w:val="auto"/>
              </w:rPr>
              <w:t>Interest cost</w:t>
            </w:r>
          </w:p>
        </w:tc>
        <w:tc>
          <w:tcPr>
            <w:tcW w:w="8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12</w:t>
            </w:r>
          </w:p>
        </w:tc>
        <w:tc>
          <w:tcPr>
            <w:tcW w:w="8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12</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w:t>
            </w:r>
          </w:p>
        </w:tc>
        <w:tc>
          <w:tcPr>
            <w:tcW w:w="60" w:type="dxa"/>
            <w:vAlign w:val="bottom"/>
          </w:tcPr>
          <w:p>
            <w:pPr>
              <w:spacing w:after="0"/>
              <w:rPr>
                <w:sz w:val="16"/>
                <w:szCs w:val="16"/>
                <w:color w:val="auto"/>
              </w:rPr>
            </w:pPr>
          </w:p>
        </w:tc>
      </w:tr>
      <w:tr>
        <w:trPr>
          <w:trHeight w:val="189"/>
        </w:trPr>
        <w:tc>
          <w:tcPr>
            <w:tcW w:w="3380" w:type="dxa"/>
            <w:vAlign w:val="bottom"/>
            <w:gridSpan w:val="2"/>
          </w:tcPr>
          <w:p>
            <w:pPr>
              <w:spacing w:after="0"/>
              <w:rPr>
                <w:sz w:val="20"/>
                <w:szCs w:val="20"/>
                <w:color w:val="auto"/>
              </w:rPr>
            </w:pPr>
            <w:r>
              <w:rPr>
                <w:rFonts w:ascii="Arial" w:cs="Arial" w:eastAsia="Arial" w:hAnsi="Arial"/>
                <w:sz w:val="16"/>
                <w:szCs w:val="16"/>
                <w:color w:val="auto"/>
              </w:rPr>
              <w:t>Expected return on assets</w:t>
            </w:r>
          </w:p>
        </w:tc>
        <w:tc>
          <w:tcPr>
            <w:tcW w:w="8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(10)</w:t>
            </w:r>
          </w:p>
        </w:tc>
        <w:tc>
          <w:tcPr>
            <w:tcW w:w="8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(8)</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w:t>
            </w:r>
          </w:p>
        </w:tc>
        <w:tc>
          <w:tcPr>
            <w:tcW w:w="280" w:type="dxa"/>
            <w:vAlign w:val="bottom"/>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(1)</w:t>
            </w:r>
          </w:p>
        </w:tc>
      </w:tr>
      <w:tr>
        <w:trPr>
          <w:trHeight w:val="189"/>
        </w:trPr>
        <w:tc>
          <w:tcPr>
            <w:tcW w:w="3380" w:type="dxa"/>
            <w:vAlign w:val="bottom"/>
            <w:gridSpan w:val="2"/>
          </w:tcPr>
          <w:p>
            <w:pPr>
              <w:spacing w:after="0"/>
              <w:rPr>
                <w:sz w:val="20"/>
                <w:szCs w:val="20"/>
                <w:color w:val="auto"/>
              </w:rPr>
            </w:pPr>
            <w:r>
              <w:rPr>
                <w:rFonts w:ascii="Arial" w:cs="Arial" w:eastAsia="Arial" w:hAnsi="Arial"/>
                <w:sz w:val="16"/>
                <w:szCs w:val="16"/>
                <w:color w:val="auto"/>
              </w:rPr>
              <w:t>Amortization of:</w:t>
            </w: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3360" w:type="dxa"/>
            <w:vAlign w:val="bottom"/>
          </w:tcPr>
          <w:p>
            <w:pPr>
              <w:ind w:left="160"/>
              <w:spacing w:after="0"/>
              <w:rPr>
                <w:sz w:val="20"/>
                <w:szCs w:val="20"/>
                <w:color w:val="auto"/>
              </w:rPr>
            </w:pPr>
            <w:r>
              <w:rPr>
                <w:rFonts w:ascii="Arial" w:cs="Arial" w:eastAsia="Arial" w:hAnsi="Arial"/>
                <w:sz w:val="16"/>
                <w:szCs w:val="16"/>
                <w:color w:val="auto"/>
              </w:rPr>
              <w:t>Prior service cost</w:t>
            </w:r>
          </w:p>
        </w:tc>
        <w:tc>
          <w:tcPr>
            <w:tcW w:w="8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w:t>
            </w:r>
          </w:p>
        </w:tc>
        <w:tc>
          <w:tcPr>
            <w:tcW w:w="8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3360" w:type="dxa"/>
            <w:vAlign w:val="bottom"/>
          </w:tcPr>
          <w:p>
            <w:pPr>
              <w:ind w:left="160"/>
              <w:spacing w:after="0"/>
              <w:rPr>
                <w:sz w:val="20"/>
                <w:szCs w:val="20"/>
                <w:color w:val="auto"/>
              </w:rPr>
            </w:pPr>
            <w:r>
              <w:rPr>
                <w:rFonts w:ascii="Arial" w:cs="Arial" w:eastAsia="Arial" w:hAnsi="Arial"/>
                <w:sz w:val="16"/>
                <w:szCs w:val="16"/>
                <w:color w:val="auto"/>
              </w:rPr>
              <w:t>Actuarial loss</w:t>
            </w:r>
          </w:p>
        </w:tc>
        <w:tc>
          <w:tcPr>
            <w:tcW w:w="8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3</w:t>
            </w:r>
          </w:p>
        </w:tc>
        <w:tc>
          <w:tcPr>
            <w:tcW w:w="8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r>
      <w:tr>
        <w:trPr>
          <w:trHeight w:val="187"/>
        </w:trPr>
        <w:tc>
          <w:tcPr>
            <w:tcW w:w="3380" w:type="dxa"/>
            <w:vAlign w:val="bottom"/>
            <w:gridSpan w:val="2"/>
          </w:tcPr>
          <w:p>
            <w:pPr>
              <w:spacing w:after="0"/>
              <w:rPr>
                <w:sz w:val="20"/>
                <w:szCs w:val="20"/>
                <w:color w:val="auto"/>
              </w:rPr>
            </w:pPr>
            <w:r>
              <w:rPr>
                <w:rFonts w:ascii="Arial" w:cs="Arial" w:eastAsia="Arial" w:hAnsi="Arial"/>
                <w:sz w:val="16"/>
                <w:szCs w:val="16"/>
                <w:color w:val="auto"/>
              </w:rPr>
              <w:t>Regulatory adjustment</w:t>
            </w:r>
          </w:p>
        </w:tc>
        <w:tc>
          <w:tcPr>
            <w:tcW w:w="8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8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r>
      <w:tr>
        <w:trPr>
          <w:trHeight w:val="183"/>
        </w:trPr>
        <w:tc>
          <w:tcPr>
            <w:tcW w:w="3380" w:type="dxa"/>
            <w:vAlign w:val="bottom"/>
            <w:gridSpan w:val="2"/>
          </w:tcPr>
          <w:p>
            <w:pPr>
              <w:spacing w:after="0" w:line="183" w:lineRule="exact"/>
              <w:rPr>
                <w:sz w:val="20"/>
                <w:szCs w:val="20"/>
                <w:color w:val="auto"/>
              </w:rPr>
            </w:pPr>
            <w:r>
              <w:rPr>
                <w:rFonts w:ascii="Arial" w:cs="Arial" w:eastAsia="Arial" w:hAnsi="Arial"/>
                <w:sz w:val="16"/>
                <w:szCs w:val="16"/>
                <w:color w:val="auto"/>
              </w:rPr>
              <w:t>Total net periodic benefit cost</w:t>
            </w:r>
          </w:p>
        </w:tc>
        <w:tc>
          <w:tcPr>
            <w:tcW w:w="880" w:type="dxa"/>
            <w:vAlign w:val="bottom"/>
          </w:tcPr>
          <w:p>
            <w:pPr>
              <w:jc w:val="right"/>
              <w:ind w:right="704"/>
              <w:spacing w:after="0" w:line="183" w:lineRule="exact"/>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line="183" w:lineRule="exact"/>
              <w:rPr>
                <w:sz w:val="20"/>
                <w:szCs w:val="20"/>
                <w:color w:val="auto"/>
              </w:rPr>
            </w:pPr>
            <w:r>
              <w:rPr>
                <w:rFonts w:ascii="Arial" w:cs="Arial" w:eastAsia="Arial" w:hAnsi="Arial"/>
                <w:sz w:val="16"/>
                <w:szCs w:val="16"/>
                <w:color w:val="auto"/>
              </w:rPr>
              <w:t>1</w:t>
            </w:r>
          </w:p>
        </w:tc>
        <w:tc>
          <w:tcPr>
            <w:tcW w:w="880" w:type="dxa"/>
            <w:vAlign w:val="bottom"/>
          </w:tcPr>
          <w:p>
            <w:pPr>
              <w:jc w:val="right"/>
              <w:ind w:right="724"/>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line="183" w:lineRule="exact"/>
              <w:rPr>
                <w:sz w:val="20"/>
                <w:szCs w:val="20"/>
                <w:color w:val="auto"/>
              </w:rPr>
            </w:pPr>
            <w:r>
              <w:rPr>
                <w:rFonts w:ascii="Arial" w:cs="Arial" w:eastAsia="Arial" w:hAnsi="Arial"/>
                <w:sz w:val="16"/>
                <w:szCs w:val="16"/>
                <w:color w:val="auto"/>
              </w:rPr>
              <w:t>1</w:t>
            </w:r>
          </w:p>
        </w:tc>
        <w:tc>
          <w:tcPr>
            <w:tcW w:w="200" w:type="dxa"/>
            <w:vAlign w:val="bottom"/>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line="183" w:lineRule="exact"/>
              <w:rPr>
                <w:sz w:val="20"/>
                <w:szCs w:val="20"/>
                <w:color w:val="auto"/>
              </w:rPr>
            </w:pPr>
            <w:r>
              <w:rPr>
                <w:rFonts w:ascii="Arial" w:cs="Arial" w:eastAsia="Arial" w:hAnsi="Arial"/>
                <w:sz w:val="16"/>
                <w:szCs w:val="16"/>
                <w:color w:val="auto"/>
              </w:rPr>
              <w:t>4</w:t>
            </w:r>
          </w:p>
        </w:tc>
        <w:tc>
          <w:tcPr>
            <w:tcW w:w="280" w:type="dxa"/>
            <w:vAlign w:val="bottom"/>
          </w:tcPr>
          <w:p>
            <w:pPr>
              <w:jc w:val="center"/>
              <w:ind w:right="119"/>
              <w:spacing w:after="0" w:line="183" w:lineRule="exact"/>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4</w:t>
            </w:r>
          </w:p>
        </w:tc>
        <w:tc>
          <w:tcPr>
            <w:tcW w:w="60" w:type="dxa"/>
            <w:vAlign w:val="bottom"/>
          </w:tcPr>
          <w:p>
            <w:pPr>
              <w:spacing w:after="0"/>
              <w:rPr>
                <w:sz w:val="15"/>
                <w:szCs w:val="15"/>
                <w:color w:val="auto"/>
              </w:rPr>
            </w:pPr>
          </w:p>
        </w:tc>
      </w:tr>
      <w:tr>
        <w:trPr>
          <w:trHeight w:val="81"/>
        </w:trPr>
        <w:tc>
          <w:tcPr>
            <w:tcW w:w="4260" w:type="dxa"/>
            <w:vAlign w:val="bottom"/>
            <w:gridSpan w:val="3"/>
            <w:shd w:val="clear" w:color="auto" w:fill="000000"/>
          </w:tcPr>
          <w:p>
            <w:pPr>
              <w:spacing w:after="0"/>
              <w:rPr>
                <w:sz w:val="7"/>
                <w:szCs w:val="7"/>
                <w:color w:val="auto"/>
              </w:rPr>
            </w:pPr>
          </w:p>
        </w:tc>
        <w:tc>
          <w:tcPr>
            <w:tcW w:w="40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380" w:type="dxa"/>
            <w:vAlign w:val="bottom"/>
            <w:shd w:val="clear" w:color="auto" w:fill="000000"/>
          </w:tcPr>
          <w:p>
            <w:pPr>
              <w:spacing w:after="0"/>
              <w:rPr>
                <w:sz w:val="7"/>
                <w:szCs w:val="7"/>
                <w:color w:val="auto"/>
              </w:rPr>
            </w:pPr>
          </w:p>
        </w:tc>
        <w:tc>
          <w:tcPr>
            <w:tcW w:w="200" w:type="dxa"/>
            <w:vAlign w:val="bottom"/>
            <w:shd w:val="clear" w:color="auto" w:fill="000000"/>
          </w:tcPr>
          <w:p>
            <w:pPr>
              <w:spacing w:after="0"/>
              <w:rPr>
                <w:sz w:val="7"/>
                <w:szCs w:val="7"/>
                <w:color w:val="auto"/>
              </w:rPr>
            </w:pPr>
          </w:p>
        </w:tc>
        <w:tc>
          <w:tcPr>
            <w:tcW w:w="1080" w:type="dxa"/>
            <w:vAlign w:val="bottom"/>
            <w:shd w:val="clear" w:color="auto" w:fill="000000"/>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980" w:type="dxa"/>
            <w:vAlign w:val="bottom"/>
            <w:shd w:val="clear" w:color="auto" w:fill="000000"/>
          </w:tcPr>
          <w:p>
            <w:pPr>
              <w:spacing w:after="0"/>
              <w:rPr>
                <w:sz w:val="7"/>
                <w:szCs w:val="7"/>
                <w:color w:val="auto"/>
              </w:rPr>
            </w:pPr>
          </w:p>
        </w:tc>
        <w:tc>
          <w:tcPr>
            <w:tcW w:w="60" w:type="dxa"/>
            <w:vAlign w:val="bottom"/>
          </w:tcPr>
          <w:p>
            <w:pPr>
              <w:spacing w:after="0"/>
              <w:rPr>
                <w:sz w:val="7"/>
                <w:szCs w:val="7"/>
                <w:color w:val="auto"/>
              </w:rPr>
            </w:pPr>
          </w:p>
        </w:tc>
      </w:tr>
      <w:tr>
        <w:trPr>
          <w:trHeight w:val="243"/>
        </w:trPr>
        <w:tc>
          <w:tcPr>
            <w:tcW w:w="20" w:type="dxa"/>
            <w:vAlign w:val="bottom"/>
          </w:tcPr>
          <w:p>
            <w:pPr>
              <w:spacing w:after="0"/>
              <w:rPr>
                <w:sz w:val="21"/>
                <w:szCs w:val="21"/>
                <w:color w:val="auto"/>
              </w:rPr>
            </w:pPr>
          </w:p>
        </w:tc>
        <w:tc>
          <w:tcPr>
            <w:tcW w:w="4240" w:type="dxa"/>
            <w:vAlign w:val="bottom"/>
            <w:tcBorders>
              <w:bottom w:val="single" w:sz="8" w:color="auto"/>
            </w:tcBorders>
            <w:gridSpan w:val="2"/>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r>
      <w:tr>
        <w:trPr>
          <w:trHeight w:val="173"/>
        </w:trPr>
        <w:tc>
          <w:tcPr>
            <w:tcW w:w="20" w:type="dxa"/>
            <w:vAlign w:val="bottom"/>
          </w:tcPr>
          <w:p>
            <w:pPr>
              <w:spacing w:after="0"/>
              <w:rPr>
                <w:sz w:val="15"/>
                <w:szCs w:val="15"/>
                <w:color w:val="auto"/>
              </w:rPr>
            </w:pPr>
          </w:p>
        </w:tc>
        <w:tc>
          <w:tcPr>
            <w:tcW w:w="4240" w:type="dxa"/>
            <w:vAlign w:val="bottom"/>
            <w:gridSpan w:val="2"/>
            <w:shd w:val="clear" w:color="auto" w:fill="C0C0C0"/>
          </w:tcPr>
          <w:p>
            <w:pPr>
              <w:spacing w:after="0" w:line="174" w:lineRule="exact"/>
              <w:rPr>
                <w:sz w:val="20"/>
                <w:szCs w:val="20"/>
                <w:color w:val="auto"/>
              </w:rPr>
            </w:pPr>
            <w:r>
              <w:rPr>
                <w:rFonts w:ascii="Arial" w:cs="Arial" w:eastAsia="Arial" w:hAnsi="Arial"/>
                <w:sz w:val="16"/>
                <w:szCs w:val="16"/>
                <w:b w:val="1"/>
                <w:bCs w:val="1"/>
                <w:color w:val="auto"/>
              </w:rPr>
              <w:t>NET PERIODIC BENEFIT COST -- SOCALGAS</w:t>
            </w:r>
          </w:p>
        </w:tc>
        <w:tc>
          <w:tcPr>
            <w:tcW w:w="400" w:type="dxa"/>
            <w:vAlign w:val="bottom"/>
            <w:shd w:val="clear" w:color="auto" w:fill="C0C0C0"/>
          </w:tcPr>
          <w:p>
            <w:pPr>
              <w:spacing w:after="0"/>
              <w:rPr>
                <w:sz w:val="15"/>
                <w:szCs w:val="15"/>
                <w:color w:val="auto"/>
              </w:rPr>
            </w:pPr>
          </w:p>
        </w:tc>
        <w:tc>
          <w:tcPr>
            <w:tcW w:w="880" w:type="dxa"/>
            <w:vAlign w:val="bottom"/>
            <w:shd w:val="clear" w:color="auto" w:fill="C0C0C0"/>
          </w:tcPr>
          <w:p>
            <w:pPr>
              <w:spacing w:after="0"/>
              <w:rPr>
                <w:sz w:val="15"/>
                <w:szCs w:val="15"/>
                <w:color w:val="auto"/>
              </w:rPr>
            </w:pPr>
          </w:p>
        </w:tc>
        <w:tc>
          <w:tcPr>
            <w:tcW w:w="380" w:type="dxa"/>
            <w:vAlign w:val="bottom"/>
            <w:shd w:val="clear" w:color="auto" w:fill="C0C0C0"/>
          </w:tcPr>
          <w:p>
            <w:pPr>
              <w:spacing w:after="0"/>
              <w:rPr>
                <w:sz w:val="15"/>
                <w:szCs w:val="15"/>
                <w:color w:val="auto"/>
              </w:rPr>
            </w:pPr>
          </w:p>
        </w:tc>
        <w:tc>
          <w:tcPr>
            <w:tcW w:w="200" w:type="dxa"/>
            <w:vAlign w:val="bottom"/>
            <w:shd w:val="clear" w:color="auto" w:fill="C0C0C0"/>
          </w:tcPr>
          <w:p>
            <w:pPr>
              <w:spacing w:after="0"/>
              <w:rPr>
                <w:sz w:val="15"/>
                <w:szCs w:val="15"/>
                <w:color w:val="auto"/>
              </w:rPr>
            </w:pPr>
          </w:p>
        </w:tc>
        <w:tc>
          <w:tcPr>
            <w:tcW w:w="1080" w:type="dxa"/>
            <w:vAlign w:val="bottom"/>
            <w:shd w:val="clear" w:color="auto" w:fill="C0C0C0"/>
          </w:tcPr>
          <w:p>
            <w:pPr>
              <w:spacing w:after="0"/>
              <w:rPr>
                <w:sz w:val="15"/>
                <w:szCs w:val="15"/>
                <w:color w:val="auto"/>
              </w:rPr>
            </w:pPr>
          </w:p>
        </w:tc>
        <w:tc>
          <w:tcPr>
            <w:tcW w:w="280" w:type="dxa"/>
            <w:vAlign w:val="bottom"/>
            <w:shd w:val="clear" w:color="auto" w:fill="C0C0C0"/>
          </w:tcPr>
          <w:p>
            <w:pPr>
              <w:spacing w:after="0"/>
              <w:rPr>
                <w:sz w:val="15"/>
                <w:szCs w:val="15"/>
                <w:color w:val="auto"/>
              </w:rPr>
            </w:pPr>
          </w:p>
        </w:tc>
        <w:tc>
          <w:tcPr>
            <w:tcW w:w="980" w:type="dxa"/>
            <w:vAlign w:val="bottom"/>
            <w:shd w:val="clear" w:color="auto" w:fill="C0C0C0"/>
          </w:tcPr>
          <w:p>
            <w:pPr>
              <w:spacing w:after="0"/>
              <w:rPr>
                <w:sz w:val="15"/>
                <w:szCs w:val="15"/>
                <w:color w:val="auto"/>
              </w:rPr>
            </w:pPr>
          </w:p>
        </w:tc>
        <w:tc>
          <w:tcPr>
            <w:tcW w:w="60" w:type="dxa"/>
            <w:vAlign w:val="bottom"/>
            <w:shd w:val="clear" w:color="auto" w:fill="C0C0C0"/>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3360" w:type="dxa"/>
            <w:vAlign w:val="bottom"/>
            <w:shd w:val="clear" w:color="auto" w:fill="C0C0C0"/>
          </w:tcPr>
          <w:p>
            <w:pPr>
              <w:spacing w:after="0"/>
              <w:rPr>
                <w:sz w:val="20"/>
                <w:szCs w:val="20"/>
                <w:color w:val="auto"/>
              </w:rPr>
            </w:pPr>
            <w:r>
              <w:rPr>
                <w:rFonts w:ascii="Arial" w:cs="Arial" w:eastAsia="Arial" w:hAnsi="Arial"/>
                <w:sz w:val="14"/>
                <w:szCs w:val="14"/>
                <w:i w:val="1"/>
                <w:iCs w:val="1"/>
                <w:color w:val="auto"/>
              </w:rPr>
              <w:t>(Dollars in millions)</w:t>
            </w:r>
          </w:p>
        </w:tc>
        <w:tc>
          <w:tcPr>
            <w:tcW w:w="880" w:type="dxa"/>
            <w:vAlign w:val="bottom"/>
            <w:shd w:val="clear" w:color="auto" w:fill="C0C0C0"/>
          </w:tcPr>
          <w:p>
            <w:pPr>
              <w:spacing w:after="0"/>
              <w:rPr>
                <w:sz w:val="14"/>
                <w:szCs w:val="14"/>
                <w:color w:val="auto"/>
              </w:rPr>
            </w:pPr>
          </w:p>
        </w:tc>
        <w:tc>
          <w:tcPr>
            <w:tcW w:w="400" w:type="dxa"/>
            <w:vAlign w:val="bottom"/>
            <w:shd w:val="clear" w:color="auto" w:fill="C0C0C0"/>
          </w:tcPr>
          <w:p>
            <w:pPr>
              <w:spacing w:after="0"/>
              <w:rPr>
                <w:sz w:val="14"/>
                <w:szCs w:val="14"/>
                <w:color w:val="auto"/>
              </w:rPr>
            </w:pPr>
          </w:p>
        </w:tc>
        <w:tc>
          <w:tcPr>
            <w:tcW w:w="880" w:type="dxa"/>
            <w:vAlign w:val="bottom"/>
            <w:shd w:val="clear" w:color="auto" w:fill="C0C0C0"/>
          </w:tcPr>
          <w:p>
            <w:pPr>
              <w:spacing w:after="0"/>
              <w:rPr>
                <w:sz w:val="14"/>
                <w:szCs w:val="14"/>
                <w:color w:val="auto"/>
              </w:rPr>
            </w:pPr>
          </w:p>
        </w:tc>
        <w:tc>
          <w:tcPr>
            <w:tcW w:w="380" w:type="dxa"/>
            <w:vAlign w:val="bottom"/>
            <w:shd w:val="clear" w:color="auto" w:fill="C0C0C0"/>
          </w:tcPr>
          <w:p>
            <w:pPr>
              <w:spacing w:after="0"/>
              <w:rPr>
                <w:sz w:val="14"/>
                <w:szCs w:val="14"/>
                <w:color w:val="auto"/>
              </w:rPr>
            </w:pPr>
          </w:p>
        </w:tc>
        <w:tc>
          <w:tcPr>
            <w:tcW w:w="200" w:type="dxa"/>
            <w:vAlign w:val="bottom"/>
            <w:shd w:val="clear" w:color="auto" w:fill="C0C0C0"/>
          </w:tcPr>
          <w:p>
            <w:pPr>
              <w:spacing w:after="0"/>
              <w:rPr>
                <w:sz w:val="14"/>
                <w:szCs w:val="14"/>
                <w:color w:val="auto"/>
              </w:rPr>
            </w:pPr>
          </w:p>
        </w:tc>
        <w:tc>
          <w:tcPr>
            <w:tcW w:w="1080" w:type="dxa"/>
            <w:vAlign w:val="bottom"/>
            <w:shd w:val="clear" w:color="auto" w:fill="C0C0C0"/>
          </w:tcPr>
          <w:p>
            <w:pPr>
              <w:spacing w:after="0"/>
              <w:rPr>
                <w:sz w:val="14"/>
                <w:szCs w:val="14"/>
                <w:color w:val="auto"/>
              </w:rPr>
            </w:pPr>
          </w:p>
        </w:tc>
        <w:tc>
          <w:tcPr>
            <w:tcW w:w="280" w:type="dxa"/>
            <w:vAlign w:val="bottom"/>
            <w:shd w:val="clear" w:color="auto" w:fill="C0C0C0"/>
          </w:tcPr>
          <w:p>
            <w:pPr>
              <w:spacing w:after="0"/>
              <w:rPr>
                <w:sz w:val="14"/>
                <w:szCs w:val="14"/>
                <w:color w:val="auto"/>
              </w:rPr>
            </w:pPr>
          </w:p>
        </w:tc>
        <w:tc>
          <w:tcPr>
            <w:tcW w:w="980" w:type="dxa"/>
            <w:vAlign w:val="bottom"/>
            <w:shd w:val="clear" w:color="auto" w:fill="C0C0C0"/>
          </w:tcPr>
          <w:p>
            <w:pPr>
              <w:spacing w:after="0"/>
              <w:rPr>
                <w:sz w:val="14"/>
                <w:szCs w:val="14"/>
                <w:color w:val="auto"/>
              </w:rPr>
            </w:pPr>
          </w:p>
        </w:tc>
        <w:tc>
          <w:tcPr>
            <w:tcW w:w="60" w:type="dxa"/>
            <w:vAlign w:val="bottom"/>
            <w:shd w:val="clear" w:color="auto" w:fill="C0C0C0"/>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160" w:type="dxa"/>
            <w:vAlign w:val="bottom"/>
            <w:tcBorders>
              <w:bottom w:val="single" w:sz="8" w:color="auto"/>
            </w:tcBorders>
            <w:gridSpan w:val="3"/>
          </w:tcPr>
          <w:p>
            <w:pPr>
              <w:jc w:val="center"/>
              <w:ind w:left="324"/>
              <w:spacing w:after="0"/>
              <w:rPr>
                <w:sz w:val="20"/>
                <w:szCs w:val="20"/>
                <w:color w:val="auto"/>
              </w:rPr>
            </w:pPr>
            <w:r>
              <w:rPr>
                <w:rFonts w:ascii="Arial" w:cs="Arial" w:eastAsia="Arial" w:hAnsi="Arial"/>
                <w:sz w:val="14"/>
                <w:szCs w:val="14"/>
                <w:color w:val="auto"/>
              </w:rPr>
              <w:t>Pension Benefits</w:t>
            </w:r>
          </w:p>
        </w:tc>
        <w:tc>
          <w:tcPr>
            <w:tcW w:w="3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color w:val="auto"/>
              </w:rPr>
              <w:t>Other Postretirement Benefits</w:t>
            </w:r>
          </w:p>
        </w:tc>
      </w:tr>
      <w:tr>
        <w:trPr>
          <w:trHeight w:val="169"/>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5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rPr>
              <w:t>Three months ended March 31,</w:t>
            </w:r>
          </w:p>
        </w:tc>
        <w:tc>
          <w:tcPr>
            <w:tcW w:w="2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color w:val="auto"/>
              </w:rPr>
              <w:t>Three months ended March 31,</w:t>
            </w:r>
          </w:p>
        </w:tc>
      </w:tr>
      <w:tr>
        <w:trPr>
          <w:trHeight w:val="183"/>
        </w:trPr>
        <w:tc>
          <w:tcPr>
            <w:tcW w:w="20" w:type="dxa"/>
            <w:vAlign w:val="bottom"/>
          </w:tcPr>
          <w:p>
            <w:pPr>
              <w:spacing w:after="0"/>
              <w:rPr>
                <w:sz w:val="15"/>
                <w:szCs w:val="15"/>
                <w:color w:val="auto"/>
              </w:rPr>
            </w:pPr>
          </w:p>
        </w:tc>
        <w:tc>
          <w:tcPr>
            <w:tcW w:w="3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color w:val="auto"/>
              </w:rPr>
              <w:t>2010</w:t>
            </w:r>
          </w:p>
        </w:tc>
        <w:tc>
          <w:tcPr>
            <w:tcW w:w="4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color w:val="auto"/>
              </w:rPr>
              <w:t>2009</w:t>
            </w:r>
          </w:p>
        </w:tc>
        <w:tc>
          <w:tcPr>
            <w:tcW w:w="3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color w:val="auto"/>
              </w:rPr>
              <w:t>2010</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2009</w:t>
            </w:r>
          </w:p>
        </w:tc>
        <w:tc>
          <w:tcPr>
            <w:tcW w:w="60" w:type="dxa"/>
            <w:vAlign w:val="bottom"/>
            <w:tcBorders>
              <w:bottom w:val="single" w:sz="8" w:color="auto"/>
            </w:tcBorders>
          </w:tcPr>
          <w:p>
            <w:pPr>
              <w:spacing w:after="0"/>
              <w:rPr>
                <w:sz w:val="15"/>
                <w:szCs w:val="15"/>
                <w:color w:val="auto"/>
              </w:rPr>
            </w:pPr>
          </w:p>
        </w:tc>
      </w:tr>
      <w:tr>
        <w:trPr>
          <w:trHeight w:val="184"/>
        </w:trPr>
        <w:tc>
          <w:tcPr>
            <w:tcW w:w="3380" w:type="dxa"/>
            <w:vAlign w:val="bottom"/>
            <w:gridSpan w:val="2"/>
          </w:tcPr>
          <w:p>
            <w:pPr>
              <w:spacing w:after="0"/>
              <w:rPr>
                <w:sz w:val="20"/>
                <w:szCs w:val="20"/>
                <w:color w:val="auto"/>
              </w:rPr>
            </w:pPr>
            <w:r>
              <w:rPr>
                <w:rFonts w:ascii="Arial" w:cs="Arial" w:eastAsia="Arial" w:hAnsi="Arial"/>
                <w:sz w:val="16"/>
                <w:szCs w:val="16"/>
                <w:color w:val="auto"/>
              </w:rPr>
              <w:t>Service cost</w:t>
            </w:r>
          </w:p>
        </w:tc>
        <w:tc>
          <w:tcPr>
            <w:tcW w:w="880" w:type="dxa"/>
            <w:vAlign w:val="bottom"/>
          </w:tcPr>
          <w:p>
            <w:pPr>
              <w:jc w:val="right"/>
              <w:ind w:right="704"/>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12</w:t>
            </w:r>
          </w:p>
        </w:tc>
        <w:tc>
          <w:tcPr>
            <w:tcW w:w="880" w:type="dxa"/>
            <w:vAlign w:val="bottom"/>
          </w:tcPr>
          <w:p>
            <w:pPr>
              <w:jc w:val="right"/>
              <w:ind w:right="704"/>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11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5</w:t>
            </w:r>
          </w:p>
        </w:tc>
      </w:tr>
      <w:tr>
        <w:trPr>
          <w:trHeight w:val="189"/>
        </w:trPr>
        <w:tc>
          <w:tcPr>
            <w:tcW w:w="3380" w:type="dxa"/>
            <w:vAlign w:val="bottom"/>
            <w:gridSpan w:val="2"/>
          </w:tcPr>
          <w:p>
            <w:pPr>
              <w:spacing w:after="0"/>
              <w:rPr>
                <w:sz w:val="20"/>
                <w:szCs w:val="20"/>
                <w:color w:val="auto"/>
              </w:rPr>
            </w:pPr>
            <w:r>
              <w:rPr>
                <w:rFonts w:ascii="Arial" w:cs="Arial" w:eastAsia="Arial" w:hAnsi="Arial"/>
                <w:sz w:val="16"/>
                <w:szCs w:val="16"/>
                <w:color w:val="auto"/>
              </w:rPr>
              <w:t>Interest cost</w:t>
            </w:r>
          </w:p>
        </w:tc>
        <w:tc>
          <w:tcPr>
            <w:tcW w:w="8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25</w:t>
            </w:r>
          </w:p>
        </w:tc>
        <w:tc>
          <w:tcPr>
            <w:tcW w:w="8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25</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w:t>
            </w:r>
          </w:p>
        </w:tc>
        <w:tc>
          <w:tcPr>
            <w:tcW w:w="280" w:type="dxa"/>
            <w:vAlign w:val="bottom"/>
          </w:tcPr>
          <w:p>
            <w:pPr>
              <w:spacing w:after="0"/>
              <w:rPr>
                <w:sz w:val="16"/>
                <w:szCs w:val="16"/>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11</w:t>
            </w:r>
          </w:p>
        </w:tc>
      </w:tr>
      <w:tr>
        <w:trPr>
          <w:trHeight w:val="189"/>
        </w:trPr>
        <w:tc>
          <w:tcPr>
            <w:tcW w:w="3380" w:type="dxa"/>
            <w:vAlign w:val="bottom"/>
            <w:gridSpan w:val="2"/>
          </w:tcPr>
          <w:p>
            <w:pPr>
              <w:spacing w:after="0"/>
              <w:rPr>
                <w:sz w:val="20"/>
                <w:szCs w:val="20"/>
                <w:color w:val="auto"/>
              </w:rPr>
            </w:pPr>
            <w:r>
              <w:rPr>
                <w:rFonts w:ascii="Arial" w:cs="Arial" w:eastAsia="Arial" w:hAnsi="Arial"/>
                <w:sz w:val="16"/>
                <w:szCs w:val="16"/>
                <w:color w:val="auto"/>
              </w:rPr>
              <w:t>Expected return on assets</w:t>
            </w:r>
          </w:p>
        </w:tc>
        <w:tc>
          <w:tcPr>
            <w:tcW w:w="880" w:type="dxa"/>
            <w:vAlign w:val="bottom"/>
          </w:tcPr>
          <w:p>
            <w:pPr>
              <w:spacing w:after="0"/>
              <w:rPr>
                <w:sz w:val="16"/>
                <w:szCs w:val="16"/>
                <w:color w:val="auto"/>
              </w:rPr>
            </w:pPr>
          </w:p>
        </w:tc>
        <w:tc>
          <w:tcPr>
            <w:tcW w:w="1280" w:type="dxa"/>
            <w:vAlign w:val="bottom"/>
            <w:gridSpan w:val="2"/>
          </w:tcPr>
          <w:p>
            <w:pPr>
              <w:jc w:val="right"/>
              <w:ind w:right="804"/>
              <w:spacing w:after="0"/>
              <w:rPr>
                <w:sz w:val="20"/>
                <w:szCs w:val="20"/>
                <w:color w:val="auto"/>
              </w:rPr>
            </w:pPr>
            <w:r>
              <w:rPr>
                <w:rFonts w:ascii="Arial" w:cs="Arial" w:eastAsia="Arial" w:hAnsi="Arial"/>
                <w:sz w:val="16"/>
                <w:szCs w:val="16"/>
                <w:color w:val="auto"/>
              </w:rPr>
              <w:t>(23)</w:t>
            </w:r>
          </w:p>
        </w:tc>
        <w:tc>
          <w:tcPr>
            <w:tcW w:w="580" w:type="dxa"/>
            <w:vAlign w:val="bottom"/>
            <w:gridSpan w:val="2"/>
          </w:tcPr>
          <w:p>
            <w:pPr>
              <w:jc w:val="right"/>
              <w:ind w:right="79"/>
              <w:spacing w:after="0"/>
              <w:rPr>
                <w:sz w:val="20"/>
                <w:szCs w:val="20"/>
                <w:color w:val="auto"/>
              </w:rPr>
            </w:pPr>
            <w:r>
              <w:rPr>
                <w:rFonts w:ascii="Arial" w:cs="Arial" w:eastAsia="Arial" w:hAnsi="Arial"/>
                <w:sz w:val="16"/>
                <w:szCs w:val="16"/>
                <w:color w:val="auto"/>
              </w:rPr>
              <w:t>(24)</w:t>
            </w:r>
          </w:p>
        </w:tc>
        <w:tc>
          <w:tcPr>
            <w:tcW w:w="1360" w:type="dxa"/>
            <w:vAlign w:val="bottom"/>
            <w:gridSpan w:val="2"/>
          </w:tcPr>
          <w:p>
            <w:pPr>
              <w:jc w:val="right"/>
              <w:ind w:right="159"/>
              <w:spacing w:after="0"/>
              <w:rPr>
                <w:sz w:val="20"/>
                <w:szCs w:val="20"/>
                <w:color w:val="auto"/>
              </w:rPr>
            </w:pPr>
            <w:r>
              <w:rPr>
                <w:rFonts w:ascii="Arial" w:cs="Arial" w:eastAsia="Arial" w:hAnsi="Arial"/>
                <w:sz w:val="16"/>
                <w:szCs w:val="16"/>
                <w:color w:val="auto"/>
              </w:rPr>
              <w:t>(10)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(11)</w:t>
            </w:r>
          </w:p>
        </w:tc>
      </w:tr>
      <w:tr>
        <w:trPr>
          <w:trHeight w:val="189"/>
        </w:trPr>
        <w:tc>
          <w:tcPr>
            <w:tcW w:w="3380" w:type="dxa"/>
            <w:vAlign w:val="bottom"/>
            <w:gridSpan w:val="2"/>
          </w:tcPr>
          <w:p>
            <w:pPr>
              <w:spacing w:after="0"/>
              <w:rPr>
                <w:sz w:val="20"/>
                <w:szCs w:val="20"/>
                <w:color w:val="auto"/>
              </w:rPr>
            </w:pPr>
            <w:r>
              <w:rPr>
                <w:rFonts w:ascii="Arial" w:cs="Arial" w:eastAsia="Arial" w:hAnsi="Arial"/>
                <w:sz w:val="16"/>
                <w:szCs w:val="16"/>
                <w:color w:val="auto"/>
              </w:rPr>
              <w:t>Amortization of:</w:t>
            </w: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3360" w:type="dxa"/>
            <w:vAlign w:val="bottom"/>
          </w:tcPr>
          <w:p>
            <w:pPr>
              <w:ind w:left="160"/>
              <w:spacing w:after="0"/>
              <w:rPr>
                <w:sz w:val="20"/>
                <w:szCs w:val="20"/>
                <w:color w:val="auto"/>
              </w:rPr>
            </w:pPr>
            <w:r>
              <w:rPr>
                <w:rFonts w:ascii="Arial" w:cs="Arial" w:eastAsia="Arial" w:hAnsi="Arial"/>
                <w:sz w:val="16"/>
                <w:szCs w:val="16"/>
                <w:color w:val="auto"/>
              </w:rPr>
              <w:t>Prior service cost (credit)</w:t>
            </w:r>
          </w:p>
        </w:tc>
        <w:tc>
          <w:tcPr>
            <w:tcW w:w="8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w:t>
            </w:r>
          </w:p>
        </w:tc>
        <w:tc>
          <w:tcPr>
            <w:tcW w:w="8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6"/>
                <w:szCs w:val="16"/>
                <w:color w:val="auto"/>
              </w:rPr>
            </w:pPr>
          </w:p>
        </w:tc>
        <w:tc>
          <w:tcPr>
            <w:tcW w:w="1360" w:type="dxa"/>
            <w:vAlign w:val="bottom"/>
            <w:gridSpan w:val="2"/>
          </w:tcPr>
          <w:p>
            <w:pPr>
              <w:jc w:val="right"/>
              <w:ind w:right="159"/>
              <w:spacing w:after="0"/>
              <w:rPr>
                <w:sz w:val="20"/>
                <w:szCs w:val="20"/>
                <w:color w:val="auto"/>
              </w:rPr>
            </w:pPr>
            <w:r>
              <w:rPr>
                <w:rFonts w:ascii="Arial" w:cs="Arial" w:eastAsia="Arial" w:hAnsi="Arial"/>
                <w:sz w:val="16"/>
                <w:szCs w:val="16"/>
                <w:color w:val="auto"/>
              </w:rPr>
              <w:t>(1)</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w:t>
            </w:r>
          </w:p>
        </w:tc>
      </w:tr>
      <w:tr>
        <w:trPr>
          <w:trHeight w:val="189"/>
        </w:trPr>
        <w:tc>
          <w:tcPr>
            <w:tcW w:w="20" w:type="dxa"/>
            <w:vAlign w:val="bottom"/>
          </w:tcPr>
          <w:p>
            <w:pPr>
              <w:spacing w:after="0"/>
              <w:rPr>
                <w:sz w:val="16"/>
                <w:szCs w:val="16"/>
                <w:color w:val="auto"/>
              </w:rPr>
            </w:pPr>
          </w:p>
        </w:tc>
        <w:tc>
          <w:tcPr>
            <w:tcW w:w="3360" w:type="dxa"/>
            <w:vAlign w:val="bottom"/>
          </w:tcPr>
          <w:p>
            <w:pPr>
              <w:ind w:left="160"/>
              <w:spacing w:after="0"/>
              <w:rPr>
                <w:sz w:val="20"/>
                <w:szCs w:val="20"/>
                <w:color w:val="auto"/>
              </w:rPr>
            </w:pPr>
            <w:r>
              <w:rPr>
                <w:rFonts w:ascii="Arial" w:cs="Arial" w:eastAsia="Arial" w:hAnsi="Arial"/>
                <w:sz w:val="16"/>
                <w:szCs w:val="16"/>
                <w:color w:val="auto"/>
              </w:rPr>
              <w:t>Actuarial loss</w:t>
            </w:r>
          </w:p>
        </w:tc>
        <w:tc>
          <w:tcPr>
            <w:tcW w:w="8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3</w:t>
            </w:r>
          </w:p>
        </w:tc>
        <w:tc>
          <w:tcPr>
            <w:tcW w:w="8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w:t>
            </w:r>
          </w:p>
        </w:tc>
        <w:tc>
          <w:tcPr>
            <w:tcW w:w="280" w:type="dxa"/>
            <w:vAlign w:val="bottom"/>
          </w:tcPr>
          <w:p>
            <w:pPr>
              <w:spacing w:after="0"/>
              <w:rPr>
                <w:sz w:val="16"/>
                <w:szCs w:val="16"/>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1</w:t>
            </w:r>
          </w:p>
        </w:tc>
      </w:tr>
      <w:tr>
        <w:trPr>
          <w:trHeight w:val="187"/>
        </w:trPr>
        <w:tc>
          <w:tcPr>
            <w:tcW w:w="3380" w:type="dxa"/>
            <w:vAlign w:val="bottom"/>
            <w:gridSpan w:val="2"/>
          </w:tcPr>
          <w:p>
            <w:pPr>
              <w:spacing w:after="0"/>
              <w:rPr>
                <w:sz w:val="20"/>
                <w:szCs w:val="20"/>
                <w:color w:val="auto"/>
              </w:rPr>
            </w:pPr>
            <w:r>
              <w:rPr>
                <w:rFonts w:ascii="Arial" w:cs="Arial" w:eastAsia="Arial" w:hAnsi="Arial"/>
                <w:sz w:val="16"/>
                <w:szCs w:val="16"/>
                <w:color w:val="auto"/>
              </w:rPr>
              <w:t>Regulatory adjustment</w:t>
            </w:r>
          </w:p>
        </w:tc>
        <w:tc>
          <w:tcPr>
            <w:tcW w:w="8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ind w:right="804"/>
              <w:spacing w:after="0"/>
              <w:rPr>
                <w:sz w:val="20"/>
                <w:szCs w:val="20"/>
                <w:color w:val="auto"/>
              </w:rPr>
            </w:pPr>
            <w:r>
              <w:rPr>
                <w:rFonts w:ascii="Arial" w:cs="Arial" w:eastAsia="Arial" w:hAnsi="Arial"/>
                <w:sz w:val="16"/>
                <w:szCs w:val="16"/>
                <w:color w:val="auto"/>
              </w:rPr>
              <w:t>(17)</w:t>
            </w:r>
          </w:p>
        </w:tc>
        <w:tc>
          <w:tcPr>
            <w:tcW w:w="58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6"/>
                <w:szCs w:val="16"/>
                <w:color w:val="auto"/>
              </w:rPr>
              <w:t>(12)</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w:t>
            </w:r>
          </w:p>
        </w:tc>
      </w:tr>
      <w:tr>
        <w:trPr>
          <w:trHeight w:val="183"/>
        </w:trPr>
        <w:tc>
          <w:tcPr>
            <w:tcW w:w="3380" w:type="dxa"/>
            <w:vAlign w:val="bottom"/>
            <w:gridSpan w:val="2"/>
          </w:tcPr>
          <w:p>
            <w:pPr>
              <w:spacing w:after="0" w:line="183" w:lineRule="exact"/>
              <w:rPr>
                <w:sz w:val="20"/>
                <w:szCs w:val="20"/>
                <w:color w:val="auto"/>
              </w:rPr>
            </w:pPr>
            <w:r>
              <w:rPr>
                <w:rFonts w:ascii="Arial" w:cs="Arial" w:eastAsia="Arial" w:hAnsi="Arial"/>
                <w:sz w:val="16"/>
                <w:szCs w:val="16"/>
                <w:color w:val="auto"/>
              </w:rPr>
              <w:t>Total net periodic benefit cost</w:t>
            </w:r>
          </w:p>
        </w:tc>
        <w:tc>
          <w:tcPr>
            <w:tcW w:w="880" w:type="dxa"/>
            <w:vAlign w:val="bottom"/>
          </w:tcPr>
          <w:p>
            <w:pPr>
              <w:jc w:val="right"/>
              <w:ind w:right="704"/>
              <w:spacing w:after="0" w:line="183" w:lineRule="exact"/>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line="183" w:lineRule="exact"/>
              <w:rPr>
                <w:sz w:val="20"/>
                <w:szCs w:val="20"/>
                <w:color w:val="auto"/>
              </w:rPr>
            </w:pPr>
            <w:r>
              <w:rPr>
                <w:rFonts w:ascii="Arial" w:cs="Arial" w:eastAsia="Arial" w:hAnsi="Arial"/>
                <w:sz w:val="16"/>
                <w:szCs w:val="16"/>
                <w:color w:val="auto"/>
              </w:rPr>
              <w:t>1</w:t>
            </w:r>
          </w:p>
        </w:tc>
        <w:tc>
          <w:tcPr>
            <w:tcW w:w="880" w:type="dxa"/>
            <w:vAlign w:val="bottom"/>
          </w:tcPr>
          <w:p>
            <w:pPr>
              <w:jc w:val="right"/>
              <w:ind w:right="704"/>
              <w:spacing w:after="0" w:line="183" w:lineRule="exact"/>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line="183" w:lineRule="exact"/>
              <w:rPr>
                <w:sz w:val="20"/>
                <w:szCs w:val="20"/>
                <w:color w:val="auto"/>
              </w:rPr>
            </w:pPr>
            <w:r>
              <w:rPr>
                <w:rFonts w:ascii="Arial" w:cs="Arial" w:eastAsia="Arial" w:hAnsi="Arial"/>
                <w:sz w:val="16"/>
                <w:szCs w:val="16"/>
                <w:color w:val="auto"/>
              </w:rPr>
              <w:t>1</w:t>
            </w:r>
          </w:p>
        </w:tc>
        <w:tc>
          <w:tcPr>
            <w:tcW w:w="2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080" w:type="dxa"/>
            <w:vAlign w:val="bottom"/>
          </w:tcPr>
          <w:p>
            <w:pPr>
              <w:jc w:val="right"/>
              <w:spacing w:after="0" w:line="183" w:lineRule="exact"/>
              <w:rPr>
                <w:sz w:val="20"/>
                <w:szCs w:val="20"/>
                <w:color w:val="auto"/>
              </w:rPr>
            </w:pPr>
            <w:r>
              <w:rPr>
                <w:rFonts w:ascii="Arial" w:cs="Arial" w:eastAsia="Arial" w:hAnsi="Arial"/>
                <w:sz w:val="16"/>
                <w:szCs w:val="16"/>
                <w:color w:val="auto"/>
              </w:rPr>
              <w:t>9</w:t>
            </w:r>
          </w:p>
        </w:tc>
        <w:tc>
          <w:tcPr>
            <w:tcW w:w="280" w:type="dxa"/>
            <w:vAlign w:val="bottom"/>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4</w:t>
            </w:r>
          </w:p>
        </w:tc>
      </w:tr>
      <w:tr>
        <w:trPr>
          <w:trHeight w:val="81"/>
        </w:trPr>
        <w:tc>
          <w:tcPr>
            <w:tcW w:w="20" w:type="dxa"/>
            <w:vAlign w:val="bottom"/>
            <w:shd w:val="clear" w:color="auto" w:fill="000000"/>
          </w:tcPr>
          <w:p>
            <w:pPr>
              <w:spacing w:after="0"/>
              <w:rPr>
                <w:sz w:val="7"/>
                <w:szCs w:val="7"/>
                <w:color w:val="auto"/>
              </w:rPr>
            </w:pPr>
          </w:p>
        </w:tc>
        <w:tc>
          <w:tcPr>
            <w:tcW w:w="336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40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380" w:type="dxa"/>
            <w:vAlign w:val="bottom"/>
            <w:shd w:val="clear" w:color="auto" w:fill="000000"/>
          </w:tcPr>
          <w:p>
            <w:pPr>
              <w:spacing w:after="0"/>
              <w:rPr>
                <w:sz w:val="7"/>
                <w:szCs w:val="7"/>
                <w:color w:val="auto"/>
              </w:rPr>
            </w:pPr>
          </w:p>
        </w:tc>
        <w:tc>
          <w:tcPr>
            <w:tcW w:w="200" w:type="dxa"/>
            <w:vAlign w:val="bottom"/>
            <w:shd w:val="clear" w:color="auto" w:fill="000000"/>
          </w:tcPr>
          <w:p>
            <w:pPr>
              <w:spacing w:after="0"/>
              <w:rPr>
                <w:sz w:val="7"/>
                <w:szCs w:val="7"/>
                <w:color w:val="auto"/>
              </w:rPr>
            </w:pPr>
          </w:p>
        </w:tc>
        <w:tc>
          <w:tcPr>
            <w:tcW w:w="1080" w:type="dxa"/>
            <w:vAlign w:val="bottom"/>
            <w:shd w:val="clear" w:color="auto" w:fill="000000"/>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980" w:type="dxa"/>
            <w:vAlign w:val="bottom"/>
            <w:shd w:val="clear" w:color="auto" w:fill="000000"/>
          </w:tcPr>
          <w:p>
            <w:pPr>
              <w:spacing w:after="0"/>
              <w:rPr>
                <w:sz w:val="7"/>
                <w:szCs w:val="7"/>
                <w:color w:val="auto"/>
              </w:rPr>
            </w:pPr>
          </w:p>
        </w:tc>
        <w:tc>
          <w:tcPr>
            <w:tcW w:w="60" w:type="dxa"/>
            <w:vAlign w:val="bottom"/>
            <w:shd w:val="clear" w:color="auto" w:fill="000000"/>
          </w:tcPr>
          <w:p>
            <w:pPr>
              <w:spacing w:after="0"/>
              <w:rPr>
                <w:sz w:val="7"/>
                <w:szCs w:val="7"/>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Future Payments</w:t>
      </w:r>
    </w:p>
    <w:p>
      <w:pPr>
        <w:spacing w:after="0" w:line="20" w:lineRule="exact"/>
        <w:rPr>
          <w:sz w:val="20"/>
          <w:szCs w:val="20"/>
          <w:color w:val="auto"/>
        </w:rPr>
      </w:pPr>
    </w:p>
    <w:p>
      <w:pPr>
        <w:ind w:right="659"/>
        <w:spacing w:after="0" w:line="227" w:lineRule="auto"/>
        <w:rPr>
          <w:sz w:val="20"/>
          <w:szCs w:val="20"/>
          <w:color w:val="auto"/>
        </w:rPr>
      </w:pPr>
      <w:r>
        <w:rPr>
          <w:rFonts w:ascii="Arial" w:cs="Arial" w:eastAsia="Arial" w:hAnsi="Arial"/>
          <w:sz w:val="22"/>
          <w:szCs w:val="22"/>
          <w:color w:val="auto"/>
        </w:rPr>
        <w:t>The following table shows our year-to-date contributions to our pension and other postretirement benefit plans and the amounts we expect to contribute in 2010:</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80" w:type="dxa"/>
            <w:vAlign w:val="bottom"/>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420" w:type="dxa"/>
            <w:vAlign w:val="bottom"/>
          </w:tcPr>
          <w:p>
            <w:pPr>
              <w:spacing w:after="0"/>
              <w:rPr>
                <w:sz w:val="14"/>
                <w:szCs w:val="14"/>
                <w:color w:val="auto"/>
              </w:rPr>
            </w:pPr>
          </w:p>
        </w:tc>
        <w:tc>
          <w:tcPr>
            <w:tcW w:w="1180" w:type="dxa"/>
            <w:vAlign w:val="bottom"/>
          </w:tcPr>
          <w:p>
            <w:pPr>
              <w:jc w:val="right"/>
              <w:ind w:right="62"/>
              <w:spacing w:after="0"/>
              <w:rPr>
                <w:sz w:val="20"/>
                <w:szCs w:val="20"/>
                <w:color w:val="auto"/>
              </w:rPr>
            </w:pPr>
            <w:r>
              <w:rPr>
                <w:rFonts w:ascii="Arial" w:cs="Arial" w:eastAsia="Arial" w:hAnsi="Arial"/>
                <w:sz w:val="14"/>
                <w:szCs w:val="14"/>
                <w:color w:val="auto"/>
              </w:rPr>
              <w:t>Sempra Energy</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080" w:type="dxa"/>
            <w:vAlign w:val="bottom"/>
            <w:tcBorders>
              <w:bottom w:val="single" w:sz="8" w:color="auto"/>
            </w:tcBorders>
            <w:vMerge w:val="continue"/>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142"/>
              <w:spacing w:after="0" w:line="157" w:lineRule="exact"/>
              <w:rPr>
                <w:sz w:val="20"/>
                <w:szCs w:val="20"/>
                <w:color w:val="auto"/>
              </w:rPr>
            </w:pPr>
            <w:r>
              <w:rPr>
                <w:rFonts w:ascii="Arial" w:cs="Arial" w:eastAsia="Arial" w:hAnsi="Arial"/>
                <w:sz w:val="14"/>
                <w:szCs w:val="14"/>
                <w:color w:val="auto"/>
              </w:rPr>
              <w:t>Consolidated</w:t>
            </w:r>
          </w:p>
        </w:tc>
        <w:tc>
          <w:tcPr>
            <w:tcW w:w="2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01"/>
              <w:spacing w:after="0" w:line="157" w:lineRule="exact"/>
              <w:rPr>
                <w:sz w:val="20"/>
                <w:szCs w:val="20"/>
                <w:color w:val="auto"/>
              </w:rPr>
            </w:pPr>
            <w:r>
              <w:rPr>
                <w:rFonts w:ascii="Arial" w:cs="Arial" w:eastAsia="Arial" w:hAnsi="Arial"/>
                <w:sz w:val="14"/>
                <w:szCs w:val="14"/>
                <w:color w:val="auto"/>
              </w:rPr>
              <w:t>SDG&amp;E</w:t>
            </w:r>
          </w:p>
        </w:tc>
        <w:tc>
          <w:tcPr>
            <w:tcW w:w="2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261"/>
              <w:spacing w:after="0" w:line="157" w:lineRule="exact"/>
              <w:rPr>
                <w:sz w:val="20"/>
                <w:szCs w:val="20"/>
                <w:color w:val="auto"/>
              </w:rPr>
            </w:pPr>
            <w:r>
              <w:rPr>
                <w:rFonts w:ascii="Arial" w:cs="Arial" w:eastAsia="Arial" w:hAnsi="Arial"/>
                <w:sz w:val="14"/>
                <w:szCs w:val="14"/>
                <w:color w:val="auto"/>
              </w:rPr>
              <w:t>SoCalGas</w:t>
            </w:r>
          </w:p>
        </w:tc>
        <w:tc>
          <w:tcPr>
            <w:tcW w:w="0" w:type="dxa"/>
            <w:vAlign w:val="bottom"/>
          </w:tcPr>
          <w:p>
            <w:pPr>
              <w:spacing w:after="0"/>
              <w:rPr>
                <w:sz w:val="1"/>
                <w:szCs w:val="1"/>
                <w:color w:val="auto"/>
              </w:rPr>
            </w:pPr>
          </w:p>
        </w:tc>
      </w:tr>
      <w:tr>
        <w:trPr>
          <w:trHeight w:val="184"/>
        </w:trPr>
        <w:tc>
          <w:tcPr>
            <w:tcW w:w="3080" w:type="dxa"/>
            <w:vAlign w:val="bottom"/>
          </w:tcPr>
          <w:p>
            <w:pPr>
              <w:spacing w:after="0"/>
              <w:rPr>
                <w:sz w:val="20"/>
                <w:szCs w:val="20"/>
                <w:color w:val="auto"/>
              </w:rPr>
            </w:pPr>
            <w:r>
              <w:rPr>
                <w:rFonts w:ascii="Arial" w:cs="Arial" w:eastAsia="Arial" w:hAnsi="Arial"/>
                <w:sz w:val="16"/>
                <w:szCs w:val="16"/>
                <w:color w:val="auto"/>
              </w:rPr>
              <w:t>Contributions through March 31, 2010:</w:t>
            </w:r>
          </w:p>
        </w:tc>
        <w:tc>
          <w:tcPr>
            <w:tcW w:w="4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80" w:type="dxa"/>
            <w:vAlign w:val="bottom"/>
          </w:tcPr>
          <w:p>
            <w:pPr>
              <w:ind w:left="180"/>
              <w:spacing w:after="0"/>
              <w:rPr>
                <w:sz w:val="20"/>
                <w:szCs w:val="20"/>
                <w:color w:val="auto"/>
              </w:rPr>
            </w:pPr>
            <w:r>
              <w:rPr>
                <w:rFonts w:ascii="Arial" w:cs="Arial" w:eastAsia="Arial" w:hAnsi="Arial"/>
                <w:sz w:val="16"/>
                <w:szCs w:val="16"/>
                <w:color w:val="auto"/>
              </w:rPr>
              <w:t>Pension plans</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13</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9"/>
        </w:trPr>
        <w:tc>
          <w:tcPr>
            <w:tcW w:w="3080" w:type="dxa"/>
            <w:vAlign w:val="bottom"/>
          </w:tcPr>
          <w:p>
            <w:pPr>
              <w:ind w:left="180"/>
              <w:spacing w:after="0"/>
              <w:rPr>
                <w:sz w:val="20"/>
                <w:szCs w:val="20"/>
                <w:color w:val="auto"/>
              </w:rPr>
            </w:pPr>
            <w:r>
              <w:rPr>
                <w:rFonts w:ascii="Arial" w:cs="Arial" w:eastAsia="Arial" w:hAnsi="Arial"/>
                <w:sz w:val="16"/>
                <w:szCs w:val="16"/>
                <w:color w:val="auto"/>
              </w:rPr>
              <w:t>Other postretirement benefit plans</w:t>
            </w:r>
          </w:p>
        </w:tc>
        <w:tc>
          <w:tcPr>
            <w:tcW w:w="4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w:t>
            </w:r>
          </w:p>
        </w:tc>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89"/>
        </w:trPr>
        <w:tc>
          <w:tcPr>
            <w:tcW w:w="3080" w:type="dxa"/>
            <w:vAlign w:val="bottom"/>
          </w:tcPr>
          <w:p>
            <w:pPr>
              <w:spacing w:after="0"/>
              <w:rPr>
                <w:sz w:val="20"/>
                <w:szCs w:val="20"/>
                <w:color w:val="auto"/>
              </w:rPr>
            </w:pPr>
            <w:r>
              <w:rPr>
                <w:rFonts w:ascii="Arial" w:cs="Arial" w:eastAsia="Arial" w:hAnsi="Arial"/>
                <w:sz w:val="16"/>
                <w:szCs w:val="16"/>
                <w:color w:val="auto"/>
              </w:rPr>
              <w:t>Total expected contributions in 2010:</w:t>
            </w:r>
          </w:p>
        </w:tc>
        <w:tc>
          <w:tcPr>
            <w:tcW w:w="4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80" w:type="dxa"/>
            <w:vAlign w:val="bottom"/>
          </w:tcPr>
          <w:p>
            <w:pPr>
              <w:ind w:left="180"/>
              <w:spacing w:after="0"/>
              <w:rPr>
                <w:sz w:val="20"/>
                <w:szCs w:val="20"/>
                <w:color w:val="auto"/>
              </w:rPr>
            </w:pPr>
            <w:r>
              <w:rPr>
                <w:rFonts w:ascii="Arial" w:cs="Arial" w:eastAsia="Arial" w:hAnsi="Arial"/>
                <w:sz w:val="16"/>
                <w:szCs w:val="16"/>
                <w:color w:val="auto"/>
              </w:rPr>
              <w:t>Pension plans</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175</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62</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187"/>
        </w:trPr>
        <w:tc>
          <w:tcPr>
            <w:tcW w:w="3080" w:type="dxa"/>
            <w:vAlign w:val="bottom"/>
          </w:tcPr>
          <w:p>
            <w:pPr>
              <w:ind w:left="180"/>
              <w:spacing w:after="0"/>
              <w:rPr>
                <w:sz w:val="20"/>
                <w:szCs w:val="20"/>
                <w:color w:val="auto"/>
              </w:rPr>
            </w:pPr>
            <w:r>
              <w:rPr>
                <w:rFonts w:ascii="Arial" w:cs="Arial" w:eastAsia="Arial" w:hAnsi="Arial"/>
                <w:sz w:val="16"/>
                <w:szCs w:val="16"/>
                <w:color w:val="auto"/>
              </w:rPr>
              <w:t>Other postretirement benefit plans</w:t>
            </w:r>
          </w:p>
        </w:tc>
        <w:tc>
          <w:tcPr>
            <w:tcW w:w="4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55</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w:t>
            </w:r>
          </w:p>
        </w:tc>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81"/>
        </w:trPr>
        <w:tc>
          <w:tcPr>
            <w:tcW w:w="3080" w:type="dxa"/>
            <w:vAlign w:val="bottom"/>
            <w:shd w:val="clear" w:color="auto" w:fill="DFDFDF"/>
          </w:tcPr>
          <w:p>
            <w:pPr>
              <w:spacing w:after="0"/>
              <w:rPr>
                <w:sz w:val="7"/>
                <w:szCs w:val="7"/>
                <w:color w:val="auto"/>
              </w:rPr>
            </w:pPr>
          </w:p>
        </w:tc>
        <w:tc>
          <w:tcPr>
            <w:tcW w:w="420" w:type="dxa"/>
            <w:vAlign w:val="bottom"/>
            <w:shd w:val="clear" w:color="auto" w:fill="DFDFDF"/>
          </w:tcPr>
          <w:p>
            <w:pPr>
              <w:spacing w:after="0"/>
              <w:rPr>
                <w:sz w:val="7"/>
                <w:szCs w:val="7"/>
                <w:color w:val="auto"/>
              </w:rPr>
            </w:pPr>
          </w:p>
        </w:tc>
        <w:tc>
          <w:tcPr>
            <w:tcW w:w="1180" w:type="dxa"/>
            <w:vAlign w:val="bottom"/>
            <w:shd w:val="clear" w:color="auto" w:fill="DFDFDF"/>
          </w:tcPr>
          <w:p>
            <w:pPr>
              <w:spacing w:after="0"/>
              <w:rPr>
                <w:sz w:val="7"/>
                <w:szCs w:val="7"/>
                <w:color w:val="auto"/>
              </w:rPr>
            </w:pPr>
          </w:p>
        </w:tc>
        <w:tc>
          <w:tcPr>
            <w:tcW w:w="260" w:type="dxa"/>
            <w:vAlign w:val="bottom"/>
            <w:shd w:val="clear" w:color="auto" w:fill="DFDFDF"/>
          </w:tcPr>
          <w:p>
            <w:pPr>
              <w:spacing w:after="0"/>
              <w:rPr>
                <w:sz w:val="7"/>
                <w:szCs w:val="7"/>
                <w:color w:val="auto"/>
              </w:rPr>
            </w:pPr>
          </w:p>
        </w:tc>
        <w:tc>
          <w:tcPr>
            <w:tcW w:w="1040" w:type="dxa"/>
            <w:vAlign w:val="bottom"/>
            <w:shd w:val="clear" w:color="auto" w:fill="DFDFDF"/>
          </w:tcPr>
          <w:p>
            <w:pPr>
              <w:spacing w:after="0"/>
              <w:rPr>
                <w:sz w:val="7"/>
                <w:szCs w:val="7"/>
                <w:color w:val="auto"/>
              </w:rPr>
            </w:pPr>
          </w:p>
        </w:tc>
        <w:tc>
          <w:tcPr>
            <w:tcW w:w="240" w:type="dxa"/>
            <w:vAlign w:val="bottom"/>
            <w:shd w:val="clear" w:color="auto" w:fill="DFDFDF"/>
          </w:tcPr>
          <w:p>
            <w:pPr>
              <w:spacing w:after="0"/>
              <w:rPr>
                <w:sz w:val="7"/>
                <w:szCs w:val="7"/>
                <w:color w:val="auto"/>
              </w:rPr>
            </w:pPr>
          </w:p>
        </w:tc>
        <w:tc>
          <w:tcPr>
            <w:tcW w:w="1100" w:type="dxa"/>
            <w:vAlign w:val="bottom"/>
            <w:shd w:val="clear" w:color="auto" w:fill="DFDFDF"/>
          </w:tcPr>
          <w:p>
            <w:pPr>
              <w:spacing w:after="0"/>
              <w:rPr>
                <w:sz w:val="7"/>
                <w:szCs w:val="7"/>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EARNINGS PER SHARE</w:t>
      </w:r>
    </w:p>
    <w:p>
      <w:pPr>
        <w:spacing w:after="0" w:line="69" w:lineRule="exact"/>
        <w:rPr>
          <w:sz w:val="20"/>
          <w:szCs w:val="20"/>
          <w:color w:val="auto"/>
        </w:rPr>
      </w:pPr>
    </w:p>
    <w:p>
      <w:pPr>
        <w:ind w:right="579"/>
        <w:spacing w:after="0" w:line="226" w:lineRule="auto"/>
        <w:rPr>
          <w:sz w:val="20"/>
          <w:szCs w:val="20"/>
          <w:color w:val="auto"/>
        </w:rPr>
      </w:pPr>
      <w:r>
        <w:rPr>
          <w:rFonts w:ascii="Arial" w:cs="Arial" w:eastAsia="Arial" w:hAnsi="Arial"/>
          <w:sz w:val="21"/>
          <w:szCs w:val="21"/>
          <w:color w:val="auto"/>
        </w:rPr>
        <w:t>The following table provides the per share computations for our earnings for the three months ended March 31, 2010 and 2009. Basic earnings per common share (EPS) is calculated by dividing earnings attributable to common stock by the weighted-average number of common shares outstanding for the period. Diluted EPS includes the potential dilution of common stock equivalent shares that could occur if securities or other contracts to issue common stock were exercised or converted into common stock.</w:t>
      </w:r>
    </w:p>
    <w:p>
      <w:pPr>
        <w:sectPr>
          <w:pgSz w:w="11900" w:h="16838" w:orient="portrait"/>
          <w:cols w:equalWidth="0" w:num="1">
            <w:col w:w="10219"/>
          </w:cols>
          <w:pgMar w:left="240" w:top="378" w:right="1440"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color w:val="auto"/>
        </w:rPr>
        <w:t>EARNINGS PER SHARE COMPUTATIONS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5822950" cy="2317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2295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per share amounts; shares in thousands)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color w:val="auto"/>
              </w:rPr>
              <w:t>Three months ended March 31,</w:t>
            </w:r>
          </w:p>
        </w:tc>
      </w:tr>
      <w:tr>
        <w:trPr>
          <w:trHeight w:val="183"/>
        </w:trPr>
        <w:tc>
          <w:tcPr>
            <w:tcW w:w="62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color w:val="auto"/>
              </w:rPr>
              <w:t>2010</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2009</w:t>
            </w:r>
          </w:p>
        </w:tc>
      </w:tr>
      <w:tr>
        <w:trPr>
          <w:trHeight w:val="184"/>
        </w:trPr>
        <w:tc>
          <w:tcPr>
            <w:tcW w:w="6240" w:type="dxa"/>
            <w:vAlign w:val="bottom"/>
          </w:tcPr>
          <w:p>
            <w:pPr>
              <w:spacing w:after="0"/>
              <w:rPr>
                <w:sz w:val="20"/>
                <w:szCs w:val="20"/>
                <w:color w:val="auto"/>
              </w:rPr>
            </w:pPr>
            <w:r>
              <w:rPr>
                <w:rFonts w:ascii="Arial" w:cs="Arial" w:eastAsia="Arial" w:hAnsi="Arial"/>
                <w:sz w:val="16"/>
                <w:szCs w:val="16"/>
                <w:color w:val="auto"/>
              </w:rPr>
              <w:t>Numerator:</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5"/>
        </w:trPr>
        <w:tc>
          <w:tcPr>
            <w:tcW w:w="6240" w:type="dxa"/>
            <w:vAlign w:val="bottom"/>
          </w:tcPr>
          <w:p>
            <w:pPr>
              <w:ind w:left="180"/>
              <w:spacing w:after="0"/>
              <w:rPr>
                <w:sz w:val="20"/>
                <w:szCs w:val="20"/>
                <w:color w:val="auto"/>
              </w:rPr>
            </w:pPr>
            <w:r>
              <w:rPr>
                <w:rFonts w:ascii="Arial" w:cs="Arial" w:eastAsia="Arial" w:hAnsi="Arial"/>
                <w:sz w:val="16"/>
                <w:szCs w:val="16"/>
                <w:color w:val="auto"/>
              </w:rPr>
              <w:t>Earnings</w:t>
            </w:r>
          </w:p>
        </w:tc>
        <w:tc>
          <w:tcPr>
            <w:tcW w:w="5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106</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316</w:t>
            </w:r>
          </w:p>
        </w:tc>
      </w:tr>
      <w:tr>
        <w:trPr>
          <w:trHeight w:val="197"/>
        </w:trPr>
        <w:tc>
          <w:tcPr>
            <w:tcW w:w="6240" w:type="dxa"/>
            <w:vAlign w:val="bottom"/>
          </w:tcPr>
          <w:p>
            <w:pPr>
              <w:spacing w:after="0"/>
              <w:rPr>
                <w:sz w:val="20"/>
                <w:szCs w:val="20"/>
                <w:color w:val="auto"/>
              </w:rPr>
            </w:pPr>
            <w:r>
              <w:rPr>
                <w:rFonts w:ascii="Arial" w:cs="Arial" w:eastAsia="Arial" w:hAnsi="Arial"/>
                <w:sz w:val="16"/>
                <w:szCs w:val="16"/>
                <w:color w:val="auto"/>
              </w:rPr>
              <w:t>Denominator:</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5"/>
        </w:trPr>
        <w:tc>
          <w:tcPr>
            <w:tcW w:w="6240" w:type="dxa"/>
            <w:vAlign w:val="bottom"/>
          </w:tcPr>
          <w:p>
            <w:pPr>
              <w:ind w:left="180"/>
              <w:spacing w:after="0"/>
              <w:rPr>
                <w:sz w:val="20"/>
                <w:szCs w:val="20"/>
                <w:color w:val="auto"/>
              </w:rPr>
            </w:pPr>
            <w:r>
              <w:rPr>
                <w:rFonts w:ascii="Arial" w:cs="Arial" w:eastAsia="Arial" w:hAnsi="Arial"/>
                <w:sz w:val="16"/>
                <w:szCs w:val="16"/>
                <w:color w:val="auto"/>
              </w:rPr>
              <w:t>Weighted-average common shares outstanding for basic EPS</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246,083</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241,766</w:t>
            </w:r>
          </w:p>
        </w:tc>
      </w:tr>
      <w:tr>
        <w:trPr>
          <w:trHeight w:val="197"/>
        </w:trPr>
        <w:tc>
          <w:tcPr>
            <w:tcW w:w="6240" w:type="dxa"/>
            <w:vAlign w:val="bottom"/>
          </w:tcPr>
          <w:p>
            <w:pPr>
              <w:ind w:left="180"/>
              <w:spacing w:after="0"/>
              <w:rPr>
                <w:sz w:val="20"/>
                <w:szCs w:val="20"/>
                <w:color w:val="auto"/>
              </w:rPr>
            </w:pPr>
            <w:r>
              <w:rPr>
                <w:rFonts w:ascii="Arial" w:cs="Arial" w:eastAsia="Arial" w:hAnsi="Arial"/>
                <w:sz w:val="16"/>
                <w:szCs w:val="16"/>
                <w:color w:val="auto"/>
              </w:rPr>
              <w:t>Dilutive effect of stock options, restricted stock awards and restricted stock units</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4,290</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3,251</w:t>
            </w:r>
          </w:p>
        </w:tc>
      </w:tr>
      <w:tr>
        <w:trPr>
          <w:trHeight w:val="195"/>
        </w:trPr>
        <w:tc>
          <w:tcPr>
            <w:tcW w:w="6240" w:type="dxa"/>
            <w:vAlign w:val="bottom"/>
          </w:tcPr>
          <w:p>
            <w:pPr>
              <w:ind w:left="180"/>
              <w:spacing w:after="0"/>
              <w:rPr>
                <w:sz w:val="20"/>
                <w:szCs w:val="20"/>
                <w:color w:val="auto"/>
              </w:rPr>
            </w:pPr>
            <w:r>
              <w:rPr>
                <w:rFonts w:ascii="Arial" w:cs="Arial" w:eastAsia="Arial" w:hAnsi="Arial"/>
                <w:sz w:val="16"/>
                <w:szCs w:val="16"/>
                <w:color w:val="auto"/>
              </w:rPr>
              <w:t>Weighted-average common shares outstanding for diluted EPS</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250,373</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245,017</w:t>
            </w:r>
          </w:p>
        </w:tc>
      </w:tr>
      <w:tr>
        <w:trPr>
          <w:trHeight w:val="197"/>
        </w:trPr>
        <w:tc>
          <w:tcPr>
            <w:tcW w:w="6240" w:type="dxa"/>
            <w:vAlign w:val="bottom"/>
          </w:tcPr>
          <w:p>
            <w:pPr>
              <w:spacing w:after="0"/>
              <w:rPr>
                <w:sz w:val="20"/>
                <w:szCs w:val="20"/>
                <w:color w:val="auto"/>
              </w:rPr>
            </w:pPr>
            <w:r>
              <w:rPr>
                <w:rFonts w:ascii="Arial" w:cs="Arial" w:eastAsia="Arial" w:hAnsi="Arial"/>
                <w:sz w:val="16"/>
                <w:szCs w:val="16"/>
                <w:color w:val="auto"/>
              </w:rPr>
              <w:t>Earnings per share:</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89"/>
        </w:trPr>
        <w:tc>
          <w:tcPr>
            <w:tcW w:w="6240" w:type="dxa"/>
            <w:vAlign w:val="bottom"/>
          </w:tcPr>
          <w:p>
            <w:pPr>
              <w:ind w:left="180"/>
              <w:spacing w:after="0"/>
              <w:rPr>
                <w:sz w:val="20"/>
                <w:szCs w:val="20"/>
                <w:color w:val="auto"/>
              </w:rPr>
            </w:pPr>
            <w:r>
              <w:rPr>
                <w:rFonts w:ascii="Arial" w:cs="Arial" w:eastAsia="Arial" w:hAnsi="Arial"/>
                <w:sz w:val="16"/>
                <w:szCs w:val="16"/>
                <w:color w:val="auto"/>
              </w:rPr>
              <w:t>Basic</w:t>
            </w:r>
          </w:p>
        </w:tc>
        <w:tc>
          <w:tcPr>
            <w:tcW w:w="5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0.43</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1.31</w:t>
            </w:r>
          </w:p>
        </w:tc>
      </w:tr>
      <w:tr>
        <w:trPr>
          <w:trHeight w:val="187"/>
        </w:trPr>
        <w:tc>
          <w:tcPr>
            <w:tcW w:w="6240" w:type="dxa"/>
            <w:vAlign w:val="bottom"/>
          </w:tcPr>
          <w:p>
            <w:pPr>
              <w:ind w:left="180"/>
              <w:spacing w:after="0"/>
              <w:rPr>
                <w:sz w:val="20"/>
                <w:szCs w:val="20"/>
                <w:color w:val="auto"/>
              </w:rPr>
            </w:pPr>
            <w:r>
              <w:rPr>
                <w:rFonts w:ascii="Arial" w:cs="Arial" w:eastAsia="Arial" w:hAnsi="Arial"/>
                <w:sz w:val="16"/>
                <w:szCs w:val="16"/>
                <w:color w:val="auto"/>
              </w:rPr>
              <w:t>Diluted</w:t>
            </w:r>
          </w:p>
        </w:tc>
        <w:tc>
          <w:tcPr>
            <w:tcW w:w="5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0.42</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1.29</w:t>
            </w:r>
          </w:p>
        </w:tc>
      </w:tr>
      <w:tr>
        <w:trPr>
          <w:trHeight w:val="81"/>
        </w:trPr>
        <w:tc>
          <w:tcPr>
            <w:tcW w:w="6240" w:type="dxa"/>
            <w:vAlign w:val="bottom"/>
            <w:shd w:val="clear" w:color="auto" w:fill="DFDFDF"/>
          </w:tcPr>
          <w:p>
            <w:pPr>
              <w:spacing w:after="0"/>
              <w:rPr>
                <w:sz w:val="7"/>
                <w:szCs w:val="7"/>
                <w:color w:val="auto"/>
              </w:rPr>
            </w:pPr>
          </w:p>
        </w:tc>
        <w:tc>
          <w:tcPr>
            <w:tcW w:w="320" w:type="dxa"/>
            <w:vAlign w:val="bottom"/>
            <w:shd w:val="clear" w:color="auto" w:fill="DFDFDF"/>
          </w:tcPr>
          <w:p>
            <w:pPr>
              <w:spacing w:after="0"/>
              <w:rPr>
                <w:sz w:val="7"/>
                <w:szCs w:val="7"/>
                <w:color w:val="auto"/>
              </w:rPr>
            </w:pPr>
          </w:p>
        </w:tc>
        <w:tc>
          <w:tcPr>
            <w:tcW w:w="200" w:type="dxa"/>
            <w:vAlign w:val="bottom"/>
            <w:shd w:val="clear" w:color="auto" w:fill="DFDFDF"/>
          </w:tcPr>
          <w:p>
            <w:pPr>
              <w:spacing w:after="0"/>
              <w:rPr>
                <w:sz w:val="7"/>
                <w:szCs w:val="7"/>
                <w:color w:val="auto"/>
              </w:rPr>
            </w:pPr>
          </w:p>
        </w:tc>
        <w:tc>
          <w:tcPr>
            <w:tcW w:w="1080" w:type="dxa"/>
            <w:vAlign w:val="bottom"/>
            <w:shd w:val="clear" w:color="auto" w:fill="DFDFDF"/>
          </w:tcPr>
          <w:p>
            <w:pPr>
              <w:spacing w:after="0"/>
              <w:rPr>
                <w:sz w:val="7"/>
                <w:szCs w:val="7"/>
                <w:color w:val="auto"/>
              </w:rPr>
            </w:pPr>
          </w:p>
        </w:tc>
        <w:tc>
          <w:tcPr>
            <w:tcW w:w="320" w:type="dxa"/>
            <w:vAlign w:val="bottom"/>
            <w:shd w:val="clear" w:color="auto" w:fill="DFDFDF"/>
          </w:tcPr>
          <w:p>
            <w:pPr>
              <w:spacing w:after="0"/>
              <w:rPr>
                <w:sz w:val="7"/>
                <w:szCs w:val="7"/>
                <w:color w:val="auto"/>
              </w:rPr>
            </w:pPr>
          </w:p>
        </w:tc>
        <w:tc>
          <w:tcPr>
            <w:tcW w:w="1020" w:type="dxa"/>
            <w:vAlign w:val="bottom"/>
            <w:shd w:val="clear" w:color="auto" w:fill="DFDFDF"/>
          </w:tcPr>
          <w:p>
            <w:pPr>
              <w:spacing w:after="0"/>
              <w:rPr>
                <w:sz w:val="7"/>
                <w:szCs w:val="7"/>
                <w:color w:val="auto"/>
              </w:rPr>
            </w:pPr>
          </w:p>
        </w:tc>
      </w:tr>
    </w:tbl>
    <w:p>
      <w:pPr>
        <w:spacing w:after="0" w:line="200" w:lineRule="exact"/>
        <w:rPr>
          <w:sz w:val="20"/>
          <w:szCs w:val="20"/>
          <w:color w:val="auto"/>
        </w:rPr>
      </w:pPr>
    </w:p>
    <w:p>
      <w:pPr>
        <w:spacing w:after="0" w:line="211" w:lineRule="exact"/>
        <w:rPr>
          <w:sz w:val="20"/>
          <w:szCs w:val="20"/>
          <w:color w:val="auto"/>
        </w:rPr>
      </w:pPr>
    </w:p>
    <w:p>
      <w:pPr>
        <w:ind w:right="479"/>
        <w:spacing w:after="0" w:line="245" w:lineRule="auto"/>
        <w:rPr>
          <w:sz w:val="20"/>
          <w:szCs w:val="20"/>
          <w:color w:val="auto"/>
        </w:rPr>
      </w:pPr>
      <w:r>
        <w:rPr>
          <w:rFonts w:ascii="Arial" w:cs="Arial" w:eastAsia="Arial" w:hAnsi="Arial"/>
          <w:sz w:val="19"/>
          <w:szCs w:val="19"/>
          <w:color w:val="auto"/>
        </w:rPr>
        <w:t>The dilution from common stock options is based on the treasury stock method. Under this method, proceeds based on the exercise price plus unearned compensation and windfall tax benefits or minus tax shortfalls related to the options are assumed to be used to repurchase shares on the open market at the average market price for the period. The windfall tax benefits are tax deductions we would receive upon the assumed exercise of stock options in excess of the deferred income taxes we recorded related to the compensation expense on the stock options. Tax shortfalls occur when the assumed tax deductions are less than recorded deferred income taxes. The calculation excludes options for which the exercise price on common stock was greater than the average market price during the period. We had 2,180,900 and 3,153,534 such stock options outstanding during the three months ended March 31, 2010 and 2009, respectively.</w:t>
      </w:r>
    </w:p>
    <w:p>
      <w:pPr>
        <w:spacing w:after="0" w:line="32" w:lineRule="exact"/>
        <w:rPr>
          <w:sz w:val="20"/>
          <w:szCs w:val="20"/>
          <w:color w:val="auto"/>
        </w:rPr>
      </w:pPr>
    </w:p>
    <w:p>
      <w:pPr>
        <w:ind w:right="679"/>
        <w:spacing w:after="0" w:line="218" w:lineRule="auto"/>
        <w:rPr>
          <w:sz w:val="20"/>
          <w:szCs w:val="20"/>
          <w:color w:val="auto"/>
        </w:rPr>
      </w:pPr>
      <w:r>
        <w:rPr>
          <w:rFonts w:ascii="Arial" w:cs="Arial" w:eastAsia="Arial" w:hAnsi="Arial"/>
          <w:sz w:val="22"/>
          <w:szCs w:val="22"/>
          <w:color w:val="auto"/>
        </w:rPr>
        <w:t>During the three months ended March 31, 2010, we had 9,900 stock options outstanding that were antidilutive because of the unearned compensation and windfall tax benefits included in the assumed proceeds under the treasury stock method. We had no such antidilutive stock options outstanding during the three months ended March 31, 2009.</w:t>
      </w:r>
    </w:p>
    <w:p>
      <w:pPr>
        <w:spacing w:after="0" w:line="26" w:lineRule="exact"/>
        <w:rPr>
          <w:sz w:val="20"/>
          <w:szCs w:val="20"/>
          <w:color w:val="auto"/>
        </w:rPr>
      </w:pPr>
    </w:p>
    <w:p>
      <w:pPr>
        <w:ind w:right="559"/>
        <w:spacing w:after="0" w:line="247" w:lineRule="auto"/>
        <w:rPr>
          <w:sz w:val="20"/>
          <w:szCs w:val="20"/>
          <w:color w:val="auto"/>
        </w:rPr>
      </w:pPr>
      <w:r>
        <w:rPr>
          <w:rFonts w:ascii="Arial" w:cs="Arial" w:eastAsia="Arial" w:hAnsi="Arial"/>
          <w:sz w:val="19"/>
          <w:szCs w:val="19"/>
          <w:color w:val="auto"/>
        </w:rPr>
        <w:t>The dilution from unvested restricted stock awards and units is also based on the treasury stock method. Assumed proceeds equal to the unearned compensation and windfall tax benefits or minus tax shortfalls related to the awards and units are assumed to be used to repurchase shares on the open market at the average market price for the period. The windfall tax benefits or tax shortfalls are the difference between tax deductions we would receive upon the assumed vesting of restricted stock awards and units and the deferred income taxes we recorded related to the compensation expense on the restricted stock awards and units. There were no such anti-dilutive restricted stock awards or units during the three months ended March 31, 2010 or 2009.</w:t>
      </w: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SHARE-BASED COMPENSATION</w:t>
      </w:r>
    </w:p>
    <w:p>
      <w:pPr>
        <w:spacing w:after="0" w:line="55" w:lineRule="exact"/>
        <w:rPr>
          <w:sz w:val="20"/>
          <w:szCs w:val="20"/>
          <w:color w:val="auto"/>
        </w:rPr>
      </w:pPr>
    </w:p>
    <w:p>
      <w:pPr>
        <w:ind w:right="499"/>
        <w:spacing w:after="0" w:line="226" w:lineRule="auto"/>
        <w:rPr>
          <w:sz w:val="20"/>
          <w:szCs w:val="20"/>
          <w:color w:val="auto"/>
        </w:rPr>
      </w:pPr>
      <w:r>
        <w:rPr>
          <w:rFonts w:ascii="Arial" w:cs="Arial" w:eastAsia="Arial" w:hAnsi="Arial"/>
          <w:sz w:val="21"/>
          <w:szCs w:val="21"/>
          <w:color w:val="auto"/>
        </w:rPr>
        <w:t>We discuss our share-based compensation plans in Note 10 of the Notes to Consolidated Financial Statements in the Annual Report. We recorded share-based compensation expense, net of income taxes, of $7 million and $6 million for the three months ended March 31, 2010 and 2009, respectively. Pursuant to our share-based compensation plans, we granted 687,600 non-qualified stock options and 769,800 restricted stock units during the three months ended March 31, 2010, primarily in January 2010.</w:t>
      </w: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CAPITALIZED FINANCING COSTS</w:t>
      </w:r>
    </w:p>
    <w:p>
      <w:pPr>
        <w:spacing w:after="0" w:line="55" w:lineRule="exact"/>
        <w:rPr>
          <w:sz w:val="20"/>
          <w:szCs w:val="20"/>
          <w:color w:val="auto"/>
        </w:rPr>
      </w:pPr>
    </w:p>
    <w:p>
      <w:pPr>
        <w:ind w:right="519"/>
        <w:spacing w:after="0" w:line="268" w:lineRule="auto"/>
        <w:rPr>
          <w:sz w:val="20"/>
          <w:szCs w:val="20"/>
          <w:color w:val="auto"/>
        </w:rPr>
      </w:pPr>
      <w:r>
        <w:rPr>
          <w:rFonts w:ascii="Arial" w:cs="Arial" w:eastAsia="Arial" w:hAnsi="Arial"/>
          <w:sz w:val="19"/>
          <w:szCs w:val="19"/>
          <w:color w:val="auto"/>
        </w:rPr>
        <w:t>Capitalized financing costs include capitalized interest costs and, at the Sempra Utilities, an allowance for funds used during construction (AFUDC) related to both debt and equity financing of construction projects. The following table shows capitalized financing costs for the three months ended March 31, 2010 and 2009.</w:t>
      </w:r>
    </w:p>
    <w:p>
      <w:pPr>
        <w:sectPr>
          <w:pgSz w:w="11900" w:h="16838" w:orient="portrait"/>
          <w:cols w:equalWidth="0" w:num="1">
            <w:col w:w="10219"/>
          </w:cols>
          <w:pgMar w:left="240" w:top="378" w:right="1440"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color w:val="auto"/>
        </w:rPr>
        <w:t>CAPITALIZED FINANCING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3198495" cy="2317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198495"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80" w:type="dxa"/>
            <w:vAlign w:val="bottom"/>
            <w:gridSpan w:val="3"/>
          </w:tcPr>
          <w:p>
            <w:pPr>
              <w:ind w:left="300"/>
              <w:spacing w:after="0"/>
              <w:rPr>
                <w:sz w:val="20"/>
                <w:szCs w:val="20"/>
                <w:color w:val="auto"/>
              </w:rPr>
            </w:pPr>
            <w:r>
              <w:rPr>
                <w:rFonts w:ascii="Arial" w:cs="Arial" w:eastAsia="Arial" w:hAnsi="Arial"/>
                <w:sz w:val="14"/>
                <w:szCs w:val="14"/>
                <w:color w:val="auto"/>
              </w:rPr>
              <w:t>Three months ended</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302"/>
              <w:spacing w:after="0" w:line="157" w:lineRule="exact"/>
              <w:rPr>
                <w:sz w:val="20"/>
                <w:szCs w:val="20"/>
                <w:color w:val="auto"/>
              </w:rPr>
            </w:pPr>
            <w:r>
              <w:rPr>
                <w:rFonts w:ascii="Arial" w:cs="Arial" w:eastAsia="Arial" w:hAnsi="Arial"/>
                <w:sz w:val="14"/>
                <w:szCs w:val="14"/>
                <w:color w:val="auto"/>
              </w:rPr>
              <w:t>March 31,</w:t>
            </w:r>
          </w:p>
        </w:tc>
        <w:tc>
          <w:tcPr>
            <w:tcW w:w="2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0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2010</w:t>
            </w:r>
          </w:p>
        </w:tc>
        <w:tc>
          <w:tcPr>
            <w:tcW w:w="3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color w:val="auto"/>
              </w:rPr>
              <w:t>2009</w:t>
            </w:r>
          </w:p>
        </w:tc>
        <w:tc>
          <w:tcPr>
            <w:tcW w:w="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08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80" w:type="dxa"/>
            <w:vAlign w:val="bottom"/>
          </w:tcPr>
          <w:p>
            <w:pPr>
              <w:ind w:left="160"/>
              <w:spacing w:after="0"/>
              <w:rPr>
                <w:sz w:val="20"/>
                <w:szCs w:val="20"/>
                <w:color w:val="auto"/>
              </w:rPr>
            </w:pPr>
            <w:r>
              <w:rPr>
                <w:rFonts w:ascii="Arial" w:cs="Arial" w:eastAsia="Arial" w:hAnsi="Arial"/>
                <w:sz w:val="16"/>
                <w:szCs w:val="16"/>
                <w:color w:val="auto"/>
              </w:rPr>
              <w:t>AFUDC related to debt</w:t>
            </w:r>
          </w:p>
        </w:tc>
        <w:tc>
          <w:tcPr>
            <w:tcW w:w="640" w:type="dxa"/>
            <w:vAlign w:val="bottom"/>
          </w:tcPr>
          <w:p>
            <w:pPr>
              <w:jc w:val="right"/>
              <w:ind w:right="463"/>
              <w:spacing w:after="0"/>
              <w:rPr>
                <w:sz w:val="20"/>
                <w:szCs w:val="20"/>
                <w:color w:val="auto"/>
              </w:rPr>
            </w:pPr>
            <w:r>
              <w:rPr>
                <w:rFonts w:ascii="Arial" w:cs="Arial" w:eastAsia="Arial" w:hAnsi="Arial"/>
                <w:sz w:val="16"/>
                <w:szCs w:val="16"/>
                <w:color w:val="auto"/>
                <w:w w:val="89"/>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3</w:t>
            </w:r>
          </w:p>
        </w:tc>
        <w:tc>
          <w:tcPr>
            <w:tcW w:w="720" w:type="dxa"/>
            <w:vAlign w:val="bottom"/>
          </w:tcPr>
          <w:p>
            <w:pPr>
              <w:jc w:val="right"/>
              <w:ind w:right="542"/>
              <w:spacing w:after="0"/>
              <w:rPr>
                <w:sz w:val="20"/>
                <w:szCs w:val="20"/>
                <w:color w:val="auto"/>
              </w:rPr>
            </w:pPr>
            <w:r>
              <w:rPr>
                <w:rFonts w:ascii="Arial" w:cs="Arial" w:eastAsia="Arial" w:hAnsi="Arial"/>
                <w:sz w:val="16"/>
                <w:szCs w:val="16"/>
                <w:color w:val="auto"/>
                <w:w w:val="89"/>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080" w:type="dxa"/>
            <w:vAlign w:val="bottom"/>
          </w:tcPr>
          <w:p>
            <w:pPr>
              <w:ind w:left="160"/>
              <w:spacing w:after="0"/>
              <w:rPr>
                <w:sz w:val="20"/>
                <w:szCs w:val="20"/>
                <w:color w:val="auto"/>
              </w:rPr>
            </w:pPr>
            <w:r>
              <w:rPr>
                <w:rFonts w:ascii="Arial" w:cs="Arial" w:eastAsia="Arial" w:hAnsi="Arial"/>
                <w:sz w:val="16"/>
                <w:szCs w:val="16"/>
                <w:color w:val="auto"/>
              </w:rPr>
              <w:t>AFUDC related to equity</w:t>
            </w:r>
          </w:p>
        </w:tc>
        <w:tc>
          <w:tcPr>
            <w:tcW w:w="6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7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080" w:type="dxa"/>
            <w:vAlign w:val="bottom"/>
          </w:tcPr>
          <w:p>
            <w:pPr>
              <w:ind w:left="340"/>
              <w:spacing w:after="0" w:line="183" w:lineRule="exact"/>
              <w:rPr>
                <w:sz w:val="20"/>
                <w:szCs w:val="20"/>
                <w:color w:val="auto"/>
              </w:rPr>
            </w:pPr>
            <w:r>
              <w:rPr>
                <w:rFonts w:ascii="Arial" w:cs="Arial" w:eastAsia="Arial" w:hAnsi="Arial"/>
                <w:sz w:val="16"/>
                <w:szCs w:val="16"/>
                <w:color w:val="auto"/>
              </w:rPr>
              <w:t>Total SDG&amp;E</w:t>
            </w:r>
          </w:p>
        </w:tc>
        <w:tc>
          <w:tcPr>
            <w:tcW w:w="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w:t>
            </w:r>
          </w:p>
        </w:tc>
        <w:tc>
          <w:tcPr>
            <w:tcW w:w="7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84"/>
        </w:trPr>
        <w:tc>
          <w:tcPr>
            <w:tcW w:w="3100" w:type="dxa"/>
            <w:vAlign w:val="bottom"/>
            <w:gridSpan w:val="2"/>
          </w:tcPr>
          <w:p>
            <w:pPr>
              <w:spacing w:after="0"/>
              <w:rPr>
                <w:sz w:val="20"/>
                <w:szCs w:val="20"/>
                <w:color w:val="auto"/>
              </w:rPr>
            </w:pPr>
            <w:r>
              <w:rPr>
                <w:rFonts w:ascii="Arial" w:cs="Arial" w:eastAsia="Arial" w:hAnsi="Arial"/>
                <w:sz w:val="16"/>
                <w:szCs w:val="16"/>
                <w:b w:val="1"/>
                <w:bCs w:val="1"/>
                <w:color w:val="auto"/>
              </w:rPr>
              <w:t>SoCalGas:</w:t>
            </w: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80" w:type="dxa"/>
            <w:vAlign w:val="bottom"/>
          </w:tcPr>
          <w:p>
            <w:pPr>
              <w:ind w:left="160"/>
              <w:spacing w:after="0"/>
              <w:rPr>
                <w:sz w:val="20"/>
                <w:szCs w:val="20"/>
                <w:color w:val="auto"/>
              </w:rPr>
            </w:pPr>
            <w:r>
              <w:rPr>
                <w:rFonts w:ascii="Arial" w:cs="Arial" w:eastAsia="Arial" w:hAnsi="Arial"/>
                <w:sz w:val="16"/>
                <w:szCs w:val="16"/>
                <w:color w:val="auto"/>
              </w:rPr>
              <w:t>AFUDC related to debt</w:t>
            </w:r>
          </w:p>
        </w:tc>
        <w:tc>
          <w:tcPr>
            <w:tcW w:w="6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2</w:t>
            </w:r>
          </w:p>
        </w:tc>
        <w:tc>
          <w:tcPr>
            <w:tcW w:w="72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080" w:type="dxa"/>
            <w:vAlign w:val="bottom"/>
          </w:tcPr>
          <w:p>
            <w:pPr>
              <w:ind w:left="160"/>
              <w:spacing w:after="0"/>
              <w:rPr>
                <w:sz w:val="20"/>
                <w:szCs w:val="20"/>
                <w:color w:val="auto"/>
              </w:rPr>
            </w:pPr>
            <w:r>
              <w:rPr>
                <w:rFonts w:ascii="Arial" w:cs="Arial" w:eastAsia="Arial" w:hAnsi="Arial"/>
                <w:sz w:val="16"/>
                <w:szCs w:val="16"/>
                <w:color w:val="auto"/>
              </w:rPr>
              <w:t>AFUDC related to equity</w:t>
            </w:r>
          </w:p>
        </w:tc>
        <w:tc>
          <w:tcPr>
            <w:tcW w:w="6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7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080" w:type="dxa"/>
            <w:vAlign w:val="bottom"/>
          </w:tcPr>
          <w:p>
            <w:pPr>
              <w:ind w:left="340"/>
              <w:spacing w:after="0" w:line="183" w:lineRule="exact"/>
              <w:rPr>
                <w:sz w:val="20"/>
                <w:szCs w:val="20"/>
                <w:color w:val="auto"/>
              </w:rPr>
            </w:pPr>
            <w:r>
              <w:rPr>
                <w:rFonts w:ascii="Arial" w:cs="Arial" w:eastAsia="Arial" w:hAnsi="Arial"/>
                <w:sz w:val="16"/>
                <w:szCs w:val="16"/>
                <w:color w:val="auto"/>
              </w:rPr>
              <w:t>Total SoCalGas</w:t>
            </w:r>
          </w:p>
        </w:tc>
        <w:tc>
          <w:tcPr>
            <w:tcW w:w="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w:t>
            </w:r>
          </w:p>
        </w:tc>
        <w:tc>
          <w:tcPr>
            <w:tcW w:w="7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79"/>
        </w:trPr>
        <w:tc>
          <w:tcPr>
            <w:tcW w:w="3100" w:type="dxa"/>
            <w:vAlign w:val="bottom"/>
            <w:gridSpan w:val="2"/>
          </w:tcPr>
          <w:p>
            <w:pPr>
              <w:spacing w:after="0"/>
              <w:rPr>
                <w:sz w:val="20"/>
                <w:szCs w:val="20"/>
                <w:color w:val="auto"/>
              </w:rPr>
            </w:pPr>
            <w:r>
              <w:rPr>
                <w:rFonts w:ascii="Arial" w:cs="Arial" w:eastAsia="Arial" w:hAnsi="Arial"/>
                <w:sz w:val="16"/>
                <w:szCs w:val="16"/>
                <w:b w:val="1"/>
                <w:bCs w:val="1"/>
                <w:color w:val="auto"/>
              </w:rPr>
              <w:t>Sempra Global:</w:t>
            </w:r>
          </w:p>
        </w:tc>
        <w:tc>
          <w:tcPr>
            <w:tcW w:w="640" w:type="dxa"/>
            <w:vAlign w:val="bottom"/>
          </w:tcPr>
          <w:p>
            <w:pPr>
              <w:spacing w:after="0"/>
              <w:rPr>
                <w:sz w:val="24"/>
                <w:szCs w:val="24"/>
                <w:color w:val="auto"/>
              </w:rPr>
            </w:pPr>
          </w:p>
        </w:tc>
        <w:tc>
          <w:tcPr>
            <w:tcW w:w="320" w:type="dxa"/>
            <w:vAlign w:val="bottom"/>
            <w:vMerge w:val="restart"/>
          </w:tcPr>
          <w:p>
            <w:pPr>
              <w:jc w:val="right"/>
              <w:spacing w:after="0"/>
              <w:rPr>
                <w:sz w:val="20"/>
                <w:szCs w:val="20"/>
                <w:color w:val="auto"/>
              </w:rPr>
            </w:pPr>
            <w:r>
              <w:rPr>
                <w:rFonts w:ascii="Arial" w:cs="Arial" w:eastAsia="Arial" w:hAnsi="Arial"/>
                <w:sz w:val="16"/>
                <w:szCs w:val="16"/>
                <w:color w:val="auto"/>
              </w:rPr>
              <w:t>7</w:t>
            </w:r>
          </w:p>
        </w:tc>
        <w:tc>
          <w:tcPr>
            <w:tcW w:w="720" w:type="dxa"/>
            <w:vAlign w:val="bottom"/>
          </w:tcPr>
          <w:p>
            <w:pPr>
              <w:spacing w:after="0"/>
              <w:rPr>
                <w:sz w:val="24"/>
                <w:szCs w:val="24"/>
                <w:color w:val="auto"/>
              </w:rPr>
            </w:pP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080" w:type="dxa"/>
            <w:vAlign w:val="bottom"/>
          </w:tcPr>
          <w:p>
            <w:pPr>
              <w:ind w:left="160"/>
              <w:spacing w:after="0" w:line="181" w:lineRule="exact"/>
              <w:rPr>
                <w:sz w:val="20"/>
                <w:szCs w:val="20"/>
                <w:color w:val="auto"/>
              </w:rPr>
            </w:pPr>
            <w:r>
              <w:rPr>
                <w:rFonts w:ascii="Arial" w:cs="Arial" w:eastAsia="Arial" w:hAnsi="Arial"/>
                <w:sz w:val="16"/>
                <w:szCs w:val="16"/>
                <w:color w:val="auto"/>
              </w:rPr>
              <w:t>Capitalized financing costs</w:t>
            </w:r>
          </w:p>
        </w:tc>
        <w:tc>
          <w:tcPr>
            <w:tcW w:w="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vMerge w:val="continue"/>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00" w:type="dxa"/>
            <w:vAlign w:val="bottom"/>
            <w:gridSpan w:val="2"/>
          </w:tcPr>
          <w:p>
            <w:pPr>
              <w:spacing w:after="0" w:line="183" w:lineRule="exact"/>
              <w:rPr>
                <w:sz w:val="20"/>
                <w:szCs w:val="20"/>
                <w:color w:val="auto"/>
              </w:rPr>
            </w:pPr>
            <w:r>
              <w:rPr>
                <w:rFonts w:ascii="Arial" w:cs="Arial" w:eastAsia="Arial" w:hAnsi="Arial"/>
                <w:sz w:val="16"/>
                <w:szCs w:val="16"/>
                <w:b w:val="1"/>
                <w:bCs w:val="1"/>
                <w:color w:val="auto"/>
              </w:rPr>
              <w:t>Total Sempra Energy Consolidated</w:t>
            </w:r>
          </w:p>
        </w:tc>
        <w:tc>
          <w:tcPr>
            <w:tcW w:w="640" w:type="dxa"/>
            <w:vAlign w:val="bottom"/>
          </w:tcPr>
          <w:p>
            <w:pPr>
              <w:jc w:val="right"/>
              <w:ind w:right="463"/>
              <w:spacing w:after="0" w:line="183" w:lineRule="exact"/>
              <w:rPr>
                <w:sz w:val="20"/>
                <w:szCs w:val="20"/>
                <w:color w:val="auto"/>
              </w:rPr>
            </w:pPr>
            <w:r>
              <w:rPr>
                <w:rFonts w:ascii="Arial" w:cs="Arial" w:eastAsia="Arial" w:hAnsi="Arial"/>
                <w:sz w:val="16"/>
                <w:szCs w:val="16"/>
                <w:color w:val="auto"/>
                <w:w w:val="89"/>
              </w:rPr>
              <w:t>$</w:t>
            </w:r>
          </w:p>
        </w:tc>
        <w:tc>
          <w:tcPr>
            <w:tcW w:w="320" w:type="dxa"/>
            <w:vAlign w:val="bottom"/>
          </w:tcPr>
          <w:p>
            <w:pPr>
              <w:jc w:val="right"/>
              <w:spacing w:after="0" w:line="183" w:lineRule="exact"/>
              <w:rPr>
                <w:sz w:val="20"/>
                <w:szCs w:val="20"/>
                <w:color w:val="auto"/>
              </w:rPr>
            </w:pPr>
            <w:r>
              <w:rPr>
                <w:rFonts w:ascii="Arial" w:cs="Arial" w:eastAsia="Arial" w:hAnsi="Arial"/>
                <w:sz w:val="16"/>
                <w:szCs w:val="16"/>
                <w:color w:val="auto"/>
              </w:rPr>
              <w:t>25</w:t>
            </w:r>
          </w:p>
        </w:tc>
        <w:tc>
          <w:tcPr>
            <w:tcW w:w="720" w:type="dxa"/>
            <w:vAlign w:val="bottom"/>
          </w:tcPr>
          <w:p>
            <w:pPr>
              <w:jc w:val="right"/>
              <w:ind w:right="542"/>
              <w:spacing w:after="0" w:line="183" w:lineRule="exact"/>
              <w:rPr>
                <w:sz w:val="20"/>
                <w:szCs w:val="20"/>
                <w:color w:val="auto"/>
              </w:rPr>
            </w:pPr>
            <w:r>
              <w:rPr>
                <w:rFonts w:ascii="Arial" w:cs="Arial" w:eastAsia="Arial" w:hAnsi="Arial"/>
                <w:sz w:val="16"/>
                <w:szCs w:val="16"/>
                <w:color w:val="auto"/>
                <w:w w:val="89"/>
              </w:rPr>
              <w:t>$</w:t>
            </w:r>
          </w:p>
        </w:tc>
        <w:tc>
          <w:tcPr>
            <w:tcW w:w="260" w:type="dxa"/>
            <w:vAlign w:val="bottom"/>
          </w:tcPr>
          <w:p>
            <w:pPr>
              <w:jc w:val="right"/>
              <w:spacing w:after="0" w:line="183" w:lineRule="exact"/>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080" w:type="dxa"/>
            <w:vAlign w:val="bottom"/>
            <w:shd w:val="clear" w:color="auto" w:fill="000000"/>
          </w:tcPr>
          <w:p>
            <w:pPr>
              <w:spacing w:after="0"/>
              <w:rPr>
                <w:sz w:val="7"/>
                <w:szCs w:val="7"/>
                <w:color w:val="auto"/>
              </w:rPr>
            </w:pPr>
          </w:p>
        </w:tc>
        <w:tc>
          <w:tcPr>
            <w:tcW w:w="64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72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378" w:right="1440" w:bottom="1440" w:gutter="0" w:footer="0" w:header="0"/>
        </w:sectPr>
      </w:pPr>
    </w:p>
    <w:bookmarkStart w:id="30" w:name="page31"/>
    <w:bookmarkEnd w:id="30"/>
    <w:p>
      <w:pPr>
        <w:spacing w:after="0"/>
        <w:rPr>
          <w:sz w:val="20"/>
          <w:szCs w:val="20"/>
          <w:color w:val="auto"/>
        </w:rPr>
      </w:pPr>
      <w:r>
        <w:rPr>
          <w:rFonts w:ascii="Arial" w:cs="Arial" w:eastAsia="Arial" w:hAnsi="Arial"/>
          <w:sz w:val="22"/>
          <w:szCs w:val="22"/>
          <w:b w:val="1"/>
          <w:bCs w:val="1"/>
          <w:color w:val="auto"/>
        </w:rPr>
        <w:t>COMPREHENSIVE INCOME</w:t>
      </w:r>
    </w:p>
    <w:p>
      <w:pPr>
        <w:spacing w:after="0" w:line="69"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tables provide a reconciliation of net income to comprehensive income.</w:t>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6114415" cy="2317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14415" cy="23177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10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57"/>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5"/>
          </w:tcPr>
          <w:p>
            <w:pPr>
              <w:jc w:val="right"/>
              <w:ind w:right="100"/>
              <w:spacing w:after="0" w:line="157" w:lineRule="exact"/>
              <w:rPr>
                <w:sz w:val="20"/>
                <w:szCs w:val="20"/>
                <w:color w:val="auto"/>
              </w:rPr>
            </w:pPr>
            <w:r>
              <w:rPr>
                <w:rFonts w:ascii="Arial" w:cs="Arial" w:eastAsia="Arial" w:hAnsi="Arial"/>
                <w:sz w:val="14"/>
                <w:szCs w:val="14"/>
                <w:color w:val="auto"/>
              </w:rPr>
              <w:t>Three months ended March 31,</w:t>
            </w: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241"/>
              <w:spacing w:after="0"/>
              <w:rPr>
                <w:sz w:val="20"/>
                <w:szCs w:val="20"/>
                <w:color w:val="auto"/>
              </w:rPr>
            </w:pPr>
            <w:r>
              <w:rPr>
                <w:rFonts w:ascii="Arial" w:cs="Arial" w:eastAsia="Arial" w:hAnsi="Arial"/>
                <w:sz w:val="14"/>
                <w:szCs w:val="14"/>
                <w:color w:val="auto"/>
              </w:rPr>
              <w:t>2010</w:t>
            </w:r>
          </w:p>
        </w:tc>
        <w:tc>
          <w:tcPr>
            <w:tcW w:w="8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color w:val="auto"/>
              </w:rPr>
              <w:t>2009</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center"/>
              <w:ind w:right="60"/>
              <w:spacing w:after="0"/>
              <w:rPr>
                <w:sz w:val="20"/>
                <w:szCs w:val="20"/>
                <w:color w:val="auto"/>
              </w:rPr>
            </w:pPr>
            <w:r>
              <w:rPr>
                <w:rFonts w:ascii="Arial" w:cs="Arial" w:eastAsia="Arial" w:hAnsi="Arial"/>
                <w:sz w:val="14"/>
                <w:szCs w:val="14"/>
                <w:color w:val="auto"/>
              </w:rPr>
              <w:t>Share-</w:t>
            </w:r>
          </w:p>
        </w:tc>
        <w:tc>
          <w:tcPr>
            <w:tcW w:w="140" w:type="dxa"/>
            <w:vAlign w:val="bottom"/>
          </w:tcPr>
          <w:p>
            <w:pPr>
              <w:spacing w:after="0"/>
              <w:rPr>
                <w:sz w:val="17"/>
                <w:szCs w:val="17"/>
                <w:color w:val="auto"/>
              </w:rPr>
            </w:pPr>
          </w:p>
        </w:tc>
        <w:tc>
          <w:tcPr>
            <w:tcW w:w="1040" w:type="dxa"/>
            <w:vAlign w:val="bottom"/>
          </w:tcPr>
          <w:p>
            <w:pPr>
              <w:jc w:val="center"/>
              <w:ind w:right="201"/>
              <w:spacing w:after="0"/>
              <w:rPr>
                <w:sz w:val="20"/>
                <w:szCs w:val="20"/>
                <w:color w:val="auto"/>
              </w:rPr>
            </w:pPr>
            <w:r>
              <w:rPr>
                <w:rFonts w:ascii="Arial" w:cs="Arial" w:eastAsia="Arial" w:hAnsi="Arial"/>
                <w:sz w:val="14"/>
                <w:szCs w:val="14"/>
                <w:color w:val="auto"/>
              </w:rPr>
              <w:t>Non-</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center"/>
              <w:ind w:right="60"/>
              <w:spacing w:after="0"/>
              <w:rPr>
                <w:sz w:val="20"/>
                <w:szCs w:val="20"/>
                <w:color w:val="auto"/>
              </w:rPr>
            </w:pPr>
            <w:r>
              <w:rPr>
                <w:rFonts w:ascii="Arial" w:cs="Arial" w:eastAsia="Arial" w:hAnsi="Arial"/>
                <w:sz w:val="14"/>
                <w:szCs w:val="14"/>
                <w:color w:val="auto"/>
                <w:w w:val="99"/>
              </w:rPr>
              <w:t>Share-</w:t>
            </w:r>
          </w:p>
        </w:tc>
        <w:tc>
          <w:tcPr>
            <w:tcW w:w="160" w:type="dxa"/>
            <w:vAlign w:val="bottom"/>
          </w:tcPr>
          <w:p>
            <w:pPr>
              <w:spacing w:after="0"/>
              <w:rPr>
                <w:sz w:val="17"/>
                <w:szCs w:val="17"/>
                <w:color w:val="auto"/>
              </w:rPr>
            </w:pPr>
          </w:p>
        </w:tc>
        <w:tc>
          <w:tcPr>
            <w:tcW w:w="900" w:type="dxa"/>
            <w:vAlign w:val="bottom"/>
          </w:tcPr>
          <w:p>
            <w:pPr>
              <w:jc w:val="center"/>
              <w:ind w:right="61"/>
              <w:spacing w:after="0"/>
              <w:rPr>
                <w:sz w:val="20"/>
                <w:szCs w:val="20"/>
                <w:color w:val="auto"/>
              </w:rPr>
            </w:pPr>
            <w:r>
              <w:rPr>
                <w:rFonts w:ascii="Arial" w:cs="Arial" w:eastAsia="Arial" w:hAnsi="Arial"/>
                <w:sz w:val="14"/>
                <w:szCs w:val="14"/>
                <w:color w:val="auto"/>
              </w:rPr>
              <w:t>Non-</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center"/>
              <w:ind w:right="80"/>
              <w:spacing w:after="0"/>
              <w:rPr>
                <w:sz w:val="20"/>
                <w:szCs w:val="20"/>
                <w:color w:val="auto"/>
              </w:rPr>
            </w:pPr>
            <w:r>
              <w:rPr>
                <w:rFonts w:ascii="Arial" w:cs="Arial" w:eastAsia="Arial" w:hAnsi="Arial"/>
                <w:sz w:val="14"/>
                <w:szCs w:val="14"/>
                <w:color w:val="auto"/>
              </w:rPr>
              <w:t>holders'</w:t>
            </w:r>
          </w:p>
        </w:tc>
        <w:tc>
          <w:tcPr>
            <w:tcW w:w="140" w:type="dxa"/>
            <w:vAlign w:val="bottom"/>
          </w:tcPr>
          <w:p>
            <w:pPr>
              <w:spacing w:after="0"/>
              <w:rPr>
                <w:sz w:val="16"/>
                <w:szCs w:val="16"/>
                <w:color w:val="auto"/>
              </w:rPr>
            </w:pPr>
          </w:p>
        </w:tc>
        <w:tc>
          <w:tcPr>
            <w:tcW w:w="1040" w:type="dxa"/>
            <w:vAlign w:val="bottom"/>
          </w:tcPr>
          <w:p>
            <w:pPr>
              <w:jc w:val="center"/>
              <w:ind w:right="201"/>
              <w:spacing w:after="0"/>
              <w:rPr>
                <w:sz w:val="20"/>
                <w:szCs w:val="20"/>
                <w:color w:val="auto"/>
              </w:rPr>
            </w:pPr>
            <w:r>
              <w:rPr>
                <w:rFonts w:ascii="Arial" w:cs="Arial" w:eastAsia="Arial" w:hAnsi="Arial"/>
                <w:sz w:val="14"/>
                <w:szCs w:val="14"/>
                <w:color w:val="auto"/>
              </w:rPr>
              <w:t>controlling</w:t>
            </w: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color w:val="auto"/>
                <w:w w:val="96"/>
              </w:rPr>
              <w:t>Total</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center"/>
              <w:ind w:right="60"/>
              <w:spacing w:after="0"/>
              <w:rPr>
                <w:sz w:val="20"/>
                <w:szCs w:val="20"/>
                <w:color w:val="auto"/>
              </w:rPr>
            </w:pPr>
            <w:r>
              <w:rPr>
                <w:rFonts w:ascii="Arial" w:cs="Arial" w:eastAsia="Arial" w:hAnsi="Arial"/>
                <w:sz w:val="14"/>
                <w:szCs w:val="14"/>
                <w:color w:val="auto"/>
              </w:rPr>
              <w:t>holders'</w:t>
            </w:r>
          </w:p>
        </w:tc>
        <w:tc>
          <w:tcPr>
            <w:tcW w:w="160" w:type="dxa"/>
            <w:vAlign w:val="bottom"/>
          </w:tcPr>
          <w:p>
            <w:pPr>
              <w:spacing w:after="0"/>
              <w:rPr>
                <w:sz w:val="16"/>
                <w:szCs w:val="16"/>
                <w:color w:val="auto"/>
              </w:rPr>
            </w:pPr>
          </w:p>
        </w:tc>
        <w:tc>
          <w:tcPr>
            <w:tcW w:w="900" w:type="dxa"/>
            <w:vAlign w:val="bottom"/>
          </w:tcPr>
          <w:p>
            <w:pPr>
              <w:jc w:val="center"/>
              <w:ind w:right="81"/>
              <w:spacing w:after="0"/>
              <w:rPr>
                <w:sz w:val="20"/>
                <w:szCs w:val="20"/>
                <w:color w:val="auto"/>
              </w:rPr>
            </w:pPr>
            <w:r>
              <w:rPr>
                <w:rFonts w:ascii="Arial" w:cs="Arial" w:eastAsia="Arial" w:hAnsi="Arial"/>
                <w:sz w:val="14"/>
                <w:szCs w:val="14"/>
                <w:color w:val="auto"/>
              </w:rPr>
              <w:t>controlling</w:t>
            </w:r>
          </w:p>
        </w:tc>
        <w:tc>
          <w:tcPr>
            <w:tcW w:w="200" w:type="dxa"/>
            <w:vAlign w:val="bottom"/>
          </w:tcPr>
          <w:p>
            <w:pPr>
              <w:spacing w:after="0"/>
              <w:rPr>
                <w:sz w:val="16"/>
                <w:szCs w:val="16"/>
                <w:color w:val="auto"/>
              </w:rPr>
            </w:pPr>
          </w:p>
        </w:tc>
        <w:tc>
          <w:tcPr>
            <w:tcW w:w="820" w:type="dxa"/>
            <w:vAlign w:val="bottom"/>
          </w:tcPr>
          <w:p>
            <w:pPr>
              <w:jc w:val="right"/>
              <w:ind w:right="280"/>
              <w:spacing w:after="0"/>
              <w:rPr>
                <w:sz w:val="20"/>
                <w:szCs w:val="20"/>
                <w:color w:val="auto"/>
              </w:rPr>
            </w:pPr>
            <w:r>
              <w:rPr>
                <w:rFonts w:ascii="Arial" w:cs="Arial" w:eastAsia="Arial" w:hAnsi="Arial"/>
                <w:sz w:val="14"/>
                <w:szCs w:val="14"/>
                <w:color w:val="auto"/>
              </w:rPr>
              <w:t>Total</w:t>
            </w:r>
          </w:p>
        </w:tc>
      </w:tr>
      <w:tr>
        <w:trPr>
          <w:trHeight w:val="174"/>
        </w:trPr>
        <w:tc>
          <w:tcPr>
            <w:tcW w:w="20" w:type="dxa"/>
            <w:vAlign w:val="bottom"/>
          </w:tcPr>
          <w:p>
            <w:pPr>
              <w:spacing w:after="0"/>
              <w:rPr>
                <w:sz w:val="15"/>
                <w:szCs w:val="15"/>
                <w:color w:val="auto"/>
              </w:rPr>
            </w:pPr>
          </w:p>
        </w:tc>
        <w:tc>
          <w:tcPr>
            <w:tcW w:w="30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color w:val="auto"/>
              </w:rPr>
              <w:t>Equity(1)</w:t>
            </w: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201"/>
              <w:spacing w:after="0"/>
              <w:rPr>
                <w:sz w:val="20"/>
                <w:szCs w:val="20"/>
                <w:color w:val="auto"/>
              </w:rPr>
            </w:pPr>
            <w:r>
              <w:rPr>
                <w:rFonts w:ascii="Arial" w:cs="Arial" w:eastAsia="Arial" w:hAnsi="Arial"/>
                <w:sz w:val="14"/>
                <w:szCs w:val="14"/>
                <w:color w:val="auto"/>
              </w:rPr>
              <w:t>Interests</w:t>
            </w:r>
          </w:p>
        </w:tc>
        <w:tc>
          <w:tcPr>
            <w:tcW w:w="10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color w:val="auto"/>
              </w:rPr>
              <w:t>Equity</w:t>
            </w: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color w:val="auto"/>
              </w:rPr>
              <w:t>Equity(1)</w:t>
            </w: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color w:val="auto"/>
              </w:rPr>
              <w:t>Interests</w:t>
            </w: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Equity</w:t>
            </w:r>
          </w:p>
        </w:tc>
      </w:tr>
      <w:tr>
        <w:trPr>
          <w:trHeight w:val="184"/>
        </w:trPr>
        <w:tc>
          <w:tcPr>
            <w:tcW w:w="20" w:type="dxa"/>
            <w:vAlign w:val="bottom"/>
          </w:tcPr>
          <w:p>
            <w:pPr>
              <w:spacing w:after="0"/>
              <w:rPr>
                <w:sz w:val="16"/>
                <w:szCs w:val="16"/>
                <w:color w:val="auto"/>
              </w:rPr>
            </w:pPr>
          </w:p>
        </w:tc>
        <w:tc>
          <w:tcPr>
            <w:tcW w:w="308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9"/>
        </w:trPr>
        <w:tc>
          <w:tcPr>
            <w:tcW w:w="3100" w:type="dxa"/>
            <w:vAlign w:val="bottom"/>
            <w:gridSpan w:val="2"/>
          </w:tcPr>
          <w:p>
            <w:pPr>
              <w:spacing w:after="0"/>
              <w:rPr>
                <w:sz w:val="20"/>
                <w:szCs w:val="20"/>
                <w:color w:val="auto"/>
              </w:rPr>
            </w:pPr>
            <w:r>
              <w:rPr>
                <w:rFonts w:ascii="Arial" w:cs="Arial" w:eastAsia="Arial" w:hAnsi="Arial"/>
                <w:sz w:val="16"/>
                <w:szCs w:val="16"/>
                <w:color w:val="auto"/>
              </w:rPr>
              <w:t>Net income (loss)(2)</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108</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ind w:left="700"/>
              <w:spacing w:after="0"/>
              <w:rPr>
                <w:sz w:val="20"/>
                <w:szCs w:val="20"/>
                <w:color w:val="auto"/>
              </w:rPr>
            </w:pPr>
            <w:r>
              <w:rPr>
                <w:rFonts w:ascii="Arial" w:cs="Arial" w:eastAsia="Arial" w:hAnsi="Arial"/>
                <w:sz w:val="16"/>
                <w:szCs w:val="16"/>
                <w:color w:val="auto"/>
              </w:rPr>
              <w:t>(8)$</w:t>
            </w:r>
          </w:p>
        </w:tc>
        <w:tc>
          <w:tcPr>
            <w:tcW w:w="880" w:type="dxa"/>
            <w:vAlign w:val="bottom"/>
          </w:tcPr>
          <w:p>
            <w:pPr>
              <w:jc w:val="right"/>
              <w:spacing w:after="0"/>
              <w:rPr>
                <w:sz w:val="20"/>
                <w:szCs w:val="20"/>
                <w:color w:val="auto"/>
              </w:rPr>
            </w:pPr>
            <w:r>
              <w:rPr>
                <w:rFonts w:ascii="Arial" w:cs="Arial" w:eastAsia="Arial" w:hAnsi="Arial"/>
                <w:sz w:val="16"/>
                <w:szCs w:val="16"/>
                <w:color w:val="auto"/>
              </w:rPr>
              <w:t>100</w:t>
            </w:r>
          </w:p>
        </w:tc>
        <w:tc>
          <w:tcPr>
            <w:tcW w:w="180" w:type="dxa"/>
            <w:vAlign w:val="bottom"/>
          </w:tcPr>
          <w:p>
            <w:pPr>
              <w:spacing w:after="0"/>
              <w:rPr>
                <w:sz w:val="16"/>
                <w:szCs w:val="16"/>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318</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325</w:t>
            </w:r>
          </w:p>
        </w:tc>
      </w:tr>
      <w:tr>
        <w:trPr>
          <w:trHeight w:val="189"/>
        </w:trPr>
        <w:tc>
          <w:tcPr>
            <w:tcW w:w="3100" w:type="dxa"/>
            <w:vAlign w:val="bottom"/>
            <w:gridSpan w:val="2"/>
          </w:tcPr>
          <w:p>
            <w:pPr>
              <w:spacing w:after="0"/>
              <w:rPr>
                <w:sz w:val="20"/>
                <w:szCs w:val="20"/>
                <w:color w:val="auto"/>
              </w:rPr>
            </w:pPr>
            <w:r>
              <w:rPr>
                <w:rFonts w:ascii="Arial" w:cs="Arial" w:eastAsia="Arial" w:hAnsi="Arial"/>
                <w:sz w:val="16"/>
                <w:szCs w:val="16"/>
                <w:color w:val="auto"/>
              </w:rPr>
              <w:t>Foreign currency translation</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3080" w:type="dxa"/>
            <w:vAlign w:val="bottom"/>
          </w:tcPr>
          <w:p>
            <w:pPr>
              <w:ind w:left="160"/>
              <w:spacing w:after="0"/>
              <w:rPr>
                <w:sz w:val="20"/>
                <w:szCs w:val="20"/>
                <w:color w:val="auto"/>
              </w:rPr>
            </w:pPr>
            <w:r>
              <w:rPr>
                <w:rFonts w:ascii="Arial" w:cs="Arial" w:eastAsia="Arial" w:hAnsi="Arial"/>
                <w:sz w:val="16"/>
                <w:szCs w:val="16"/>
                <w:color w:val="auto"/>
              </w:rPr>
              <w:t>adjustments</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16"/>
                <w:szCs w:val="16"/>
                <w:color w:val="auto"/>
              </w:rPr>
            </w:pPr>
          </w:p>
        </w:tc>
        <w:tc>
          <w:tcPr>
            <w:tcW w:w="1040" w:type="dxa"/>
            <w:vAlign w:val="bottom"/>
          </w:tcPr>
          <w:p>
            <w:pPr>
              <w:ind w:left="80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189"/>
        </w:trPr>
        <w:tc>
          <w:tcPr>
            <w:tcW w:w="3100" w:type="dxa"/>
            <w:vAlign w:val="bottom"/>
            <w:gridSpan w:val="2"/>
          </w:tcPr>
          <w:p>
            <w:pPr>
              <w:spacing w:after="0"/>
              <w:rPr>
                <w:sz w:val="20"/>
                <w:szCs w:val="20"/>
                <w:color w:val="auto"/>
              </w:rPr>
            </w:pPr>
            <w:r>
              <w:rPr>
                <w:rFonts w:ascii="Arial" w:cs="Arial" w:eastAsia="Arial" w:hAnsi="Arial"/>
                <w:sz w:val="16"/>
                <w:szCs w:val="16"/>
                <w:color w:val="auto"/>
              </w:rPr>
              <w:t>Financial instruments</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40" w:type="dxa"/>
            <w:vAlign w:val="bottom"/>
          </w:tcPr>
          <w:p>
            <w:pPr>
              <w:ind w:left="760"/>
              <w:spacing w:after="0"/>
              <w:rPr>
                <w:sz w:val="20"/>
                <w:szCs w:val="20"/>
                <w:color w:val="auto"/>
              </w:rPr>
            </w:pPr>
            <w:r>
              <w:rPr>
                <w:rFonts w:ascii="Arial" w:cs="Arial" w:eastAsia="Arial" w:hAnsi="Arial"/>
                <w:sz w:val="16"/>
                <w:szCs w:val="16"/>
                <w:color w:val="auto"/>
              </w:rPr>
              <w:t>2</w:t>
            </w: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3100" w:type="dxa"/>
            <w:vAlign w:val="bottom"/>
            <w:gridSpan w:val="2"/>
          </w:tcPr>
          <w:p>
            <w:pPr>
              <w:spacing w:after="0"/>
              <w:rPr>
                <w:sz w:val="20"/>
                <w:szCs w:val="20"/>
                <w:color w:val="auto"/>
              </w:rPr>
            </w:pPr>
            <w:r>
              <w:rPr>
                <w:rFonts w:ascii="Arial" w:cs="Arial" w:eastAsia="Arial" w:hAnsi="Arial"/>
                <w:sz w:val="16"/>
                <w:szCs w:val="16"/>
                <w:color w:val="auto"/>
              </w:rPr>
              <w:t>Available-for-sale securities</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40" w:type="dxa"/>
            <w:vAlign w:val="bottom"/>
          </w:tcPr>
          <w:p>
            <w:pPr>
              <w:ind w:left="80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187"/>
        </w:trPr>
        <w:tc>
          <w:tcPr>
            <w:tcW w:w="3100" w:type="dxa"/>
            <w:vAlign w:val="bottom"/>
            <w:gridSpan w:val="2"/>
          </w:tcPr>
          <w:p>
            <w:pPr>
              <w:spacing w:after="0"/>
              <w:rPr>
                <w:sz w:val="20"/>
                <w:szCs w:val="20"/>
                <w:color w:val="auto"/>
              </w:rPr>
            </w:pPr>
            <w:r>
              <w:rPr>
                <w:rFonts w:ascii="Arial" w:cs="Arial" w:eastAsia="Arial" w:hAnsi="Arial"/>
                <w:sz w:val="16"/>
                <w:szCs w:val="16"/>
                <w:color w:val="auto"/>
              </w:rPr>
              <w:t>Net actuarial gain</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80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183"/>
        </w:trPr>
        <w:tc>
          <w:tcPr>
            <w:tcW w:w="3100" w:type="dxa"/>
            <w:vAlign w:val="bottom"/>
            <w:gridSpan w:val="2"/>
          </w:tcPr>
          <w:p>
            <w:pPr>
              <w:spacing w:after="0" w:line="183" w:lineRule="exact"/>
              <w:rPr>
                <w:sz w:val="20"/>
                <w:szCs w:val="20"/>
                <w:color w:val="auto"/>
              </w:rPr>
            </w:pPr>
            <w:r>
              <w:rPr>
                <w:rFonts w:ascii="Arial" w:cs="Arial" w:eastAsia="Arial" w:hAnsi="Arial"/>
                <w:sz w:val="16"/>
                <w:szCs w:val="16"/>
                <w:color w:val="auto"/>
              </w:rPr>
              <w:t>Comprehensive income (loss)</w:t>
            </w:r>
          </w:p>
        </w:tc>
        <w:tc>
          <w:tcPr>
            <w:tcW w:w="16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line="183" w:lineRule="exact"/>
              <w:rPr>
                <w:sz w:val="20"/>
                <w:szCs w:val="20"/>
                <w:color w:val="auto"/>
              </w:rPr>
            </w:pPr>
            <w:r>
              <w:rPr>
                <w:rFonts w:ascii="Arial" w:cs="Arial" w:eastAsia="Arial" w:hAnsi="Arial"/>
                <w:sz w:val="16"/>
                <w:szCs w:val="16"/>
                <w:color w:val="auto"/>
              </w:rPr>
              <w:t>105</w:t>
            </w:r>
          </w:p>
        </w:tc>
        <w:tc>
          <w:tcPr>
            <w:tcW w:w="14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tcPr>
          <w:p>
            <w:pPr>
              <w:ind w:left="700"/>
              <w:spacing w:after="0" w:line="183" w:lineRule="exact"/>
              <w:rPr>
                <w:sz w:val="20"/>
                <w:szCs w:val="20"/>
                <w:color w:val="auto"/>
              </w:rPr>
            </w:pPr>
            <w:r>
              <w:rPr>
                <w:rFonts w:ascii="Arial" w:cs="Arial" w:eastAsia="Arial" w:hAnsi="Arial"/>
                <w:sz w:val="16"/>
                <w:szCs w:val="16"/>
                <w:color w:val="auto"/>
              </w:rPr>
              <w:t>(6)$</w:t>
            </w:r>
          </w:p>
        </w:tc>
        <w:tc>
          <w:tcPr>
            <w:tcW w:w="880" w:type="dxa"/>
            <w:vAlign w:val="bottom"/>
          </w:tcPr>
          <w:p>
            <w:pPr>
              <w:jc w:val="right"/>
              <w:spacing w:after="0" w:line="183" w:lineRule="exact"/>
              <w:rPr>
                <w:sz w:val="20"/>
                <w:szCs w:val="20"/>
                <w:color w:val="auto"/>
              </w:rPr>
            </w:pPr>
            <w:r>
              <w:rPr>
                <w:rFonts w:ascii="Arial" w:cs="Arial" w:eastAsia="Arial" w:hAnsi="Arial"/>
                <w:sz w:val="16"/>
                <w:szCs w:val="16"/>
                <w:color w:val="auto"/>
              </w:rPr>
              <w:t>99</w:t>
            </w:r>
          </w:p>
        </w:tc>
        <w:tc>
          <w:tcPr>
            <w:tcW w:w="180" w:type="dxa"/>
            <w:vAlign w:val="bottom"/>
          </w:tcPr>
          <w:p>
            <w:pPr>
              <w:spacing w:after="0"/>
              <w:rPr>
                <w:sz w:val="15"/>
                <w:szCs w:val="15"/>
                <w:color w:val="auto"/>
              </w:rPr>
            </w:pPr>
          </w:p>
        </w:tc>
        <w:tc>
          <w:tcPr>
            <w:tcW w:w="360" w:type="dxa"/>
            <w:vAlign w:val="bottom"/>
            <w:gridSpan w:val="2"/>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840" w:type="dxa"/>
            <w:vAlign w:val="bottom"/>
          </w:tcPr>
          <w:p>
            <w:pPr>
              <w:jc w:val="right"/>
              <w:spacing w:after="0" w:line="183" w:lineRule="exact"/>
              <w:rPr>
                <w:sz w:val="20"/>
                <w:szCs w:val="20"/>
                <w:color w:val="auto"/>
              </w:rPr>
            </w:pPr>
            <w:r>
              <w:rPr>
                <w:rFonts w:ascii="Arial" w:cs="Arial" w:eastAsia="Arial" w:hAnsi="Arial"/>
                <w:sz w:val="16"/>
                <w:szCs w:val="16"/>
                <w:color w:val="auto"/>
              </w:rPr>
              <w:t>357</w:t>
            </w:r>
          </w:p>
        </w:tc>
        <w:tc>
          <w:tcPr>
            <w:tcW w:w="16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4</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361</w:t>
            </w:r>
          </w:p>
        </w:tc>
      </w:tr>
      <w:tr>
        <w:trPr>
          <w:trHeight w:val="81"/>
        </w:trPr>
        <w:tc>
          <w:tcPr>
            <w:tcW w:w="3100" w:type="dxa"/>
            <w:vAlign w:val="bottom"/>
            <w:gridSpan w:val="2"/>
            <w:shd w:val="clear" w:color="auto" w:fill="000000"/>
          </w:tcPr>
          <w:p>
            <w:pPr>
              <w:spacing w:after="0"/>
              <w:rPr>
                <w:sz w:val="7"/>
                <w:szCs w:val="7"/>
                <w:color w:val="auto"/>
              </w:rPr>
            </w:pPr>
          </w:p>
        </w:tc>
        <w:tc>
          <w:tcPr>
            <w:tcW w:w="16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c>
          <w:tcPr>
            <w:tcW w:w="140" w:type="dxa"/>
            <w:vAlign w:val="bottom"/>
            <w:shd w:val="clear" w:color="auto" w:fill="000000"/>
          </w:tcPr>
          <w:p>
            <w:pPr>
              <w:spacing w:after="0"/>
              <w:rPr>
                <w:sz w:val="7"/>
                <w:szCs w:val="7"/>
                <w:color w:val="auto"/>
              </w:rPr>
            </w:pPr>
          </w:p>
        </w:tc>
        <w:tc>
          <w:tcPr>
            <w:tcW w:w="104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180" w:type="dxa"/>
            <w:vAlign w:val="bottom"/>
            <w:shd w:val="clear" w:color="auto" w:fill="000000"/>
          </w:tcPr>
          <w:p>
            <w:pPr>
              <w:spacing w:after="0"/>
              <w:rPr>
                <w:sz w:val="7"/>
                <w:szCs w:val="7"/>
                <w:color w:val="auto"/>
              </w:rPr>
            </w:pPr>
          </w:p>
        </w:tc>
        <w:tc>
          <w:tcPr>
            <w:tcW w:w="200" w:type="dxa"/>
            <w:vAlign w:val="bottom"/>
            <w:shd w:val="clear" w:color="auto" w:fill="000000"/>
          </w:tcPr>
          <w:p>
            <w:pPr>
              <w:spacing w:after="0"/>
              <w:rPr>
                <w:sz w:val="7"/>
                <w:szCs w:val="7"/>
                <w:color w:val="auto"/>
              </w:rPr>
            </w:pPr>
          </w:p>
        </w:tc>
        <w:tc>
          <w:tcPr>
            <w:tcW w:w="160" w:type="dxa"/>
            <w:vAlign w:val="bottom"/>
            <w:shd w:val="clear" w:color="auto" w:fill="000000"/>
          </w:tcPr>
          <w:p>
            <w:pPr>
              <w:spacing w:after="0"/>
              <w:rPr>
                <w:sz w:val="7"/>
                <w:szCs w:val="7"/>
                <w:color w:val="auto"/>
              </w:rPr>
            </w:pPr>
          </w:p>
        </w:tc>
        <w:tc>
          <w:tcPr>
            <w:tcW w:w="840" w:type="dxa"/>
            <w:vAlign w:val="bottom"/>
            <w:shd w:val="clear" w:color="auto" w:fill="000000"/>
          </w:tcPr>
          <w:p>
            <w:pPr>
              <w:spacing w:after="0"/>
              <w:rPr>
                <w:sz w:val="7"/>
                <w:szCs w:val="7"/>
                <w:color w:val="auto"/>
              </w:rPr>
            </w:pPr>
          </w:p>
        </w:tc>
        <w:tc>
          <w:tcPr>
            <w:tcW w:w="160" w:type="dxa"/>
            <w:vAlign w:val="bottom"/>
            <w:shd w:val="clear" w:color="auto" w:fill="000000"/>
          </w:tcPr>
          <w:p>
            <w:pPr>
              <w:spacing w:after="0"/>
              <w:rPr>
                <w:sz w:val="7"/>
                <w:szCs w:val="7"/>
                <w:color w:val="auto"/>
              </w:rPr>
            </w:pPr>
          </w:p>
        </w:tc>
        <w:tc>
          <w:tcPr>
            <w:tcW w:w="900" w:type="dxa"/>
            <w:vAlign w:val="bottom"/>
            <w:shd w:val="clear" w:color="auto" w:fill="000000"/>
          </w:tcPr>
          <w:p>
            <w:pPr>
              <w:spacing w:after="0"/>
              <w:rPr>
                <w:sz w:val="7"/>
                <w:szCs w:val="7"/>
                <w:color w:val="auto"/>
              </w:rPr>
            </w:pPr>
          </w:p>
        </w:tc>
        <w:tc>
          <w:tcPr>
            <w:tcW w:w="200" w:type="dxa"/>
            <w:vAlign w:val="bottom"/>
            <w:shd w:val="clear" w:color="auto" w:fill="000000"/>
          </w:tcPr>
          <w:p>
            <w:pPr>
              <w:spacing w:after="0"/>
              <w:rPr>
                <w:sz w:val="7"/>
                <w:szCs w:val="7"/>
                <w:color w:val="auto"/>
              </w:rPr>
            </w:pPr>
          </w:p>
        </w:tc>
        <w:tc>
          <w:tcPr>
            <w:tcW w:w="820" w:type="dxa"/>
            <w:vAlign w:val="bottom"/>
            <w:shd w:val="clear" w:color="auto" w:fill="000000"/>
          </w:tcPr>
          <w:p>
            <w:pPr>
              <w:spacing w:after="0"/>
              <w:rPr>
                <w:sz w:val="7"/>
                <w:szCs w:val="7"/>
                <w:color w:val="auto"/>
              </w:rPr>
            </w:pPr>
          </w:p>
        </w:tc>
      </w:tr>
      <w:tr>
        <w:trPr>
          <w:trHeight w:val="191"/>
        </w:trPr>
        <w:tc>
          <w:tcPr>
            <w:tcW w:w="3100" w:type="dxa"/>
            <w:vAlign w:val="bottom"/>
            <w:gridSpan w:val="2"/>
          </w:tcPr>
          <w:p>
            <w:pPr>
              <w:spacing w:after="0"/>
              <w:rPr>
                <w:sz w:val="20"/>
                <w:szCs w:val="20"/>
                <w:color w:val="auto"/>
              </w:rPr>
            </w:pPr>
            <w:r>
              <w:rPr>
                <w:rFonts w:ascii="Arial" w:cs="Arial" w:eastAsia="Arial" w:hAnsi="Arial"/>
                <w:sz w:val="16"/>
                <w:szCs w:val="16"/>
                <w:b w:val="1"/>
                <w:bCs w:val="1"/>
                <w:color w:val="auto"/>
              </w:rPr>
              <w:t>SDG&amp;E:</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9"/>
        </w:trPr>
        <w:tc>
          <w:tcPr>
            <w:tcW w:w="3100" w:type="dxa"/>
            <w:vAlign w:val="bottom"/>
            <w:gridSpan w:val="2"/>
          </w:tcPr>
          <w:p>
            <w:pPr>
              <w:spacing w:after="0"/>
              <w:rPr>
                <w:sz w:val="20"/>
                <w:szCs w:val="20"/>
                <w:color w:val="auto"/>
              </w:rPr>
            </w:pPr>
            <w:r>
              <w:rPr>
                <w:rFonts w:ascii="Arial" w:cs="Arial" w:eastAsia="Arial" w:hAnsi="Arial"/>
                <w:sz w:val="16"/>
                <w:szCs w:val="16"/>
                <w:color w:val="auto"/>
              </w:rPr>
              <w:t>Net income (loss)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84</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ind w:left="700"/>
              <w:spacing w:after="0"/>
              <w:rPr>
                <w:sz w:val="20"/>
                <w:szCs w:val="20"/>
                <w:color w:val="auto"/>
              </w:rPr>
            </w:pPr>
            <w:r>
              <w:rPr>
                <w:rFonts w:ascii="Arial" w:cs="Arial" w:eastAsia="Arial" w:hAnsi="Arial"/>
                <w:sz w:val="16"/>
                <w:szCs w:val="16"/>
                <w:color w:val="auto"/>
              </w:rPr>
              <w:t>(8)$</w:t>
            </w:r>
          </w:p>
        </w:tc>
        <w:tc>
          <w:tcPr>
            <w:tcW w:w="880" w:type="dxa"/>
            <w:vAlign w:val="bottom"/>
          </w:tcPr>
          <w:p>
            <w:pPr>
              <w:jc w:val="right"/>
              <w:spacing w:after="0"/>
              <w:rPr>
                <w:sz w:val="20"/>
                <w:szCs w:val="20"/>
                <w:color w:val="auto"/>
              </w:rPr>
            </w:pPr>
            <w:r>
              <w:rPr>
                <w:rFonts w:ascii="Arial" w:cs="Arial" w:eastAsia="Arial" w:hAnsi="Arial"/>
                <w:sz w:val="16"/>
                <w:szCs w:val="16"/>
                <w:color w:val="auto"/>
              </w:rPr>
              <w:t>76</w:t>
            </w:r>
          </w:p>
        </w:tc>
        <w:tc>
          <w:tcPr>
            <w:tcW w:w="180" w:type="dxa"/>
            <w:vAlign w:val="bottom"/>
          </w:tcPr>
          <w:p>
            <w:pPr>
              <w:spacing w:after="0"/>
              <w:rPr>
                <w:sz w:val="16"/>
                <w:szCs w:val="16"/>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107</w:t>
            </w:r>
          </w:p>
        </w:tc>
      </w:tr>
      <w:tr>
        <w:trPr>
          <w:trHeight w:val="187"/>
        </w:trPr>
        <w:tc>
          <w:tcPr>
            <w:tcW w:w="3100" w:type="dxa"/>
            <w:vAlign w:val="bottom"/>
            <w:gridSpan w:val="2"/>
          </w:tcPr>
          <w:p>
            <w:pPr>
              <w:spacing w:after="0"/>
              <w:rPr>
                <w:sz w:val="20"/>
                <w:szCs w:val="20"/>
                <w:color w:val="auto"/>
              </w:rPr>
            </w:pPr>
            <w:r>
              <w:rPr>
                <w:rFonts w:ascii="Arial" w:cs="Arial" w:eastAsia="Arial" w:hAnsi="Arial"/>
                <w:sz w:val="16"/>
                <w:szCs w:val="16"/>
                <w:color w:val="auto"/>
              </w:rPr>
              <w:t>Financial instruments</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760"/>
              <w:spacing w:after="0"/>
              <w:rPr>
                <w:sz w:val="20"/>
                <w:szCs w:val="20"/>
                <w:color w:val="auto"/>
              </w:rPr>
            </w:pPr>
            <w:r>
              <w:rPr>
                <w:rFonts w:ascii="Arial" w:cs="Arial" w:eastAsia="Arial" w:hAnsi="Arial"/>
                <w:sz w:val="16"/>
                <w:szCs w:val="16"/>
                <w:color w:val="auto"/>
              </w:rPr>
              <w:t>2</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183"/>
        </w:trPr>
        <w:tc>
          <w:tcPr>
            <w:tcW w:w="3100" w:type="dxa"/>
            <w:vAlign w:val="bottom"/>
            <w:gridSpan w:val="2"/>
          </w:tcPr>
          <w:p>
            <w:pPr>
              <w:spacing w:after="0" w:line="183" w:lineRule="exact"/>
              <w:rPr>
                <w:sz w:val="20"/>
                <w:szCs w:val="20"/>
                <w:color w:val="auto"/>
              </w:rPr>
            </w:pPr>
            <w:r>
              <w:rPr>
                <w:rFonts w:ascii="Arial" w:cs="Arial" w:eastAsia="Arial" w:hAnsi="Arial"/>
                <w:sz w:val="16"/>
                <w:szCs w:val="16"/>
                <w:color w:val="auto"/>
              </w:rPr>
              <w:t>Comprehensive income (loss)</w:t>
            </w:r>
          </w:p>
        </w:tc>
        <w:tc>
          <w:tcPr>
            <w:tcW w:w="16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line="183" w:lineRule="exact"/>
              <w:rPr>
                <w:sz w:val="20"/>
                <w:szCs w:val="20"/>
                <w:color w:val="auto"/>
              </w:rPr>
            </w:pPr>
            <w:r>
              <w:rPr>
                <w:rFonts w:ascii="Arial" w:cs="Arial" w:eastAsia="Arial" w:hAnsi="Arial"/>
                <w:sz w:val="16"/>
                <w:szCs w:val="16"/>
                <w:color w:val="auto"/>
              </w:rPr>
              <w:t>84</w:t>
            </w:r>
          </w:p>
        </w:tc>
        <w:tc>
          <w:tcPr>
            <w:tcW w:w="14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tcPr>
          <w:p>
            <w:pPr>
              <w:ind w:left="700"/>
              <w:spacing w:after="0" w:line="183" w:lineRule="exact"/>
              <w:rPr>
                <w:sz w:val="20"/>
                <w:szCs w:val="20"/>
                <w:color w:val="auto"/>
              </w:rPr>
            </w:pPr>
            <w:r>
              <w:rPr>
                <w:rFonts w:ascii="Arial" w:cs="Arial" w:eastAsia="Arial" w:hAnsi="Arial"/>
                <w:sz w:val="16"/>
                <w:szCs w:val="16"/>
                <w:color w:val="auto"/>
              </w:rPr>
              <w:t>(6)$</w:t>
            </w:r>
          </w:p>
        </w:tc>
        <w:tc>
          <w:tcPr>
            <w:tcW w:w="880" w:type="dxa"/>
            <w:vAlign w:val="bottom"/>
          </w:tcPr>
          <w:p>
            <w:pPr>
              <w:jc w:val="right"/>
              <w:spacing w:after="0" w:line="183" w:lineRule="exact"/>
              <w:rPr>
                <w:sz w:val="20"/>
                <w:szCs w:val="20"/>
                <w:color w:val="auto"/>
              </w:rPr>
            </w:pPr>
            <w:r>
              <w:rPr>
                <w:rFonts w:ascii="Arial" w:cs="Arial" w:eastAsia="Arial" w:hAnsi="Arial"/>
                <w:sz w:val="16"/>
                <w:szCs w:val="16"/>
                <w:color w:val="auto"/>
              </w:rPr>
              <w:t>78</w:t>
            </w:r>
          </w:p>
        </w:tc>
        <w:tc>
          <w:tcPr>
            <w:tcW w:w="180" w:type="dxa"/>
            <w:vAlign w:val="bottom"/>
          </w:tcPr>
          <w:p>
            <w:pPr>
              <w:spacing w:after="0"/>
              <w:rPr>
                <w:sz w:val="15"/>
                <w:szCs w:val="15"/>
                <w:color w:val="auto"/>
              </w:rPr>
            </w:pPr>
          </w:p>
        </w:tc>
        <w:tc>
          <w:tcPr>
            <w:tcW w:w="360" w:type="dxa"/>
            <w:vAlign w:val="bottom"/>
            <w:gridSpan w:val="2"/>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840" w:type="dxa"/>
            <w:vAlign w:val="bottom"/>
          </w:tcPr>
          <w:p>
            <w:pPr>
              <w:jc w:val="right"/>
              <w:spacing w:after="0" w:line="183" w:lineRule="exact"/>
              <w:rPr>
                <w:sz w:val="20"/>
                <w:szCs w:val="20"/>
                <w:color w:val="auto"/>
              </w:rPr>
            </w:pPr>
            <w:r>
              <w:rPr>
                <w:rFonts w:ascii="Arial" w:cs="Arial" w:eastAsia="Arial" w:hAnsi="Arial"/>
                <w:sz w:val="16"/>
                <w:szCs w:val="16"/>
                <w:color w:val="auto"/>
              </w:rPr>
              <w:t>102</w:t>
            </w:r>
          </w:p>
        </w:tc>
        <w:tc>
          <w:tcPr>
            <w:tcW w:w="16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3</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105</w:t>
            </w:r>
          </w:p>
        </w:tc>
      </w:tr>
      <w:tr>
        <w:trPr>
          <w:trHeight w:val="81"/>
        </w:trPr>
        <w:tc>
          <w:tcPr>
            <w:tcW w:w="3100" w:type="dxa"/>
            <w:vAlign w:val="bottom"/>
            <w:gridSpan w:val="2"/>
            <w:shd w:val="clear" w:color="auto" w:fill="000000"/>
          </w:tcPr>
          <w:p>
            <w:pPr>
              <w:spacing w:after="0"/>
              <w:rPr>
                <w:sz w:val="7"/>
                <w:szCs w:val="7"/>
                <w:color w:val="auto"/>
              </w:rPr>
            </w:pPr>
          </w:p>
        </w:tc>
        <w:tc>
          <w:tcPr>
            <w:tcW w:w="16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c>
          <w:tcPr>
            <w:tcW w:w="140" w:type="dxa"/>
            <w:vAlign w:val="bottom"/>
            <w:shd w:val="clear" w:color="auto" w:fill="000000"/>
          </w:tcPr>
          <w:p>
            <w:pPr>
              <w:spacing w:after="0"/>
              <w:rPr>
                <w:sz w:val="7"/>
                <w:szCs w:val="7"/>
                <w:color w:val="auto"/>
              </w:rPr>
            </w:pPr>
          </w:p>
        </w:tc>
        <w:tc>
          <w:tcPr>
            <w:tcW w:w="104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180" w:type="dxa"/>
            <w:vAlign w:val="bottom"/>
            <w:shd w:val="clear" w:color="auto" w:fill="000000"/>
          </w:tcPr>
          <w:p>
            <w:pPr>
              <w:spacing w:after="0"/>
              <w:rPr>
                <w:sz w:val="7"/>
                <w:szCs w:val="7"/>
                <w:color w:val="auto"/>
              </w:rPr>
            </w:pPr>
          </w:p>
        </w:tc>
        <w:tc>
          <w:tcPr>
            <w:tcW w:w="200" w:type="dxa"/>
            <w:vAlign w:val="bottom"/>
            <w:shd w:val="clear" w:color="auto" w:fill="000000"/>
          </w:tcPr>
          <w:p>
            <w:pPr>
              <w:spacing w:after="0"/>
              <w:rPr>
                <w:sz w:val="7"/>
                <w:szCs w:val="7"/>
                <w:color w:val="auto"/>
              </w:rPr>
            </w:pPr>
          </w:p>
        </w:tc>
        <w:tc>
          <w:tcPr>
            <w:tcW w:w="160" w:type="dxa"/>
            <w:vAlign w:val="bottom"/>
            <w:shd w:val="clear" w:color="auto" w:fill="000000"/>
          </w:tcPr>
          <w:p>
            <w:pPr>
              <w:spacing w:after="0"/>
              <w:rPr>
                <w:sz w:val="7"/>
                <w:szCs w:val="7"/>
                <w:color w:val="auto"/>
              </w:rPr>
            </w:pPr>
          </w:p>
        </w:tc>
        <w:tc>
          <w:tcPr>
            <w:tcW w:w="840" w:type="dxa"/>
            <w:vAlign w:val="bottom"/>
            <w:shd w:val="clear" w:color="auto" w:fill="000000"/>
          </w:tcPr>
          <w:p>
            <w:pPr>
              <w:spacing w:after="0"/>
              <w:rPr>
                <w:sz w:val="7"/>
                <w:szCs w:val="7"/>
                <w:color w:val="auto"/>
              </w:rPr>
            </w:pPr>
          </w:p>
        </w:tc>
        <w:tc>
          <w:tcPr>
            <w:tcW w:w="160" w:type="dxa"/>
            <w:vAlign w:val="bottom"/>
            <w:shd w:val="clear" w:color="auto" w:fill="000000"/>
          </w:tcPr>
          <w:p>
            <w:pPr>
              <w:spacing w:after="0"/>
              <w:rPr>
                <w:sz w:val="7"/>
                <w:szCs w:val="7"/>
                <w:color w:val="auto"/>
              </w:rPr>
            </w:pPr>
          </w:p>
        </w:tc>
        <w:tc>
          <w:tcPr>
            <w:tcW w:w="900" w:type="dxa"/>
            <w:vAlign w:val="bottom"/>
            <w:shd w:val="clear" w:color="auto" w:fill="000000"/>
          </w:tcPr>
          <w:p>
            <w:pPr>
              <w:spacing w:after="0"/>
              <w:rPr>
                <w:sz w:val="7"/>
                <w:szCs w:val="7"/>
                <w:color w:val="auto"/>
              </w:rPr>
            </w:pPr>
          </w:p>
        </w:tc>
        <w:tc>
          <w:tcPr>
            <w:tcW w:w="200" w:type="dxa"/>
            <w:vAlign w:val="bottom"/>
            <w:shd w:val="clear" w:color="auto" w:fill="000000"/>
          </w:tcPr>
          <w:p>
            <w:pPr>
              <w:spacing w:after="0"/>
              <w:rPr>
                <w:sz w:val="7"/>
                <w:szCs w:val="7"/>
                <w:color w:val="auto"/>
              </w:rPr>
            </w:pPr>
          </w:p>
        </w:tc>
        <w:tc>
          <w:tcPr>
            <w:tcW w:w="820" w:type="dxa"/>
            <w:vAlign w:val="bottom"/>
            <w:shd w:val="clear" w:color="auto" w:fill="000000"/>
          </w:tcPr>
          <w:p>
            <w:pPr>
              <w:spacing w:after="0"/>
              <w:rPr>
                <w:sz w:val="7"/>
                <w:szCs w:val="7"/>
                <w:color w:val="auto"/>
              </w:rPr>
            </w:pPr>
          </w:p>
        </w:tc>
      </w:tr>
      <w:tr>
        <w:trPr>
          <w:trHeight w:val="191"/>
        </w:trPr>
        <w:tc>
          <w:tcPr>
            <w:tcW w:w="3100" w:type="dxa"/>
            <w:vAlign w:val="bottom"/>
            <w:gridSpan w:val="2"/>
          </w:tcPr>
          <w:p>
            <w:pPr>
              <w:spacing w:after="0"/>
              <w:rPr>
                <w:sz w:val="20"/>
                <w:szCs w:val="20"/>
                <w:color w:val="auto"/>
              </w:rPr>
            </w:pPr>
            <w:r>
              <w:rPr>
                <w:rFonts w:ascii="Arial" w:cs="Arial" w:eastAsia="Arial" w:hAnsi="Arial"/>
                <w:sz w:val="16"/>
                <w:szCs w:val="16"/>
                <w:b w:val="1"/>
                <w:bCs w:val="1"/>
                <w:color w:val="auto"/>
              </w:rPr>
              <w:t>PE:</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9"/>
        </w:trPr>
        <w:tc>
          <w:tcPr>
            <w:tcW w:w="3100" w:type="dxa"/>
            <w:vAlign w:val="bottom"/>
            <w:gridSpan w:val="2"/>
          </w:tcPr>
          <w:p>
            <w:pPr>
              <w:spacing w:after="0"/>
              <w:rPr>
                <w:sz w:val="20"/>
                <w:szCs w:val="20"/>
                <w:color w:val="auto"/>
              </w:rPr>
            </w:pPr>
            <w:r>
              <w:rPr>
                <w:rFonts w:ascii="Arial" w:cs="Arial" w:eastAsia="Arial" w:hAnsi="Arial"/>
                <w:sz w:val="16"/>
                <w:szCs w:val="16"/>
                <w:color w:val="auto"/>
              </w:rPr>
              <w:t>Net income(2)</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65</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ind w:left="800"/>
              <w:spacing w:after="0"/>
              <w:rPr>
                <w:sz w:val="20"/>
                <w:szCs w:val="20"/>
                <w:color w:val="auto"/>
              </w:rPr>
            </w:pPr>
            <w:r>
              <w:rPr>
                <w:rFonts w:ascii="Arial" w:cs="Arial" w:eastAsia="Arial" w:hAnsi="Arial"/>
                <w:sz w:val="16"/>
                <w:szCs w:val="16"/>
                <w:color w:val="auto"/>
              </w:rPr>
              <w:t>- $</w:t>
            </w:r>
          </w:p>
        </w:tc>
        <w:tc>
          <w:tcPr>
            <w:tcW w:w="880" w:type="dxa"/>
            <w:vAlign w:val="bottom"/>
          </w:tcPr>
          <w:p>
            <w:pPr>
              <w:jc w:val="right"/>
              <w:spacing w:after="0"/>
              <w:rPr>
                <w:sz w:val="20"/>
                <w:szCs w:val="20"/>
                <w:color w:val="auto"/>
              </w:rPr>
            </w:pPr>
            <w:r>
              <w:rPr>
                <w:rFonts w:ascii="Arial" w:cs="Arial" w:eastAsia="Arial" w:hAnsi="Arial"/>
                <w:sz w:val="16"/>
                <w:szCs w:val="16"/>
                <w:color w:val="auto"/>
              </w:rPr>
              <w:t>65</w:t>
            </w:r>
          </w:p>
        </w:tc>
        <w:tc>
          <w:tcPr>
            <w:tcW w:w="180" w:type="dxa"/>
            <w:vAlign w:val="bottom"/>
          </w:tcPr>
          <w:p>
            <w:pPr>
              <w:spacing w:after="0"/>
              <w:rPr>
                <w:sz w:val="16"/>
                <w:szCs w:val="16"/>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59</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44"/>
              <w:spacing w:after="0"/>
              <w:rPr>
                <w:sz w:val="20"/>
                <w:szCs w:val="20"/>
                <w:color w:val="auto"/>
              </w:rPr>
            </w:pPr>
            <w:r>
              <w:rPr>
                <w:rFonts w:ascii="Arial" w:cs="Arial" w:eastAsia="Arial" w:hAnsi="Arial"/>
                <w:sz w:val="16"/>
                <w:szCs w:val="16"/>
                <w:color w:val="auto"/>
              </w:rPr>
              <w:t>- $</w:t>
            </w:r>
          </w:p>
        </w:tc>
        <w:tc>
          <w:tcPr>
            <w:tcW w:w="82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187"/>
        </w:trPr>
        <w:tc>
          <w:tcPr>
            <w:tcW w:w="3100" w:type="dxa"/>
            <w:vAlign w:val="bottom"/>
            <w:gridSpan w:val="2"/>
          </w:tcPr>
          <w:p>
            <w:pPr>
              <w:spacing w:after="0"/>
              <w:rPr>
                <w:sz w:val="20"/>
                <w:szCs w:val="20"/>
                <w:color w:val="auto"/>
              </w:rPr>
            </w:pPr>
            <w:r>
              <w:rPr>
                <w:rFonts w:ascii="Arial" w:cs="Arial" w:eastAsia="Arial" w:hAnsi="Arial"/>
                <w:sz w:val="16"/>
                <w:szCs w:val="16"/>
                <w:color w:val="auto"/>
              </w:rPr>
              <w:t>Financial instruments</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80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183"/>
        </w:trPr>
        <w:tc>
          <w:tcPr>
            <w:tcW w:w="3100" w:type="dxa"/>
            <w:vAlign w:val="bottom"/>
            <w:gridSpan w:val="2"/>
          </w:tcPr>
          <w:p>
            <w:pPr>
              <w:spacing w:after="0" w:line="183" w:lineRule="exact"/>
              <w:rPr>
                <w:sz w:val="20"/>
                <w:szCs w:val="20"/>
                <w:color w:val="auto"/>
              </w:rPr>
            </w:pPr>
            <w:r>
              <w:rPr>
                <w:rFonts w:ascii="Arial" w:cs="Arial" w:eastAsia="Arial" w:hAnsi="Arial"/>
                <w:sz w:val="16"/>
                <w:szCs w:val="16"/>
                <w:color w:val="auto"/>
              </w:rPr>
              <w:t>Comprehensive income</w:t>
            </w:r>
          </w:p>
        </w:tc>
        <w:tc>
          <w:tcPr>
            <w:tcW w:w="16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line="183" w:lineRule="exact"/>
              <w:rPr>
                <w:sz w:val="20"/>
                <w:szCs w:val="20"/>
                <w:color w:val="auto"/>
              </w:rPr>
            </w:pPr>
            <w:r>
              <w:rPr>
                <w:rFonts w:ascii="Arial" w:cs="Arial" w:eastAsia="Arial" w:hAnsi="Arial"/>
                <w:sz w:val="16"/>
                <w:szCs w:val="16"/>
                <w:color w:val="auto"/>
              </w:rPr>
              <w:t>65</w:t>
            </w:r>
          </w:p>
        </w:tc>
        <w:tc>
          <w:tcPr>
            <w:tcW w:w="14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tcPr>
          <w:p>
            <w:pPr>
              <w:ind w:left="800"/>
              <w:spacing w:after="0" w:line="183" w:lineRule="exact"/>
              <w:rPr>
                <w:sz w:val="20"/>
                <w:szCs w:val="20"/>
                <w:color w:val="auto"/>
              </w:rPr>
            </w:pPr>
            <w:r>
              <w:rPr>
                <w:rFonts w:ascii="Arial" w:cs="Arial" w:eastAsia="Arial" w:hAnsi="Arial"/>
                <w:sz w:val="16"/>
                <w:szCs w:val="16"/>
                <w:color w:val="auto"/>
              </w:rPr>
              <w:t>- $</w:t>
            </w:r>
          </w:p>
        </w:tc>
        <w:tc>
          <w:tcPr>
            <w:tcW w:w="880" w:type="dxa"/>
            <w:vAlign w:val="bottom"/>
          </w:tcPr>
          <w:p>
            <w:pPr>
              <w:jc w:val="right"/>
              <w:spacing w:after="0" w:line="183" w:lineRule="exact"/>
              <w:rPr>
                <w:sz w:val="20"/>
                <w:szCs w:val="20"/>
                <w:color w:val="auto"/>
              </w:rPr>
            </w:pPr>
            <w:r>
              <w:rPr>
                <w:rFonts w:ascii="Arial" w:cs="Arial" w:eastAsia="Arial" w:hAnsi="Arial"/>
                <w:sz w:val="16"/>
                <w:szCs w:val="16"/>
                <w:color w:val="auto"/>
              </w:rPr>
              <w:t>65</w:t>
            </w:r>
          </w:p>
        </w:tc>
        <w:tc>
          <w:tcPr>
            <w:tcW w:w="180" w:type="dxa"/>
            <w:vAlign w:val="bottom"/>
          </w:tcPr>
          <w:p>
            <w:pPr>
              <w:spacing w:after="0"/>
              <w:rPr>
                <w:sz w:val="15"/>
                <w:szCs w:val="15"/>
                <w:color w:val="auto"/>
              </w:rPr>
            </w:pPr>
          </w:p>
        </w:tc>
        <w:tc>
          <w:tcPr>
            <w:tcW w:w="360" w:type="dxa"/>
            <w:vAlign w:val="bottom"/>
            <w:gridSpan w:val="2"/>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840" w:type="dxa"/>
            <w:vAlign w:val="bottom"/>
          </w:tcPr>
          <w:p>
            <w:pPr>
              <w:jc w:val="right"/>
              <w:spacing w:after="0" w:line="183" w:lineRule="exact"/>
              <w:rPr>
                <w:sz w:val="20"/>
                <w:szCs w:val="20"/>
                <w:color w:val="auto"/>
              </w:rPr>
            </w:pPr>
            <w:r>
              <w:rPr>
                <w:rFonts w:ascii="Arial" w:cs="Arial" w:eastAsia="Arial" w:hAnsi="Arial"/>
                <w:sz w:val="16"/>
                <w:szCs w:val="16"/>
                <w:color w:val="auto"/>
              </w:rPr>
              <w:t>60</w:t>
            </w:r>
          </w:p>
        </w:tc>
        <w:tc>
          <w:tcPr>
            <w:tcW w:w="16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44"/>
              <w:spacing w:after="0" w:line="183" w:lineRule="exact"/>
              <w:rPr>
                <w:sz w:val="20"/>
                <w:szCs w:val="20"/>
                <w:color w:val="auto"/>
              </w:rPr>
            </w:pPr>
            <w:r>
              <w:rPr>
                <w:rFonts w:ascii="Arial" w:cs="Arial" w:eastAsia="Arial" w:hAnsi="Arial"/>
                <w:sz w:val="16"/>
                <w:szCs w:val="16"/>
                <w:color w:val="auto"/>
              </w:rPr>
              <w:t>- $</w:t>
            </w: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60</w:t>
            </w:r>
          </w:p>
        </w:tc>
      </w:tr>
      <w:tr>
        <w:trPr>
          <w:trHeight w:val="81"/>
        </w:trPr>
        <w:tc>
          <w:tcPr>
            <w:tcW w:w="3100" w:type="dxa"/>
            <w:vAlign w:val="bottom"/>
            <w:gridSpan w:val="2"/>
            <w:shd w:val="clear" w:color="auto" w:fill="000000"/>
          </w:tcPr>
          <w:p>
            <w:pPr>
              <w:spacing w:after="0"/>
              <w:rPr>
                <w:sz w:val="7"/>
                <w:szCs w:val="7"/>
                <w:color w:val="auto"/>
              </w:rPr>
            </w:pPr>
          </w:p>
        </w:tc>
        <w:tc>
          <w:tcPr>
            <w:tcW w:w="16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c>
          <w:tcPr>
            <w:tcW w:w="140" w:type="dxa"/>
            <w:vAlign w:val="bottom"/>
            <w:shd w:val="clear" w:color="auto" w:fill="000000"/>
          </w:tcPr>
          <w:p>
            <w:pPr>
              <w:spacing w:after="0"/>
              <w:rPr>
                <w:sz w:val="7"/>
                <w:szCs w:val="7"/>
                <w:color w:val="auto"/>
              </w:rPr>
            </w:pPr>
          </w:p>
        </w:tc>
        <w:tc>
          <w:tcPr>
            <w:tcW w:w="104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180" w:type="dxa"/>
            <w:vAlign w:val="bottom"/>
            <w:shd w:val="clear" w:color="auto" w:fill="000000"/>
          </w:tcPr>
          <w:p>
            <w:pPr>
              <w:spacing w:after="0"/>
              <w:rPr>
                <w:sz w:val="7"/>
                <w:szCs w:val="7"/>
                <w:color w:val="auto"/>
              </w:rPr>
            </w:pPr>
          </w:p>
        </w:tc>
        <w:tc>
          <w:tcPr>
            <w:tcW w:w="200" w:type="dxa"/>
            <w:vAlign w:val="bottom"/>
            <w:shd w:val="clear" w:color="auto" w:fill="000000"/>
          </w:tcPr>
          <w:p>
            <w:pPr>
              <w:spacing w:after="0"/>
              <w:rPr>
                <w:sz w:val="7"/>
                <w:szCs w:val="7"/>
                <w:color w:val="auto"/>
              </w:rPr>
            </w:pPr>
          </w:p>
        </w:tc>
        <w:tc>
          <w:tcPr>
            <w:tcW w:w="160" w:type="dxa"/>
            <w:vAlign w:val="bottom"/>
            <w:shd w:val="clear" w:color="auto" w:fill="000000"/>
          </w:tcPr>
          <w:p>
            <w:pPr>
              <w:spacing w:after="0"/>
              <w:rPr>
                <w:sz w:val="7"/>
                <w:szCs w:val="7"/>
                <w:color w:val="auto"/>
              </w:rPr>
            </w:pPr>
          </w:p>
        </w:tc>
        <w:tc>
          <w:tcPr>
            <w:tcW w:w="840" w:type="dxa"/>
            <w:vAlign w:val="bottom"/>
            <w:shd w:val="clear" w:color="auto" w:fill="000000"/>
          </w:tcPr>
          <w:p>
            <w:pPr>
              <w:spacing w:after="0"/>
              <w:rPr>
                <w:sz w:val="7"/>
                <w:szCs w:val="7"/>
                <w:color w:val="auto"/>
              </w:rPr>
            </w:pPr>
          </w:p>
        </w:tc>
        <w:tc>
          <w:tcPr>
            <w:tcW w:w="160" w:type="dxa"/>
            <w:vAlign w:val="bottom"/>
            <w:shd w:val="clear" w:color="auto" w:fill="000000"/>
          </w:tcPr>
          <w:p>
            <w:pPr>
              <w:spacing w:after="0"/>
              <w:rPr>
                <w:sz w:val="7"/>
                <w:szCs w:val="7"/>
                <w:color w:val="auto"/>
              </w:rPr>
            </w:pPr>
          </w:p>
        </w:tc>
        <w:tc>
          <w:tcPr>
            <w:tcW w:w="900" w:type="dxa"/>
            <w:vAlign w:val="bottom"/>
            <w:shd w:val="clear" w:color="auto" w:fill="000000"/>
          </w:tcPr>
          <w:p>
            <w:pPr>
              <w:spacing w:after="0"/>
              <w:rPr>
                <w:sz w:val="7"/>
                <w:szCs w:val="7"/>
                <w:color w:val="auto"/>
              </w:rPr>
            </w:pPr>
          </w:p>
        </w:tc>
        <w:tc>
          <w:tcPr>
            <w:tcW w:w="200" w:type="dxa"/>
            <w:vAlign w:val="bottom"/>
            <w:shd w:val="clear" w:color="auto" w:fill="000000"/>
          </w:tcPr>
          <w:p>
            <w:pPr>
              <w:spacing w:after="0"/>
              <w:rPr>
                <w:sz w:val="7"/>
                <w:szCs w:val="7"/>
                <w:color w:val="auto"/>
              </w:rPr>
            </w:pPr>
          </w:p>
        </w:tc>
        <w:tc>
          <w:tcPr>
            <w:tcW w:w="820" w:type="dxa"/>
            <w:vAlign w:val="bottom"/>
            <w:shd w:val="clear" w:color="auto" w:fill="000000"/>
          </w:tcPr>
          <w:p>
            <w:pPr>
              <w:spacing w:after="0"/>
              <w:rPr>
                <w:sz w:val="7"/>
                <w:szCs w:val="7"/>
                <w:color w:val="auto"/>
              </w:rPr>
            </w:pPr>
          </w:p>
        </w:tc>
      </w:tr>
      <w:tr>
        <w:trPr>
          <w:trHeight w:val="191"/>
        </w:trPr>
        <w:tc>
          <w:tcPr>
            <w:tcW w:w="3100" w:type="dxa"/>
            <w:vAlign w:val="bottom"/>
            <w:gridSpan w:val="2"/>
          </w:tcPr>
          <w:p>
            <w:pPr>
              <w:spacing w:after="0"/>
              <w:rPr>
                <w:sz w:val="20"/>
                <w:szCs w:val="20"/>
                <w:color w:val="auto"/>
              </w:rPr>
            </w:pPr>
            <w:r>
              <w:rPr>
                <w:rFonts w:ascii="Arial" w:cs="Arial" w:eastAsia="Arial" w:hAnsi="Arial"/>
                <w:sz w:val="16"/>
                <w:szCs w:val="16"/>
                <w:b w:val="1"/>
                <w:bCs w:val="1"/>
                <w:color w:val="auto"/>
              </w:rPr>
              <w:t>SoCalGas:</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9"/>
        </w:trPr>
        <w:tc>
          <w:tcPr>
            <w:tcW w:w="310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65</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ind w:left="800"/>
              <w:spacing w:after="0"/>
              <w:rPr>
                <w:sz w:val="20"/>
                <w:szCs w:val="20"/>
                <w:color w:val="auto"/>
              </w:rPr>
            </w:pPr>
            <w:r>
              <w:rPr>
                <w:rFonts w:ascii="Arial" w:cs="Arial" w:eastAsia="Arial" w:hAnsi="Arial"/>
                <w:sz w:val="16"/>
                <w:szCs w:val="16"/>
                <w:color w:val="auto"/>
              </w:rPr>
              <w:t>- $</w:t>
            </w:r>
          </w:p>
        </w:tc>
        <w:tc>
          <w:tcPr>
            <w:tcW w:w="880" w:type="dxa"/>
            <w:vAlign w:val="bottom"/>
          </w:tcPr>
          <w:p>
            <w:pPr>
              <w:jc w:val="right"/>
              <w:spacing w:after="0"/>
              <w:rPr>
                <w:sz w:val="20"/>
                <w:szCs w:val="20"/>
                <w:color w:val="auto"/>
              </w:rPr>
            </w:pPr>
            <w:r>
              <w:rPr>
                <w:rFonts w:ascii="Arial" w:cs="Arial" w:eastAsia="Arial" w:hAnsi="Arial"/>
                <w:sz w:val="16"/>
                <w:szCs w:val="16"/>
                <w:color w:val="auto"/>
              </w:rPr>
              <w:t>65</w:t>
            </w:r>
          </w:p>
        </w:tc>
        <w:tc>
          <w:tcPr>
            <w:tcW w:w="180" w:type="dxa"/>
            <w:vAlign w:val="bottom"/>
          </w:tcPr>
          <w:p>
            <w:pPr>
              <w:spacing w:after="0"/>
              <w:rPr>
                <w:sz w:val="16"/>
                <w:szCs w:val="16"/>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59</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44"/>
              <w:spacing w:after="0"/>
              <w:rPr>
                <w:sz w:val="20"/>
                <w:szCs w:val="20"/>
                <w:color w:val="auto"/>
              </w:rPr>
            </w:pPr>
            <w:r>
              <w:rPr>
                <w:rFonts w:ascii="Arial" w:cs="Arial" w:eastAsia="Arial" w:hAnsi="Arial"/>
                <w:sz w:val="16"/>
                <w:szCs w:val="16"/>
                <w:color w:val="auto"/>
              </w:rPr>
              <w:t>- $</w:t>
            </w:r>
          </w:p>
        </w:tc>
        <w:tc>
          <w:tcPr>
            <w:tcW w:w="82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187"/>
        </w:trPr>
        <w:tc>
          <w:tcPr>
            <w:tcW w:w="3100" w:type="dxa"/>
            <w:vAlign w:val="bottom"/>
            <w:gridSpan w:val="2"/>
          </w:tcPr>
          <w:p>
            <w:pPr>
              <w:spacing w:after="0"/>
              <w:rPr>
                <w:sz w:val="20"/>
                <w:szCs w:val="20"/>
                <w:color w:val="auto"/>
              </w:rPr>
            </w:pPr>
            <w:r>
              <w:rPr>
                <w:rFonts w:ascii="Arial" w:cs="Arial" w:eastAsia="Arial" w:hAnsi="Arial"/>
                <w:sz w:val="16"/>
                <w:szCs w:val="16"/>
                <w:color w:val="auto"/>
              </w:rPr>
              <w:t>Financial instruments</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80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183"/>
        </w:trPr>
        <w:tc>
          <w:tcPr>
            <w:tcW w:w="3100" w:type="dxa"/>
            <w:vAlign w:val="bottom"/>
            <w:gridSpan w:val="2"/>
          </w:tcPr>
          <w:p>
            <w:pPr>
              <w:spacing w:after="0" w:line="183" w:lineRule="exact"/>
              <w:rPr>
                <w:sz w:val="20"/>
                <w:szCs w:val="20"/>
                <w:color w:val="auto"/>
              </w:rPr>
            </w:pPr>
            <w:r>
              <w:rPr>
                <w:rFonts w:ascii="Arial" w:cs="Arial" w:eastAsia="Arial" w:hAnsi="Arial"/>
                <w:sz w:val="16"/>
                <w:szCs w:val="16"/>
                <w:color w:val="auto"/>
              </w:rPr>
              <w:t>Comprehensive income</w:t>
            </w:r>
          </w:p>
        </w:tc>
        <w:tc>
          <w:tcPr>
            <w:tcW w:w="16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line="183" w:lineRule="exact"/>
              <w:rPr>
                <w:sz w:val="20"/>
                <w:szCs w:val="20"/>
                <w:color w:val="auto"/>
              </w:rPr>
            </w:pPr>
            <w:r>
              <w:rPr>
                <w:rFonts w:ascii="Arial" w:cs="Arial" w:eastAsia="Arial" w:hAnsi="Arial"/>
                <w:sz w:val="16"/>
                <w:szCs w:val="16"/>
                <w:color w:val="auto"/>
              </w:rPr>
              <w:t>65</w:t>
            </w:r>
          </w:p>
        </w:tc>
        <w:tc>
          <w:tcPr>
            <w:tcW w:w="14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tcPr>
          <w:p>
            <w:pPr>
              <w:ind w:left="800"/>
              <w:spacing w:after="0" w:line="183" w:lineRule="exact"/>
              <w:rPr>
                <w:sz w:val="20"/>
                <w:szCs w:val="20"/>
                <w:color w:val="auto"/>
              </w:rPr>
            </w:pPr>
            <w:r>
              <w:rPr>
                <w:rFonts w:ascii="Arial" w:cs="Arial" w:eastAsia="Arial" w:hAnsi="Arial"/>
                <w:sz w:val="16"/>
                <w:szCs w:val="16"/>
                <w:color w:val="auto"/>
              </w:rPr>
              <w:t>- $</w:t>
            </w:r>
          </w:p>
        </w:tc>
        <w:tc>
          <w:tcPr>
            <w:tcW w:w="880" w:type="dxa"/>
            <w:vAlign w:val="bottom"/>
          </w:tcPr>
          <w:p>
            <w:pPr>
              <w:jc w:val="right"/>
              <w:spacing w:after="0" w:line="183" w:lineRule="exact"/>
              <w:rPr>
                <w:sz w:val="20"/>
                <w:szCs w:val="20"/>
                <w:color w:val="auto"/>
              </w:rPr>
            </w:pPr>
            <w:r>
              <w:rPr>
                <w:rFonts w:ascii="Arial" w:cs="Arial" w:eastAsia="Arial" w:hAnsi="Arial"/>
                <w:sz w:val="16"/>
                <w:szCs w:val="16"/>
                <w:color w:val="auto"/>
              </w:rPr>
              <w:t>65</w:t>
            </w:r>
          </w:p>
        </w:tc>
        <w:tc>
          <w:tcPr>
            <w:tcW w:w="180" w:type="dxa"/>
            <w:vAlign w:val="bottom"/>
          </w:tcPr>
          <w:p>
            <w:pPr>
              <w:spacing w:after="0"/>
              <w:rPr>
                <w:sz w:val="15"/>
                <w:szCs w:val="15"/>
                <w:color w:val="auto"/>
              </w:rPr>
            </w:pPr>
          </w:p>
        </w:tc>
        <w:tc>
          <w:tcPr>
            <w:tcW w:w="360" w:type="dxa"/>
            <w:vAlign w:val="bottom"/>
            <w:gridSpan w:val="2"/>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840" w:type="dxa"/>
            <w:vAlign w:val="bottom"/>
          </w:tcPr>
          <w:p>
            <w:pPr>
              <w:jc w:val="right"/>
              <w:spacing w:after="0" w:line="183" w:lineRule="exact"/>
              <w:rPr>
                <w:sz w:val="20"/>
                <w:szCs w:val="20"/>
                <w:color w:val="auto"/>
              </w:rPr>
            </w:pPr>
            <w:r>
              <w:rPr>
                <w:rFonts w:ascii="Arial" w:cs="Arial" w:eastAsia="Arial" w:hAnsi="Arial"/>
                <w:sz w:val="16"/>
                <w:szCs w:val="16"/>
                <w:color w:val="auto"/>
              </w:rPr>
              <w:t>60</w:t>
            </w:r>
          </w:p>
        </w:tc>
        <w:tc>
          <w:tcPr>
            <w:tcW w:w="16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44"/>
              <w:spacing w:after="0" w:line="183" w:lineRule="exact"/>
              <w:rPr>
                <w:sz w:val="20"/>
                <w:szCs w:val="20"/>
                <w:color w:val="auto"/>
              </w:rPr>
            </w:pPr>
            <w:r>
              <w:rPr>
                <w:rFonts w:ascii="Arial" w:cs="Arial" w:eastAsia="Arial" w:hAnsi="Arial"/>
                <w:sz w:val="16"/>
                <w:szCs w:val="16"/>
                <w:color w:val="auto"/>
              </w:rPr>
              <w:t>- $</w:t>
            </w: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60</w:t>
            </w:r>
          </w:p>
        </w:tc>
      </w:tr>
      <w:tr>
        <w:trPr>
          <w:trHeight w:val="81"/>
        </w:trPr>
        <w:tc>
          <w:tcPr>
            <w:tcW w:w="20" w:type="dxa"/>
            <w:vAlign w:val="bottom"/>
            <w:shd w:val="clear" w:color="auto" w:fill="000000"/>
          </w:tcPr>
          <w:p>
            <w:pPr>
              <w:spacing w:after="0"/>
              <w:rPr>
                <w:sz w:val="7"/>
                <w:szCs w:val="7"/>
                <w:color w:val="auto"/>
              </w:rPr>
            </w:pPr>
          </w:p>
        </w:tc>
        <w:tc>
          <w:tcPr>
            <w:tcW w:w="3080" w:type="dxa"/>
            <w:vAlign w:val="bottom"/>
            <w:shd w:val="clear" w:color="auto" w:fill="000000"/>
          </w:tcPr>
          <w:p>
            <w:pPr>
              <w:spacing w:after="0"/>
              <w:rPr>
                <w:sz w:val="7"/>
                <w:szCs w:val="7"/>
                <w:color w:val="auto"/>
              </w:rPr>
            </w:pPr>
          </w:p>
        </w:tc>
        <w:tc>
          <w:tcPr>
            <w:tcW w:w="16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c>
          <w:tcPr>
            <w:tcW w:w="140" w:type="dxa"/>
            <w:vAlign w:val="bottom"/>
            <w:shd w:val="clear" w:color="auto" w:fill="000000"/>
          </w:tcPr>
          <w:p>
            <w:pPr>
              <w:spacing w:after="0"/>
              <w:rPr>
                <w:sz w:val="7"/>
                <w:szCs w:val="7"/>
                <w:color w:val="auto"/>
              </w:rPr>
            </w:pPr>
          </w:p>
        </w:tc>
        <w:tc>
          <w:tcPr>
            <w:tcW w:w="104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180" w:type="dxa"/>
            <w:vAlign w:val="bottom"/>
            <w:shd w:val="clear" w:color="auto" w:fill="000000"/>
          </w:tcPr>
          <w:p>
            <w:pPr>
              <w:spacing w:after="0"/>
              <w:rPr>
                <w:sz w:val="7"/>
                <w:szCs w:val="7"/>
                <w:color w:val="auto"/>
              </w:rPr>
            </w:pPr>
          </w:p>
        </w:tc>
        <w:tc>
          <w:tcPr>
            <w:tcW w:w="200" w:type="dxa"/>
            <w:vAlign w:val="bottom"/>
            <w:shd w:val="clear" w:color="auto" w:fill="000000"/>
          </w:tcPr>
          <w:p>
            <w:pPr>
              <w:spacing w:after="0"/>
              <w:rPr>
                <w:sz w:val="7"/>
                <w:szCs w:val="7"/>
                <w:color w:val="auto"/>
              </w:rPr>
            </w:pPr>
          </w:p>
        </w:tc>
        <w:tc>
          <w:tcPr>
            <w:tcW w:w="160" w:type="dxa"/>
            <w:vAlign w:val="bottom"/>
            <w:shd w:val="clear" w:color="auto" w:fill="000000"/>
          </w:tcPr>
          <w:p>
            <w:pPr>
              <w:spacing w:after="0"/>
              <w:rPr>
                <w:sz w:val="7"/>
                <w:szCs w:val="7"/>
                <w:color w:val="auto"/>
              </w:rPr>
            </w:pPr>
          </w:p>
        </w:tc>
        <w:tc>
          <w:tcPr>
            <w:tcW w:w="840" w:type="dxa"/>
            <w:vAlign w:val="bottom"/>
            <w:shd w:val="clear" w:color="auto" w:fill="000000"/>
          </w:tcPr>
          <w:p>
            <w:pPr>
              <w:spacing w:after="0"/>
              <w:rPr>
                <w:sz w:val="7"/>
                <w:szCs w:val="7"/>
                <w:color w:val="auto"/>
              </w:rPr>
            </w:pPr>
          </w:p>
        </w:tc>
        <w:tc>
          <w:tcPr>
            <w:tcW w:w="160" w:type="dxa"/>
            <w:vAlign w:val="bottom"/>
            <w:shd w:val="clear" w:color="auto" w:fill="000000"/>
          </w:tcPr>
          <w:p>
            <w:pPr>
              <w:spacing w:after="0"/>
              <w:rPr>
                <w:sz w:val="7"/>
                <w:szCs w:val="7"/>
                <w:color w:val="auto"/>
              </w:rPr>
            </w:pPr>
          </w:p>
        </w:tc>
        <w:tc>
          <w:tcPr>
            <w:tcW w:w="900" w:type="dxa"/>
            <w:vAlign w:val="bottom"/>
            <w:shd w:val="clear" w:color="auto" w:fill="000000"/>
          </w:tcPr>
          <w:p>
            <w:pPr>
              <w:spacing w:after="0"/>
              <w:rPr>
                <w:sz w:val="7"/>
                <w:szCs w:val="7"/>
                <w:color w:val="auto"/>
              </w:rPr>
            </w:pPr>
          </w:p>
        </w:tc>
        <w:tc>
          <w:tcPr>
            <w:tcW w:w="200" w:type="dxa"/>
            <w:vAlign w:val="bottom"/>
            <w:shd w:val="clear" w:color="auto" w:fill="000000"/>
          </w:tcPr>
          <w:p>
            <w:pPr>
              <w:spacing w:after="0"/>
              <w:rPr>
                <w:sz w:val="7"/>
                <w:szCs w:val="7"/>
                <w:color w:val="auto"/>
              </w:rPr>
            </w:pPr>
          </w:p>
        </w:tc>
        <w:tc>
          <w:tcPr>
            <w:tcW w:w="820" w:type="dxa"/>
            <w:vAlign w:val="bottom"/>
            <w:shd w:val="clear" w:color="auto" w:fill="000000"/>
          </w:tcPr>
          <w:p>
            <w:pPr>
              <w:spacing w:after="0"/>
              <w:rPr>
                <w:sz w:val="7"/>
                <w:szCs w:val="7"/>
                <w:color w:val="auto"/>
              </w:rPr>
            </w:pPr>
          </w:p>
        </w:tc>
      </w:tr>
    </w:tbl>
    <w:p>
      <w:pPr>
        <w:ind w:left="220" w:hanging="212"/>
        <w:spacing w:after="0"/>
        <w:tabs>
          <w:tab w:leader="none" w:pos="220"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Shareholders' equity of Sempra Energy Consolidated, SDG&amp;E, PE or SoCalGas as indicated in left margin.</w:t>
      </w:r>
    </w:p>
    <w:p>
      <w:pPr>
        <w:spacing w:after="0" w:line="5" w:lineRule="exact"/>
        <w:rPr>
          <w:rFonts w:ascii="Arial" w:cs="Arial" w:eastAsia="Arial" w:hAnsi="Arial"/>
          <w:sz w:val="14"/>
          <w:szCs w:val="14"/>
          <w:i w:val="1"/>
          <w:iCs w:val="1"/>
          <w:color w:val="auto"/>
        </w:rPr>
      </w:pPr>
    </w:p>
    <w:p>
      <w:pPr>
        <w:ind w:left="220" w:hanging="212"/>
        <w:spacing w:after="0"/>
        <w:tabs>
          <w:tab w:leader="none" w:pos="220"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Before preferred dividends of subsidiaries.</w:t>
      </w:r>
    </w:p>
    <w:p>
      <w:pPr>
        <w:sectPr>
          <w:pgSz w:w="11900" w:h="16838" w:orient="portrait"/>
          <w:cols w:equalWidth="0" w:num="1">
            <w:col w:w="10219"/>
          </w:cols>
          <w:pgMar w:left="240" w:top="404" w:right="1440" w:bottom="1440" w:gutter="0" w:footer="0" w:header="0"/>
        </w:sectPr>
      </w:pPr>
    </w:p>
    <w:bookmarkStart w:id="31" w:name="page32"/>
    <w:bookmarkEnd w:id="31"/>
    <w:p>
      <w:pPr>
        <w:spacing w:after="0"/>
        <w:rPr>
          <w:sz w:val="20"/>
          <w:szCs w:val="20"/>
          <w:color w:val="auto"/>
        </w:rPr>
      </w:pPr>
      <w:r>
        <w:rPr>
          <w:rFonts w:ascii="Arial" w:cs="Arial" w:eastAsia="Arial" w:hAnsi="Arial"/>
          <w:sz w:val="19"/>
          <w:szCs w:val="19"/>
          <w:color w:val="auto"/>
        </w:rPr>
        <w:t>The amounts for comprehensive income in the tables above are net of income tax expense (benefit) as follows:</w:t>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 EXPENSE (BENEFIT) ASSOCIATED WITH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6226175" cy="2317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26175" cy="23177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0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57"/>
        </w:trPr>
        <w:tc>
          <w:tcPr>
            <w:tcW w:w="2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3"/>
          </w:tcPr>
          <w:p>
            <w:pPr>
              <w:jc w:val="right"/>
              <w:spacing w:after="0" w:line="157" w:lineRule="exact"/>
              <w:rPr>
                <w:sz w:val="20"/>
                <w:szCs w:val="20"/>
                <w:color w:val="auto"/>
              </w:rPr>
            </w:pPr>
            <w:r>
              <w:rPr>
                <w:rFonts w:ascii="Arial" w:cs="Arial" w:eastAsia="Arial" w:hAnsi="Arial"/>
                <w:sz w:val="14"/>
                <w:szCs w:val="14"/>
                <w:color w:val="auto"/>
              </w:rPr>
              <w:t>Three months ended March 31,</w:t>
            </w: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243"/>
              <w:spacing w:after="0"/>
              <w:rPr>
                <w:sz w:val="20"/>
                <w:szCs w:val="20"/>
                <w:color w:val="auto"/>
              </w:rPr>
            </w:pPr>
            <w:r>
              <w:rPr>
                <w:rFonts w:ascii="Arial" w:cs="Arial" w:eastAsia="Arial" w:hAnsi="Arial"/>
                <w:sz w:val="14"/>
                <w:szCs w:val="14"/>
                <w:color w:val="auto"/>
              </w:rPr>
              <w:t>2010</w:t>
            </w:r>
          </w:p>
        </w:tc>
        <w:tc>
          <w:tcPr>
            <w:tcW w:w="8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283"/>
              <w:spacing w:after="0"/>
              <w:rPr>
                <w:sz w:val="20"/>
                <w:szCs w:val="20"/>
                <w:color w:val="auto"/>
              </w:rPr>
            </w:pPr>
            <w:r>
              <w:rPr>
                <w:rFonts w:ascii="Arial" w:cs="Arial" w:eastAsia="Arial" w:hAnsi="Arial"/>
                <w:sz w:val="14"/>
                <w:szCs w:val="14"/>
                <w:color w:val="auto"/>
              </w:rPr>
              <w:t>2009</w:t>
            </w:r>
          </w:p>
        </w:tc>
        <w:tc>
          <w:tcPr>
            <w:tcW w:w="840" w:type="dxa"/>
            <w:vAlign w:val="bottom"/>
            <w:tcBorders>
              <w:bottom w:val="single" w:sz="8" w:color="auto"/>
            </w:tcBorders>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840" w:type="dxa"/>
            <w:vAlign w:val="bottom"/>
          </w:tcPr>
          <w:p>
            <w:pPr>
              <w:jc w:val="center"/>
              <w:ind w:left="123"/>
              <w:spacing w:after="0"/>
              <w:rPr>
                <w:sz w:val="20"/>
                <w:szCs w:val="20"/>
                <w:color w:val="auto"/>
              </w:rPr>
            </w:pPr>
            <w:r>
              <w:rPr>
                <w:rFonts w:ascii="Arial" w:cs="Arial" w:eastAsia="Arial" w:hAnsi="Arial"/>
                <w:sz w:val="14"/>
                <w:szCs w:val="14"/>
                <w:color w:val="auto"/>
              </w:rPr>
              <w:t>Share-</w:t>
            </w:r>
          </w:p>
        </w:tc>
        <w:tc>
          <w:tcPr>
            <w:tcW w:w="320" w:type="dxa"/>
            <w:vAlign w:val="bottom"/>
          </w:tcPr>
          <w:p>
            <w:pPr>
              <w:spacing w:after="0"/>
              <w:rPr>
                <w:sz w:val="17"/>
                <w:szCs w:val="17"/>
                <w:color w:val="auto"/>
              </w:rPr>
            </w:pPr>
          </w:p>
        </w:tc>
        <w:tc>
          <w:tcPr>
            <w:tcW w:w="1040" w:type="dxa"/>
            <w:vAlign w:val="bottom"/>
          </w:tcPr>
          <w:p>
            <w:pPr>
              <w:jc w:val="center"/>
              <w:ind w:right="203"/>
              <w:spacing w:after="0"/>
              <w:rPr>
                <w:sz w:val="20"/>
                <w:szCs w:val="20"/>
                <w:color w:val="auto"/>
              </w:rPr>
            </w:pPr>
            <w:r>
              <w:rPr>
                <w:rFonts w:ascii="Arial" w:cs="Arial" w:eastAsia="Arial" w:hAnsi="Arial"/>
                <w:sz w:val="14"/>
                <w:szCs w:val="14"/>
                <w:color w:val="auto"/>
              </w:rPr>
              <w:t>Non-</w:t>
            </w: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jc w:val="center"/>
              <w:ind w:left="88"/>
              <w:spacing w:after="0"/>
              <w:rPr>
                <w:sz w:val="20"/>
                <w:szCs w:val="20"/>
                <w:color w:val="auto"/>
              </w:rPr>
            </w:pPr>
            <w:r>
              <w:rPr>
                <w:rFonts w:ascii="Arial" w:cs="Arial" w:eastAsia="Arial" w:hAnsi="Arial"/>
                <w:sz w:val="14"/>
                <w:szCs w:val="14"/>
                <w:color w:val="auto"/>
                <w:w w:val="99"/>
              </w:rPr>
              <w:t>Share-</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263"/>
              <w:spacing w:after="0"/>
              <w:rPr>
                <w:sz w:val="20"/>
                <w:szCs w:val="20"/>
                <w:color w:val="auto"/>
              </w:rPr>
            </w:pPr>
            <w:r>
              <w:rPr>
                <w:rFonts w:ascii="Arial" w:cs="Arial" w:eastAsia="Arial" w:hAnsi="Arial"/>
                <w:sz w:val="14"/>
                <w:szCs w:val="14"/>
                <w:color w:val="auto"/>
                <w:w w:val="98"/>
              </w:rPr>
              <w:t>Non-</w:t>
            </w:r>
          </w:p>
        </w:tc>
        <w:tc>
          <w:tcPr>
            <w:tcW w:w="840" w:type="dxa"/>
            <w:vAlign w:val="bottom"/>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840" w:type="dxa"/>
            <w:vAlign w:val="bottom"/>
          </w:tcPr>
          <w:p>
            <w:pPr>
              <w:jc w:val="center"/>
              <w:ind w:left="103"/>
              <w:spacing w:after="0"/>
              <w:rPr>
                <w:sz w:val="20"/>
                <w:szCs w:val="20"/>
                <w:color w:val="auto"/>
              </w:rPr>
            </w:pPr>
            <w:r>
              <w:rPr>
                <w:rFonts w:ascii="Arial" w:cs="Arial" w:eastAsia="Arial" w:hAnsi="Arial"/>
                <w:sz w:val="14"/>
                <w:szCs w:val="14"/>
                <w:color w:val="auto"/>
              </w:rPr>
              <w:t>holders'</w:t>
            </w:r>
          </w:p>
        </w:tc>
        <w:tc>
          <w:tcPr>
            <w:tcW w:w="320" w:type="dxa"/>
            <w:vAlign w:val="bottom"/>
          </w:tcPr>
          <w:p>
            <w:pPr>
              <w:spacing w:after="0"/>
              <w:rPr>
                <w:sz w:val="16"/>
                <w:szCs w:val="16"/>
                <w:color w:val="auto"/>
              </w:rPr>
            </w:pPr>
          </w:p>
        </w:tc>
        <w:tc>
          <w:tcPr>
            <w:tcW w:w="1040" w:type="dxa"/>
            <w:vAlign w:val="bottom"/>
          </w:tcPr>
          <w:p>
            <w:pPr>
              <w:jc w:val="center"/>
              <w:ind w:right="183"/>
              <w:spacing w:after="0"/>
              <w:rPr>
                <w:sz w:val="20"/>
                <w:szCs w:val="20"/>
                <w:color w:val="auto"/>
              </w:rPr>
            </w:pPr>
            <w:r>
              <w:rPr>
                <w:rFonts w:ascii="Arial" w:cs="Arial" w:eastAsia="Arial" w:hAnsi="Arial"/>
                <w:sz w:val="14"/>
                <w:szCs w:val="14"/>
                <w:color w:val="auto"/>
              </w:rPr>
              <w:t>controlling</w:t>
            </w:r>
          </w:p>
        </w:tc>
        <w:tc>
          <w:tcPr>
            <w:tcW w:w="880" w:type="dxa"/>
            <w:vAlign w:val="bottom"/>
          </w:tcPr>
          <w:p>
            <w:pPr>
              <w:jc w:val="right"/>
              <w:ind w:right="282"/>
              <w:spacing w:after="0"/>
              <w:rPr>
                <w:sz w:val="20"/>
                <w:szCs w:val="20"/>
                <w:color w:val="auto"/>
              </w:rPr>
            </w:pPr>
            <w:r>
              <w:rPr>
                <w:rFonts w:ascii="Arial" w:cs="Arial" w:eastAsia="Arial" w:hAnsi="Arial"/>
                <w:sz w:val="14"/>
                <w:szCs w:val="14"/>
                <w:color w:val="auto"/>
              </w:rPr>
              <w:t>Total</w:t>
            </w:r>
          </w:p>
        </w:tc>
        <w:tc>
          <w:tcPr>
            <w:tcW w:w="360" w:type="dxa"/>
            <w:vAlign w:val="bottom"/>
          </w:tcPr>
          <w:p>
            <w:pPr>
              <w:spacing w:after="0"/>
              <w:rPr>
                <w:sz w:val="16"/>
                <w:szCs w:val="16"/>
                <w:color w:val="auto"/>
              </w:rPr>
            </w:pPr>
          </w:p>
        </w:tc>
        <w:tc>
          <w:tcPr>
            <w:tcW w:w="860" w:type="dxa"/>
            <w:vAlign w:val="bottom"/>
          </w:tcPr>
          <w:p>
            <w:pPr>
              <w:jc w:val="center"/>
              <w:ind w:left="88"/>
              <w:spacing w:after="0"/>
              <w:rPr>
                <w:sz w:val="20"/>
                <w:szCs w:val="20"/>
                <w:color w:val="auto"/>
              </w:rPr>
            </w:pPr>
            <w:r>
              <w:rPr>
                <w:rFonts w:ascii="Arial" w:cs="Arial" w:eastAsia="Arial" w:hAnsi="Arial"/>
                <w:sz w:val="14"/>
                <w:szCs w:val="14"/>
                <w:color w:val="auto"/>
              </w:rPr>
              <w:t>holders'</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263"/>
              <w:spacing w:after="0"/>
              <w:rPr>
                <w:sz w:val="20"/>
                <w:szCs w:val="20"/>
                <w:color w:val="auto"/>
              </w:rPr>
            </w:pPr>
            <w:r>
              <w:rPr>
                <w:rFonts w:ascii="Arial" w:cs="Arial" w:eastAsia="Arial" w:hAnsi="Arial"/>
                <w:sz w:val="14"/>
                <w:szCs w:val="14"/>
                <w:color w:val="auto"/>
              </w:rPr>
              <w:t>controlling</w:t>
            </w:r>
          </w:p>
        </w:tc>
        <w:tc>
          <w:tcPr>
            <w:tcW w:w="840" w:type="dxa"/>
            <w:vAlign w:val="bottom"/>
          </w:tcPr>
          <w:p>
            <w:pPr>
              <w:jc w:val="right"/>
              <w:ind w:right="281"/>
              <w:spacing w:after="0"/>
              <w:rPr>
                <w:sz w:val="20"/>
                <w:szCs w:val="20"/>
                <w:color w:val="auto"/>
              </w:rPr>
            </w:pPr>
            <w:r>
              <w:rPr>
                <w:rFonts w:ascii="Arial" w:cs="Arial" w:eastAsia="Arial" w:hAnsi="Arial"/>
                <w:sz w:val="14"/>
                <w:szCs w:val="14"/>
                <w:color w:val="auto"/>
              </w:rPr>
              <w:t>Total</w:t>
            </w:r>
          </w:p>
        </w:tc>
      </w:tr>
      <w:tr>
        <w:trPr>
          <w:trHeight w:val="174"/>
        </w:trPr>
        <w:tc>
          <w:tcPr>
            <w:tcW w:w="20" w:type="dxa"/>
            <w:vAlign w:val="bottom"/>
          </w:tcPr>
          <w:p>
            <w:pPr>
              <w:spacing w:after="0"/>
              <w:rPr>
                <w:sz w:val="15"/>
                <w:szCs w:val="15"/>
                <w:color w:val="auto"/>
              </w:rPr>
            </w:pPr>
          </w:p>
        </w:tc>
        <w:tc>
          <w:tcPr>
            <w:tcW w:w="3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left="103"/>
              <w:spacing w:after="0"/>
              <w:rPr>
                <w:sz w:val="20"/>
                <w:szCs w:val="20"/>
                <w:color w:val="auto"/>
              </w:rPr>
            </w:pPr>
            <w:r>
              <w:rPr>
                <w:rFonts w:ascii="Arial" w:cs="Arial" w:eastAsia="Arial" w:hAnsi="Arial"/>
                <w:sz w:val="14"/>
                <w:szCs w:val="14"/>
                <w:color w:val="auto"/>
              </w:rPr>
              <w:t>Equity(1)</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203"/>
              <w:spacing w:after="0"/>
              <w:rPr>
                <w:sz w:val="20"/>
                <w:szCs w:val="20"/>
                <w:color w:val="auto"/>
              </w:rPr>
            </w:pPr>
            <w:r>
              <w:rPr>
                <w:rFonts w:ascii="Arial" w:cs="Arial" w:eastAsia="Arial" w:hAnsi="Arial"/>
                <w:sz w:val="14"/>
                <w:szCs w:val="14"/>
                <w:color w:val="auto"/>
              </w:rPr>
              <w:t>Interests</w:t>
            </w:r>
          </w:p>
        </w:tc>
        <w:tc>
          <w:tcPr>
            <w:tcW w:w="88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color w:val="auto"/>
              </w:rPr>
              <w:t>Equity</w:t>
            </w:r>
          </w:p>
        </w:tc>
        <w:tc>
          <w:tcPr>
            <w:tcW w:w="3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color w:val="auto"/>
              </w:rPr>
              <w:t>Equity(1)</w:t>
            </w: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263"/>
              <w:spacing w:after="0"/>
              <w:rPr>
                <w:sz w:val="20"/>
                <w:szCs w:val="20"/>
                <w:color w:val="auto"/>
              </w:rPr>
            </w:pPr>
            <w:r>
              <w:rPr>
                <w:rFonts w:ascii="Arial" w:cs="Arial" w:eastAsia="Arial" w:hAnsi="Arial"/>
                <w:sz w:val="14"/>
                <w:szCs w:val="14"/>
                <w:color w:val="auto"/>
              </w:rPr>
              <w:t>Interests</w:t>
            </w:r>
          </w:p>
        </w:tc>
        <w:tc>
          <w:tcPr>
            <w:tcW w:w="84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color w:val="auto"/>
              </w:rPr>
              <w:t>Equity</w:t>
            </w:r>
          </w:p>
        </w:tc>
      </w:tr>
      <w:tr>
        <w:trPr>
          <w:trHeight w:val="184"/>
        </w:trPr>
        <w:tc>
          <w:tcPr>
            <w:tcW w:w="20" w:type="dxa"/>
            <w:vAlign w:val="bottom"/>
          </w:tcPr>
          <w:p>
            <w:pPr>
              <w:spacing w:after="0"/>
              <w:rPr>
                <w:sz w:val="16"/>
                <w:szCs w:val="16"/>
                <w:color w:val="auto"/>
              </w:rPr>
            </w:pPr>
          </w:p>
        </w:tc>
        <w:tc>
          <w:tcPr>
            <w:tcW w:w="328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9"/>
        </w:trPr>
        <w:tc>
          <w:tcPr>
            <w:tcW w:w="3300" w:type="dxa"/>
            <w:vAlign w:val="bottom"/>
            <w:gridSpan w:val="2"/>
          </w:tcPr>
          <w:p>
            <w:pPr>
              <w:spacing w:after="0"/>
              <w:rPr>
                <w:sz w:val="20"/>
                <w:szCs w:val="20"/>
                <w:color w:val="auto"/>
              </w:rPr>
            </w:pPr>
            <w:r>
              <w:rPr>
                <w:rFonts w:ascii="Arial" w:cs="Arial" w:eastAsia="Arial" w:hAnsi="Arial"/>
                <w:sz w:val="16"/>
                <w:szCs w:val="16"/>
                <w:color w:val="auto"/>
              </w:rPr>
              <w:t>Financial instruments</w:t>
            </w:r>
          </w:p>
        </w:tc>
        <w:tc>
          <w:tcPr>
            <w:tcW w:w="840" w:type="dxa"/>
            <w:vAlign w:val="bottom"/>
          </w:tcPr>
          <w:p>
            <w:pPr>
              <w:jc w:val="right"/>
              <w:ind w:right="663"/>
              <w:spacing w:after="0"/>
              <w:rPr>
                <w:sz w:val="20"/>
                <w:szCs w:val="20"/>
                <w:color w:val="auto"/>
              </w:rPr>
            </w:pPr>
            <w:r>
              <w:rPr>
                <w:rFonts w:ascii="Arial" w:cs="Arial" w:eastAsia="Arial" w:hAnsi="Arial"/>
                <w:sz w:val="16"/>
                <w:szCs w:val="16"/>
                <w:color w:val="auto"/>
                <w:w w:val="89"/>
              </w:rPr>
              <w:t>$</w:t>
            </w:r>
          </w:p>
        </w:tc>
        <w:tc>
          <w:tcPr>
            <w:tcW w:w="320" w:type="dxa"/>
            <w:vAlign w:val="bottom"/>
          </w:tcPr>
          <w:p>
            <w:pPr>
              <w:ind w:left="100"/>
              <w:spacing w:after="0"/>
              <w:rPr>
                <w:sz w:val="20"/>
                <w:szCs w:val="20"/>
                <w:color w:val="auto"/>
              </w:rPr>
            </w:pPr>
            <w:r>
              <w:rPr>
                <w:rFonts w:ascii="Arial" w:cs="Arial" w:eastAsia="Arial" w:hAnsi="Arial"/>
                <w:sz w:val="16"/>
                <w:szCs w:val="16"/>
                <w:color w:val="auto"/>
              </w:rPr>
              <w:t>- $</w:t>
            </w:r>
          </w:p>
        </w:tc>
        <w:tc>
          <w:tcPr>
            <w:tcW w:w="1040" w:type="dxa"/>
            <w:vAlign w:val="bottom"/>
          </w:tcPr>
          <w:p>
            <w:pPr>
              <w:ind w:left="800"/>
              <w:spacing w:after="0"/>
              <w:rPr>
                <w:sz w:val="20"/>
                <w:szCs w:val="20"/>
                <w:color w:val="auto"/>
              </w:rPr>
            </w:pPr>
            <w:r>
              <w:rPr>
                <w:rFonts w:ascii="Arial" w:cs="Arial" w:eastAsia="Arial" w:hAnsi="Arial"/>
                <w:sz w:val="16"/>
                <w:szCs w:val="16"/>
                <w:color w:val="auto"/>
              </w:rPr>
              <w:t>- $</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708"/>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ind w:left="780"/>
              <w:spacing w:after="0"/>
              <w:rPr>
                <w:sz w:val="20"/>
                <w:szCs w:val="20"/>
                <w:color w:val="auto"/>
              </w:rPr>
            </w:pPr>
            <w:r>
              <w:rPr>
                <w:rFonts w:ascii="Arial" w:cs="Arial" w:eastAsia="Arial" w:hAnsi="Arial"/>
                <w:sz w:val="16"/>
                <w:szCs w:val="16"/>
                <w:color w:val="auto"/>
              </w:rPr>
              <w:t>- $</w:t>
            </w:r>
          </w:p>
        </w:tc>
        <w:tc>
          <w:tcPr>
            <w:tcW w:w="8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189"/>
        </w:trPr>
        <w:tc>
          <w:tcPr>
            <w:tcW w:w="3300" w:type="dxa"/>
            <w:vAlign w:val="bottom"/>
            <w:gridSpan w:val="2"/>
          </w:tcPr>
          <w:p>
            <w:pPr>
              <w:spacing w:after="0"/>
              <w:rPr>
                <w:sz w:val="20"/>
                <w:szCs w:val="20"/>
                <w:color w:val="auto"/>
              </w:rPr>
            </w:pPr>
            <w:r>
              <w:rPr>
                <w:rFonts w:ascii="Arial" w:cs="Arial" w:eastAsia="Arial" w:hAnsi="Arial"/>
                <w:sz w:val="16"/>
                <w:szCs w:val="16"/>
                <w:color w:val="auto"/>
              </w:rPr>
              <w:t>Available-for-sale securities</w:t>
            </w:r>
          </w:p>
        </w:tc>
        <w:tc>
          <w:tcPr>
            <w:tcW w:w="840" w:type="dxa"/>
            <w:vAlign w:val="bottom"/>
          </w:tcPr>
          <w:p>
            <w:pPr>
              <w:spacing w:after="0"/>
              <w:rPr>
                <w:sz w:val="16"/>
                <w:szCs w:val="16"/>
                <w:color w:val="auto"/>
              </w:rPr>
            </w:pPr>
          </w:p>
        </w:tc>
        <w:tc>
          <w:tcPr>
            <w:tcW w:w="320" w:type="dxa"/>
            <w:vAlign w:val="bottom"/>
          </w:tcPr>
          <w:p>
            <w:pPr>
              <w:ind w:left="100"/>
              <w:spacing w:after="0"/>
              <w:rPr>
                <w:sz w:val="20"/>
                <w:szCs w:val="20"/>
                <w:color w:val="auto"/>
              </w:rPr>
            </w:pPr>
            <w:r>
              <w:rPr>
                <w:rFonts w:ascii="Arial" w:cs="Arial" w:eastAsia="Arial" w:hAnsi="Arial"/>
                <w:sz w:val="16"/>
                <w:szCs w:val="16"/>
                <w:color w:val="auto"/>
              </w:rPr>
              <w:t>-</w:t>
            </w:r>
          </w:p>
        </w:tc>
        <w:tc>
          <w:tcPr>
            <w:tcW w:w="1040" w:type="dxa"/>
            <w:vAlign w:val="bottom"/>
          </w:tcPr>
          <w:p>
            <w:pPr>
              <w:ind w:left="80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16"/>
                <w:szCs w:val="16"/>
                <w:color w:val="auto"/>
              </w:rPr>
            </w:pPr>
          </w:p>
        </w:tc>
        <w:tc>
          <w:tcPr>
            <w:tcW w:w="1080" w:type="dxa"/>
            <w:vAlign w:val="bottom"/>
          </w:tcPr>
          <w:p>
            <w:pPr>
              <w:ind w:left="78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187"/>
        </w:trPr>
        <w:tc>
          <w:tcPr>
            <w:tcW w:w="3300" w:type="dxa"/>
            <w:vAlign w:val="bottom"/>
            <w:gridSpan w:val="2"/>
          </w:tcPr>
          <w:p>
            <w:pPr>
              <w:spacing w:after="0"/>
              <w:rPr>
                <w:sz w:val="20"/>
                <w:szCs w:val="20"/>
                <w:color w:val="auto"/>
              </w:rPr>
            </w:pPr>
            <w:r>
              <w:rPr>
                <w:rFonts w:ascii="Arial" w:cs="Arial" w:eastAsia="Arial" w:hAnsi="Arial"/>
                <w:sz w:val="16"/>
                <w:szCs w:val="16"/>
                <w:color w:val="auto"/>
              </w:rPr>
              <w:t>Net actuarial gain</w:t>
            </w:r>
          </w:p>
        </w:tc>
        <w:tc>
          <w:tcPr>
            <w:tcW w:w="840" w:type="dxa"/>
            <w:vAlign w:val="bottom"/>
          </w:tcPr>
          <w:p>
            <w:pPr>
              <w:spacing w:after="0"/>
              <w:rPr>
                <w:sz w:val="16"/>
                <w:szCs w:val="16"/>
                <w:color w:val="auto"/>
              </w:rPr>
            </w:pPr>
          </w:p>
        </w:tc>
        <w:tc>
          <w:tcPr>
            <w:tcW w:w="320" w:type="dxa"/>
            <w:vAlign w:val="bottom"/>
          </w:tcPr>
          <w:p>
            <w:pPr>
              <w:ind w:left="60"/>
              <w:spacing w:after="0"/>
              <w:rPr>
                <w:sz w:val="20"/>
                <w:szCs w:val="20"/>
                <w:color w:val="auto"/>
              </w:rPr>
            </w:pPr>
            <w:r>
              <w:rPr>
                <w:rFonts w:ascii="Arial" w:cs="Arial" w:eastAsia="Arial" w:hAnsi="Arial"/>
                <w:sz w:val="16"/>
                <w:szCs w:val="16"/>
                <w:color w:val="auto"/>
              </w:rPr>
              <w:t>1</w:t>
            </w:r>
          </w:p>
        </w:tc>
        <w:tc>
          <w:tcPr>
            <w:tcW w:w="1040" w:type="dxa"/>
            <w:vAlign w:val="bottom"/>
          </w:tcPr>
          <w:p>
            <w:pPr>
              <w:ind w:left="80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6"/>
                <w:szCs w:val="16"/>
                <w:color w:val="auto"/>
              </w:rPr>
            </w:pPr>
          </w:p>
        </w:tc>
        <w:tc>
          <w:tcPr>
            <w:tcW w:w="1080" w:type="dxa"/>
            <w:vAlign w:val="bottom"/>
          </w:tcPr>
          <w:p>
            <w:pPr>
              <w:ind w:left="78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81"/>
        </w:trPr>
        <w:tc>
          <w:tcPr>
            <w:tcW w:w="3300" w:type="dxa"/>
            <w:vAlign w:val="bottom"/>
            <w:gridSpan w:val="2"/>
            <w:shd w:val="clear" w:color="auto" w:fill="DFDFDF"/>
          </w:tcPr>
          <w:p>
            <w:pPr>
              <w:spacing w:after="0"/>
              <w:rPr>
                <w:sz w:val="7"/>
                <w:szCs w:val="7"/>
                <w:color w:val="auto"/>
              </w:rPr>
            </w:pPr>
          </w:p>
        </w:tc>
        <w:tc>
          <w:tcPr>
            <w:tcW w:w="840" w:type="dxa"/>
            <w:vAlign w:val="bottom"/>
            <w:shd w:val="clear" w:color="auto" w:fill="DFDFDF"/>
          </w:tcPr>
          <w:p>
            <w:pPr>
              <w:spacing w:after="0"/>
              <w:rPr>
                <w:sz w:val="7"/>
                <w:szCs w:val="7"/>
                <w:color w:val="auto"/>
              </w:rPr>
            </w:pPr>
          </w:p>
        </w:tc>
        <w:tc>
          <w:tcPr>
            <w:tcW w:w="320" w:type="dxa"/>
            <w:vAlign w:val="bottom"/>
            <w:shd w:val="clear" w:color="auto" w:fill="DFDFDF"/>
          </w:tcPr>
          <w:p>
            <w:pPr>
              <w:spacing w:after="0"/>
              <w:rPr>
                <w:sz w:val="7"/>
                <w:szCs w:val="7"/>
                <w:color w:val="auto"/>
              </w:rPr>
            </w:pPr>
          </w:p>
        </w:tc>
        <w:tc>
          <w:tcPr>
            <w:tcW w:w="1040" w:type="dxa"/>
            <w:vAlign w:val="bottom"/>
            <w:shd w:val="clear" w:color="auto" w:fill="DFDFDF"/>
          </w:tcPr>
          <w:p>
            <w:pPr>
              <w:spacing w:after="0"/>
              <w:rPr>
                <w:sz w:val="7"/>
                <w:szCs w:val="7"/>
                <w:color w:val="auto"/>
              </w:rPr>
            </w:pPr>
          </w:p>
        </w:tc>
        <w:tc>
          <w:tcPr>
            <w:tcW w:w="880" w:type="dxa"/>
            <w:vAlign w:val="bottom"/>
            <w:shd w:val="clear" w:color="auto" w:fill="DFDFDF"/>
          </w:tcPr>
          <w:p>
            <w:pPr>
              <w:spacing w:after="0"/>
              <w:rPr>
                <w:sz w:val="7"/>
                <w:szCs w:val="7"/>
                <w:color w:val="auto"/>
              </w:rPr>
            </w:pPr>
          </w:p>
        </w:tc>
        <w:tc>
          <w:tcPr>
            <w:tcW w:w="360" w:type="dxa"/>
            <w:vAlign w:val="bottom"/>
            <w:shd w:val="clear" w:color="auto" w:fill="DFDFDF"/>
          </w:tcPr>
          <w:p>
            <w:pPr>
              <w:spacing w:after="0"/>
              <w:rPr>
                <w:sz w:val="7"/>
                <w:szCs w:val="7"/>
                <w:color w:val="auto"/>
              </w:rPr>
            </w:pPr>
          </w:p>
        </w:tc>
        <w:tc>
          <w:tcPr>
            <w:tcW w:w="860" w:type="dxa"/>
            <w:vAlign w:val="bottom"/>
            <w:shd w:val="clear" w:color="auto" w:fill="DFDFDF"/>
          </w:tcPr>
          <w:p>
            <w:pPr>
              <w:spacing w:after="0"/>
              <w:rPr>
                <w:sz w:val="7"/>
                <w:szCs w:val="7"/>
                <w:color w:val="auto"/>
              </w:rPr>
            </w:pPr>
          </w:p>
        </w:tc>
        <w:tc>
          <w:tcPr>
            <w:tcW w:w="140" w:type="dxa"/>
            <w:vAlign w:val="bottom"/>
            <w:shd w:val="clear" w:color="auto" w:fill="DFDFDF"/>
          </w:tcPr>
          <w:p>
            <w:pPr>
              <w:spacing w:after="0"/>
              <w:rPr>
                <w:sz w:val="7"/>
                <w:szCs w:val="7"/>
                <w:color w:val="auto"/>
              </w:rPr>
            </w:pPr>
          </w:p>
        </w:tc>
        <w:tc>
          <w:tcPr>
            <w:tcW w:w="160" w:type="dxa"/>
            <w:vAlign w:val="bottom"/>
            <w:shd w:val="clear" w:color="auto" w:fill="DFDFDF"/>
          </w:tcPr>
          <w:p>
            <w:pPr>
              <w:spacing w:after="0"/>
              <w:rPr>
                <w:sz w:val="7"/>
                <w:szCs w:val="7"/>
                <w:color w:val="auto"/>
              </w:rPr>
            </w:pPr>
          </w:p>
        </w:tc>
        <w:tc>
          <w:tcPr>
            <w:tcW w:w="1080" w:type="dxa"/>
            <w:vAlign w:val="bottom"/>
            <w:shd w:val="clear" w:color="auto" w:fill="DFDFDF"/>
          </w:tcPr>
          <w:p>
            <w:pPr>
              <w:spacing w:after="0"/>
              <w:rPr>
                <w:sz w:val="7"/>
                <w:szCs w:val="7"/>
                <w:color w:val="auto"/>
              </w:rPr>
            </w:pPr>
          </w:p>
        </w:tc>
        <w:tc>
          <w:tcPr>
            <w:tcW w:w="840" w:type="dxa"/>
            <w:vAlign w:val="bottom"/>
            <w:shd w:val="clear" w:color="auto" w:fill="DFDFDF"/>
          </w:tcPr>
          <w:p>
            <w:pPr>
              <w:spacing w:after="0"/>
              <w:rPr>
                <w:sz w:val="7"/>
                <w:szCs w:val="7"/>
                <w:color w:val="auto"/>
              </w:rPr>
            </w:pPr>
          </w:p>
        </w:tc>
      </w:tr>
      <w:tr>
        <w:trPr>
          <w:trHeight w:val="191"/>
        </w:trPr>
        <w:tc>
          <w:tcPr>
            <w:tcW w:w="3300" w:type="dxa"/>
            <w:vAlign w:val="bottom"/>
            <w:gridSpan w:val="2"/>
          </w:tcPr>
          <w:p>
            <w:pPr>
              <w:spacing w:after="0"/>
              <w:rPr>
                <w:sz w:val="20"/>
                <w:szCs w:val="20"/>
                <w:color w:val="auto"/>
              </w:rPr>
            </w:pPr>
            <w:r>
              <w:rPr>
                <w:rFonts w:ascii="Arial" w:cs="Arial" w:eastAsia="Arial" w:hAnsi="Arial"/>
                <w:sz w:val="16"/>
                <w:szCs w:val="16"/>
                <w:b w:val="1"/>
                <w:bCs w:val="1"/>
                <w:color w:val="auto"/>
              </w:rPr>
              <w:t>SDG&amp;E:</w:t>
            </w: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7"/>
        </w:trPr>
        <w:tc>
          <w:tcPr>
            <w:tcW w:w="3300" w:type="dxa"/>
            <w:vAlign w:val="bottom"/>
            <w:gridSpan w:val="2"/>
          </w:tcPr>
          <w:p>
            <w:pPr>
              <w:spacing w:after="0"/>
              <w:rPr>
                <w:sz w:val="20"/>
                <w:szCs w:val="20"/>
                <w:color w:val="auto"/>
              </w:rPr>
            </w:pPr>
            <w:r>
              <w:rPr>
                <w:rFonts w:ascii="Arial" w:cs="Arial" w:eastAsia="Arial" w:hAnsi="Arial"/>
                <w:sz w:val="16"/>
                <w:szCs w:val="16"/>
                <w:color w:val="auto"/>
              </w:rPr>
              <w:t>Financial instruments</w:t>
            </w:r>
          </w:p>
        </w:tc>
        <w:tc>
          <w:tcPr>
            <w:tcW w:w="840" w:type="dxa"/>
            <w:vAlign w:val="bottom"/>
          </w:tcPr>
          <w:p>
            <w:pPr>
              <w:jc w:val="right"/>
              <w:ind w:right="663"/>
              <w:spacing w:after="0"/>
              <w:rPr>
                <w:sz w:val="20"/>
                <w:szCs w:val="20"/>
                <w:color w:val="auto"/>
              </w:rPr>
            </w:pPr>
            <w:r>
              <w:rPr>
                <w:rFonts w:ascii="Arial" w:cs="Arial" w:eastAsia="Arial" w:hAnsi="Arial"/>
                <w:sz w:val="16"/>
                <w:szCs w:val="16"/>
                <w:color w:val="auto"/>
                <w:w w:val="89"/>
              </w:rPr>
              <w:t>$</w:t>
            </w:r>
          </w:p>
        </w:tc>
        <w:tc>
          <w:tcPr>
            <w:tcW w:w="320" w:type="dxa"/>
            <w:vAlign w:val="bottom"/>
          </w:tcPr>
          <w:p>
            <w:pPr>
              <w:ind w:left="100"/>
              <w:spacing w:after="0"/>
              <w:rPr>
                <w:sz w:val="20"/>
                <w:szCs w:val="20"/>
                <w:color w:val="auto"/>
              </w:rPr>
            </w:pPr>
            <w:r>
              <w:rPr>
                <w:rFonts w:ascii="Arial" w:cs="Arial" w:eastAsia="Arial" w:hAnsi="Arial"/>
                <w:sz w:val="16"/>
                <w:szCs w:val="16"/>
                <w:color w:val="auto"/>
              </w:rPr>
              <w:t>- $</w:t>
            </w:r>
          </w:p>
        </w:tc>
        <w:tc>
          <w:tcPr>
            <w:tcW w:w="1040" w:type="dxa"/>
            <w:vAlign w:val="bottom"/>
          </w:tcPr>
          <w:p>
            <w:pPr>
              <w:ind w:left="800"/>
              <w:spacing w:after="0"/>
              <w:rPr>
                <w:sz w:val="20"/>
                <w:szCs w:val="20"/>
                <w:color w:val="auto"/>
              </w:rPr>
            </w:pPr>
            <w:r>
              <w:rPr>
                <w:rFonts w:ascii="Arial" w:cs="Arial" w:eastAsia="Arial" w:hAnsi="Arial"/>
                <w:sz w:val="16"/>
                <w:szCs w:val="16"/>
                <w:color w:val="auto"/>
              </w:rPr>
              <w:t>- $</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708"/>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ind w:left="780"/>
              <w:spacing w:after="0"/>
              <w:rPr>
                <w:sz w:val="20"/>
                <w:szCs w:val="20"/>
                <w:color w:val="auto"/>
              </w:rPr>
            </w:pPr>
            <w:r>
              <w:rPr>
                <w:rFonts w:ascii="Arial" w:cs="Arial" w:eastAsia="Arial" w:hAnsi="Arial"/>
                <w:sz w:val="16"/>
                <w:szCs w:val="16"/>
                <w:color w:val="auto"/>
              </w:rPr>
              <w:t>- $</w:t>
            </w: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81"/>
        </w:trPr>
        <w:tc>
          <w:tcPr>
            <w:tcW w:w="3300" w:type="dxa"/>
            <w:vAlign w:val="bottom"/>
            <w:gridSpan w:val="2"/>
            <w:shd w:val="clear" w:color="auto" w:fill="DFDFDF"/>
          </w:tcPr>
          <w:p>
            <w:pPr>
              <w:spacing w:after="0"/>
              <w:rPr>
                <w:sz w:val="7"/>
                <w:szCs w:val="7"/>
                <w:color w:val="auto"/>
              </w:rPr>
            </w:pPr>
          </w:p>
        </w:tc>
        <w:tc>
          <w:tcPr>
            <w:tcW w:w="840" w:type="dxa"/>
            <w:vAlign w:val="bottom"/>
            <w:shd w:val="clear" w:color="auto" w:fill="DFDFDF"/>
          </w:tcPr>
          <w:p>
            <w:pPr>
              <w:spacing w:after="0"/>
              <w:rPr>
                <w:sz w:val="7"/>
                <w:szCs w:val="7"/>
                <w:color w:val="auto"/>
              </w:rPr>
            </w:pPr>
          </w:p>
        </w:tc>
        <w:tc>
          <w:tcPr>
            <w:tcW w:w="320" w:type="dxa"/>
            <w:vAlign w:val="bottom"/>
            <w:shd w:val="clear" w:color="auto" w:fill="DFDFDF"/>
          </w:tcPr>
          <w:p>
            <w:pPr>
              <w:spacing w:after="0"/>
              <w:rPr>
                <w:sz w:val="7"/>
                <w:szCs w:val="7"/>
                <w:color w:val="auto"/>
              </w:rPr>
            </w:pPr>
          </w:p>
        </w:tc>
        <w:tc>
          <w:tcPr>
            <w:tcW w:w="1040" w:type="dxa"/>
            <w:vAlign w:val="bottom"/>
            <w:shd w:val="clear" w:color="auto" w:fill="DFDFDF"/>
          </w:tcPr>
          <w:p>
            <w:pPr>
              <w:spacing w:after="0"/>
              <w:rPr>
                <w:sz w:val="7"/>
                <w:szCs w:val="7"/>
                <w:color w:val="auto"/>
              </w:rPr>
            </w:pPr>
          </w:p>
        </w:tc>
        <w:tc>
          <w:tcPr>
            <w:tcW w:w="880" w:type="dxa"/>
            <w:vAlign w:val="bottom"/>
            <w:shd w:val="clear" w:color="auto" w:fill="DFDFDF"/>
          </w:tcPr>
          <w:p>
            <w:pPr>
              <w:spacing w:after="0"/>
              <w:rPr>
                <w:sz w:val="7"/>
                <w:szCs w:val="7"/>
                <w:color w:val="auto"/>
              </w:rPr>
            </w:pPr>
          </w:p>
        </w:tc>
        <w:tc>
          <w:tcPr>
            <w:tcW w:w="360" w:type="dxa"/>
            <w:vAlign w:val="bottom"/>
            <w:shd w:val="clear" w:color="auto" w:fill="DFDFDF"/>
          </w:tcPr>
          <w:p>
            <w:pPr>
              <w:spacing w:after="0"/>
              <w:rPr>
                <w:sz w:val="7"/>
                <w:szCs w:val="7"/>
                <w:color w:val="auto"/>
              </w:rPr>
            </w:pPr>
          </w:p>
        </w:tc>
        <w:tc>
          <w:tcPr>
            <w:tcW w:w="860" w:type="dxa"/>
            <w:vAlign w:val="bottom"/>
            <w:shd w:val="clear" w:color="auto" w:fill="DFDFDF"/>
          </w:tcPr>
          <w:p>
            <w:pPr>
              <w:spacing w:after="0"/>
              <w:rPr>
                <w:sz w:val="7"/>
                <w:szCs w:val="7"/>
                <w:color w:val="auto"/>
              </w:rPr>
            </w:pPr>
          </w:p>
        </w:tc>
        <w:tc>
          <w:tcPr>
            <w:tcW w:w="140" w:type="dxa"/>
            <w:vAlign w:val="bottom"/>
            <w:shd w:val="clear" w:color="auto" w:fill="DFDFDF"/>
          </w:tcPr>
          <w:p>
            <w:pPr>
              <w:spacing w:after="0"/>
              <w:rPr>
                <w:sz w:val="7"/>
                <w:szCs w:val="7"/>
                <w:color w:val="auto"/>
              </w:rPr>
            </w:pPr>
          </w:p>
        </w:tc>
        <w:tc>
          <w:tcPr>
            <w:tcW w:w="160" w:type="dxa"/>
            <w:vAlign w:val="bottom"/>
            <w:shd w:val="clear" w:color="auto" w:fill="DFDFDF"/>
          </w:tcPr>
          <w:p>
            <w:pPr>
              <w:spacing w:after="0"/>
              <w:rPr>
                <w:sz w:val="7"/>
                <w:szCs w:val="7"/>
                <w:color w:val="auto"/>
              </w:rPr>
            </w:pPr>
          </w:p>
        </w:tc>
        <w:tc>
          <w:tcPr>
            <w:tcW w:w="1080" w:type="dxa"/>
            <w:vAlign w:val="bottom"/>
            <w:shd w:val="clear" w:color="auto" w:fill="DFDFDF"/>
          </w:tcPr>
          <w:p>
            <w:pPr>
              <w:spacing w:after="0"/>
              <w:rPr>
                <w:sz w:val="7"/>
                <w:szCs w:val="7"/>
                <w:color w:val="auto"/>
              </w:rPr>
            </w:pPr>
          </w:p>
        </w:tc>
        <w:tc>
          <w:tcPr>
            <w:tcW w:w="840" w:type="dxa"/>
            <w:vAlign w:val="bottom"/>
            <w:shd w:val="clear" w:color="auto" w:fill="DFDFDF"/>
          </w:tcPr>
          <w:p>
            <w:pPr>
              <w:spacing w:after="0"/>
              <w:rPr>
                <w:sz w:val="7"/>
                <w:szCs w:val="7"/>
                <w:color w:val="auto"/>
              </w:rPr>
            </w:pPr>
          </w:p>
        </w:tc>
      </w:tr>
      <w:tr>
        <w:trPr>
          <w:trHeight w:val="191"/>
        </w:trPr>
        <w:tc>
          <w:tcPr>
            <w:tcW w:w="3300" w:type="dxa"/>
            <w:vAlign w:val="bottom"/>
            <w:gridSpan w:val="2"/>
          </w:tcPr>
          <w:p>
            <w:pPr>
              <w:spacing w:after="0"/>
              <w:rPr>
                <w:sz w:val="20"/>
                <w:szCs w:val="20"/>
                <w:color w:val="auto"/>
              </w:rPr>
            </w:pPr>
            <w:r>
              <w:rPr>
                <w:rFonts w:ascii="Arial" w:cs="Arial" w:eastAsia="Arial" w:hAnsi="Arial"/>
                <w:sz w:val="16"/>
                <w:szCs w:val="16"/>
                <w:b w:val="1"/>
                <w:bCs w:val="1"/>
                <w:color w:val="auto"/>
              </w:rPr>
              <w:t>PE:</w:t>
            </w: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7"/>
        </w:trPr>
        <w:tc>
          <w:tcPr>
            <w:tcW w:w="3300" w:type="dxa"/>
            <w:vAlign w:val="bottom"/>
            <w:gridSpan w:val="2"/>
          </w:tcPr>
          <w:p>
            <w:pPr>
              <w:spacing w:after="0"/>
              <w:rPr>
                <w:sz w:val="20"/>
                <w:szCs w:val="20"/>
                <w:color w:val="auto"/>
              </w:rPr>
            </w:pPr>
            <w:r>
              <w:rPr>
                <w:rFonts w:ascii="Arial" w:cs="Arial" w:eastAsia="Arial" w:hAnsi="Arial"/>
                <w:sz w:val="16"/>
                <w:szCs w:val="16"/>
                <w:color w:val="auto"/>
              </w:rPr>
              <w:t>Financial instruments</w:t>
            </w:r>
          </w:p>
        </w:tc>
        <w:tc>
          <w:tcPr>
            <w:tcW w:w="840" w:type="dxa"/>
            <w:vAlign w:val="bottom"/>
          </w:tcPr>
          <w:p>
            <w:pPr>
              <w:jc w:val="right"/>
              <w:ind w:right="663"/>
              <w:spacing w:after="0"/>
              <w:rPr>
                <w:sz w:val="20"/>
                <w:szCs w:val="20"/>
                <w:color w:val="auto"/>
              </w:rPr>
            </w:pPr>
            <w:r>
              <w:rPr>
                <w:rFonts w:ascii="Arial" w:cs="Arial" w:eastAsia="Arial" w:hAnsi="Arial"/>
                <w:sz w:val="16"/>
                <w:szCs w:val="16"/>
                <w:color w:val="auto"/>
                <w:w w:val="89"/>
              </w:rPr>
              <w:t>$</w:t>
            </w:r>
          </w:p>
        </w:tc>
        <w:tc>
          <w:tcPr>
            <w:tcW w:w="320" w:type="dxa"/>
            <w:vAlign w:val="bottom"/>
          </w:tcPr>
          <w:p>
            <w:pPr>
              <w:ind w:left="100"/>
              <w:spacing w:after="0"/>
              <w:rPr>
                <w:sz w:val="20"/>
                <w:szCs w:val="20"/>
                <w:color w:val="auto"/>
              </w:rPr>
            </w:pPr>
            <w:r>
              <w:rPr>
                <w:rFonts w:ascii="Arial" w:cs="Arial" w:eastAsia="Arial" w:hAnsi="Arial"/>
                <w:sz w:val="16"/>
                <w:szCs w:val="16"/>
                <w:color w:val="auto"/>
              </w:rPr>
              <w:t>- $</w:t>
            </w:r>
          </w:p>
        </w:tc>
        <w:tc>
          <w:tcPr>
            <w:tcW w:w="1040" w:type="dxa"/>
            <w:vAlign w:val="bottom"/>
          </w:tcPr>
          <w:p>
            <w:pPr>
              <w:ind w:left="800"/>
              <w:spacing w:after="0"/>
              <w:rPr>
                <w:sz w:val="20"/>
                <w:szCs w:val="20"/>
                <w:color w:val="auto"/>
              </w:rPr>
            </w:pPr>
            <w:r>
              <w:rPr>
                <w:rFonts w:ascii="Arial" w:cs="Arial" w:eastAsia="Arial" w:hAnsi="Arial"/>
                <w:sz w:val="16"/>
                <w:szCs w:val="16"/>
                <w:color w:val="auto"/>
              </w:rPr>
              <w:t>- $</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708"/>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ind w:left="780"/>
              <w:spacing w:after="0"/>
              <w:rPr>
                <w:sz w:val="20"/>
                <w:szCs w:val="20"/>
                <w:color w:val="auto"/>
              </w:rPr>
            </w:pPr>
            <w:r>
              <w:rPr>
                <w:rFonts w:ascii="Arial" w:cs="Arial" w:eastAsia="Arial" w:hAnsi="Arial"/>
                <w:sz w:val="16"/>
                <w:szCs w:val="16"/>
                <w:color w:val="auto"/>
              </w:rPr>
              <w:t>- $</w:t>
            </w: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81"/>
        </w:trPr>
        <w:tc>
          <w:tcPr>
            <w:tcW w:w="3300" w:type="dxa"/>
            <w:vAlign w:val="bottom"/>
            <w:gridSpan w:val="2"/>
            <w:shd w:val="clear" w:color="auto" w:fill="DFDFDF"/>
          </w:tcPr>
          <w:p>
            <w:pPr>
              <w:spacing w:after="0"/>
              <w:rPr>
                <w:sz w:val="7"/>
                <w:szCs w:val="7"/>
                <w:color w:val="auto"/>
              </w:rPr>
            </w:pPr>
          </w:p>
        </w:tc>
        <w:tc>
          <w:tcPr>
            <w:tcW w:w="840" w:type="dxa"/>
            <w:vAlign w:val="bottom"/>
            <w:shd w:val="clear" w:color="auto" w:fill="DFDFDF"/>
          </w:tcPr>
          <w:p>
            <w:pPr>
              <w:spacing w:after="0"/>
              <w:rPr>
                <w:sz w:val="7"/>
                <w:szCs w:val="7"/>
                <w:color w:val="auto"/>
              </w:rPr>
            </w:pPr>
          </w:p>
        </w:tc>
        <w:tc>
          <w:tcPr>
            <w:tcW w:w="320" w:type="dxa"/>
            <w:vAlign w:val="bottom"/>
            <w:shd w:val="clear" w:color="auto" w:fill="DFDFDF"/>
          </w:tcPr>
          <w:p>
            <w:pPr>
              <w:spacing w:after="0"/>
              <w:rPr>
                <w:sz w:val="7"/>
                <w:szCs w:val="7"/>
                <w:color w:val="auto"/>
              </w:rPr>
            </w:pPr>
          </w:p>
        </w:tc>
        <w:tc>
          <w:tcPr>
            <w:tcW w:w="1040" w:type="dxa"/>
            <w:vAlign w:val="bottom"/>
            <w:shd w:val="clear" w:color="auto" w:fill="DFDFDF"/>
          </w:tcPr>
          <w:p>
            <w:pPr>
              <w:spacing w:after="0"/>
              <w:rPr>
                <w:sz w:val="7"/>
                <w:szCs w:val="7"/>
                <w:color w:val="auto"/>
              </w:rPr>
            </w:pPr>
          </w:p>
        </w:tc>
        <w:tc>
          <w:tcPr>
            <w:tcW w:w="880" w:type="dxa"/>
            <w:vAlign w:val="bottom"/>
            <w:shd w:val="clear" w:color="auto" w:fill="DFDFDF"/>
          </w:tcPr>
          <w:p>
            <w:pPr>
              <w:spacing w:after="0"/>
              <w:rPr>
                <w:sz w:val="7"/>
                <w:szCs w:val="7"/>
                <w:color w:val="auto"/>
              </w:rPr>
            </w:pPr>
          </w:p>
        </w:tc>
        <w:tc>
          <w:tcPr>
            <w:tcW w:w="360" w:type="dxa"/>
            <w:vAlign w:val="bottom"/>
            <w:shd w:val="clear" w:color="auto" w:fill="DFDFDF"/>
          </w:tcPr>
          <w:p>
            <w:pPr>
              <w:spacing w:after="0"/>
              <w:rPr>
                <w:sz w:val="7"/>
                <w:szCs w:val="7"/>
                <w:color w:val="auto"/>
              </w:rPr>
            </w:pPr>
          </w:p>
        </w:tc>
        <w:tc>
          <w:tcPr>
            <w:tcW w:w="860" w:type="dxa"/>
            <w:vAlign w:val="bottom"/>
            <w:shd w:val="clear" w:color="auto" w:fill="DFDFDF"/>
          </w:tcPr>
          <w:p>
            <w:pPr>
              <w:spacing w:after="0"/>
              <w:rPr>
                <w:sz w:val="7"/>
                <w:szCs w:val="7"/>
                <w:color w:val="auto"/>
              </w:rPr>
            </w:pPr>
          </w:p>
        </w:tc>
        <w:tc>
          <w:tcPr>
            <w:tcW w:w="140" w:type="dxa"/>
            <w:vAlign w:val="bottom"/>
            <w:shd w:val="clear" w:color="auto" w:fill="DFDFDF"/>
          </w:tcPr>
          <w:p>
            <w:pPr>
              <w:spacing w:after="0"/>
              <w:rPr>
                <w:sz w:val="7"/>
                <w:szCs w:val="7"/>
                <w:color w:val="auto"/>
              </w:rPr>
            </w:pPr>
          </w:p>
        </w:tc>
        <w:tc>
          <w:tcPr>
            <w:tcW w:w="160" w:type="dxa"/>
            <w:vAlign w:val="bottom"/>
            <w:shd w:val="clear" w:color="auto" w:fill="DFDFDF"/>
          </w:tcPr>
          <w:p>
            <w:pPr>
              <w:spacing w:after="0"/>
              <w:rPr>
                <w:sz w:val="7"/>
                <w:szCs w:val="7"/>
                <w:color w:val="auto"/>
              </w:rPr>
            </w:pPr>
          </w:p>
        </w:tc>
        <w:tc>
          <w:tcPr>
            <w:tcW w:w="1080" w:type="dxa"/>
            <w:vAlign w:val="bottom"/>
            <w:shd w:val="clear" w:color="auto" w:fill="DFDFDF"/>
          </w:tcPr>
          <w:p>
            <w:pPr>
              <w:spacing w:after="0"/>
              <w:rPr>
                <w:sz w:val="7"/>
                <w:szCs w:val="7"/>
                <w:color w:val="auto"/>
              </w:rPr>
            </w:pPr>
          </w:p>
        </w:tc>
        <w:tc>
          <w:tcPr>
            <w:tcW w:w="840" w:type="dxa"/>
            <w:vAlign w:val="bottom"/>
            <w:shd w:val="clear" w:color="auto" w:fill="DFDFDF"/>
          </w:tcPr>
          <w:p>
            <w:pPr>
              <w:spacing w:after="0"/>
              <w:rPr>
                <w:sz w:val="7"/>
                <w:szCs w:val="7"/>
                <w:color w:val="auto"/>
              </w:rPr>
            </w:pPr>
          </w:p>
        </w:tc>
      </w:tr>
      <w:tr>
        <w:trPr>
          <w:trHeight w:val="191"/>
        </w:trPr>
        <w:tc>
          <w:tcPr>
            <w:tcW w:w="3300" w:type="dxa"/>
            <w:vAlign w:val="bottom"/>
            <w:gridSpan w:val="2"/>
          </w:tcPr>
          <w:p>
            <w:pPr>
              <w:spacing w:after="0"/>
              <w:rPr>
                <w:sz w:val="20"/>
                <w:szCs w:val="20"/>
                <w:color w:val="auto"/>
              </w:rPr>
            </w:pPr>
            <w:r>
              <w:rPr>
                <w:rFonts w:ascii="Arial" w:cs="Arial" w:eastAsia="Arial" w:hAnsi="Arial"/>
                <w:sz w:val="16"/>
                <w:szCs w:val="16"/>
                <w:b w:val="1"/>
                <w:bCs w:val="1"/>
                <w:color w:val="auto"/>
              </w:rPr>
              <w:t>SoCalGas:</w:t>
            </w: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7"/>
        </w:trPr>
        <w:tc>
          <w:tcPr>
            <w:tcW w:w="3300" w:type="dxa"/>
            <w:vAlign w:val="bottom"/>
            <w:gridSpan w:val="2"/>
          </w:tcPr>
          <w:p>
            <w:pPr>
              <w:spacing w:after="0"/>
              <w:rPr>
                <w:sz w:val="20"/>
                <w:szCs w:val="20"/>
                <w:color w:val="auto"/>
              </w:rPr>
            </w:pPr>
            <w:r>
              <w:rPr>
                <w:rFonts w:ascii="Arial" w:cs="Arial" w:eastAsia="Arial" w:hAnsi="Arial"/>
                <w:sz w:val="16"/>
                <w:szCs w:val="16"/>
                <w:color w:val="auto"/>
              </w:rPr>
              <w:t>Financial instruments</w:t>
            </w:r>
          </w:p>
        </w:tc>
        <w:tc>
          <w:tcPr>
            <w:tcW w:w="840" w:type="dxa"/>
            <w:vAlign w:val="bottom"/>
          </w:tcPr>
          <w:p>
            <w:pPr>
              <w:jc w:val="right"/>
              <w:ind w:right="663"/>
              <w:spacing w:after="0"/>
              <w:rPr>
                <w:sz w:val="20"/>
                <w:szCs w:val="20"/>
                <w:color w:val="auto"/>
              </w:rPr>
            </w:pPr>
            <w:r>
              <w:rPr>
                <w:rFonts w:ascii="Arial" w:cs="Arial" w:eastAsia="Arial" w:hAnsi="Arial"/>
                <w:sz w:val="16"/>
                <w:szCs w:val="16"/>
                <w:color w:val="auto"/>
                <w:w w:val="89"/>
              </w:rPr>
              <w:t>$</w:t>
            </w:r>
          </w:p>
        </w:tc>
        <w:tc>
          <w:tcPr>
            <w:tcW w:w="320" w:type="dxa"/>
            <w:vAlign w:val="bottom"/>
          </w:tcPr>
          <w:p>
            <w:pPr>
              <w:ind w:left="100"/>
              <w:spacing w:after="0"/>
              <w:rPr>
                <w:sz w:val="20"/>
                <w:szCs w:val="20"/>
                <w:color w:val="auto"/>
              </w:rPr>
            </w:pPr>
            <w:r>
              <w:rPr>
                <w:rFonts w:ascii="Arial" w:cs="Arial" w:eastAsia="Arial" w:hAnsi="Arial"/>
                <w:sz w:val="16"/>
                <w:szCs w:val="16"/>
                <w:color w:val="auto"/>
              </w:rPr>
              <w:t>- $</w:t>
            </w:r>
          </w:p>
        </w:tc>
        <w:tc>
          <w:tcPr>
            <w:tcW w:w="1040" w:type="dxa"/>
            <w:vAlign w:val="bottom"/>
          </w:tcPr>
          <w:p>
            <w:pPr>
              <w:ind w:left="800"/>
              <w:spacing w:after="0"/>
              <w:rPr>
                <w:sz w:val="20"/>
                <w:szCs w:val="20"/>
                <w:color w:val="auto"/>
              </w:rPr>
            </w:pPr>
            <w:r>
              <w:rPr>
                <w:rFonts w:ascii="Arial" w:cs="Arial" w:eastAsia="Arial" w:hAnsi="Arial"/>
                <w:sz w:val="16"/>
                <w:szCs w:val="16"/>
                <w:color w:val="auto"/>
              </w:rPr>
              <w:t>- $</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708"/>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ind w:left="780"/>
              <w:spacing w:after="0"/>
              <w:rPr>
                <w:sz w:val="20"/>
                <w:szCs w:val="20"/>
                <w:color w:val="auto"/>
              </w:rPr>
            </w:pPr>
            <w:r>
              <w:rPr>
                <w:rFonts w:ascii="Arial" w:cs="Arial" w:eastAsia="Arial" w:hAnsi="Arial"/>
                <w:sz w:val="16"/>
                <w:szCs w:val="16"/>
                <w:color w:val="auto"/>
              </w:rPr>
              <w:t>- $</w:t>
            </w: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81"/>
        </w:trPr>
        <w:tc>
          <w:tcPr>
            <w:tcW w:w="20" w:type="dxa"/>
            <w:vAlign w:val="bottom"/>
            <w:shd w:val="clear" w:color="auto" w:fill="DFDFDF"/>
          </w:tcPr>
          <w:p>
            <w:pPr>
              <w:spacing w:after="0"/>
              <w:rPr>
                <w:sz w:val="7"/>
                <w:szCs w:val="7"/>
                <w:color w:val="auto"/>
              </w:rPr>
            </w:pPr>
          </w:p>
        </w:tc>
        <w:tc>
          <w:tcPr>
            <w:tcW w:w="3280" w:type="dxa"/>
            <w:vAlign w:val="bottom"/>
            <w:shd w:val="clear" w:color="auto" w:fill="DFDFDF"/>
          </w:tcPr>
          <w:p>
            <w:pPr>
              <w:spacing w:after="0"/>
              <w:rPr>
                <w:sz w:val="7"/>
                <w:szCs w:val="7"/>
                <w:color w:val="auto"/>
              </w:rPr>
            </w:pPr>
          </w:p>
        </w:tc>
        <w:tc>
          <w:tcPr>
            <w:tcW w:w="840" w:type="dxa"/>
            <w:vAlign w:val="bottom"/>
            <w:shd w:val="clear" w:color="auto" w:fill="DFDFDF"/>
          </w:tcPr>
          <w:p>
            <w:pPr>
              <w:spacing w:after="0"/>
              <w:rPr>
                <w:sz w:val="7"/>
                <w:szCs w:val="7"/>
                <w:color w:val="auto"/>
              </w:rPr>
            </w:pPr>
          </w:p>
        </w:tc>
        <w:tc>
          <w:tcPr>
            <w:tcW w:w="320" w:type="dxa"/>
            <w:vAlign w:val="bottom"/>
            <w:shd w:val="clear" w:color="auto" w:fill="DFDFDF"/>
          </w:tcPr>
          <w:p>
            <w:pPr>
              <w:spacing w:after="0"/>
              <w:rPr>
                <w:sz w:val="7"/>
                <w:szCs w:val="7"/>
                <w:color w:val="auto"/>
              </w:rPr>
            </w:pPr>
          </w:p>
        </w:tc>
        <w:tc>
          <w:tcPr>
            <w:tcW w:w="1040" w:type="dxa"/>
            <w:vAlign w:val="bottom"/>
            <w:shd w:val="clear" w:color="auto" w:fill="DFDFDF"/>
          </w:tcPr>
          <w:p>
            <w:pPr>
              <w:spacing w:after="0"/>
              <w:rPr>
                <w:sz w:val="7"/>
                <w:szCs w:val="7"/>
                <w:color w:val="auto"/>
              </w:rPr>
            </w:pPr>
          </w:p>
        </w:tc>
        <w:tc>
          <w:tcPr>
            <w:tcW w:w="880" w:type="dxa"/>
            <w:vAlign w:val="bottom"/>
            <w:shd w:val="clear" w:color="auto" w:fill="DFDFDF"/>
          </w:tcPr>
          <w:p>
            <w:pPr>
              <w:spacing w:after="0"/>
              <w:rPr>
                <w:sz w:val="7"/>
                <w:szCs w:val="7"/>
                <w:color w:val="auto"/>
              </w:rPr>
            </w:pPr>
          </w:p>
        </w:tc>
        <w:tc>
          <w:tcPr>
            <w:tcW w:w="360" w:type="dxa"/>
            <w:vAlign w:val="bottom"/>
            <w:shd w:val="clear" w:color="auto" w:fill="DFDFDF"/>
          </w:tcPr>
          <w:p>
            <w:pPr>
              <w:spacing w:after="0"/>
              <w:rPr>
                <w:sz w:val="7"/>
                <w:szCs w:val="7"/>
                <w:color w:val="auto"/>
              </w:rPr>
            </w:pPr>
          </w:p>
        </w:tc>
        <w:tc>
          <w:tcPr>
            <w:tcW w:w="860" w:type="dxa"/>
            <w:vAlign w:val="bottom"/>
            <w:shd w:val="clear" w:color="auto" w:fill="DFDFDF"/>
          </w:tcPr>
          <w:p>
            <w:pPr>
              <w:spacing w:after="0"/>
              <w:rPr>
                <w:sz w:val="7"/>
                <w:szCs w:val="7"/>
                <w:color w:val="auto"/>
              </w:rPr>
            </w:pPr>
          </w:p>
        </w:tc>
        <w:tc>
          <w:tcPr>
            <w:tcW w:w="140" w:type="dxa"/>
            <w:vAlign w:val="bottom"/>
            <w:shd w:val="clear" w:color="auto" w:fill="DFDFDF"/>
          </w:tcPr>
          <w:p>
            <w:pPr>
              <w:spacing w:after="0"/>
              <w:rPr>
                <w:sz w:val="7"/>
                <w:szCs w:val="7"/>
                <w:color w:val="auto"/>
              </w:rPr>
            </w:pPr>
          </w:p>
        </w:tc>
        <w:tc>
          <w:tcPr>
            <w:tcW w:w="160" w:type="dxa"/>
            <w:vAlign w:val="bottom"/>
            <w:shd w:val="clear" w:color="auto" w:fill="DFDFDF"/>
          </w:tcPr>
          <w:p>
            <w:pPr>
              <w:spacing w:after="0"/>
              <w:rPr>
                <w:sz w:val="7"/>
                <w:szCs w:val="7"/>
                <w:color w:val="auto"/>
              </w:rPr>
            </w:pPr>
          </w:p>
        </w:tc>
        <w:tc>
          <w:tcPr>
            <w:tcW w:w="1080" w:type="dxa"/>
            <w:vAlign w:val="bottom"/>
            <w:shd w:val="clear" w:color="auto" w:fill="DFDFDF"/>
          </w:tcPr>
          <w:p>
            <w:pPr>
              <w:spacing w:after="0"/>
              <w:rPr>
                <w:sz w:val="7"/>
                <w:szCs w:val="7"/>
                <w:color w:val="auto"/>
              </w:rPr>
            </w:pPr>
          </w:p>
        </w:tc>
        <w:tc>
          <w:tcPr>
            <w:tcW w:w="840" w:type="dxa"/>
            <w:vAlign w:val="bottom"/>
            <w:shd w:val="clear" w:color="auto" w:fill="DFDFDF"/>
          </w:tcPr>
          <w:p>
            <w:pPr>
              <w:spacing w:after="0"/>
              <w:rPr>
                <w:sz w:val="7"/>
                <w:szCs w:val="7"/>
                <w:color w:val="auto"/>
              </w:rPr>
            </w:pPr>
          </w:p>
        </w:tc>
      </w:tr>
    </w:tbl>
    <w:p>
      <w:pPr>
        <w:spacing w:after="0"/>
        <w:rPr>
          <w:sz w:val="20"/>
          <w:szCs w:val="20"/>
          <w:color w:val="auto"/>
        </w:rPr>
      </w:pPr>
      <w:r>
        <w:rPr>
          <w:rFonts w:ascii="Arial" w:cs="Arial" w:eastAsia="Arial" w:hAnsi="Arial"/>
          <w:sz w:val="14"/>
          <w:szCs w:val="14"/>
          <w:i w:val="1"/>
          <w:iCs w:val="1"/>
          <w:color w:val="auto"/>
        </w:rPr>
        <w:t>(1) Shareholders' equity of Sempra Energy Consolidated, SDG&amp;E, PE or SoCalGas as indicated in left margin.</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SHAREHOLDERS’ EQUITY AND NONCONTROLLING INTERESTS</w:t>
      </w:r>
    </w:p>
    <w:p>
      <w:pPr>
        <w:spacing w:after="0" w:line="69" w:lineRule="exact"/>
        <w:rPr>
          <w:sz w:val="20"/>
          <w:szCs w:val="20"/>
          <w:color w:val="auto"/>
        </w:rPr>
      </w:pPr>
    </w:p>
    <w:p>
      <w:pPr>
        <w:ind w:right="859"/>
        <w:spacing w:after="0" w:line="268" w:lineRule="auto"/>
        <w:rPr>
          <w:sz w:val="20"/>
          <w:szCs w:val="20"/>
          <w:color w:val="auto"/>
        </w:rPr>
      </w:pPr>
      <w:r>
        <w:rPr>
          <w:rFonts w:ascii="Arial" w:cs="Arial" w:eastAsia="Arial" w:hAnsi="Arial"/>
          <w:sz w:val="19"/>
          <w:szCs w:val="19"/>
          <w:color w:val="auto"/>
        </w:rPr>
        <w:t>The following two tables provide a reconciliation of Sempra Energy and SDG&amp;E shareholders’ equity and noncontrolling interests for the three months ended March 31, 2010 and 2009. There were no changes in the equity of PE's noncontrolling interests for the three months ended March 31, 2010 or 2009.</w:t>
      </w:r>
    </w:p>
    <w:p>
      <w:pPr>
        <w:sectPr>
          <w:pgSz w:w="11900" w:h="16838" w:orient="portrait"/>
          <w:cols w:equalWidth="0" w:num="1">
            <w:col w:w="10219"/>
          </w:cols>
          <w:pgMar w:left="240" w:top="104" w:right="1440"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color w:val="auto"/>
        </w:rPr>
        <w:t>SHAREHOLDERS' EQUITY AND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4836795" cy="2317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836795"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left="341"/>
              <w:spacing w:after="0"/>
              <w:rPr>
                <w:sz w:val="20"/>
                <w:szCs w:val="20"/>
                <w:color w:val="auto"/>
              </w:rPr>
            </w:pPr>
            <w:r>
              <w:rPr>
                <w:rFonts w:ascii="Arial" w:cs="Arial" w:eastAsia="Arial" w:hAnsi="Arial"/>
                <w:sz w:val="14"/>
                <w:szCs w:val="14"/>
                <w:color w:val="auto"/>
              </w:rPr>
              <w:t>Sempra</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left="341"/>
              <w:spacing w:after="0"/>
              <w:rPr>
                <w:sz w:val="20"/>
                <w:szCs w:val="20"/>
                <w:color w:val="auto"/>
              </w:rPr>
            </w:pPr>
            <w:r>
              <w:rPr>
                <w:rFonts w:ascii="Arial" w:cs="Arial" w:eastAsia="Arial" w:hAnsi="Arial"/>
                <w:sz w:val="14"/>
                <w:szCs w:val="14"/>
                <w:color w:val="auto"/>
                <w:w w:val="99"/>
              </w:rPr>
              <w:t>Energy</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center"/>
              <w:ind w:left="161"/>
              <w:spacing w:after="0"/>
              <w:rPr>
                <w:sz w:val="20"/>
                <w:szCs w:val="20"/>
                <w:color w:val="auto"/>
              </w:rPr>
            </w:pPr>
            <w:r>
              <w:rPr>
                <w:rFonts w:ascii="Arial" w:cs="Arial" w:eastAsia="Arial" w:hAnsi="Arial"/>
                <w:sz w:val="14"/>
                <w:szCs w:val="14"/>
                <w:color w:val="auto"/>
                <w:w w:val="98"/>
              </w:rPr>
              <w:t>Non-</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left="101"/>
              <w:spacing w:after="0"/>
              <w:rPr>
                <w:sz w:val="20"/>
                <w:szCs w:val="20"/>
                <w:color w:val="auto"/>
              </w:rPr>
            </w:pPr>
            <w:r>
              <w:rPr>
                <w:rFonts w:ascii="Arial" w:cs="Arial" w:eastAsia="Arial" w:hAnsi="Arial"/>
                <w:sz w:val="14"/>
                <w:szCs w:val="14"/>
                <w:color w:val="auto"/>
              </w:rPr>
              <w:t>Shareholders'</w:t>
            </w:r>
          </w:p>
        </w:tc>
        <w:tc>
          <w:tcPr>
            <w:tcW w:w="200" w:type="dxa"/>
            <w:vAlign w:val="bottom"/>
          </w:tcPr>
          <w:p>
            <w:pPr>
              <w:spacing w:after="0"/>
              <w:rPr>
                <w:sz w:val="16"/>
                <w:szCs w:val="16"/>
                <w:color w:val="auto"/>
              </w:rPr>
            </w:pPr>
          </w:p>
        </w:tc>
        <w:tc>
          <w:tcPr>
            <w:tcW w:w="940" w:type="dxa"/>
            <w:vAlign w:val="bottom"/>
          </w:tcPr>
          <w:p>
            <w:pPr>
              <w:jc w:val="center"/>
              <w:ind w:left="161"/>
              <w:spacing w:after="0"/>
              <w:rPr>
                <w:sz w:val="20"/>
                <w:szCs w:val="20"/>
                <w:color w:val="auto"/>
              </w:rPr>
            </w:pPr>
            <w:r>
              <w:rPr>
                <w:rFonts w:ascii="Arial" w:cs="Arial" w:eastAsia="Arial" w:hAnsi="Arial"/>
                <w:sz w:val="14"/>
                <w:szCs w:val="14"/>
                <w:color w:val="auto"/>
              </w:rPr>
              <w:t>controlling</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r>
      <w:tr>
        <w:trPr>
          <w:trHeight w:val="174"/>
        </w:trPr>
        <w:tc>
          <w:tcPr>
            <w:tcW w:w="20" w:type="dxa"/>
            <w:vAlign w:val="bottom"/>
          </w:tcPr>
          <w:p>
            <w:pPr>
              <w:spacing w:after="0"/>
              <w:rPr>
                <w:sz w:val="15"/>
                <w:szCs w:val="15"/>
                <w:color w:val="auto"/>
              </w:rPr>
            </w:pPr>
          </w:p>
        </w:tc>
        <w:tc>
          <w:tcPr>
            <w:tcW w:w="34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left="341"/>
              <w:spacing w:after="0"/>
              <w:rPr>
                <w:sz w:val="20"/>
                <w:szCs w:val="20"/>
                <w:color w:val="auto"/>
              </w:rPr>
            </w:pPr>
            <w:r>
              <w:rPr>
                <w:rFonts w:ascii="Arial" w:cs="Arial" w:eastAsia="Arial" w:hAnsi="Arial"/>
                <w:sz w:val="14"/>
                <w:szCs w:val="14"/>
                <w:color w:val="auto"/>
              </w:rPr>
              <w:t>Equity</w:t>
            </w: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left="161"/>
              <w:spacing w:after="0"/>
              <w:rPr>
                <w:sz w:val="20"/>
                <w:szCs w:val="20"/>
                <w:color w:val="auto"/>
              </w:rPr>
            </w:pPr>
            <w:r>
              <w:rPr>
                <w:rFonts w:ascii="Arial" w:cs="Arial" w:eastAsia="Arial" w:hAnsi="Arial"/>
                <w:sz w:val="14"/>
                <w:szCs w:val="14"/>
                <w:color w:val="auto"/>
              </w:rPr>
              <w:t>Interests</w:t>
            </w:r>
          </w:p>
        </w:tc>
        <w:tc>
          <w:tcPr>
            <w:tcW w:w="1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color w:val="auto"/>
              </w:rPr>
              <w:t>Equity</w:t>
            </w:r>
          </w:p>
        </w:tc>
        <w:tc>
          <w:tcPr>
            <w:tcW w:w="40" w:type="dxa"/>
            <w:vAlign w:val="bottom"/>
          </w:tcPr>
          <w:p>
            <w:pPr>
              <w:spacing w:after="0"/>
              <w:rPr>
                <w:sz w:val="15"/>
                <w:szCs w:val="15"/>
                <w:color w:val="auto"/>
              </w:rPr>
            </w:pPr>
          </w:p>
        </w:tc>
      </w:tr>
      <w:tr>
        <w:trPr>
          <w:trHeight w:val="184"/>
        </w:trPr>
        <w:tc>
          <w:tcPr>
            <w:tcW w:w="3460" w:type="dxa"/>
            <w:vAlign w:val="bottom"/>
            <w:gridSpan w:val="2"/>
          </w:tcPr>
          <w:p>
            <w:pPr>
              <w:spacing w:after="0"/>
              <w:rPr>
                <w:sz w:val="20"/>
                <w:szCs w:val="20"/>
                <w:color w:val="auto"/>
              </w:rPr>
            </w:pPr>
            <w:r>
              <w:rPr>
                <w:rFonts w:ascii="Arial" w:cs="Arial" w:eastAsia="Arial" w:hAnsi="Arial"/>
                <w:sz w:val="16"/>
                <w:szCs w:val="16"/>
                <w:color w:val="auto"/>
              </w:rPr>
              <w:t>Balance at December 31, 2009</w:t>
            </w:r>
          </w:p>
        </w:tc>
        <w:tc>
          <w:tcPr>
            <w:tcW w:w="220" w:type="dxa"/>
            <w:vAlign w:val="bottom"/>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9,007</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244</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9,251</w:t>
            </w:r>
          </w:p>
        </w:tc>
        <w:tc>
          <w:tcPr>
            <w:tcW w:w="40" w:type="dxa"/>
            <w:vAlign w:val="bottom"/>
          </w:tcPr>
          <w:p>
            <w:pPr>
              <w:spacing w:after="0"/>
              <w:rPr>
                <w:sz w:val="16"/>
                <w:szCs w:val="16"/>
                <w:color w:val="auto"/>
              </w:rPr>
            </w:pPr>
          </w:p>
        </w:tc>
      </w:tr>
      <w:tr>
        <w:trPr>
          <w:trHeight w:val="189"/>
        </w:trPr>
        <w:tc>
          <w:tcPr>
            <w:tcW w:w="3460" w:type="dxa"/>
            <w:vAlign w:val="bottom"/>
            <w:gridSpan w:val="2"/>
          </w:tcPr>
          <w:p>
            <w:pPr>
              <w:spacing w:after="0"/>
              <w:rPr>
                <w:sz w:val="20"/>
                <w:szCs w:val="20"/>
                <w:color w:val="auto"/>
              </w:rPr>
            </w:pPr>
            <w:r>
              <w:rPr>
                <w:rFonts w:ascii="Arial" w:cs="Arial" w:eastAsia="Arial" w:hAnsi="Arial"/>
                <w:sz w:val="16"/>
                <w:szCs w:val="16"/>
                <w:color w:val="auto"/>
              </w:rPr>
              <w:t>Comprehensive income (loss)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105</w:t>
            </w:r>
          </w:p>
        </w:tc>
        <w:tc>
          <w:tcPr>
            <w:tcW w:w="20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(6)</w:t>
            </w: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99</w:t>
            </w:r>
          </w:p>
        </w:tc>
        <w:tc>
          <w:tcPr>
            <w:tcW w:w="40" w:type="dxa"/>
            <w:vAlign w:val="bottom"/>
          </w:tcPr>
          <w:p>
            <w:pPr>
              <w:spacing w:after="0"/>
              <w:rPr>
                <w:sz w:val="16"/>
                <w:szCs w:val="16"/>
                <w:color w:val="auto"/>
              </w:rPr>
            </w:pPr>
          </w:p>
        </w:tc>
      </w:tr>
      <w:tr>
        <w:trPr>
          <w:trHeight w:val="189"/>
        </w:trPr>
        <w:tc>
          <w:tcPr>
            <w:tcW w:w="3460" w:type="dxa"/>
            <w:vAlign w:val="bottom"/>
            <w:gridSpan w:val="2"/>
          </w:tcPr>
          <w:p>
            <w:pPr>
              <w:spacing w:after="0"/>
              <w:rPr>
                <w:sz w:val="20"/>
                <w:szCs w:val="20"/>
                <w:color w:val="auto"/>
              </w:rPr>
            </w:pPr>
            <w:r>
              <w:rPr>
                <w:rFonts w:ascii="Arial" w:cs="Arial" w:eastAsia="Arial" w:hAnsi="Arial"/>
                <w:sz w:val="16"/>
                <w:szCs w:val="16"/>
                <w:color w:val="auto"/>
              </w:rPr>
              <w:t>Share-based compensation expense</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13</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w:t>
            </w:r>
          </w:p>
        </w:tc>
        <w:tc>
          <w:tcPr>
            <w:tcW w:w="40" w:type="dxa"/>
            <w:vAlign w:val="bottom"/>
          </w:tcPr>
          <w:p>
            <w:pPr>
              <w:spacing w:after="0"/>
              <w:rPr>
                <w:sz w:val="16"/>
                <w:szCs w:val="16"/>
                <w:color w:val="auto"/>
              </w:rPr>
            </w:pPr>
          </w:p>
        </w:tc>
      </w:tr>
      <w:tr>
        <w:trPr>
          <w:trHeight w:val="189"/>
        </w:trPr>
        <w:tc>
          <w:tcPr>
            <w:tcW w:w="3460" w:type="dxa"/>
            <w:vAlign w:val="bottom"/>
            <w:gridSpan w:val="2"/>
          </w:tcPr>
          <w:p>
            <w:pPr>
              <w:spacing w:after="0"/>
              <w:rPr>
                <w:sz w:val="20"/>
                <w:szCs w:val="20"/>
                <w:color w:val="auto"/>
              </w:rPr>
            </w:pPr>
            <w:r>
              <w:rPr>
                <w:rFonts w:ascii="Arial" w:cs="Arial" w:eastAsia="Arial" w:hAnsi="Arial"/>
                <w:sz w:val="16"/>
                <w:szCs w:val="16"/>
                <w:color w:val="auto"/>
              </w:rPr>
              <w:t>Common stock dividends declared</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(96)</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(96)</w:t>
            </w:r>
          </w:p>
        </w:tc>
      </w:tr>
      <w:tr>
        <w:trPr>
          <w:trHeight w:val="189"/>
        </w:trPr>
        <w:tc>
          <w:tcPr>
            <w:tcW w:w="3460" w:type="dxa"/>
            <w:vAlign w:val="bottom"/>
            <w:gridSpan w:val="2"/>
          </w:tcPr>
          <w:p>
            <w:pPr>
              <w:spacing w:after="0"/>
              <w:rPr>
                <w:sz w:val="20"/>
                <w:szCs w:val="20"/>
                <w:color w:val="auto"/>
              </w:rPr>
            </w:pPr>
            <w:r>
              <w:rPr>
                <w:rFonts w:ascii="Arial" w:cs="Arial" w:eastAsia="Arial" w:hAnsi="Arial"/>
                <w:sz w:val="16"/>
                <w:szCs w:val="16"/>
                <w:color w:val="auto"/>
              </w:rPr>
              <w:t>Preferred dividends of subsidiaries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(2)</w:t>
            </w:r>
          </w:p>
        </w:tc>
      </w:tr>
      <w:tr>
        <w:trPr>
          <w:trHeight w:val="189"/>
        </w:trPr>
        <w:tc>
          <w:tcPr>
            <w:tcW w:w="3460" w:type="dxa"/>
            <w:vAlign w:val="bottom"/>
            <w:gridSpan w:val="2"/>
          </w:tcPr>
          <w:p>
            <w:pPr>
              <w:spacing w:after="0"/>
              <w:rPr>
                <w:sz w:val="20"/>
                <w:szCs w:val="20"/>
                <w:color w:val="auto"/>
              </w:rPr>
            </w:pPr>
            <w:r>
              <w:rPr>
                <w:rFonts w:ascii="Arial" w:cs="Arial" w:eastAsia="Arial" w:hAnsi="Arial"/>
                <w:sz w:val="16"/>
                <w:szCs w:val="16"/>
                <w:color w:val="auto"/>
              </w:rPr>
              <w:t>Issuance of common stock</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27</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w:t>
            </w:r>
          </w:p>
        </w:tc>
        <w:tc>
          <w:tcPr>
            <w:tcW w:w="40" w:type="dxa"/>
            <w:vAlign w:val="bottom"/>
          </w:tcPr>
          <w:p>
            <w:pPr>
              <w:spacing w:after="0"/>
              <w:rPr>
                <w:sz w:val="16"/>
                <w:szCs w:val="16"/>
                <w:color w:val="auto"/>
              </w:rPr>
            </w:pPr>
          </w:p>
        </w:tc>
      </w:tr>
      <w:tr>
        <w:trPr>
          <w:trHeight w:val="189"/>
        </w:trPr>
        <w:tc>
          <w:tcPr>
            <w:tcW w:w="3680" w:type="dxa"/>
            <w:vAlign w:val="bottom"/>
            <w:gridSpan w:val="3"/>
          </w:tcPr>
          <w:p>
            <w:pPr>
              <w:spacing w:after="0"/>
              <w:rPr>
                <w:sz w:val="20"/>
                <w:szCs w:val="20"/>
                <w:color w:val="auto"/>
              </w:rPr>
            </w:pPr>
            <w:r>
              <w:rPr>
                <w:rFonts w:ascii="Arial" w:cs="Arial" w:eastAsia="Arial" w:hAnsi="Arial"/>
                <w:sz w:val="16"/>
                <w:szCs w:val="16"/>
                <w:color w:val="auto"/>
              </w:rPr>
              <w:t>Tax benefit related to share-based compensation</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c>
          <w:tcPr>
            <w:tcW w:w="40" w:type="dxa"/>
            <w:vAlign w:val="bottom"/>
          </w:tcPr>
          <w:p>
            <w:pPr>
              <w:spacing w:after="0"/>
              <w:rPr>
                <w:sz w:val="16"/>
                <w:szCs w:val="16"/>
                <w:color w:val="auto"/>
              </w:rPr>
            </w:pPr>
          </w:p>
        </w:tc>
      </w:tr>
      <w:tr>
        <w:trPr>
          <w:trHeight w:val="189"/>
        </w:trPr>
        <w:tc>
          <w:tcPr>
            <w:tcW w:w="3460" w:type="dxa"/>
            <w:vAlign w:val="bottom"/>
            <w:gridSpan w:val="2"/>
          </w:tcPr>
          <w:p>
            <w:pPr>
              <w:spacing w:after="0"/>
              <w:rPr>
                <w:sz w:val="20"/>
                <w:szCs w:val="20"/>
                <w:color w:val="auto"/>
              </w:rPr>
            </w:pPr>
            <w:r>
              <w:rPr>
                <w:rFonts w:ascii="Arial" w:cs="Arial" w:eastAsia="Arial" w:hAnsi="Arial"/>
                <w:sz w:val="16"/>
                <w:szCs w:val="16"/>
                <w:color w:val="auto"/>
              </w:rPr>
              <w:t>Repurchase of common stock</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(2)</w:t>
            </w:r>
          </w:p>
        </w:tc>
      </w:tr>
      <w:tr>
        <w:trPr>
          <w:trHeight w:val="189"/>
        </w:trPr>
        <w:tc>
          <w:tcPr>
            <w:tcW w:w="3460" w:type="dxa"/>
            <w:vAlign w:val="bottom"/>
            <w:gridSpan w:val="2"/>
          </w:tcPr>
          <w:p>
            <w:pPr>
              <w:spacing w:after="0"/>
              <w:rPr>
                <w:sz w:val="20"/>
                <w:szCs w:val="20"/>
                <w:color w:val="auto"/>
              </w:rPr>
            </w:pPr>
            <w:r>
              <w:rPr>
                <w:rFonts w:ascii="Arial" w:cs="Arial" w:eastAsia="Arial" w:hAnsi="Arial"/>
                <w:sz w:val="16"/>
                <w:szCs w:val="16"/>
                <w:color w:val="auto"/>
              </w:rPr>
              <w:t>Common stock released from ESOP</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w:t>
            </w:r>
          </w:p>
        </w:tc>
        <w:tc>
          <w:tcPr>
            <w:tcW w:w="40" w:type="dxa"/>
            <w:vAlign w:val="bottom"/>
          </w:tcPr>
          <w:p>
            <w:pPr>
              <w:spacing w:after="0"/>
              <w:rPr>
                <w:sz w:val="16"/>
                <w:szCs w:val="16"/>
                <w:color w:val="auto"/>
              </w:rPr>
            </w:pPr>
          </w:p>
        </w:tc>
      </w:tr>
      <w:tr>
        <w:trPr>
          <w:trHeight w:val="187"/>
        </w:trPr>
        <w:tc>
          <w:tcPr>
            <w:tcW w:w="3460" w:type="dxa"/>
            <w:vAlign w:val="bottom"/>
            <w:gridSpan w:val="2"/>
          </w:tcPr>
          <w:p>
            <w:pPr>
              <w:spacing w:after="0"/>
              <w:rPr>
                <w:sz w:val="20"/>
                <w:szCs w:val="20"/>
                <w:color w:val="auto"/>
              </w:rPr>
            </w:pPr>
            <w:r>
              <w:rPr>
                <w:rFonts w:ascii="Arial" w:cs="Arial" w:eastAsia="Arial" w:hAnsi="Arial"/>
                <w:sz w:val="16"/>
                <w:szCs w:val="16"/>
                <w:color w:val="auto"/>
              </w:rPr>
              <w:t>Distributions to noncontrolling interests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28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(3)</w:t>
            </w:r>
          </w:p>
        </w:tc>
      </w:tr>
      <w:tr>
        <w:trPr>
          <w:trHeight w:val="183"/>
        </w:trPr>
        <w:tc>
          <w:tcPr>
            <w:tcW w:w="3460" w:type="dxa"/>
            <w:vAlign w:val="bottom"/>
            <w:gridSpan w:val="2"/>
          </w:tcPr>
          <w:p>
            <w:pPr>
              <w:spacing w:after="0" w:line="183" w:lineRule="exact"/>
              <w:rPr>
                <w:sz w:val="20"/>
                <w:szCs w:val="20"/>
                <w:color w:val="auto"/>
              </w:rPr>
            </w:pPr>
            <w:r>
              <w:rPr>
                <w:rFonts w:ascii="Arial" w:cs="Arial" w:eastAsia="Arial" w:hAnsi="Arial"/>
                <w:sz w:val="16"/>
                <w:szCs w:val="16"/>
                <w:color w:val="auto"/>
              </w:rPr>
              <w:t>Balance at March 31, 2010</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9,060</w:t>
            </w:r>
          </w:p>
        </w:tc>
        <w:tc>
          <w:tcPr>
            <w:tcW w:w="200" w:type="dxa"/>
            <w:vAlign w:val="bottom"/>
            <w:tcBorders>
              <w:top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235</w:t>
            </w:r>
          </w:p>
        </w:tc>
        <w:tc>
          <w:tcPr>
            <w:tcW w:w="280" w:type="dxa"/>
            <w:vAlign w:val="bottom"/>
            <w:tcBorders>
              <w:top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9,295</w:t>
            </w:r>
          </w:p>
        </w:tc>
        <w:tc>
          <w:tcPr>
            <w:tcW w:w="40" w:type="dxa"/>
            <w:vAlign w:val="bottom"/>
          </w:tcPr>
          <w:p>
            <w:pPr>
              <w:spacing w:after="0"/>
              <w:rPr>
                <w:sz w:val="15"/>
                <w:szCs w:val="15"/>
                <w:color w:val="auto"/>
              </w:rPr>
            </w:pPr>
          </w:p>
        </w:tc>
      </w:tr>
      <w:tr>
        <w:trPr>
          <w:trHeight w:val="81"/>
        </w:trPr>
        <w:tc>
          <w:tcPr>
            <w:tcW w:w="3460" w:type="dxa"/>
            <w:vAlign w:val="bottom"/>
            <w:gridSpan w:val="2"/>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240" w:type="dxa"/>
            <w:vAlign w:val="bottom"/>
            <w:gridSpan w:val="2"/>
            <w:shd w:val="clear" w:color="auto" w:fill="000000"/>
          </w:tcPr>
          <w:p>
            <w:pPr>
              <w:spacing w:after="0"/>
              <w:rPr>
                <w:sz w:val="7"/>
                <w:szCs w:val="7"/>
                <w:color w:val="auto"/>
              </w:rPr>
            </w:pPr>
          </w:p>
        </w:tc>
        <w:tc>
          <w:tcPr>
            <w:tcW w:w="1300" w:type="dxa"/>
            <w:vAlign w:val="bottom"/>
            <w:gridSpan w:val="2"/>
            <w:shd w:val="clear" w:color="auto" w:fill="000000"/>
          </w:tcPr>
          <w:p>
            <w:pPr>
              <w:spacing w:after="0"/>
              <w:rPr>
                <w:sz w:val="7"/>
                <w:szCs w:val="7"/>
                <w:color w:val="auto"/>
              </w:rPr>
            </w:pPr>
          </w:p>
        </w:tc>
        <w:tc>
          <w:tcPr>
            <w:tcW w:w="200" w:type="dxa"/>
            <w:vAlign w:val="bottom"/>
            <w:shd w:val="clear" w:color="auto" w:fill="000000"/>
          </w:tcPr>
          <w:p>
            <w:pPr>
              <w:spacing w:after="0"/>
              <w:rPr>
                <w:sz w:val="7"/>
                <w:szCs w:val="7"/>
                <w:color w:val="auto"/>
              </w:rPr>
            </w:pPr>
          </w:p>
        </w:tc>
        <w:tc>
          <w:tcPr>
            <w:tcW w:w="1080" w:type="dxa"/>
            <w:vAlign w:val="bottom"/>
            <w:gridSpan w:val="2"/>
            <w:shd w:val="clear" w:color="auto" w:fill="000000"/>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840" w:type="dxa"/>
            <w:vAlign w:val="bottom"/>
            <w:shd w:val="clear" w:color="auto" w:fill="000000"/>
          </w:tcPr>
          <w:p>
            <w:pPr>
              <w:spacing w:after="0"/>
              <w:rPr>
                <w:sz w:val="7"/>
                <w:szCs w:val="7"/>
                <w:color w:val="auto"/>
              </w:rPr>
            </w:pPr>
          </w:p>
        </w:tc>
        <w:tc>
          <w:tcPr>
            <w:tcW w:w="40" w:type="dxa"/>
            <w:vAlign w:val="bottom"/>
          </w:tcPr>
          <w:p>
            <w:pPr>
              <w:spacing w:after="0"/>
              <w:rPr>
                <w:sz w:val="7"/>
                <w:szCs w:val="7"/>
                <w:color w:val="auto"/>
              </w:rPr>
            </w:pPr>
          </w:p>
        </w:tc>
      </w:tr>
      <w:tr>
        <w:trPr>
          <w:trHeight w:val="191"/>
        </w:trPr>
        <w:tc>
          <w:tcPr>
            <w:tcW w:w="3460" w:type="dxa"/>
            <w:vAlign w:val="bottom"/>
            <w:gridSpan w:val="2"/>
          </w:tcPr>
          <w:p>
            <w:pPr>
              <w:spacing w:after="0"/>
              <w:rPr>
                <w:sz w:val="20"/>
                <w:szCs w:val="20"/>
                <w:color w:val="auto"/>
              </w:rPr>
            </w:pPr>
            <w:r>
              <w:rPr>
                <w:rFonts w:ascii="Arial" w:cs="Arial" w:eastAsia="Arial" w:hAnsi="Arial"/>
                <w:sz w:val="16"/>
                <w:szCs w:val="16"/>
                <w:color w:val="auto"/>
              </w:rPr>
              <w:t>Balance at December 31, 2008</w:t>
            </w:r>
          </w:p>
        </w:tc>
        <w:tc>
          <w:tcPr>
            <w:tcW w:w="220" w:type="dxa"/>
            <w:vAlign w:val="bottom"/>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7,969</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340</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8,309</w:t>
            </w:r>
          </w:p>
        </w:tc>
        <w:tc>
          <w:tcPr>
            <w:tcW w:w="40" w:type="dxa"/>
            <w:vAlign w:val="bottom"/>
          </w:tcPr>
          <w:p>
            <w:pPr>
              <w:spacing w:after="0"/>
              <w:rPr>
                <w:sz w:val="16"/>
                <w:szCs w:val="16"/>
                <w:color w:val="auto"/>
              </w:rPr>
            </w:pPr>
          </w:p>
        </w:tc>
      </w:tr>
      <w:tr>
        <w:trPr>
          <w:trHeight w:val="189"/>
        </w:trPr>
        <w:tc>
          <w:tcPr>
            <w:tcW w:w="3460" w:type="dxa"/>
            <w:vAlign w:val="bottom"/>
            <w:gridSpan w:val="2"/>
          </w:tcPr>
          <w:p>
            <w:pPr>
              <w:spacing w:after="0"/>
              <w:rPr>
                <w:sz w:val="20"/>
                <w:szCs w:val="20"/>
                <w:color w:val="auto"/>
              </w:rPr>
            </w:pPr>
            <w:r>
              <w:rPr>
                <w:rFonts w:ascii="Arial" w:cs="Arial" w:eastAsia="Arial" w:hAnsi="Arial"/>
                <w:sz w:val="16"/>
                <w:szCs w:val="16"/>
                <w:color w:val="auto"/>
              </w:rPr>
              <w:t>Comprehensive income</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357</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4</w:t>
            </w: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361</w:t>
            </w:r>
          </w:p>
        </w:tc>
        <w:tc>
          <w:tcPr>
            <w:tcW w:w="40" w:type="dxa"/>
            <w:vAlign w:val="bottom"/>
          </w:tcPr>
          <w:p>
            <w:pPr>
              <w:spacing w:after="0"/>
              <w:rPr>
                <w:sz w:val="16"/>
                <w:szCs w:val="16"/>
                <w:color w:val="auto"/>
              </w:rPr>
            </w:pPr>
          </w:p>
        </w:tc>
      </w:tr>
      <w:tr>
        <w:trPr>
          <w:trHeight w:val="189"/>
        </w:trPr>
        <w:tc>
          <w:tcPr>
            <w:tcW w:w="3460" w:type="dxa"/>
            <w:vAlign w:val="bottom"/>
            <w:gridSpan w:val="2"/>
          </w:tcPr>
          <w:p>
            <w:pPr>
              <w:spacing w:after="0"/>
              <w:rPr>
                <w:sz w:val="20"/>
                <w:szCs w:val="20"/>
                <w:color w:val="auto"/>
              </w:rPr>
            </w:pPr>
            <w:r>
              <w:rPr>
                <w:rFonts w:ascii="Arial" w:cs="Arial" w:eastAsia="Arial" w:hAnsi="Arial"/>
                <w:sz w:val="16"/>
                <w:szCs w:val="16"/>
                <w:color w:val="auto"/>
              </w:rPr>
              <w:t>Purchase of noncontrolling interest in subsidiary</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(10)</w:t>
            </w:r>
          </w:p>
        </w:tc>
        <w:tc>
          <w:tcPr>
            <w:tcW w:w="20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(84)</w:t>
            </w:r>
          </w:p>
        </w:tc>
        <w:tc>
          <w:tcPr>
            <w:tcW w:w="28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(94)</w:t>
            </w:r>
          </w:p>
        </w:tc>
      </w:tr>
      <w:tr>
        <w:trPr>
          <w:trHeight w:val="189"/>
        </w:trPr>
        <w:tc>
          <w:tcPr>
            <w:tcW w:w="3460" w:type="dxa"/>
            <w:vAlign w:val="bottom"/>
            <w:gridSpan w:val="2"/>
          </w:tcPr>
          <w:p>
            <w:pPr>
              <w:spacing w:after="0"/>
              <w:rPr>
                <w:sz w:val="20"/>
                <w:szCs w:val="20"/>
                <w:color w:val="auto"/>
              </w:rPr>
            </w:pPr>
            <w:r>
              <w:rPr>
                <w:rFonts w:ascii="Arial" w:cs="Arial" w:eastAsia="Arial" w:hAnsi="Arial"/>
                <w:sz w:val="16"/>
                <w:szCs w:val="16"/>
                <w:color w:val="auto"/>
              </w:rPr>
              <w:t>Share-based compensation expense</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10</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w:t>
            </w:r>
          </w:p>
        </w:tc>
        <w:tc>
          <w:tcPr>
            <w:tcW w:w="40" w:type="dxa"/>
            <w:vAlign w:val="bottom"/>
          </w:tcPr>
          <w:p>
            <w:pPr>
              <w:spacing w:after="0"/>
              <w:rPr>
                <w:sz w:val="16"/>
                <w:szCs w:val="16"/>
                <w:color w:val="auto"/>
              </w:rPr>
            </w:pPr>
          </w:p>
        </w:tc>
      </w:tr>
      <w:tr>
        <w:trPr>
          <w:trHeight w:val="189"/>
        </w:trPr>
        <w:tc>
          <w:tcPr>
            <w:tcW w:w="3460" w:type="dxa"/>
            <w:vAlign w:val="bottom"/>
            <w:gridSpan w:val="2"/>
          </w:tcPr>
          <w:p>
            <w:pPr>
              <w:spacing w:after="0"/>
              <w:rPr>
                <w:sz w:val="20"/>
                <w:szCs w:val="20"/>
                <w:color w:val="auto"/>
              </w:rPr>
            </w:pPr>
            <w:r>
              <w:rPr>
                <w:rFonts w:ascii="Arial" w:cs="Arial" w:eastAsia="Arial" w:hAnsi="Arial"/>
                <w:sz w:val="16"/>
                <w:szCs w:val="16"/>
                <w:color w:val="auto"/>
              </w:rPr>
              <w:t>Common stock dividends declared</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(95)</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(95)</w:t>
            </w:r>
          </w:p>
        </w:tc>
      </w:tr>
      <w:tr>
        <w:trPr>
          <w:trHeight w:val="189"/>
        </w:trPr>
        <w:tc>
          <w:tcPr>
            <w:tcW w:w="3460" w:type="dxa"/>
            <w:vAlign w:val="bottom"/>
            <w:gridSpan w:val="2"/>
          </w:tcPr>
          <w:p>
            <w:pPr>
              <w:spacing w:after="0"/>
              <w:rPr>
                <w:sz w:val="20"/>
                <w:szCs w:val="20"/>
                <w:color w:val="auto"/>
              </w:rPr>
            </w:pPr>
            <w:r>
              <w:rPr>
                <w:rFonts w:ascii="Arial" w:cs="Arial" w:eastAsia="Arial" w:hAnsi="Arial"/>
                <w:sz w:val="16"/>
                <w:szCs w:val="16"/>
                <w:color w:val="auto"/>
              </w:rPr>
              <w:t>Preferred dividends of subsidiaries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(2)</w:t>
            </w:r>
          </w:p>
        </w:tc>
      </w:tr>
      <w:tr>
        <w:trPr>
          <w:trHeight w:val="189"/>
        </w:trPr>
        <w:tc>
          <w:tcPr>
            <w:tcW w:w="3460" w:type="dxa"/>
            <w:vAlign w:val="bottom"/>
            <w:gridSpan w:val="2"/>
          </w:tcPr>
          <w:p>
            <w:pPr>
              <w:spacing w:after="0"/>
              <w:rPr>
                <w:sz w:val="20"/>
                <w:szCs w:val="20"/>
                <w:color w:val="auto"/>
              </w:rPr>
            </w:pPr>
            <w:r>
              <w:rPr>
                <w:rFonts w:ascii="Arial" w:cs="Arial" w:eastAsia="Arial" w:hAnsi="Arial"/>
                <w:sz w:val="16"/>
                <w:szCs w:val="16"/>
                <w:color w:val="auto"/>
              </w:rPr>
              <w:t>Issuance of common stock</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14</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w:t>
            </w:r>
          </w:p>
        </w:tc>
        <w:tc>
          <w:tcPr>
            <w:tcW w:w="40" w:type="dxa"/>
            <w:vAlign w:val="bottom"/>
          </w:tcPr>
          <w:p>
            <w:pPr>
              <w:spacing w:after="0"/>
              <w:rPr>
                <w:sz w:val="16"/>
                <w:szCs w:val="16"/>
                <w:color w:val="auto"/>
              </w:rPr>
            </w:pPr>
          </w:p>
        </w:tc>
      </w:tr>
      <w:tr>
        <w:trPr>
          <w:trHeight w:val="189"/>
        </w:trPr>
        <w:tc>
          <w:tcPr>
            <w:tcW w:w="3460" w:type="dxa"/>
            <w:vAlign w:val="bottom"/>
            <w:gridSpan w:val="2"/>
          </w:tcPr>
          <w:p>
            <w:pPr>
              <w:spacing w:after="0"/>
              <w:rPr>
                <w:sz w:val="20"/>
                <w:szCs w:val="20"/>
                <w:color w:val="auto"/>
              </w:rPr>
            </w:pPr>
            <w:r>
              <w:rPr>
                <w:rFonts w:ascii="Arial" w:cs="Arial" w:eastAsia="Arial" w:hAnsi="Arial"/>
                <w:sz w:val="16"/>
                <w:szCs w:val="16"/>
                <w:color w:val="auto"/>
              </w:rPr>
              <w:t>Common stock released from ESOP</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w:t>
            </w:r>
          </w:p>
        </w:tc>
        <w:tc>
          <w:tcPr>
            <w:tcW w:w="40" w:type="dxa"/>
            <w:vAlign w:val="bottom"/>
          </w:tcPr>
          <w:p>
            <w:pPr>
              <w:spacing w:after="0"/>
              <w:rPr>
                <w:sz w:val="16"/>
                <w:szCs w:val="16"/>
                <w:color w:val="auto"/>
              </w:rPr>
            </w:pPr>
          </w:p>
        </w:tc>
      </w:tr>
      <w:tr>
        <w:trPr>
          <w:trHeight w:val="187"/>
        </w:trPr>
        <w:tc>
          <w:tcPr>
            <w:tcW w:w="3460" w:type="dxa"/>
            <w:vAlign w:val="bottom"/>
            <w:gridSpan w:val="2"/>
          </w:tcPr>
          <w:p>
            <w:pPr>
              <w:spacing w:after="0"/>
              <w:rPr>
                <w:sz w:val="20"/>
                <w:szCs w:val="20"/>
                <w:color w:val="auto"/>
              </w:rPr>
            </w:pPr>
            <w:r>
              <w:rPr>
                <w:rFonts w:ascii="Arial" w:cs="Arial" w:eastAsia="Arial" w:hAnsi="Arial"/>
                <w:sz w:val="16"/>
                <w:szCs w:val="16"/>
                <w:color w:val="auto"/>
              </w:rPr>
              <w:t>Equity contributed by noncontrolling interests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6</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40" w:type="dxa"/>
            <w:vAlign w:val="bottom"/>
          </w:tcPr>
          <w:p>
            <w:pPr>
              <w:spacing w:after="0"/>
              <w:rPr>
                <w:sz w:val="16"/>
                <w:szCs w:val="16"/>
                <w:color w:val="auto"/>
              </w:rPr>
            </w:pPr>
          </w:p>
        </w:tc>
      </w:tr>
      <w:tr>
        <w:trPr>
          <w:trHeight w:val="183"/>
        </w:trPr>
        <w:tc>
          <w:tcPr>
            <w:tcW w:w="3460" w:type="dxa"/>
            <w:vAlign w:val="bottom"/>
            <w:gridSpan w:val="2"/>
          </w:tcPr>
          <w:p>
            <w:pPr>
              <w:spacing w:after="0" w:line="183" w:lineRule="exact"/>
              <w:rPr>
                <w:sz w:val="20"/>
                <w:szCs w:val="20"/>
                <w:color w:val="auto"/>
              </w:rPr>
            </w:pPr>
            <w:r>
              <w:rPr>
                <w:rFonts w:ascii="Arial" w:cs="Arial" w:eastAsia="Arial" w:hAnsi="Arial"/>
                <w:sz w:val="16"/>
                <w:szCs w:val="16"/>
                <w:color w:val="auto"/>
              </w:rPr>
              <w:t>Balance at March 31, 2009</w:t>
            </w:r>
          </w:p>
        </w:tc>
        <w:tc>
          <w:tcPr>
            <w:tcW w:w="220" w:type="dxa"/>
            <w:vAlign w:val="bottom"/>
          </w:tcPr>
          <w:p>
            <w:pPr>
              <w:spacing w:after="0"/>
              <w:rPr>
                <w:sz w:val="15"/>
                <w:szCs w:val="15"/>
                <w:color w:val="auto"/>
              </w:rPr>
            </w:pPr>
          </w:p>
        </w:tc>
        <w:tc>
          <w:tcPr>
            <w:tcW w:w="24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130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8,247</w:t>
            </w:r>
          </w:p>
        </w:tc>
        <w:tc>
          <w:tcPr>
            <w:tcW w:w="200" w:type="dxa"/>
            <w:vAlign w:val="bottom"/>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266</w:t>
            </w:r>
          </w:p>
        </w:tc>
        <w:tc>
          <w:tcPr>
            <w:tcW w:w="280" w:type="dxa"/>
            <w:vAlign w:val="bottom"/>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line="183" w:lineRule="exact"/>
              <w:rPr>
                <w:sz w:val="20"/>
                <w:szCs w:val="20"/>
                <w:color w:val="auto"/>
              </w:rPr>
            </w:pPr>
            <w:r>
              <w:rPr>
                <w:rFonts w:ascii="Arial" w:cs="Arial" w:eastAsia="Arial" w:hAnsi="Arial"/>
                <w:sz w:val="16"/>
                <w:szCs w:val="16"/>
                <w:color w:val="auto"/>
              </w:rPr>
              <w:t>8,513</w:t>
            </w:r>
          </w:p>
        </w:tc>
        <w:tc>
          <w:tcPr>
            <w:tcW w:w="40" w:type="dxa"/>
            <w:vAlign w:val="bottom"/>
          </w:tcPr>
          <w:p>
            <w:pPr>
              <w:spacing w:after="0"/>
              <w:rPr>
                <w:sz w:val="15"/>
                <w:szCs w:val="15"/>
                <w:color w:val="auto"/>
              </w:rPr>
            </w:pPr>
          </w:p>
        </w:tc>
      </w:tr>
      <w:tr>
        <w:trPr>
          <w:trHeight w:val="81"/>
        </w:trPr>
        <w:tc>
          <w:tcPr>
            <w:tcW w:w="5220" w:type="dxa"/>
            <w:vAlign w:val="bottom"/>
            <w:gridSpan w:val="7"/>
            <w:shd w:val="clear" w:color="auto" w:fill="000000"/>
          </w:tcPr>
          <w:p>
            <w:pPr>
              <w:spacing w:after="0"/>
              <w:rPr>
                <w:sz w:val="7"/>
                <w:szCs w:val="7"/>
                <w:color w:val="auto"/>
              </w:rPr>
            </w:pPr>
          </w:p>
        </w:tc>
        <w:tc>
          <w:tcPr>
            <w:tcW w:w="200" w:type="dxa"/>
            <w:vAlign w:val="bottom"/>
            <w:shd w:val="clear" w:color="auto" w:fill="000000"/>
          </w:tcPr>
          <w:p>
            <w:pPr>
              <w:spacing w:after="0"/>
              <w:rPr>
                <w:sz w:val="7"/>
                <w:szCs w:val="7"/>
                <w:color w:val="auto"/>
              </w:rPr>
            </w:pPr>
          </w:p>
        </w:tc>
        <w:tc>
          <w:tcPr>
            <w:tcW w:w="940" w:type="dxa"/>
            <w:vAlign w:val="bottom"/>
            <w:shd w:val="clear" w:color="auto" w:fill="000000"/>
          </w:tcPr>
          <w:p>
            <w:pPr>
              <w:spacing w:after="0"/>
              <w:rPr>
                <w:sz w:val="7"/>
                <w:szCs w:val="7"/>
                <w:color w:val="auto"/>
              </w:rPr>
            </w:pPr>
          </w:p>
        </w:tc>
        <w:tc>
          <w:tcPr>
            <w:tcW w:w="140" w:type="dxa"/>
            <w:vAlign w:val="bottom"/>
            <w:shd w:val="clear" w:color="auto" w:fill="000000"/>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840" w:type="dxa"/>
            <w:vAlign w:val="bottom"/>
            <w:shd w:val="clear" w:color="auto" w:fill="000000"/>
          </w:tcPr>
          <w:p>
            <w:pPr>
              <w:spacing w:after="0"/>
              <w:rPr>
                <w:sz w:val="7"/>
                <w:szCs w:val="7"/>
                <w:color w:val="auto"/>
              </w:rPr>
            </w:pPr>
          </w:p>
        </w:tc>
        <w:tc>
          <w:tcPr>
            <w:tcW w:w="40" w:type="dxa"/>
            <w:vAlign w:val="bottom"/>
          </w:tcPr>
          <w:p>
            <w:pPr>
              <w:spacing w:after="0"/>
              <w:rPr>
                <w:sz w:val="7"/>
                <w:szCs w:val="7"/>
                <w:color w:val="auto"/>
              </w:rPr>
            </w:pPr>
          </w:p>
        </w:tc>
      </w:tr>
      <w:tr>
        <w:trPr>
          <w:trHeight w:val="243"/>
        </w:trPr>
        <w:tc>
          <w:tcPr>
            <w:tcW w:w="20" w:type="dxa"/>
            <w:vAlign w:val="bottom"/>
          </w:tcPr>
          <w:p>
            <w:pPr>
              <w:spacing w:after="0"/>
              <w:rPr>
                <w:sz w:val="21"/>
                <w:szCs w:val="21"/>
                <w:color w:val="auto"/>
              </w:rPr>
            </w:pPr>
          </w:p>
        </w:tc>
        <w:tc>
          <w:tcPr>
            <w:tcW w:w="5200" w:type="dxa"/>
            <w:vAlign w:val="bottom"/>
            <w:tcBorders>
              <w:bottom w:val="single" w:sz="8" w:color="auto"/>
            </w:tcBorders>
            <w:gridSpan w:val="6"/>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r>
      <w:tr>
        <w:trPr>
          <w:trHeight w:val="173"/>
        </w:trPr>
        <w:tc>
          <w:tcPr>
            <w:tcW w:w="20" w:type="dxa"/>
            <w:vAlign w:val="bottom"/>
          </w:tcPr>
          <w:p>
            <w:pPr>
              <w:spacing w:after="0"/>
              <w:rPr>
                <w:sz w:val="15"/>
                <w:szCs w:val="15"/>
                <w:color w:val="auto"/>
              </w:rPr>
            </w:pPr>
          </w:p>
        </w:tc>
        <w:tc>
          <w:tcPr>
            <w:tcW w:w="5200" w:type="dxa"/>
            <w:vAlign w:val="bottom"/>
            <w:gridSpan w:val="6"/>
            <w:shd w:val="clear" w:color="auto" w:fill="C0C0C0"/>
          </w:tcPr>
          <w:p>
            <w:pPr>
              <w:spacing w:after="0" w:line="174" w:lineRule="exact"/>
              <w:rPr>
                <w:sz w:val="20"/>
                <w:szCs w:val="20"/>
                <w:color w:val="auto"/>
              </w:rPr>
            </w:pPr>
            <w:r>
              <w:rPr>
                <w:rFonts w:ascii="Arial" w:cs="Arial" w:eastAsia="Arial" w:hAnsi="Arial"/>
                <w:sz w:val="16"/>
                <w:szCs w:val="16"/>
                <w:b w:val="1"/>
                <w:bCs w:val="1"/>
                <w:color w:val="auto"/>
              </w:rPr>
              <w:t>SHAREHOLDERS' EQUITY AND NONCONTROLLING INTERESTS</w:t>
            </w:r>
          </w:p>
        </w:tc>
        <w:tc>
          <w:tcPr>
            <w:tcW w:w="200" w:type="dxa"/>
            <w:vAlign w:val="bottom"/>
            <w:shd w:val="clear" w:color="auto" w:fill="C0C0C0"/>
          </w:tcPr>
          <w:p>
            <w:pPr>
              <w:spacing w:after="0"/>
              <w:rPr>
                <w:sz w:val="15"/>
                <w:szCs w:val="15"/>
                <w:color w:val="auto"/>
              </w:rPr>
            </w:pPr>
          </w:p>
        </w:tc>
        <w:tc>
          <w:tcPr>
            <w:tcW w:w="940" w:type="dxa"/>
            <w:vAlign w:val="bottom"/>
            <w:shd w:val="clear" w:color="auto" w:fill="C0C0C0"/>
          </w:tcPr>
          <w:p>
            <w:pPr>
              <w:spacing w:after="0"/>
              <w:rPr>
                <w:sz w:val="15"/>
                <w:szCs w:val="15"/>
                <w:color w:val="auto"/>
              </w:rPr>
            </w:pPr>
          </w:p>
        </w:tc>
        <w:tc>
          <w:tcPr>
            <w:tcW w:w="140" w:type="dxa"/>
            <w:vAlign w:val="bottom"/>
            <w:shd w:val="clear" w:color="auto" w:fill="C0C0C0"/>
          </w:tcPr>
          <w:p>
            <w:pPr>
              <w:spacing w:after="0"/>
              <w:rPr>
                <w:sz w:val="15"/>
                <w:szCs w:val="15"/>
                <w:color w:val="auto"/>
              </w:rPr>
            </w:pPr>
          </w:p>
        </w:tc>
        <w:tc>
          <w:tcPr>
            <w:tcW w:w="280" w:type="dxa"/>
            <w:vAlign w:val="bottom"/>
            <w:shd w:val="clear" w:color="auto" w:fill="C0C0C0"/>
          </w:tcPr>
          <w:p>
            <w:pPr>
              <w:spacing w:after="0"/>
              <w:rPr>
                <w:sz w:val="15"/>
                <w:szCs w:val="15"/>
                <w:color w:val="auto"/>
              </w:rPr>
            </w:pPr>
          </w:p>
        </w:tc>
        <w:tc>
          <w:tcPr>
            <w:tcW w:w="840" w:type="dxa"/>
            <w:vAlign w:val="bottom"/>
            <w:shd w:val="clear" w:color="auto" w:fill="C0C0C0"/>
          </w:tcPr>
          <w:p>
            <w:pPr>
              <w:spacing w:after="0"/>
              <w:rPr>
                <w:sz w:val="15"/>
                <w:szCs w:val="15"/>
                <w:color w:val="auto"/>
              </w:rPr>
            </w:pPr>
          </w:p>
        </w:tc>
        <w:tc>
          <w:tcPr>
            <w:tcW w:w="40" w:type="dxa"/>
            <w:vAlign w:val="bottom"/>
            <w:shd w:val="clear" w:color="auto" w:fill="C0C0C0"/>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3440" w:type="dxa"/>
            <w:vAlign w:val="bottom"/>
            <w:shd w:val="clear" w:color="auto" w:fill="C0C0C0"/>
          </w:tcPr>
          <w:p>
            <w:pPr>
              <w:spacing w:after="0"/>
              <w:rPr>
                <w:sz w:val="20"/>
                <w:szCs w:val="20"/>
                <w:color w:val="auto"/>
              </w:rPr>
            </w:pPr>
            <w:r>
              <w:rPr>
                <w:rFonts w:ascii="Arial" w:cs="Arial" w:eastAsia="Arial" w:hAnsi="Arial"/>
                <w:sz w:val="14"/>
                <w:szCs w:val="14"/>
                <w:i w:val="1"/>
                <w:iCs w:val="1"/>
                <w:color w:val="auto"/>
              </w:rPr>
              <w:t>(Dollars in millions)</w:t>
            </w:r>
          </w:p>
        </w:tc>
        <w:tc>
          <w:tcPr>
            <w:tcW w:w="220" w:type="dxa"/>
            <w:vAlign w:val="bottom"/>
            <w:shd w:val="clear" w:color="auto" w:fill="C0C0C0"/>
          </w:tcPr>
          <w:p>
            <w:pPr>
              <w:spacing w:after="0"/>
              <w:rPr>
                <w:sz w:val="14"/>
                <w:szCs w:val="14"/>
                <w:color w:val="auto"/>
              </w:rPr>
            </w:pPr>
          </w:p>
        </w:tc>
        <w:tc>
          <w:tcPr>
            <w:tcW w:w="120" w:type="dxa"/>
            <w:vAlign w:val="bottom"/>
            <w:shd w:val="clear" w:color="auto" w:fill="C0C0C0"/>
          </w:tcPr>
          <w:p>
            <w:pPr>
              <w:spacing w:after="0"/>
              <w:rPr>
                <w:sz w:val="14"/>
                <w:szCs w:val="14"/>
                <w:color w:val="auto"/>
              </w:rPr>
            </w:pPr>
          </w:p>
        </w:tc>
        <w:tc>
          <w:tcPr>
            <w:tcW w:w="120" w:type="dxa"/>
            <w:vAlign w:val="bottom"/>
            <w:shd w:val="clear" w:color="auto" w:fill="C0C0C0"/>
          </w:tcPr>
          <w:p>
            <w:pPr>
              <w:spacing w:after="0"/>
              <w:rPr>
                <w:sz w:val="14"/>
                <w:szCs w:val="14"/>
                <w:color w:val="auto"/>
              </w:rPr>
            </w:pPr>
          </w:p>
        </w:tc>
        <w:tc>
          <w:tcPr>
            <w:tcW w:w="1060" w:type="dxa"/>
            <w:vAlign w:val="bottom"/>
            <w:shd w:val="clear" w:color="auto" w:fill="C0C0C0"/>
          </w:tcPr>
          <w:p>
            <w:pPr>
              <w:spacing w:after="0"/>
              <w:rPr>
                <w:sz w:val="14"/>
                <w:szCs w:val="14"/>
                <w:color w:val="auto"/>
              </w:rPr>
            </w:pPr>
          </w:p>
        </w:tc>
        <w:tc>
          <w:tcPr>
            <w:tcW w:w="240" w:type="dxa"/>
            <w:vAlign w:val="bottom"/>
            <w:shd w:val="clear" w:color="auto" w:fill="C0C0C0"/>
          </w:tcPr>
          <w:p>
            <w:pPr>
              <w:spacing w:after="0"/>
              <w:rPr>
                <w:sz w:val="14"/>
                <w:szCs w:val="14"/>
                <w:color w:val="auto"/>
              </w:rPr>
            </w:pPr>
          </w:p>
        </w:tc>
        <w:tc>
          <w:tcPr>
            <w:tcW w:w="200" w:type="dxa"/>
            <w:vAlign w:val="bottom"/>
            <w:shd w:val="clear" w:color="auto" w:fill="C0C0C0"/>
          </w:tcPr>
          <w:p>
            <w:pPr>
              <w:spacing w:after="0"/>
              <w:rPr>
                <w:sz w:val="14"/>
                <w:szCs w:val="14"/>
                <w:color w:val="auto"/>
              </w:rPr>
            </w:pPr>
          </w:p>
        </w:tc>
        <w:tc>
          <w:tcPr>
            <w:tcW w:w="940" w:type="dxa"/>
            <w:vAlign w:val="bottom"/>
            <w:shd w:val="clear" w:color="auto" w:fill="C0C0C0"/>
          </w:tcPr>
          <w:p>
            <w:pPr>
              <w:spacing w:after="0"/>
              <w:rPr>
                <w:sz w:val="14"/>
                <w:szCs w:val="14"/>
                <w:color w:val="auto"/>
              </w:rPr>
            </w:pPr>
          </w:p>
        </w:tc>
        <w:tc>
          <w:tcPr>
            <w:tcW w:w="140" w:type="dxa"/>
            <w:vAlign w:val="bottom"/>
            <w:shd w:val="clear" w:color="auto" w:fill="C0C0C0"/>
          </w:tcPr>
          <w:p>
            <w:pPr>
              <w:spacing w:after="0"/>
              <w:rPr>
                <w:sz w:val="14"/>
                <w:szCs w:val="14"/>
                <w:color w:val="auto"/>
              </w:rPr>
            </w:pPr>
          </w:p>
        </w:tc>
        <w:tc>
          <w:tcPr>
            <w:tcW w:w="280" w:type="dxa"/>
            <w:vAlign w:val="bottom"/>
            <w:shd w:val="clear" w:color="auto" w:fill="C0C0C0"/>
          </w:tcPr>
          <w:p>
            <w:pPr>
              <w:spacing w:after="0"/>
              <w:rPr>
                <w:sz w:val="14"/>
                <w:szCs w:val="14"/>
                <w:color w:val="auto"/>
              </w:rPr>
            </w:pPr>
          </w:p>
        </w:tc>
        <w:tc>
          <w:tcPr>
            <w:tcW w:w="840" w:type="dxa"/>
            <w:vAlign w:val="bottom"/>
            <w:shd w:val="clear" w:color="auto" w:fill="C0C0C0"/>
          </w:tcPr>
          <w:p>
            <w:pPr>
              <w:spacing w:after="0"/>
              <w:rPr>
                <w:sz w:val="14"/>
                <w:szCs w:val="14"/>
                <w:color w:val="auto"/>
              </w:rPr>
            </w:pPr>
          </w:p>
        </w:tc>
        <w:tc>
          <w:tcPr>
            <w:tcW w:w="40" w:type="dxa"/>
            <w:vAlign w:val="bottom"/>
            <w:shd w:val="clear" w:color="auto" w:fill="C0C0C0"/>
          </w:tcPr>
          <w:p>
            <w:pPr>
              <w:spacing w:after="0"/>
              <w:rPr>
                <w:sz w:val="14"/>
                <w:szCs w:val="14"/>
                <w:color w:val="auto"/>
              </w:rPr>
            </w:pPr>
          </w:p>
        </w:tc>
      </w:tr>
      <w:tr>
        <w:trPr>
          <w:trHeight w:val="204"/>
        </w:trPr>
        <w:tc>
          <w:tcPr>
            <w:tcW w:w="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ind w:right="41"/>
              <w:spacing w:after="0"/>
              <w:rPr>
                <w:sz w:val="20"/>
                <w:szCs w:val="20"/>
                <w:color w:val="auto"/>
              </w:rPr>
            </w:pPr>
            <w:r>
              <w:rPr>
                <w:rFonts w:ascii="Arial" w:cs="Arial" w:eastAsia="Arial" w:hAnsi="Arial"/>
                <w:sz w:val="14"/>
                <w:szCs w:val="14"/>
                <w:color w:val="auto"/>
              </w:rPr>
              <w:t>SDG&amp;E</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center"/>
              <w:ind w:right="21"/>
              <w:spacing w:after="0"/>
              <w:rPr>
                <w:sz w:val="20"/>
                <w:szCs w:val="20"/>
                <w:color w:val="auto"/>
              </w:rPr>
            </w:pPr>
            <w:r>
              <w:rPr>
                <w:rFonts w:ascii="Arial" w:cs="Arial" w:eastAsia="Arial" w:hAnsi="Arial"/>
                <w:sz w:val="14"/>
                <w:szCs w:val="14"/>
                <w:color w:val="auto"/>
              </w:rPr>
              <w:t>Non-</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Arial" w:cs="Arial" w:eastAsia="Arial" w:hAnsi="Arial"/>
                <w:sz w:val="14"/>
                <w:szCs w:val="14"/>
                <w:color w:val="auto"/>
              </w:rPr>
              <w:t>Shareholders'</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center"/>
              <w:ind w:right="1"/>
              <w:spacing w:after="0"/>
              <w:rPr>
                <w:sz w:val="20"/>
                <w:szCs w:val="20"/>
                <w:color w:val="auto"/>
              </w:rPr>
            </w:pPr>
            <w:r>
              <w:rPr>
                <w:rFonts w:ascii="Arial" w:cs="Arial" w:eastAsia="Arial" w:hAnsi="Arial"/>
                <w:sz w:val="14"/>
                <w:szCs w:val="14"/>
                <w:color w:val="auto"/>
              </w:rPr>
              <w:t>controlling</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color w:val="auto"/>
              </w:rPr>
              <w:t>Total</w:t>
            </w:r>
          </w:p>
        </w:tc>
      </w:tr>
      <w:tr>
        <w:trPr>
          <w:trHeight w:val="174"/>
        </w:trPr>
        <w:tc>
          <w:tcPr>
            <w:tcW w:w="20" w:type="dxa"/>
            <w:vAlign w:val="bottom"/>
          </w:tcPr>
          <w:p>
            <w:pPr>
              <w:spacing w:after="0"/>
              <w:rPr>
                <w:sz w:val="15"/>
                <w:szCs w:val="15"/>
                <w:color w:val="auto"/>
              </w:rPr>
            </w:pPr>
          </w:p>
        </w:tc>
        <w:tc>
          <w:tcPr>
            <w:tcW w:w="34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color w:val="auto"/>
              </w:rPr>
              <w:t>Equity</w:t>
            </w: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color w:val="auto"/>
              </w:rPr>
              <w:t>Interests</w:t>
            </w:r>
          </w:p>
        </w:tc>
        <w:tc>
          <w:tcPr>
            <w:tcW w:w="1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color w:val="auto"/>
              </w:rPr>
              <w:t>Equity</w:t>
            </w:r>
          </w:p>
        </w:tc>
      </w:tr>
      <w:tr>
        <w:trPr>
          <w:trHeight w:val="184"/>
        </w:trPr>
        <w:tc>
          <w:tcPr>
            <w:tcW w:w="3460" w:type="dxa"/>
            <w:vAlign w:val="bottom"/>
            <w:gridSpan w:val="2"/>
          </w:tcPr>
          <w:p>
            <w:pPr>
              <w:spacing w:after="0"/>
              <w:rPr>
                <w:sz w:val="20"/>
                <w:szCs w:val="20"/>
                <w:color w:val="auto"/>
              </w:rPr>
            </w:pPr>
            <w:r>
              <w:rPr>
                <w:rFonts w:ascii="Arial" w:cs="Arial" w:eastAsia="Arial" w:hAnsi="Arial"/>
                <w:sz w:val="16"/>
                <w:szCs w:val="16"/>
                <w:color w:val="auto"/>
              </w:rPr>
              <w:t>Balance at December 31, 2009</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2,739</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146</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2,885</w:t>
            </w:r>
          </w:p>
        </w:tc>
        <w:tc>
          <w:tcPr>
            <w:tcW w:w="40" w:type="dxa"/>
            <w:vAlign w:val="bottom"/>
          </w:tcPr>
          <w:p>
            <w:pPr>
              <w:spacing w:after="0"/>
              <w:rPr>
                <w:sz w:val="16"/>
                <w:szCs w:val="16"/>
                <w:color w:val="auto"/>
              </w:rPr>
            </w:pPr>
          </w:p>
        </w:tc>
      </w:tr>
      <w:tr>
        <w:trPr>
          <w:trHeight w:val="189"/>
        </w:trPr>
        <w:tc>
          <w:tcPr>
            <w:tcW w:w="3460" w:type="dxa"/>
            <w:vAlign w:val="bottom"/>
            <w:gridSpan w:val="2"/>
          </w:tcPr>
          <w:p>
            <w:pPr>
              <w:spacing w:after="0"/>
              <w:rPr>
                <w:sz w:val="20"/>
                <w:szCs w:val="20"/>
                <w:color w:val="auto"/>
              </w:rPr>
            </w:pPr>
            <w:r>
              <w:rPr>
                <w:rFonts w:ascii="Arial" w:cs="Arial" w:eastAsia="Arial" w:hAnsi="Arial"/>
                <w:sz w:val="16"/>
                <w:szCs w:val="16"/>
                <w:color w:val="auto"/>
              </w:rPr>
              <w:t>Comprehensive income (loss)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84</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right"/>
              <w:ind w:right="39"/>
              <w:spacing w:after="0"/>
              <w:rPr>
                <w:sz w:val="20"/>
                <w:szCs w:val="20"/>
                <w:color w:val="auto"/>
              </w:rPr>
            </w:pPr>
            <w:r>
              <w:rPr>
                <w:rFonts w:ascii="Arial" w:cs="Arial" w:eastAsia="Arial" w:hAnsi="Arial"/>
                <w:sz w:val="16"/>
                <w:szCs w:val="16"/>
                <w:color w:val="auto"/>
              </w:rPr>
              <w:t>(6)</w:t>
            </w: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78</w:t>
            </w:r>
          </w:p>
        </w:tc>
        <w:tc>
          <w:tcPr>
            <w:tcW w:w="40" w:type="dxa"/>
            <w:vAlign w:val="bottom"/>
          </w:tcPr>
          <w:p>
            <w:pPr>
              <w:spacing w:after="0"/>
              <w:rPr>
                <w:sz w:val="16"/>
                <w:szCs w:val="16"/>
                <w:color w:val="auto"/>
              </w:rPr>
            </w:pPr>
          </w:p>
        </w:tc>
      </w:tr>
      <w:tr>
        <w:trPr>
          <w:trHeight w:val="189"/>
        </w:trPr>
        <w:tc>
          <w:tcPr>
            <w:tcW w:w="3460" w:type="dxa"/>
            <w:vAlign w:val="bottom"/>
            <w:gridSpan w:val="2"/>
          </w:tcPr>
          <w:p>
            <w:pPr>
              <w:spacing w:after="0"/>
              <w:rPr>
                <w:sz w:val="20"/>
                <w:szCs w:val="20"/>
                <w:color w:val="auto"/>
              </w:rPr>
            </w:pPr>
            <w:r>
              <w:rPr>
                <w:rFonts w:ascii="Arial" w:cs="Arial" w:eastAsia="Arial" w:hAnsi="Arial"/>
                <w:sz w:val="16"/>
                <w:szCs w:val="16"/>
                <w:color w:val="auto"/>
              </w:rPr>
              <w:t>Preferred stock dividends declared</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right"/>
              <w:ind w:right="139"/>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w:t>
            </w:r>
          </w:p>
        </w:tc>
      </w:tr>
      <w:tr>
        <w:trPr>
          <w:trHeight w:val="187"/>
        </w:trPr>
        <w:tc>
          <w:tcPr>
            <w:tcW w:w="3460" w:type="dxa"/>
            <w:vAlign w:val="bottom"/>
            <w:gridSpan w:val="2"/>
          </w:tcPr>
          <w:p>
            <w:pPr>
              <w:spacing w:after="0"/>
              <w:rPr>
                <w:sz w:val="20"/>
                <w:szCs w:val="20"/>
                <w:color w:val="auto"/>
              </w:rPr>
            </w:pPr>
            <w:r>
              <w:rPr>
                <w:rFonts w:ascii="Arial" w:cs="Arial" w:eastAsia="Arial" w:hAnsi="Arial"/>
                <w:sz w:val="16"/>
                <w:szCs w:val="16"/>
                <w:color w:val="auto"/>
              </w:rPr>
              <w:t>Distributions to noncontrolling interests</w:t>
            </w: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color w:val="auto"/>
              </w:rPr>
              <w:t>(2)</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w:t>
            </w:r>
          </w:p>
        </w:tc>
      </w:tr>
      <w:tr>
        <w:trPr>
          <w:trHeight w:val="183"/>
        </w:trPr>
        <w:tc>
          <w:tcPr>
            <w:tcW w:w="3460" w:type="dxa"/>
            <w:vAlign w:val="bottom"/>
            <w:gridSpan w:val="2"/>
          </w:tcPr>
          <w:p>
            <w:pPr>
              <w:spacing w:after="0" w:line="183" w:lineRule="exact"/>
              <w:rPr>
                <w:sz w:val="20"/>
                <w:szCs w:val="20"/>
                <w:color w:val="auto"/>
              </w:rPr>
            </w:pPr>
            <w:r>
              <w:rPr>
                <w:rFonts w:ascii="Arial" w:cs="Arial" w:eastAsia="Arial" w:hAnsi="Arial"/>
                <w:sz w:val="16"/>
                <w:szCs w:val="16"/>
                <w:color w:val="auto"/>
              </w:rPr>
              <w:t>Balance at March 31, 2010</w:t>
            </w:r>
          </w:p>
        </w:tc>
        <w:tc>
          <w:tcPr>
            <w:tcW w:w="220" w:type="dxa"/>
            <w:vAlign w:val="bottom"/>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line="183" w:lineRule="exact"/>
              <w:rPr>
                <w:sz w:val="20"/>
                <w:szCs w:val="20"/>
                <w:color w:val="auto"/>
              </w:rPr>
            </w:pPr>
            <w:r>
              <w:rPr>
                <w:rFonts w:ascii="Arial" w:cs="Arial" w:eastAsia="Arial" w:hAnsi="Arial"/>
                <w:sz w:val="16"/>
                <w:szCs w:val="16"/>
                <w:color w:val="auto"/>
              </w:rPr>
              <w:t>2,822</w:t>
            </w:r>
          </w:p>
        </w:tc>
        <w:tc>
          <w:tcPr>
            <w:tcW w:w="240" w:type="dxa"/>
            <w:vAlign w:val="bottom"/>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940" w:type="dxa"/>
            <w:vAlign w:val="bottom"/>
          </w:tcPr>
          <w:p>
            <w:pPr>
              <w:jc w:val="right"/>
              <w:spacing w:after="0" w:line="183" w:lineRule="exact"/>
              <w:rPr>
                <w:sz w:val="20"/>
                <w:szCs w:val="20"/>
                <w:color w:val="auto"/>
              </w:rPr>
            </w:pPr>
            <w:r>
              <w:rPr>
                <w:rFonts w:ascii="Arial" w:cs="Arial" w:eastAsia="Arial" w:hAnsi="Arial"/>
                <w:sz w:val="16"/>
                <w:szCs w:val="16"/>
                <w:color w:val="auto"/>
              </w:rPr>
              <w:t>138</w:t>
            </w:r>
          </w:p>
        </w:tc>
        <w:tc>
          <w:tcPr>
            <w:tcW w:w="14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280" w:type="dxa"/>
            <w:vAlign w:val="bottom"/>
          </w:tcPr>
          <w:p>
            <w:pPr>
              <w:spacing w:after="0"/>
              <w:rPr>
                <w:sz w:val="15"/>
                <w:szCs w:val="15"/>
                <w:color w:val="auto"/>
              </w:rPr>
            </w:pPr>
          </w:p>
        </w:tc>
        <w:tc>
          <w:tcPr>
            <w:tcW w:w="840" w:type="dxa"/>
            <w:vAlign w:val="bottom"/>
          </w:tcPr>
          <w:p>
            <w:pPr>
              <w:jc w:val="right"/>
              <w:spacing w:after="0" w:line="183" w:lineRule="exact"/>
              <w:rPr>
                <w:sz w:val="20"/>
                <w:szCs w:val="20"/>
                <w:color w:val="auto"/>
              </w:rPr>
            </w:pPr>
            <w:r>
              <w:rPr>
                <w:rFonts w:ascii="Arial" w:cs="Arial" w:eastAsia="Arial" w:hAnsi="Arial"/>
                <w:sz w:val="16"/>
                <w:szCs w:val="16"/>
                <w:color w:val="auto"/>
              </w:rPr>
              <w:t>2,960</w:t>
            </w:r>
          </w:p>
        </w:tc>
        <w:tc>
          <w:tcPr>
            <w:tcW w:w="40" w:type="dxa"/>
            <w:vAlign w:val="bottom"/>
          </w:tcPr>
          <w:p>
            <w:pPr>
              <w:spacing w:after="0"/>
              <w:rPr>
                <w:sz w:val="15"/>
                <w:szCs w:val="15"/>
                <w:color w:val="auto"/>
              </w:rPr>
            </w:pPr>
          </w:p>
        </w:tc>
      </w:tr>
      <w:tr>
        <w:trPr>
          <w:trHeight w:val="81"/>
        </w:trPr>
        <w:tc>
          <w:tcPr>
            <w:tcW w:w="3460" w:type="dxa"/>
            <w:vAlign w:val="bottom"/>
            <w:gridSpan w:val="2"/>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120" w:type="dxa"/>
            <w:vAlign w:val="bottom"/>
            <w:shd w:val="clear" w:color="auto" w:fill="000000"/>
          </w:tcPr>
          <w:p>
            <w:pPr>
              <w:spacing w:after="0"/>
              <w:rPr>
                <w:sz w:val="7"/>
                <w:szCs w:val="7"/>
                <w:color w:val="auto"/>
              </w:rPr>
            </w:pPr>
          </w:p>
        </w:tc>
        <w:tc>
          <w:tcPr>
            <w:tcW w:w="120" w:type="dxa"/>
            <w:vAlign w:val="bottom"/>
            <w:shd w:val="clear" w:color="auto" w:fill="000000"/>
          </w:tcPr>
          <w:p>
            <w:pPr>
              <w:spacing w:after="0"/>
              <w:rPr>
                <w:sz w:val="7"/>
                <w:szCs w:val="7"/>
                <w:color w:val="auto"/>
              </w:rPr>
            </w:pPr>
          </w:p>
        </w:tc>
        <w:tc>
          <w:tcPr>
            <w:tcW w:w="1060" w:type="dxa"/>
            <w:vAlign w:val="bottom"/>
            <w:shd w:val="clear" w:color="auto" w:fill="000000"/>
          </w:tcPr>
          <w:p>
            <w:pPr>
              <w:spacing w:after="0"/>
              <w:rPr>
                <w:sz w:val="7"/>
                <w:szCs w:val="7"/>
                <w:color w:val="auto"/>
              </w:rPr>
            </w:pPr>
          </w:p>
        </w:tc>
        <w:tc>
          <w:tcPr>
            <w:tcW w:w="240" w:type="dxa"/>
            <w:vAlign w:val="bottom"/>
            <w:shd w:val="clear" w:color="auto" w:fill="000000"/>
          </w:tcPr>
          <w:p>
            <w:pPr>
              <w:spacing w:after="0"/>
              <w:rPr>
                <w:sz w:val="7"/>
                <w:szCs w:val="7"/>
                <w:color w:val="auto"/>
              </w:rPr>
            </w:pPr>
          </w:p>
        </w:tc>
        <w:tc>
          <w:tcPr>
            <w:tcW w:w="200" w:type="dxa"/>
            <w:vAlign w:val="bottom"/>
            <w:shd w:val="clear" w:color="auto" w:fill="000000"/>
          </w:tcPr>
          <w:p>
            <w:pPr>
              <w:spacing w:after="0"/>
              <w:rPr>
                <w:sz w:val="7"/>
                <w:szCs w:val="7"/>
                <w:color w:val="auto"/>
              </w:rPr>
            </w:pPr>
          </w:p>
        </w:tc>
        <w:tc>
          <w:tcPr>
            <w:tcW w:w="940" w:type="dxa"/>
            <w:vAlign w:val="bottom"/>
            <w:shd w:val="clear" w:color="auto" w:fill="000000"/>
          </w:tcPr>
          <w:p>
            <w:pPr>
              <w:spacing w:after="0"/>
              <w:rPr>
                <w:sz w:val="7"/>
                <w:szCs w:val="7"/>
                <w:color w:val="auto"/>
              </w:rPr>
            </w:pPr>
          </w:p>
        </w:tc>
        <w:tc>
          <w:tcPr>
            <w:tcW w:w="140" w:type="dxa"/>
            <w:vAlign w:val="bottom"/>
            <w:shd w:val="clear" w:color="auto" w:fill="000000"/>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840" w:type="dxa"/>
            <w:vAlign w:val="bottom"/>
            <w:shd w:val="clear" w:color="auto" w:fill="000000"/>
          </w:tcPr>
          <w:p>
            <w:pPr>
              <w:spacing w:after="0"/>
              <w:rPr>
                <w:sz w:val="7"/>
                <w:szCs w:val="7"/>
                <w:color w:val="auto"/>
              </w:rPr>
            </w:pPr>
          </w:p>
        </w:tc>
        <w:tc>
          <w:tcPr>
            <w:tcW w:w="40" w:type="dxa"/>
            <w:vAlign w:val="bottom"/>
            <w:shd w:val="clear" w:color="auto" w:fill="000000"/>
          </w:tcPr>
          <w:p>
            <w:pPr>
              <w:spacing w:after="0"/>
              <w:rPr>
                <w:sz w:val="7"/>
                <w:szCs w:val="7"/>
                <w:color w:val="auto"/>
              </w:rPr>
            </w:pPr>
          </w:p>
        </w:tc>
      </w:tr>
      <w:tr>
        <w:trPr>
          <w:trHeight w:val="191"/>
        </w:trPr>
        <w:tc>
          <w:tcPr>
            <w:tcW w:w="3460" w:type="dxa"/>
            <w:vAlign w:val="bottom"/>
            <w:gridSpan w:val="2"/>
          </w:tcPr>
          <w:p>
            <w:pPr>
              <w:spacing w:after="0"/>
              <w:rPr>
                <w:sz w:val="20"/>
                <w:szCs w:val="20"/>
                <w:color w:val="auto"/>
              </w:rPr>
            </w:pPr>
            <w:r>
              <w:rPr>
                <w:rFonts w:ascii="Arial" w:cs="Arial" w:eastAsia="Arial" w:hAnsi="Arial"/>
                <w:sz w:val="16"/>
                <w:szCs w:val="16"/>
                <w:color w:val="auto"/>
              </w:rPr>
              <w:t>Balance at December 31, 2008</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2,542</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128</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2,670</w:t>
            </w:r>
          </w:p>
        </w:tc>
        <w:tc>
          <w:tcPr>
            <w:tcW w:w="40" w:type="dxa"/>
            <w:vAlign w:val="bottom"/>
          </w:tcPr>
          <w:p>
            <w:pPr>
              <w:spacing w:after="0"/>
              <w:rPr>
                <w:sz w:val="16"/>
                <w:szCs w:val="16"/>
                <w:color w:val="auto"/>
              </w:rPr>
            </w:pPr>
          </w:p>
        </w:tc>
      </w:tr>
      <w:tr>
        <w:trPr>
          <w:trHeight w:val="189"/>
        </w:trPr>
        <w:tc>
          <w:tcPr>
            <w:tcW w:w="3460" w:type="dxa"/>
            <w:vAlign w:val="bottom"/>
            <w:gridSpan w:val="2"/>
          </w:tcPr>
          <w:p>
            <w:pPr>
              <w:spacing w:after="0"/>
              <w:rPr>
                <w:sz w:val="20"/>
                <w:szCs w:val="20"/>
                <w:color w:val="auto"/>
              </w:rPr>
            </w:pPr>
            <w:r>
              <w:rPr>
                <w:rFonts w:ascii="Arial" w:cs="Arial" w:eastAsia="Arial" w:hAnsi="Arial"/>
                <w:sz w:val="16"/>
                <w:szCs w:val="16"/>
                <w:color w:val="auto"/>
              </w:rPr>
              <w:t>Comprehensive income</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102</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105</w:t>
            </w:r>
          </w:p>
        </w:tc>
        <w:tc>
          <w:tcPr>
            <w:tcW w:w="40" w:type="dxa"/>
            <w:vAlign w:val="bottom"/>
          </w:tcPr>
          <w:p>
            <w:pPr>
              <w:spacing w:after="0"/>
              <w:rPr>
                <w:sz w:val="16"/>
                <w:szCs w:val="16"/>
                <w:color w:val="auto"/>
              </w:rPr>
            </w:pPr>
          </w:p>
        </w:tc>
      </w:tr>
      <w:tr>
        <w:trPr>
          <w:trHeight w:val="189"/>
        </w:trPr>
        <w:tc>
          <w:tcPr>
            <w:tcW w:w="3460" w:type="dxa"/>
            <w:vAlign w:val="bottom"/>
            <w:gridSpan w:val="2"/>
          </w:tcPr>
          <w:p>
            <w:pPr>
              <w:spacing w:after="0"/>
              <w:rPr>
                <w:sz w:val="20"/>
                <w:szCs w:val="20"/>
                <w:color w:val="auto"/>
              </w:rPr>
            </w:pPr>
            <w:r>
              <w:rPr>
                <w:rFonts w:ascii="Arial" w:cs="Arial" w:eastAsia="Arial" w:hAnsi="Arial"/>
                <w:sz w:val="16"/>
                <w:szCs w:val="16"/>
                <w:color w:val="auto"/>
              </w:rPr>
              <w:t>Common stock dividends declared</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right"/>
              <w:ind w:right="139"/>
              <w:spacing w:after="0"/>
              <w:rPr>
                <w:sz w:val="20"/>
                <w:szCs w:val="20"/>
                <w:color w:val="auto"/>
              </w:rPr>
            </w:pPr>
            <w:r>
              <w:rPr>
                <w:rFonts w:ascii="Arial" w:cs="Arial" w:eastAsia="Arial" w:hAnsi="Arial"/>
                <w:sz w:val="16"/>
                <w:szCs w:val="16"/>
                <w:color w:val="auto"/>
              </w:rPr>
              <w:t>(150)</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(150)</w:t>
            </w:r>
          </w:p>
        </w:tc>
      </w:tr>
      <w:tr>
        <w:trPr>
          <w:trHeight w:val="189"/>
        </w:trPr>
        <w:tc>
          <w:tcPr>
            <w:tcW w:w="3460" w:type="dxa"/>
            <w:vAlign w:val="bottom"/>
            <w:gridSpan w:val="2"/>
          </w:tcPr>
          <w:p>
            <w:pPr>
              <w:spacing w:after="0"/>
              <w:rPr>
                <w:sz w:val="20"/>
                <w:szCs w:val="20"/>
                <w:color w:val="auto"/>
              </w:rPr>
            </w:pPr>
            <w:r>
              <w:rPr>
                <w:rFonts w:ascii="Arial" w:cs="Arial" w:eastAsia="Arial" w:hAnsi="Arial"/>
                <w:sz w:val="16"/>
                <w:szCs w:val="16"/>
                <w:color w:val="auto"/>
              </w:rPr>
              <w:t>Preferred stock dividends declared</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right"/>
              <w:ind w:right="139"/>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w:t>
            </w:r>
          </w:p>
        </w:tc>
      </w:tr>
      <w:tr>
        <w:trPr>
          <w:trHeight w:val="187"/>
        </w:trPr>
        <w:tc>
          <w:tcPr>
            <w:tcW w:w="3460" w:type="dxa"/>
            <w:vAlign w:val="bottom"/>
            <w:gridSpan w:val="2"/>
          </w:tcPr>
          <w:p>
            <w:pPr>
              <w:spacing w:after="0"/>
              <w:rPr>
                <w:sz w:val="20"/>
                <w:szCs w:val="20"/>
                <w:color w:val="auto"/>
              </w:rPr>
            </w:pPr>
            <w:r>
              <w:rPr>
                <w:rFonts w:ascii="Arial" w:cs="Arial" w:eastAsia="Arial" w:hAnsi="Arial"/>
                <w:sz w:val="16"/>
                <w:szCs w:val="16"/>
                <w:color w:val="auto"/>
              </w:rPr>
              <w:t>Equity contributed by noncontrolling interests</w:t>
            </w: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40" w:type="dxa"/>
            <w:vAlign w:val="bottom"/>
            <w:tcBorders>
              <w:bottom w:val="single" w:sz="8" w:color="auto"/>
            </w:tcBorders>
          </w:tcPr>
          <w:p>
            <w:pPr>
              <w:spacing w:after="0"/>
              <w:rPr>
                <w:sz w:val="16"/>
                <w:szCs w:val="16"/>
                <w:color w:val="auto"/>
              </w:rPr>
            </w:pPr>
          </w:p>
        </w:tc>
      </w:tr>
      <w:tr>
        <w:trPr>
          <w:trHeight w:val="183"/>
        </w:trPr>
        <w:tc>
          <w:tcPr>
            <w:tcW w:w="3460" w:type="dxa"/>
            <w:vAlign w:val="bottom"/>
            <w:gridSpan w:val="2"/>
          </w:tcPr>
          <w:p>
            <w:pPr>
              <w:spacing w:after="0" w:line="183" w:lineRule="exact"/>
              <w:rPr>
                <w:sz w:val="20"/>
                <w:szCs w:val="20"/>
                <w:color w:val="auto"/>
              </w:rPr>
            </w:pPr>
            <w:r>
              <w:rPr>
                <w:rFonts w:ascii="Arial" w:cs="Arial" w:eastAsia="Arial" w:hAnsi="Arial"/>
                <w:sz w:val="16"/>
                <w:szCs w:val="16"/>
                <w:color w:val="auto"/>
              </w:rPr>
              <w:t>Balance at March 31, 2009</w:t>
            </w:r>
          </w:p>
        </w:tc>
        <w:tc>
          <w:tcPr>
            <w:tcW w:w="220" w:type="dxa"/>
            <w:vAlign w:val="bottom"/>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line="183" w:lineRule="exact"/>
              <w:rPr>
                <w:sz w:val="20"/>
                <w:szCs w:val="20"/>
                <w:color w:val="auto"/>
              </w:rPr>
            </w:pPr>
            <w:r>
              <w:rPr>
                <w:rFonts w:ascii="Arial" w:cs="Arial" w:eastAsia="Arial" w:hAnsi="Arial"/>
                <w:sz w:val="16"/>
                <w:szCs w:val="16"/>
                <w:color w:val="auto"/>
              </w:rPr>
              <w:t>2,493</w:t>
            </w:r>
          </w:p>
        </w:tc>
        <w:tc>
          <w:tcPr>
            <w:tcW w:w="240" w:type="dxa"/>
            <w:vAlign w:val="bottom"/>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940" w:type="dxa"/>
            <w:vAlign w:val="bottom"/>
          </w:tcPr>
          <w:p>
            <w:pPr>
              <w:jc w:val="right"/>
              <w:spacing w:after="0" w:line="183" w:lineRule="exact"/>
              <w:rPr>
                <w:sz w:val="20"/>
                <w:szCs w:val="20"/>
                <w:color w:val="auto"/>
              </w:rPr>
            </w:pPr>
            <w:r>
              <w:rPr>
                <w:rFonts w:ascii="Arial" w:cs="Arial" w:eastAsia="Arial" w:hAnsi="Arial"/>
                <w:sz w:val="16"/>
                <w:szCs w:val="16"/>
                <w:color w:val="auto"/>
              </w:rPr>
              <w:t>137</w:t>
            </w:r>
          </w:p>
        </w:tc>
        <w:tc>
          <w:tcPr>
            <w:tcW w:w="14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280" w:type="dxa"/>
            <w:vAlign w:val="bottom"/>
          </w:tcPr>
          <w:p>
            <w:pPr>
              <w:spacing w:after="0"/>
              <w:rPr>
                <w:sz w:val="15"/>
                <w:szCs w:val="15"/>
                <w:color w:val="auto"/>
              </w:rPr>
            </w:pPr>
          </w:p>
        </w:tc>
        <w:tc>
          <w:tcPr>
            <w:tcW w:w="840" w:type="dxa"/>
            <w:vAlign w:val="bottom"/>
          </w:tcPr>
          <w:p>
            <w:pPr>
              <w:jc w:val="right"/>
              <w:spacing w:after="0" w:line="183" w:lineRule="exact"/>
              <w:rPr>
                <w:sz w:val="20"/>
                <w:szCs w:val="20"/>
                <w:color w:val="auto"/>
              </w:rPr>
            </w:pPr>
            <w:r>
              <w:rPr>
                <w:rFonts w:ascii="Arial" w:cs="Arial" w:eastAsia="Arial" w:hAnsi="Arial"/>
                <w:sz w:val="16"/>
                <w:szCs w:val="16"/>
                <w:color w:val="auto"/>
              </w:rPr>
              <w:t>2,630</w:t>
            </w:r>
          </w:p>
        </w:tc>
        <w:tc>
          <w:tcPr>
            <w:tcW w:w="40" w:type="dxa"/>
            <w:vAlign w:val="bottom"/>
          </w:tcPr>
          <w:p>
            <w:pPr>
              <w:spacing w:after="0"/>
              <w:rPr>
                <w:sz w:val="15"/>
                <w:szCs w:val="15"/>
                <w:color w:val="auto"/>
              </w:rPr>
            </w:pPr>
          </w:p>
        </w:tc>
      </w:tr>
      <w:tr>
        <w:trPr>
          <w:trHeight w:val="81"/>
        </w:trPr>
        <w:tc>
          <w:tcPr>
            <w:tcW w:w="20" w:type="dxa"/>
            <w:vAlign w:val="bottom"/>
            <w:shd w:val="clear" w:color="auto" w:fill="000000"/>
          </w:tcPr>
          <w:p>
            <w:pPr>
              <w:spacing w:after="0"/>
              <w:rPr>
                <w:sz w:val="7"/>
                <w:szCs w:val="7"/>
                <w:color w:val="auto"/>
              </w:rPr>
            </w:pPr>
          </w:p>
        </w:tc>
        <w:tc>
          <w:tcPr>
            <w:tcW w:w="344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120" w:type="dxa"/>
            <w:vAlign w:val="bottom"/>
            <w:shd w:val="clear" w:color="auto" w:fill="000000"/>
          </w:tcPr>
          <w:p>
            <w:pPr>
              <w:spacing w:after="0"/>
              <w:rPr>
                <w:sz w:val="7"/>
                <w:szCs w:val="7"/>
                <w:color w:val="auto"/>
              </w:rPr>
            </w:pPr>
          </w:p>
        </w:tc>
        <w:tc>
          <w:tcPr>
            <w:tcW w:w="120" w:type="dxa"/>
            <w:vAlign w:val="bottom"/>
            <w:shd w:val="clear" w:color="auto" w:fill="000000"/>
          </w:tcPr>
          <w:p>
            <w:pPr>
              <w:spacing w:after="0"/>
              <w:rPr>
                <w:sz w:val="7"/>
                <w:szCs w:val="7"/>
                <w:color w:val="auto"/>
              </w:rPr>
            </w:pPr>
          </w:p>
        </w:tc>
        <w:tc>
          <w:tcPr>
            <w:tcW w:w="1060" w:type="dxa"/>
            <w:vAlign w:val="bottom"/>
            <w:shd w:val="clear" w:color="auto" w:fill="000000"/>
          </w:tcPr>
          <w:p>
            <w:pPr>
              <w:spacing w:after="0"/>
              <w:rPr>
                <w:sz w:val="7"/>
                <w:szCs w:val="7"/>
                <w:color w:val="auto"/>
              </w:rPr>
            </w:pPr>
          </w:p>
        </w:tc>
        <w:tc>
          <w:tcPr>
            <w:tcW w:w="240" w:type="dxa"/>
            <w:vAlign w:val="bottom"/>
            <w:shd w:val="clear" w:color="auto" w:fill="000000"/>
          </w:tcPr>
          <w:p>
            <w:pPr>
              <w:spacing w:after="0"/>
              <w:rPr>
                <w:sz w:val="7"/>
                <w:szCs w:val="7"/>
                <w:color w:val="auto"/>
              </w:rPr>
            </w:pPr>
          </w:p>
        </w:tc>
        <w:tc>
          <w:tcPr>
            <w:tcW w:w="200" w:type="dxa"/>
            <w:vAlign w:val="bottom"/>
            <w:shd w:val="clear" w:color="auto" w:fill="000000"/>
          </w:tcPr>
          <w:p>
            <w:pPr>
              <w:spacing w:after="0"/>
              <w:rPr>
                <w:sz w:val="7"/>
                <w:szCs w:val="7"/>
                <w:color w:val="auto"/>
              </w:rPr>
            </w:pPr>
          </w:p>
        </w:tc>
        <w:tc>
          <w:tcPr>
            <w:tcW w:w="940" w:type="dxa"/>
            <w:vAlign w:val="bottom"/>
            <w:shd w:val="clear" w:color="auto" w:fill="000000"/>
          </w:tcPr>
          <w:p>
            <w:pPr>
              <w:spacing w:after="0"/>
              <w:rPr>
                <w:sz w:val="7"/>
                <w:szCs w:val="7"/>
                <w:color w:val="auto"/>
              </w:rPr>
            </w:pPr>
          </w:p>
        </w:tc>
        <w:tc>
          <w:tcPr>
            <w:tcW w:w="140" w:type="dxa"/>
            <w:vAlign w:val="bottom"/>
            <w:shd w:val="clear" w:color="auto" w:fill="000000"/>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840" w:type="dxa"/>
            <w:vAlign w:val="bottom"/>
            <w:shd w:val="clear" w:color="auto" w:fill="000000"/>
          </w:tcPr>
          <w:p>
            <w:pPr>
              <w:spacing w:after="0"/>
              <w:rPr>
                <w:sz w:val="7"/>
                <w:szCs w:val="7"/>
                <w:color w:val="auto"/>
              </w:rPr>
            </w:pPr>
          </w:p>
        </w:tc>
        <w:tc>
          <w:tcPr>
            <w:tcW w:w="40" w:type="dxa"/>
            <w:vAlign w:val="bottom"/>
            <w:shd w:val="clear" w:color="auto" w:fill="000000"/>
          </w:tcPr>
          <w:p>
            <w:pPr>
              <w:spacing w:after="0"/>
              <w:rPr>
                <w:sz w:val="7"/>
                <w:szCs w:val="7"/>
                <w:color w:val="auto"/>
              </w:rPr>
            </w:pPr>
          </w:p>
        </w:tc>
      </w:tr>
    </w:tbl>
    <w:p>
      <w:pPr>
        <w:sectPr>
          <w:pgSz w:w="11900" w:h="16838" w:orient="portrait"/>
          <w:cols w:equalWidth="0" w:num="1">
            <w:col w:w="10219"/>
          </w:cols>
          <w:pgMar w:left="240" w:top="378" w:right="1440" w:bottom="1440" w:gutter="0" w:footer="0" w:header="0"/>
        </w:sectPr>
      </w:pPr>
    </w:p>
    <w:bookmarkStart w:id="33" w:name="page34"/>
    <w:bookmarkEnd w:id="33"/>
    <w:p>
      <w:pPr>
        <w:spacing w:after="0"/>
        <w:rPr>
          <w:sz w:val="20"/>
          <w:szCs w:val="20"/>
          <w:color w:val="auto"/>
        </w:rPr>
      </w:pPr>
      <w:r>
        <w:rPr>
          <w:rFonts w:ascii="Arial" w:cs="Arial" w:eastAsia="Arial" w:hAnsi="Arial"/>
          <w:sz w:val="22"/>
          <w:szCs w:val="22"/>
          <w:b w:val="1"/>
          <w:bCs w:val="1"/>
          <w:color w:val="auto"/>
        </w:rPr>
        <w:t>TRANSACTIONS WITH AFFILIATES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Loans to Unconsolidated Affiliates</w:t>
      </w:r>
    </w:p>
    <w:p>
      <w:pPr>
        <w:spacing w:after="0" w:line="22" w:lineRule="exact"/>
        <w:rPr>
          <w:sz w:val="20"/>
          <w:szCs w:val="20"/>
          <w:color w:val="auto"/>
        </w:rPr>
      </w:pPr>
    </w:p>
    <w:p>
      <w:pPr>
        <w:ind w:right="619"/>
        <w:spacing w:after="0" w:line="216" w:lineRule="auto"/>
        <w:rPr>
          <w:sz w:val="20"/>
          <w:szCs w:val="20"/>
          <w:color w:val="auto"/>
        </w:rPr>
      </w:pPr>
      <w:r>
        <w:rPr>
          <w:rFonts w:ascii="Arial" w:cs="Arial" w:eastAsia="Arial" w:hAnsi="Arial"/>
          <w:sz w:val="22"/>
          <w:szCs w:val="22"/>
          <w:color w:val="auto"/>
        </w:rPr>
        <w:t>Sempra Pipelines &amp; Storage has a U.S. dollar-denominated loan to Camuzzi Gas del Sur S.A., an affiliate of Sempra Pipelines &amp; Storage’s Argentine investments, which we discuss in Note 1 of the Notes to Consolidated Financial Statements in the Annual Report. The loan to Camuzzi Gas del Sur S.A has a $27 million balance outstanding at a variable interest rate (7.29 percent as of March 31, 2010). The loan is due in June 2010 and is fully reserved at March 31, 2010.</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Investments</w:t>
      </w:r>
    </w:p>
    <w:p>
      <w:pPr>
        <w:spacing w:after="0" w:line="22" w:lineRule="exact"/>
        <w:rPr>
          <w:sz w:val="20"/>
          <w:szCs w:val="20"/>
          <w:color w:val="auto"/>
        </w:rPr>
      </w:pPr>
    </w:p>
    <w:p>
      <w:pPr>
        <w:ind w:right="859"/>
        <w:spacing w:after="0" w:line="226" w:lineRule="auto"/>
        <w:rPr>
          <w:sz w:val="20"/>
          <w:szCs w:val="20"/>
          <w:color w:val="auto"/>
        </w:rPr>
      </w:pPr>
      <w:r>
        <w:rPr>
          <w:rFonts w:ascii="Arial" w:cs="Arial" w:eastAsia="Arial" w:hAnsi="Arial"/>
          <w:sz w:val="21"/>
          <w:szCs w:val="21"/>
          <w:color w:val="auto"/>
        </w:rPr>
        <w:t>In November 2009, Sempra Pipelines &amp; Storage purchased $50 million of 2.75-percent bonds issued by Chilquinta Energía S.A., an unconsolidated affiliate, that are denominated in Chilean Unidades de Fomento. The bonds mature on October 30, 2014. The carrying value of the bonds after the effect of foreign currency translation was $50 million at March 31, 2010. We discuss this investment in Note 4 of the Notes to Consolidated Financial Statements in the Annual Report.</w:t>
      </w: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Affiliate Transactions</w:t>
      </w:r>
    </w:p>
    <w:p>
      <w:pPr>
        <w:spacing w:after="0" w:line="22" w:lineRule="exact"/>
        <w:rPr>
          <w:sz w:val="20"/>
          <w:szCs w:val="20"/>
          <w:color w:val="auto"/>
        </w:rPr>
      </w:pPr>
    </w:p>
    <w:p>
      <w:pPr>
        <w:ind w:right="979"/>
        <w:spacing w:after="0" w:line="247" w:lineRule="auto"/>
        <w:rPr>
          <w:sz w:val="20"/>
          <w:szCs w:val="20"/>
          <w:color w:val="auto"/>
        </w:rPr>
      </w:pPr>
      <w:r>
        <w:rPr>
          <w:rFonts w:ascii="Arial" w:cs="Arial" w:eastAsia="Arial" w:hAnsi="Arial"/>
          <w:sz w:val="21"/>
          <w:szCs w:val="21"/>
          <w:color w:val="auto"/>
        </w:rPr>
        <w:t>Sempra Energy, SDG&amp;E and SoCalGas provide certain services to each other and are charged an allocable share of the cost of such services. Amounts due to/from affiliates are as follows:</w:t>
      </w:r>
    </w:p>
    <w:p>
      <w:pPr>
        <w:sectPr>
          <w:pgSz w:w="11900" w:h="16838" w:orient="portrait"/>
          <w:cols w:equalWidth="0" w:num="1">
            <w:col w:w="10219"/>
          </w:cols>
          <w:pgMar w:left="240" w:top="404" w:right="1440" w:bottom="1440" w:gutter="0" w:footer="0" w:header="0"/>
        </w:sectPr>
      </w:pPr>
    </w:p>
    <w:bookmarkStart w:id="34" w:name="page35"/>
    <w:bookmarkEnd w:id="34"/>
    <w:p>
      <w:pPr>
        <w:ind w:right="4319"/>
        <w:spacing w:after="0" w:line="261" w:lineRule="auto"/>
        <w:rPr>
          <w:sz w:val="20"/>
          <w:szCs w:val="20"/>
          <w:color w:val="auto"/>
        </w:rPr>
      </w:pPr>
      <w:r>
        <w:rPr>
          <w:rFonts w:ascii="Arial" w:cs="Arial" w:eastAsia="Arial" w:hAnsi="Arial"/>
          <w:sz w:val="16"/>
          <w:szCs w:val="16"/>
          <w:b w:val="1"/>
          <w:bCs w:val="1"/>
          <w:color w:val="auto"/>
        </w:rPr>
        <w:t xml:space="preserve">AMOUNTS DUE TO AND FROM AFFILIATES AT SDG&amp;E, PE AND SOCALGAS </w:t>
      </w: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5128260" cy="2317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28260" cy="231775"/>
                    </a:xfrm>
                    <a:prstGeom prst="rect">
                      <a:avLst/>
                    </a:prstGeom>
                    <a:noFill/>
                  </pic:spPr>
                </pic:pic>
              </a:graphicData>
            </a:graphic>
          </wp:anchor>
        </w:drawing>
      </w:r>
    </w:p>
    <w:p>
      <w:pPr>
        <w:jc w:val="right"/>
        <w:ind w:right="2259"/>
        <w:spacing w:after="0"/>
        <w:tabs>
          <w:tab w:leader="none" w:pos="880" w:val="left"/>
        </w:tabs>
        <w:rPr>
          <w:sz w:val="20"/>
          <w:szCs w:val="20"/>
          <w:color w:val="auto"/>
        </w:rPr>
      </w:pPr>
      <w:r>
        <w:rPr>
          <w:rFonts w:ascii="Arial" w:cs="Arial" w:eastAsia="Arial" w:hAnsi="Arial"/>
          <w:sz w:val="14"/>
          <w:szCs w:val="14"/>
          <w:color w:val="auto"/>
        </w:rPr>
        <w:t>March 31,</w:t>
      </w:r>
      <w:r>
        <w:rPr>
          <w:sz w:val="20"/>
          <w:szCs w:val="20"/>
          <w:color w:val="auto"/>
        </w:rPr>
        <w:tab/>
      </w:r>
      <w:r>
        <w:rPr>
          <w:rFonts w:ascii="Arial" w:cs="Arial" w:eastAsia="Arial" w:hAnsi="Arial"/>
          <w:sz w:val="14"/>
          <w:szCs w:val="14"/>
          <w:color w:val="auto"/>
        </w:rPr>
        <w:t>December 31,</w:t>
      </w:r>
    </w:p>
    <w:p>
      <w:pPr>
        <w:spacing w:after="0" w:line="28" w:lineRule="exact"/>
        <w:rPr>
          <w:sz w:val="20"/>
          <w:szCs w:val="20"/>
          <w:color w:val="auto"/>
        </w:rPr>
      </w:pPr>
    </w:p>
    <w:p>
      <w:pPr>
        <w:ind w:left="6020"/>
        <w:spacing w:after="0"/>
        <w:tabs>
          <w:tab w:leader="none" w:pos="7320" w:val="left"/>
        </w:tabs>
        <w:rPr>
          <w:sz w:val="20"/>
          <w:szCs w:val="20"/>
          <w:color w:val="auto"/>
        </w:rPr>
      </w:pPr>
      <w:r>
        <w:rPr>
          <w:rFonts w:ascii="Arial" w:cs="Arial" w:eastAsia="Arial" w:hAnsi="Arial"/>
          <w:sz w:val="14"/>
          <w:szCs w:val="14"/>
          <w:color w:val="auto"/>
        </w:rPr>
        <w:t>2010</w:t>
      </w:r>
      <w:r>
        <w:rPr>
          <w:sz w:val="20"/>
          <w:szCs w:val="20"/>
          <w:color w:val="auto"/>
        </w:rPr>
        <w:tab/>
      </w:r>
      <w:r>
        <w:rPr>
          <w:rFonts w:ascii="Arial" w:cs="Arial" w:eastAsia="Arial" w:hAnsi="Arial"/>
          <w:sz w:val="14"/>
          <w:szCs w:val="14"/>
          <w:color w:val="auto"/>
        </w:rPr>
        <w:t>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51282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28260" cy="8890"/>
                    </a:xfrm>
                    <a:prstGeom prst="rect">
                      <a:avLst/>
                    </a:prstGeom>
                    <a:noFill/>
                  </pic:spPr>
                </pic:pic>
              </a:graphicData>
            </a:graphic>
          </wp:anchor>
        </w:drawing>
      </w:r>
    </w:p>
    <w:p>
      <w:pPr>
        <w:sectPr>
          <w:pgSz w:w="11900" w:h="16838" w:orient="portrait"/>
          <w:cols w:equalWidth="0" w:num="1">
            <w:col w:w="10219"/>
          </w:cols>
          <w:pgMar w:left="240" w:top="378" w:right="1440" w:bottom="1440" w:gutter="0" w:footer="0" w:header="0"/>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SDG&amp;E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Current:</w:t>
      </w:r>
    </w:p>
    <w:p>
      <w:pPr>
        <w:spacing w:after="0" w:line="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Due from Sempra Energy</w:t>
      </w:r>
    </w:p>
    <w:p>
      <w:pPr>
        <w:spacing w:after="0" w:line="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Due from SoCalGas</w:t>
      </w:r>
    </w:p>
    <w:p>
      <w:pPr>
        <w:spacing w:after="0" w:line="1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Due from various affiliates</w:t>
      </w:r>
    </w:p>
    <w:p>
      <w:pPr>
        <w:spacing w:after="0" w:line="200" w:lineRule="exact"/>
        <w:rPr>
          <w:sz w:val="20"/>
          <w:szCs w:val="20"/>
          <w:color w:val="auto"/>
        </w:rPr>
      </w:pPr>
    </w:p>
    <w:p>
      <w:pPr>
        <w:spacing w:after="0" w:line="34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Due to Sempra Energy</w:t>
      </w:r>
    </w:p>
    <w:p>
      <w:pPr>
        <w:spacing w:after="0" w:line="28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Income taxes due to (from) Sempra Energy(1)</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Noncurrent:</w:t>
      </w:r>
    </w:p>
    <w:p>
      <w:pPr>
        <w:spacing w:after="0" w:line="5" w:lineRule="exact"/>
        <w:rPr>
          <w:sz w:val="20"/>
          <w:szCs w:val="20"/>
          <w:color w:val="auto"/>
        </w:rPr>
      </w:pPr>
    </w:p>
    <w:p>
      <w:pPr>
        <w:ind w:left="360" w:hanging="179"/>
        <w:spacing w:after="0" w:line="366" w:lineRule="auto"/>
        <w:rPr>
          <w:sz w:val="20"/>
          <w:szCs w:val="20"/>
          <w:color w:val="auto"/>
        </w:rPr>
      </w:pPr>
      <w:r>
        <w:rPr>
          <w:rFonts w:ascii="Arial" w:cs="Arial" w:eastAsia="Arial" w:hAnsi="Arial"/>
          <w:sz w:val="16"/>
          <w:szCs w:val="16"/>
          <w:color w:val="auto"/>
        </w:rPr>
        <w:t>Promissory note due from Sempra Energy, variable rate based on short-term commercial paper rates (0.13% at March 31, 2010)</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Pacific Enterprises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Current:</w:t>
      </w:r>
    </w:p>
    <w:p>
      <w:pPr>
        <w:spacing w:after="0" w:line="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Due from Sempra Energy</w:t>
      </w:r>
    </w:p>
    <w:p>
      <w:pPr>
        <w:spacing w:after="0" w:line="1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Due from various affiliates</w:t>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189"/>
        </w:trPr>
        <w:tc>
          <w:tcPr>
            <w:tcW w:w="460" w:type="dxa"/>
            <w:vAlign w:val="bottom"/>
          </w:tcPr>
          <w:p>
            <w:pPr>
              <w:spacing w:after="0"/>
              <w:rPr>
                <w:sz w:val="16"/>
                <w:szCs w:val="16"/>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187"/>
        </w:trPr>
        <w:tc>
          <w:tcPr>
            <w:tcW w:w="4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5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183"/>
        </w:trPr>
        <w:tc>
          <w:tcPr>
            <w:tcW w:w="460" w:type="dxa"/>
            <w:vAlign w:val="bottom"/>
          </w:tcPr>
          <w:p>
            <w:pPr>
              <w:jc w:val="right"/>
              <w:ind w:right="279"/>
              <w:spacing w:after="0" w:line="183" w:lineRule="exact"/>
              <w:rPr>
                <w:sz w:val="20"/>
                <w:szCs w:val="20"/>
                <w:color w:val="auto"/>
              </w:rPr>
            </w:pPr>
            <w:r>
              <w:rPr>
                <w:rFonts w:ascii="Arial" w:cs="Arial" w:eastAsia="Arial" w:hAnsi="Arial"/>
                <w:sz w:val="16"/>
                <w:szCs w:val="16"/>
                <w:color w:val="auto"/>
                <w:w w:val="89"/>
              </w:rPr>
              <w:t>$</w:t>
            </w:r>
          </w:p>
        </w:tc>
        <w:tc>
          <w:tcPr>
            <w:tcW w:w="760" w:type="dxa"/>
            <w:vAlign w:val="bottom"/>
          </w:tcPr>
          <w:p>
            <w:pPr>
              <w:jc w:val="right"/>
              <w:ind w:right="39"/>
              <w:spacing w:after="0" w:line="183" w:lineRule="exact"/>
              <w:rPr>
                <w:sz w:val="20"/>
                <w:szCs w:val="20"/>
                <w:color w:val="auto"/>
              </w:rPr>
            </w:pPr>
            <w:r>
              <w:rPr>
                <w:rFonts w:ascii="Arial" w:cs="Arial" w:eastAsia="Arial" w:hAnsi="Arial"/>
                <w:sz w:val="16"/>
                <w:szCs w:val="16"/>
                <w:color w:val="auto"/>
              </w:rPr>
              <w:t>1</w:t>
            </w:r>
          </w:p>
        </w:tc>
        <w:tc>
          <w:tcPr>
            <w:tcW w:w="580" w:type="dxa"/>
            <w:vAlign w:val="bottom"/>
          </w:tcPr>
          <w:p>
            <w:pPr>
              <w:jc w:val="right"/>
              <w:ind w:right="299"/>
              <w:spacing w:after="0" w:line="183" w:lineRule="exact"/>
              <w:rPr>
                <w:sz w:val="20"/>
                <w:szCs w:val="20"/>
                <w:color w:val="auto"/>
              </w:rPr>
            </w:pPr>
            <w:r>
              <w:rPr>
                <w:rFonts w:ascii="Arial" w:cs="Arial" w:eastAsia="Arial" w:hAnsi="Arial"/>
                <w:sz w:val="16"/>
                <w:szCs w:val="16"/>
                <w:color w:val="auto"/>
              </w:rPr>
              <w:t>$</w:t>
            </w:r>
          </w:p>
        </w:tc>
        <w:tc>
          <w:tcPr>
            <w:tcW w:w="660" w:type="dxa"/>
            <w:vAlign w:val="bottom"/>
          </w:tcPr>
          <w:p>
            <w:pPr>
              <w:jc w:val="right"/>
              <w:spacing w:after="0" w:line="183" w:lineRule="exact"/>
              <w:rPr>
                <w:sz w:val="20"/>
                <w:szCs w:val="20"/>
                <w:color w:val="auto"/>
              </w:rPr>
            </w:pPr>
            <w:r>
              <w:rPr>
                <w:rFonts w:ascii="Arial" w:cs="Arial" w:eastAsia="Arial" w:hAnsi="Arial"/>
                <w:sz w:val="16"/>
                <w:szCs w:val="16"/>
                <w:color w:val="auto"/>
              </w:rPr>
              <w:t>8</w:t>
            </w:r>
          </w:p>
        </w:tc>
      </w:tr>
      <w:tr>
        <w:trPr>
          <w:trHeight w:val="81"/>
        </w:trPr>
        <w:tc>
          <w:tcPr>
            <w:tcW w:w="460" w:type="dxa"/>
            <w:vAlign w:val="bottom"/>
            <w:shd w:val="clear" w:color="auto" w:fill="000000"/>
          </w:tcPr>
          <w:p>
            <w:pPr>
              <w:spacing w:after="0"/>
              <w:rPr>
                <w:sz w:val="7"/>
                <w:szCs w:val="7"/>
                <w:color w:val="auto"/>
              </w:rPr>
            </w:pPr>
          </w:p>
        </w:tc>
        <w:tc>
          <w:tcPr>
            <w:tcW w:w="760" w:type="dxa"/>
            <w:vAlign w:val="bottom"/>
            <w:shd w:val="clear" w:color="auto" w:fill="000000"/>
          </w:tcPr>
          <w:p>
            <w:pPr>
              <w:spacing w:after="0"/>
              <w:rPr>
                <w:sz w:val="7"/>
                <w:szCs w:val="7"/>
                <w:color w:val="auto"/>
              </w:rPr>
            </w:pPr>
          </w:p>
        </w:tc>
        <w:tc>
          <w:tcPr>
            <w:tcW w:w="580" w:type="dxa"/>
            <w:vAlign w:val="bottom"/>
            <w:shd w:val="clear" w:color="auto" w:fill="000000"/>
          </w:tcPr>
          <w:p>
            <w:pPr>
              <w:spacing w:after="0"/>
              <w:rPr>
                <w:sz w:val="7"/>
                <w:szCs w:val="7"/>
                <w:color w:val="auto"/>
              </w:rPr>
            </w:pPr>
          </w:p>
        </w:tc>
        <w:tc>
          <w:tcPr>
            <w:tcW w:w="660" w:type="dxa"/>
            <w:vAlign w:val="bottom"/>
            <w:shd w:val="clear" w:color="auto" w:fill="000000"/>
          </w:tcPr>
          <w:p>
            <w:pPr>
              <w:spacing w:after="0"/>
              <w:rPr>
                <w:sz w:val="7"/>
                <w:szCs w:val="7"/>
                <w:color w:val="auto"/>
              </w:rPr>
            </w:pPr>
          </w:p>
        </w:tc>
      </w:tr>
      <w:tr>
        <w:trPr>
          <w:trHeight w:val="378"/>
        </w:trPr>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58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81"/>
        </w:trPr>
        <w:tc>
          <w:tcPr>
            <w:tcW w:w="460" w:type="dxa"/>
            <w:vAlign w:val="bottom"/>
            <w:shd w:val="clear" w:color="auto" w:fill="000000"/>
          </w:tcPr>
          <w:p>
            <w:pPr>
              <w:spacing w:after="0"/>
              <w:rPr>
                <w:sz w:val="7"/>
                <w:szCs w:val="7"/>
                <w:color w:val="auto"/>
              </w:rPr>
            </w:pPr>
          </w:p>
        </w:tc>
        <w:tc>
          <w:tcPr>
            <w:tcW w:w="760" w:type="dxa"/>
            <w:vAlign w:val="bottom"/>
            <w:shd w:val="clear" w:color="auto" w:fill="000000"/>
          </w:tcPr>
          <w:p>
            <w:pPr>
              <w:spacing w:after="0"/>
              <w:rPr>
                <w:sz w:val="7"/>
                <w:szCs w:val="7"/>
                <w:color w:val="auto"/>
              </w:rPr>
            </w:pPr>
          </w:p>
        </w:tc>
        <w:tc>
          <w:tcPr>
            <w:tcW w:w="580" w:type="dxa"/>
            <w:vAlign w:val="bottom"/>
            <w:shd w:val="clear" w:color="auto" w:fill="000000"/>
          </w:tcPr>
          <w:p>
            <w:pPr>
              <w:spacing w:after="0"/>
              <w:rPr>
                <w:sz w:val="7"/>
                <w:szCs w:val="7"/>
                <w:color w:val="auto"/>
              </w:rPr>
            </w:pPr>
          </w:p>
        </w:tc>
        <w:tc>
          <w:tcPr>
            <w:tcW w:w="660" w:type="dxa"/>
            <w:vAlign w:val="bottom"/>
            <w:shd w:val="clear" w:color="auto" w:fill="000000"/>
          </w:tcPr>
          <w:p>
            <w:pPr>
              <w:spacing w:after="0"/>
              <w:rPr>
                <w:sz w:val="7"/>
                <w:szCs w:val="7"/>
                <w:color w:val="auto"/>
              </w:rPr>
            </w:pPr>
          </w:p>
        </w:tc>
      </w:tr>
      <w:tr>
        <w:trPr>
          <w:trHeight w:val="392"/>
        </w:trPr>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58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81"/>
        </w:trPr>
        <w:tc>
          <w:tcPr>
            <w:tcW w:w="460" w:type="dxa"/>
            <w:vAlign w:val="bottom"/>
            <w:shd w:val="clear" w:color="auto" w:fill="000000"/>
          </w:tcPr>
          <w:p>
            <w:pPr>
              <w:spacing w:after="0"/>
              <w:rPr>
                <w:sz w:val="7"/>
                <w:szCs w:val="7"/>
                <w:color w:val="auto"/>
              </w:rPr>
            </w:pPr>
          </w:p>
        </w:tc>
        <w:tc>
          <w:tcPr>
            <w:tcW w:w="760" w:type="dxa"/>
            <w:vAlign w:val="bottom"/>
            <w:shd w:val="clear" w:color="auto" w:fill="000000"/>
          </w:tcPr>
          <w:p>
            <w:pPr>
              <w:spacing w:after="0"/>
              <w:rPr>
                <w:sz w:val="7"/>
                <w:szCs w:val="7"/>
                <w:color w:val="auto"/>
              </w:rPr>
            </w:pPr>
          </w:p>
        </w:tc>
        <w:tc>
          <w:tcPr>
            <w:tcW w:w="580" w:type="dxa"/>
            <w:vAlign w:val="bottom"/>
            <w:shd w:val="clear" w:color="auto" w:fill="000000"/>
          </w:tcPr>
          <w:p>
            <w:pPr>
              <w:spacing w:after="0"/>
              <w:rPr>
                <w:sz w:val="7"/>
                <w:szCs w:val="7"/>
                <w:color w:val="auto"/>
              </w:rPr>
            </w:pPr>
          </w:p>
        </w:tc>
        <w:tc>
          <w:tcPr>
            <w:tcW w:w="660" w:type="dxa"/>
            <w:vAlign w:val="bottom"/>
            <w:shd w:val="clear" w:color="auto" w:fill="000000"/>
          </w:tcPr>
          <w:p>
            <w:pPr>
              <w:spacing w:after="0"/>
              <w:rPr>
                <w:sz w:val="7"/>
                <w:szCs w:val="7"/>
                <w:color w:val="auto"/>
              </w:rPr>
            </w:pPr>
          </w:p>
        </w:tc>
      </w:tr>
      <w:tr>
        <w:trPr>
          <w:trHeight w:val="770"/>
        </w:trPr>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58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81"/>
        </w:trPr>
        <w:tc>
          <w:tcPr>
            <w:tcW w:w="460" w:type="dxa"/>
            <w:vAlign w:val="bottom"/>
            <w:shd w:val="clear" w:color="auto" w:fill="000000"/>
          </w:tcPr>
          <w:p>
            <w:pPr>
              <w:spacing w:after="0"/>
              <w:rPr>
                <w:sz w:val="7"/>
                <w:szCs w:val="7"/>
                <w:color w:val="auto"/>
              </w:rPr>
            </w:pPr>
          </w:p>
        </w:tc>
        <w:tc>
          <w:tcPr>
            <w:tcW w:w="760" w:type="dxa"/>
            <w:vAlign w:val="bottom"/>
            <w:shd w:val="clear" w:color="auto" w:fill="000000"/>
          </w:tcPr>
          <w:p>
            <w:pPr>
              <w:spacing w:after="0"/>
              <w:rPr>
                <w:sz w:val="7"/>
                <w:szCs w:val="7"/>
                <w:color w:val="auto"/>
              </w:rPr>
            </w:pPr>
          </w:p>
        </w:tc>
        <w:tc>
          <w:tcPr>
            <w:tcW w:w="580" w:type="dxa"/>
            <w:vAlign w:val="bottom"/>
            <w:shd w:val="clear" w:color="auto" w:fill="000000"/>
          </w:tcPr>
          <w:p>
            <w:pPr>
              <w:spacing w:after="0"/>
              <w:rPr>
                <w:sz w:val="7"/>
                <w:szCs w:val="7"/>
                <w:color w:val="auto"/>
              </w:rPr>
            </w:pPr>
          </w:p>
        </w:tc>
        <w:tc>
          <w:tcPr>
            <w:tcW w:w="660" w:type="dxa"/>
            <w:vAlign w:val="bottom"/>
            <w:shd w:val="clear" w:color="auto" w:fill="000000"/>
          </w:tcPr>
          <w:p>
            <w:pPr>
              <w:spacing w:after="0"/>
              <w:rPr>
                <w:sz w:val="7"/>
                <w:szCs w:val="7"/>
                <w:color w:val="auto"/>
              </w:rPr>
            </w:pPr>
          </w:p>
        </w:tc>
      </w:tr>
      <w:tr>
        <w:trPr>
          <w:trHeight w:val="772"/>
        </w:trPr>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150</w:t>
            </w:r>
          </w:p>
        </w:tc>
        <w:tc>
          <w:tcPr>
            <w:tcW w:w="58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187"/>
        </w:trPr>
        <w:tc>
          <w:tcPr>
            <w:tcW w:w="4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w:t>
            </w:r>
          </w:p>
        </w:tc>
        <w:tc>
          <w:tcPr>
            <w:tcW w:w="5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183"/>
        </w:trPr>
        <w:tc>
          <w:tcPr>
            <w:tcW w:w="460" w:type="dxa"/>
            <w:vAlign w:val="bottom"/>
          </w:tcPr>
          <w:p>
            <w:pPr>
              <w:jc w:val="right"/>
              <w:ind w:right="279"/>
              <w:spacing w:after="0" w:line="183" w:lineRule="exact"/>
              <w:rPr>
                <w:sz w:val="20"/>
                <w:szCs w:val="20"/>
                <w:color w:val="auto"/>
              </w:rPr>
            </w:pPr>
            <w:r>
              <w:rPr>
                <w:rFonts w:ascii="Arial" w:cs="Arial" w:eastAsia="Arial" w:hAnsi="Arial"/>
                <w:sz w:val="16"/>
                <w:szCs w:val="16"/>
                <w:color w:val="auto"/>
                <w:w w:val="89"/>
              </w:rPr>
              <w:t>$</w:t>
            </w:r>
          </w:p>
        </w:tc>
        <w:tc>
          <w:tcPr>
            <w:tcW w:w="760" w:type="dxa"/>
            <w:vAlign w:val="bottom"/>
          </w:tcPr>
          <w:p>
            <w:pPr>
              <w:jc w:val="right"/>
              <w:ind w:right="39"/>
              <w:spacing w:after="0" w:line="183" w:lineRule="exact"/>
              <w:rPr>
                <w:sz w:val="20"/>
                <w:szCs w:val="20"/>
                <w:color w:val="auto"/>
              </w:rPr>
            </w:pPr>
            <w:r>
              <w:rPr>
                <w:rFonts w:ascii="Arial" w:cs="Arial" w:eastAsia="Arial" w:hAnsi="Arial"/>
                <w:sz w:val="16"/>
                <w:szCs w:val="16"/>
                <w:color w:val="auto"/>
              </w:rPr>
              <w:t>155</w:t>
            </w:r>
          </w:p>
        </w:tc>
        <w:tc>
          <w:tcPr>
            <w:tcW w:w="580" w:type="dxa"/>
            <w:vAlign w:val="bottom"/>
          </w:tcPr>
          <w:p>
            <w:pPr>
              <w:jc w:val="right"/>
              <w:ind w:right="299"/>
              <w:spacing w:after="0" w:line="183" w:lineRule="exact"/>
              <w:rPr>
                <w:sz w:val="20"/>
                <w:szCs w:val="20"/>
                <w:color w:val="auto"/>
              </w:rPr>
            </w:pPr>
            <w:r>
              <w:rPr>
                <w:rFonts w:ascii="Arial" w:cs="Arial" w:eastAsia="Arial" w:hAnsi="Arial"/>
                <w:sz w:val="16"/>
                <w:szCs w:val="16"/>
                <w:color w:val="auto"/>
              </w:rPr>
              <w:t>$</w:t>
            </w:r>
          </w:p>
        </w:tc>
        <w:tc>
          <w:tcPr>
            <w:tcW w:w="660" w:type="dxa"/>
            <w:vAlign w:val="bottom"/>
          </w:tcPr>
          <w:p>
            <w:pPr>
              <w:jc w:val="right"/>
              <w:spacing w:after="0" w:line="183" w:lineRule="exact"/>
              <w:rPr>
                <w:sz w:val="20"/>
                <w:szCs w:val="20"/>
                <w:color w:val="auto"/>
              </w:rPr>
            </w:pPr>
            <w:r>
              <w:rPr>
                <w:rFonts w:ascii="Arial" w:cs="Arial" w:eastAsia="Arial" w:hAnsi="Arial"/>
                <w:sz w:val="16"/>
                <w:szCs w:val="16"/>
                <w:color w:val="auto"/>
              </w:rPr>
              <w:t>12</w:t>
            </w:r>
          </w:p>
        </w:tc>
      </w:tr>
      <w:tr>
        <w:trPr>
          <w:trHeight w:val="81"/>
        </w:trPr>
        <w:tc>
          <w:tcPr>
            <w:tcW w:w="460" w:type="dxa"/>
            <w:vAlign w:val="bottom"/>
            <w:shd w:val="clear" w:color="auto" w:fill="000000"/>
          </w:tcPr>
          <w:p>
            <w:pPr>
              <w:spacing w:after="0"/>
              <w:rPr>
                <w:sz w:val="7"/>
                <w:szCs w:val="7"/>
                <w:color w:val="auto"/>
              </w:rPr>
            </w:pPr>
          </w:p>
        </w:tc>
        <w:tc>
          <w:tcPr>
            <w:tcW w:w="760" w:type="dxa"/>
            <w:vAlign w:val="bottom"/>
            <w:shd w:val="clear" w:color="auto" w:fill="000000"/>
          </w:tcPr>
          <w:p>
            <w:pPr>
              <w:spacing w:after="0"/>
              <w:rPr>
                <w:sz w:val="7"/>
                <w:szCs w:val="7"/>
                <w:color w:val="auto"/>
              </w:rPr>
            </w:pPr>
          </w:p>
        </w:tc>
        <w:tc>
          <w:tcPr>
            <w:tcW w:w="580" w:type="dxa"/>
            <w:vAlign w:val="bottom"/>
            <w:shd w:val="clear" w:color="auto" w:fill="000000"/>
          </w:tcPr>
          <w:p>
            <w:pPr>
              <w:spacing w:after="0"/>
              <w:rPr>
                <w:sz w:val="7"/>
                <w:szCs w:val="7"/>
                <w:color w:val="auto"/>
              </w:rPr>
            </w:pPr>
          </w:p>
        </w:tc>
        <w:tc>
          <w:tcPr>
            <w:tcW w:w="660" w:type="dxa"/>
            <w:vAlign w:val="bottom"/>
            <w:shd w:val="clear" w:color="auto" w:fill="000000"/>
          </w:tcPr>
          <w:p>
            <w:pPr>
              <w:spacing w:after="0"/>
              <w:rPr>
                <w:sz w:val="7"/>
                <w:szCs w:val="7"/>
                <w:color w:val="auto"/>
              </w:rPr>
            </w:pPr>
          </w:p>
        </w:tc>
      </w:tr>
    </w:tbl>
    <w:p>
      <w:pPr>
        <w:spacing w:after="0" w:line="191" w:lineRule="exact"/>
        <w:rPr>
          <w:sz w:val="20"/>
          <w:szCs w:val="20"/>
          <w:color w:val="auto"/>
        </w:rPr>
      </w:pPr>
    </w:p>
    <w:p>
      <w:pPr>
        <w:sectPr>
          <w:pgSz w:w="11900" w:h="16838" w:orient="portrait"/>
          <w:cols w:equalWidth="0" w:num="2">
            <w:col w:w="4900" w:space="720"/>
            <w:col w:w="4599"/>
          </w:cols>
          <w:pgMar w:left="240" w:top="378" w:right="1440" w:bottom="1440" w:gutter="0" w:footer="0" w:header="0"/>
          <w:type w:val="continuous"/>
        </w:sectPr>
      </w:pPr>
    </w:p>
    <w:p>
      <w:pPr>
        <w:ind w:left="180"/>
        <w:spacing w:after="0"/>
        <w:rPr>
          <w:sz w:val="20"/>
          <w:szCs w:val="20"/>
          <w:color w:val="auto"/>
        </w:rPr>
      </w:pPr>
      <w:r>
        <w:rPr>
          <w:rFonts w:ascii="Arial" w:cs="Arial" w:eastAsia="Arial" w:hAnsi="Arial"/>
          <w:sz w:val="16"/>
          <w:szCs w:val="16"/>
          <w:color w:val="auto"/>
        </w:rPr>
        <w:t>Due to affiliate</w:t>
      </w:r>
    </w:p>
    <w:p>
      <w:pPr>
        <w:spacing w:after="0" w:line="1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Due to SDG&amp;E</w:t>
      </w:r>
    </w:p>
    <w:p>
      <w:pPr>
        <w:spacing w:after="0" w:line="200" w:lineRule="exact"/>
        <w:rPr>
          <w:sz w:val="20"/>
          <w:szCs w:val="20"/>
          <w:color w:val="auto"/>
        </w:rPr>
      </w:pPr>
    </w:p>
    <w:p>
      <w:pPr>
        <w:spacing w:after="0" w:line="3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Income taxes due to (from) Sempra Energy(1)</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Noncurrent:</w:t>
      </w:r>
    </w:p>
    <w:p>
      <w:pPr>
        <w:spacing w:after="0" w:line="5" w:lineRule="exact"/>
        <w:rPr>
          <w:sz w:val="20"/>
          <w:szCs w:val="20"/>
          <w:color w:val="auto"/>
        </w:rPr>
      </w:pPr>
    </w:p>
    <w:p>
      <w:pPr>
        <w:ind w:left="360" w:hanging="179"/>
        <w:spacing w:after="0" w:line="366" w:lineRule="auto"/>
        <w:rPr>
          <w:sz w:val="20"/>
          <w:szCs w:val="20"/>
          <w:color w:val="auto"/>
        </w:rPr>
      </w:pPr>
      <w:r>
        <w:rPr>
          <w:rFonts w:ascii="Arial" w:cs="Arial" w:eastAsia="Arial" w:hAnsi="Arial"/>
          <w:sz w:val="16"/>
          <w:szCs w:val="16"/>
          <w:color w:val="auto"/>
        </w:rPr>
        <w:t>Promissory note due from Sempra Energy, variable rate based on short-term commercial paper rates (0.13% at March 31, 2010)</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SoCalGas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Current: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Due from Sempra Energy</w:t>
      </w:r>
    </w:p>
    <w:p>
      <w:pPr>
        <w:spacing w:after="0" w:line="27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Due to SDG&amp;E</w:t>
      </w:r>
    </w:p>
    <w:p>
      <w:pPr>
        <w:spacing w:after="0" w:line="20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Income taxes due to (from) Sempra Energy(1)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5128260" cy="514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28260" cy="514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84</w:t>
            </w:r>
          </w:p>
        </w:tc>
        <w:tc>
          <w:tcPr>
            <w:tcW w:w="5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187"/>
        </w:trPr>
        <w:tc>
          <w:tcPr>
            <w:tcW w:w="4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183"/>
        </w:trPr>
        <w:tc>
          <w:tcPr>
            <w:tcW w:w="460" w:type="dxa"/>
            <w:vAlign w:val="bottom"/>
          </w:tcPr>
          <w:p>
            <w:pPr>
              <w:jc w:val="right"/>
              <w:ind w:right="279"/>
              <w:spacing w:after="0" w:line="183" w:lineRule="exact"/>
              <w:rPr>
                <w:sz w:val="20"/>
                <w:szCs w:val="20"/>
                <w:color w:val="auto"/>
              </w:rPr>
            </w:pPr>
            <w:r>
              <w:rPr>
                <w:rFonts w:ascii="Arial" w:cs="Arial" w:eastAsia="Arial" w:hAnsi="Arial"/>
                <w:sz w:val="16"/>
                <w:szCs w:val="16"/>
                <w:color w:val="auto"/>
                <w:w w:val="89"/>
              </w:rPr>
              <w:t>$</w:t>
            </w:r>
          </w:p>
        </w:tc>
        <w:tc>
          <w:tcPr>
            <w:tcW w:w="760" w:type="dxa"/>
            <w:vAlign w:val="bottom"/>
          </w:tcPr>
          <w:p>
            <w:pPr>
              <w:jc w:val="right"/>
              <w:ind w:right="39"/>
              <w:spacing w:after="0" w:line="183" w:lineRule="exact"/>
              <w:rPr>
                <w:sz w:val="20"/>
                <w:szCs w:val="20"/>
                <w:color w:val="auto"/>
              </w:rPr>
            </w:pPr>
            <w:r>
              <w:rPr>
                <w:rFonts w:ascii="Arial" w:cs="Arial" w:eastAsia="Arial" w:hAnsi="Arial"/>
                <w:sz w:val="16"/>
                <w:szCs w:val="16"/>
                <w:color w:val="auto"/>
              </w:rPr>
              <w:t>84</w:t>
            </w:r>
          </w:p>
        </w:tc>
        <w:tc>
          <w:tcPr>
            <w:tcW w:w="560" w:type="dxa"/>
            <w:vAlign w:val="bottom"/>
          </w:tcPr>
          <w:p>
            <w:pPr>
              <w:jc w:val="right"/>
              <w:ind w:right="279"/>
              <w:spacing w:after="0" w:line="183" w:lineRule="exact"/>
              <w:rPr>
                <w:sz w:val="20"/>
                <w:szCs w:val="20"/>
                <w:color w:val="auto"/>
              </w:rPr>
            </w:pPr>
            <w:r>
              <w:rPr>
                <w:rFonts w:ascii="Arial" w:cs="Arial" w:eastAsia="Arial" w:hAnsi="Arial"/>
                <w:sz w:val="16"/>
                <w:szCs w:val="16"/>
                <w:color w:val="auto"/>
              </w:rPr>
              <w:t>$</w:t>
            </w:r>
          </w:p>
        </w:tc>
        <w:tc>
          <w:tcPr>
            <w:tcW w:w="680" w:type="dxa"/>
            <w:vAlign w:val="bottom"/>
          </w:tcPr>
          <w:p>
            <w:pPr>
              <w:jc w:val="right"/>
              <w:spacing w:after="0" w:line="183" w:lineRule="exact"/>
              <w:rPr>
                <w:sz w:val="20"/>
                <w:szCs w:val="20"/>
                <w:color w:val="auto"/>
              </w:rPr>
            </w:pPr>
            <w:r>
              <w:rPr>
                <w:rFonts w:ascii="Arial" w:cs="Arial" w:eastAsia="Arial" w:hAnsi="Arial"/>
                <w:sz w:val="16"/>
                <w:szCs w:val="16"/>
                <w:color w:val="auto"/>
              </w:rPr>
              <w:t>87</w:t>
            </w:r>
          </w:p>
        </w:tc>
      </w:tr>
      <w:tr>
        <w:trPr>
          <w:trHeight w:val="81"/>
        </w:trPr>
        <w:tc>
          <w:tcPr>
            <w:tcW w:w="460" w:type="dxa"/>
            <w:vAlign w:val="bottom"/>
            <w:shd w:val="clear" w:color="auto" w:fill="000000"/>
          </w:tcPr>
          <w:p>
            <w:pPr>
              <w:spacing w:after="0"/>
              <w:rPr>
                <w:sz w:val="7"/>
                <w:szCs w:val="7"/>
                <w:color w:val="auto"/>
              </w:rPr>
            </w:pPr>
          </w:p>
        </w:tc>
        <w:tc>
          <w:tcPr>
            <w:tcW w:w="760" w:type="dxa"/>
            <w:vAlign w:val="bottom"/>
            <w:shd w:val="clear" w:color="auto" w:fill="000000"/>
          </w:tcPr>
          <w:p>
            <w:pPr>
              <w:spacing w:after="0"/>
              <w:rPr>
                <w:sz w:val="7"/>
                <w:szCs w:val="7"/>
                <w:color w:val="auto"/>
              </w:rPr>
            </w:pPr>
          </w:p>
        </w:tc>
        <w:tc>
          <w:tcPr>
            <w:tcW w:w="560" w:type="dxa"/>
            <w:vAlign w:val="bottom"/>
            <w:shd w:val="clear" w:color="auto" w:fill="000000"/>
          </w:tcPr>
          <w:p>
            <w:pPr>
              <w:spacing w:after="0"/>
              <w:rPr>
                <w:sz w:val="7"/>
                <w:szCs w:val="7"/>
                <w:color w:val="auto"/>
              </w:rPr>
            </w:pPr>
          </w:p>
        </w:tc>
        <w:tc>
          <w:tcPr>
            <w:tcW w:w="680" w:type="dxa"/>
            <w:vAlign w:val="bottom"/>
            <w:shd w:val="clear" w:color="auto" w:fill="000000"/>
          </w:tcPr>
          <w:p>
            <w:pPr>
              <w:spacing w:after="0"/>
              <w:rPr>
                <w:sz w:val="7"/>
                <w:szCs w:val="7"/>
                <w:color w:val="auto"/>
              </w:rPr>
            </w:pPr>
          </w:p>
        </w:tc>
      </w:tr>
      <w:tr>
        <w:trPr>
          <w:trHeight w:val="392"/>
        </w:trPr>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57</w:t>
            </w:r>
          </w:p>
        </w:tc>
        <w:tc>
          <w:tcPr>
            <w:tcW w:w="5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81"/>
        </w:trPr>
        <w:tc>
          <w:tcPr>
            <w:tcW w:w="460" w:type="dxa"/>
            <w:vAlign w:val="bottom"/>
            <w:shd w:val="clear" w:color="auto" w:fill="000000"/>
          </w:tcPr>
          <w:p>
            <w:pPr>
              <w:spacing w:after="0"/>
              <w:rPr>
                <w:sz w:val="7"/>
                <w:szCs w:val="7"/>
                <w:color w:val="auto"/>
              </w:rPr>
            </w:pPr>
          </w:p>
        </w:tc>
        <w:tc>
          <w:tcPr>
            <w:tcW w:w="760" w:type="dxa"/>
            <w:vAlign w:val="bottom"/>
            <w:shd w:val="clear" w:color="auto" w:fill="000000"/>
          </w:tcPr>
          <w:p>
            <w:pPr>
              <w:spacing w:after="0"/>
              <w:rPr>
                <w:sz w:val="7"/>
                <w:szCs w:val="7"/>
                <w:color w:val="auto"/>
              </w:rPr>
            </w:pPr>
          </w:p>
        </w:tc>
        <w:tc>
          <w:tcPr>
            <w:tcW w:w="560" w:type="dxa"/>
            <w:vAlign w:val="bottom"/>
            <w:shd w:val="clear" w:color="auto" w:fill="000000"/>
          </w:tcPr>
          <w:p>
            <w:pPr>
              <w:spacing w:after="0"/>
              <w:rPr>
                <w:sz w:val="7"/>
                <w:szCs w:val="7"/>
                <w:color w:val="auto"/>
              </w:rPr>
            </w:pPr>
          </w:p>
        </w:tc>
        <w:tc>
          <w:tcPr>
            <w:tcW w:w="680" w:type="dxa"/>
            <w:vAlign w:val="bottom"/>
            <w:shd w:val="clear" w:color="auto" w:fill="000000"/>
          </w:tcPr>
          <w:p>
            <w:pPr>
              <w:spacing w:after="0"/>
              <w:rPr>
                <w:sz w:val="7"/>
                <w:szCs w:val="7"/>
                <w:color w:val="auto"/>
              </w:rPr>
            </w:pPr>
          </w:p>
        </w:tc>
      </w:tr>
      <w:tr>
        <w:trPr>
          <w:trHeight w:val="770"/>
        </w:trPr>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507</w:t>
            </w:r>
          </w:p>
        </w:tc>
        <w:tc>
          <w:tcPr>
            <w:tcW w:w="5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513</w:t>
            </w:r>
          </w:p>
        </w:tc>
      </w:tr>
      <w:tr>
        <w:trPr>
          <w:trHeight w:val="81"/>
        </w:trPr>
        <w:tc>
          <w:tcPr>
            <w:tcW w:w="460" w:type="dxa"/>
            <w:vAlign w:val="bottom"/>
            <w:shd w:val="clear" w:color="auto" w:fill="000000"/>
          </w:tcPr>
          <w:p>
            <w:pPr>
              <w:spacing w:after="0"/>
              <w:rPr>
                <w:sz w:val="7"/>
                <w:szCs w:val="7"/>
                <w:color w:val="auto"/>
              </w:rPr>
            </w:pPr>
          </w:p>
        </w:tc>
        <w:tc>
          <w:tcPr>
            <w:tcW w:w="760" w:type="dxa"/>
            <w:vAlign w:val="bottom"/>
            <w:shd w:val="clear" w:color="auto" w:fill="000000"/>
          </w:tcPr>
          <w:p>
            <w:pPr>
              <w:spacing w:after="0"/>
              <w:rPr>
                <w:sz w:val="7"/>
                <w:szCs w:val="7"/>
                <w:color w:val="auto"/>
              </w:rPr>
            </w:pPr>
          </w:p>
        </w:tc>
        <w:tc>
          <w:tcPr>
            <w:tcW w:w="560" w:type="dxa"/>
            <w:vAlign w:val="bottom"/>
            <w:shd w:val="clear" w:color="auto" w:fill="000000"/>
          </w:tcPr>
          <w:p>
            <w:pPr>
              <w:spacing w:after="0"/>
              <w:rPr>
                <w:sz w:val="7"/>
                <w:szCs w:val="7"/>
                <w:color w:val="auto"/>
              </w:rPr>
            </w:pPr>
          </w:p>
        </w:tc>
        <w:tc>
          <w:tcPr>
            <w:tcW w:w="680" w:type="dxa"/>
            <w:vAlign w:val="bottom"/>
            <w:shd w:val="clear" w:color="auto" w:fill="000000"/>
          </w:tcPr>
          <w:p>
            <w:pPr>
              <w:spacing w:after="0"/>
              <w:rPr>
                <w:sz w:val="7"/>
                <w:szCs w:val="7"/>
                <w:color w:val="auto"/>
              </w:rPr>
            </w:pPr>
          </w:p>
        </w:tc>
      </w:tr>
      <w:tr>
        <w:trPr>
          <w:trHeight w:val="770"/>
        </w:trPr>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150</w:t>
            </w:r>
          </w:p>
        </w:tc>
        <w:tc>
          <w:tcPr>
            <w:tcW w:w="5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81"/>
        </w:trPr>
        <w:tc>
          <w:tcPr>
            <w:tcW w:w="460" w:type="dxa"/>
            <w:vAlign w:val="bottom"/>
            <w:shd w:val="clear" w:color="auto" w:fill="000000"/>
          </w:tcPr>
          <w:p>
            <w:pPr>
              <w:spacing w:after="0"/>
              <w:rPr>
                <w:sz w:val="7"/>
                <w:szCs w:val="7"/>
                <w:color w:val="auto"/>
              </w:rPr>
            </w:pPr>
          </w:p>
        </w:tc>
        <w:tc>
          <w:tcPr>
            <w:tcW w:w="760" w:type="dxa"/>
            <w:vAlign w:val="bottom"/>
            <w:shd w:val="clear" w:color="auto" w:fill="000000"/>
          </w:tcPr>
          <w:p>
            <w:pPr>
              <w:spacing w:after="0"/>
              <w:rPr>
                <w:sz w:val="7"/>
                <w:szCs w:val="7"/>
                <w:color w:val="auto"/>
              </w:rPr>
            </w:pPr>
          </w:p>
        </w:tc>
        <w:tc>
          <w:tcPr>
            <w:tcW w:w="560" w:type="dxa"/>
            <w:vAlign w:val="bottom"/>
            <w:shd w:val="clear" w:color="auto" w:fill="000000"/>
          </w:tcPr>
          <w:p>
            <w:pPr>
              <w:spacing w:after="0"/>
              <w:rPr>
                <w:sz w:val="7"/>
                <w:szCs w:val="7"/>
                <w:color w:val="auto"/>
              </w:rPr>
            </w:pPr>
          </w:p>
        </w:tc>
        <w:tc>
          <w:tcPr>
            <w:tcW w:w="680" w:type="dxa"/>
            <w:vAlign w:val="bottom"/>
            <w:shd w:val="clear" w:color="auto" w:fill="000000"/>
          </w:tcPr>
          <w:p>
            <w:pPr>
              <w:spacing w:after="0"/>
              <w:rPr>
                <w:sz w:val="7"/>
                <w:szCs w:val="7"/>
                <w:color w:val="auto"/>
              </w:rPr>
            </w:pPr>
          </w:p>
        </w:tc>
      </w:tr>
      <w:tr>
        <w:trPr>
          <w:trHeight w:val="378"/>
        </w:trPr>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81"/>
        </w:trPr>
        <w:tc>
          <w:tcPr>
            <w:tcW w:w="460" w:type="dxa"/>
            <w:vAlign w:val="bottom"/>
            <w:shd w:val="clear" w:color="auto" w:fill="000000"/>
          </w:tcPr>
          <w:p>
            <w:pPr>
              <w:spacing w:after="0"/>
              <w:rPr>
                <w:sz w:val="7"/>
                <w:szCs w:val="7"/>
                <w:color w:val="auto"/>
              </w:rPr>
            </w:pPr>
          </w:p>
        </w:tc>
        <w:tc>
          <w:tcPr>
            <w:tcW w:w="760" w:type="dxa"/>
            <w:vAlign w:val="bottom"/>
            <w:shd w:val="clear" w:color="auto" w:fill="000000"/>
          </w:tcPr>
          <w:p>
            <w:pPr>
              <w:spacing w:after="0"/>
              <w:rPr>
                <w:sz w:val="7"/>
                <w:szCs w:val="7"/>
                <w:color w:val="auto"/>
              </w:rPr>
            </w:pPr>
          </w:p>
        </w:tc>
        <w:tc>
          <w:tcPr>
            <w:tcW w:w="560" w:type="dxa"/>
            <w:vAlign w:val="bottom"/>
            <w:shd w:val="clear" w:color="auto" w:fill="000000"/>
          </w:tcPr>
          <w:p>
            <w:pPr>
              <w:spacing w:after="0"/>
              <w:rPr>
                <w:sz w:val="7"/>
                <w:szCs w:val="7"/>
                <w:color w:val="auto"/>
              </w:rPr>
            </w:pPr>
          </w:p>
        </w:tc>
        <w:tc>
          <w:tcPr>
            <w:tcW w:w="680" w:type="dxa"/>
            <w:vAlign w:val="bottom"/>
            <w:shd w:val="clear" w:color="auto" w:fill="000000"/>
          </w:tcPr>
          <w:p>
            <w:pPr>
              <w:spacing w:after="0"/>
              <w:rPr>
                <w:sz w:val="7"/>
                <w:szCs w:val="7"/>
                <w:color w:val="auto"/>
              </w:rPr>
            </w:pPr>
          </w:p>
        </w:tc>
      </w:tr>
      <w:tr>
        <w:trPr>
          <w:trHeight w:val="399"/>
        </w:trPr>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61</w:t>
            </w:r>
          </w:p>
        </w:tc>
        <w:tc>
          <w:tcPr>
            <w:tcW w:w="5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w:t>
            </w:r>
          </w:p>
        </w:tc>
      </w:tr>
    </w:tbl>
    <w:p>
      <w:pPr>
        <w:spacing w:after="0" w:line="64" w:lineRule="exact"/>
        <w:rPr>
          <w:sz w:val="20"/>
          <w:szCs w:val="20"/>
          <w:color w:val="auto"/>
        </w:rPr>
      </w:pPr>
    </w:p>
    <w:p>
      <w:pPr>
        <w:sectPr>
          <w:pgSz w:w="11900" w:h="16838" w:orient="portrait"/>
          <w:cols w:equalWidth="0" w:num="2">
            <w:col w:w="4900" w:space="720"/>
            <w:col w:w="4599"/>
          </w:cols>
          <w:pgMar w:left="240" w:top="378" w:right="1440" w:bottom="1440" w:gutter="0" w:footer="0" w:header="0"/>
          <w:type w:val="continuous"/>
        </w:sectPr>
      </w:pPr>
    </w:p>
    <w:p>
      <w:pPr>
        <w:ind w:left="360" w:right="2499" w:hanging="352"/>
        <w:spacing w:after="0" w:line="260" w:lineRule="auto"/>
        <w:tabs>
          <w:tab w:leader="none" w:pos="360"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SDG&amp;E, PE and SoCalGas are included in the consolidated income tax return of Sempra Energy and are allocated income tax expense from Sempra Energy in an amount equal to that which would result from the companies' having always filed a separate return.</w:t>
      </w:r>
    </w:p>
    <w:p>
      <w:pPr>
        <w:sectPr>
          <w:pgSz w:w="11900" w:h="16838" w:orient="portrait"/>
          <w:cols w:equalWidth="0" w:num="1">
            <w:col w:w="10219"/>
          </w:cols>
          <w:pgMar w:left="240" w:top="378" w:right="1440"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22"/>
          <w:szCs w:val="22"/>
          <w:color w:val="auto"/>
        </w:rPr>
        <w:t>Revenues from unconsolidated affiliates at the Sempra Utilities are as follows:</w:t>
      </w: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REVENUES FROM UNCONSOLIDATED AFFILIATES AT THE SEMPRA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4202430" cy="2317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20243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Three months ended March 31,</w:t>
            </w:r>
          </w:p>
        </w:tc>
        <w:tc>
          <w:tcPr>
            <w:tcW w:w="140" w:type="dxa"/>
            <w:vAlign w:val="bottom"/>
            <w:tcBorders>
              <w:bottom w:val="single" w:sz="8" w:color="auto"/>
            </w:tcBorders>
          </w:tcPr>
          <w:p>
            <w:pPr>
              <w:spacing w:after="0"/>
              <w:rPr>
                <w:sz w:val="14"/>
                <w:szCs w:val="14"/>
                <w:color w:val="auto"/>
              </w:rPr>
            </w:pPr>
          </w:p>
        </w:tc>
      </w:tr>
      <w:tr>
        <w:trPr>
          <w:trHeight w:val="183"/>
        </w:trPr>
        <w:tc>
          <w:tcPr>
            <w:tcW w:w="254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color w:val="auto"/>
              </w:rPr>
              <w:t>2010</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color w:val="auto"/>
              </w:rPr>
              <w:t>2009</w:t>
            </w:r>
          </w:p>
        </w:tc>
        <w:tc>
          <w:tcPr>
            <w:tcW w:w="140" w:type="dxa"/>
            <w:vAlign w:val="bottom"/>
            <w:tcBorders>
              <w:bottom w:val="single" w:sz="8" w:color="auto"/>
            </w:tcBorders>
          </w:tcPr>
          <w:p>
            <w:pPr>
              <w:spacing w:after="0"/>
              <w:rPr>
                <w:sz w:val="15"/>
                <w:szCs w:val="15"/>
                <w:color w:val="auto"/>
              </w:rPr>
            </w:pPr>
          </w:p>
        </w:tc>
      </w:tr>
      <w:tr>
        <w:trPr>
          <w:trHeight w:val="184"/>
        </w:trPr>
        <w:tc>
          <w:tcPr>
            <w:tcW w:w="2540" w:type="dxa"/>
            <w:vAlign w:val="bottom"/>
          </w:tcPr>
          <w:p>
            <w:pPr>
              <w:spacing w:after="0"/>
              <w:rPr>
                <w:sz w:val="20"/>
                <w:szCs w:val="20"/>
                <w:color w:val="auto"/>
              </w:rPr>
            </w:pPr>
            <w:r>
              <w:rPr>
                <w:rFonts w:ascii="Arial" w:cs="Arial" w:eastAsia="Arial" w:hAnsi="Arial"/>
                <w:sz w:val="16"/>
                <w:szCs w:val="16"/>
                <w:color w:val="auto"/>
              </w:rPr>
              <w:t>SDG&amp;E</w:t>
            </w:r>
          </w:p>
        </w:tc>
        <w:tc>
          <w:tcPr>
            <w:tcW w:w="2620" w:type="dxa"/>
            <w:vAlign w:val="bottom"/>
            <w:gridSpan w:val="2"/>
          </w:tcPr>
          <w:p>
            <w:pPr>
              <w:jc w:val="right"/>
              <w:ind w:right="648"/>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1</w:t>
            </w:r>
          </w:p>
        </w:tc>
        <w:tc>
          <w:tcPr>
            <w:tcW w:w="1020" w:type="dxa"/>
            <w:vAlign w:val="bottom"/>
          </w:tcPr>
          <w:p>
            <w:pPr>
              <w:jc w:val="right"/>
              <w:ind w:right="843"/>
              <w:spacing w:after="0"/>
              <w:rPr>
                <w:sz w:val="20"/>
                <w:szCs w:val="20"/>
                <w:color w:val="auto"/>
              </w:rPr>
            </w:pPr>
            <w:r>
              <w:rPr>
                <w:rFonts w:ascii="Arial" w:cs="Arial" w:eastAsia="Arial" w:hAnsi="Arial"/>
                <w:sz w:val="16"/>
                <w:szCs w:val="16"/>
                <w:color w:val="auto"/>
                <w:w w:val="89"/>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2</w:t>
            </w:r>
          </w:p>
        </w:tc>
      </w:tr>
      <w:tr>
        <w:trPr>
          <w:trHeight w:val="187"/>
        </w:trPr>
        <w:tc>
          <w:tcPr>
            <w:tcW w:w="2540" w:type="dxa"/>
            <w:vAlign w:val="bottom"/>
          </w:tcPr>
          <w:p>
            <w:pPr>
              <w:spacing w:after="0"/>
              <w:rPr>
                <w:sz w:val="20"/>
                <w:szCs w:val="20"/>
                <w:color w:val="auto"/>
              </w:rPr>
            </w:pPr>
            <w:r>
              <w:rPr>
                <w:rFonts w:ascii="Arial" w:cs="Arial" w:eastAsia="Arial" w:hAnsi="Arial"/>
                <w:sz w:val="16"/>
                <w:szCs w:val="16"/>
                <w:color w:val="auto"/>
              </w:rPr>
              <w:t>SoCalGas</w:t>
            </w:r>
          </w:p>
        </w:tc>
        <w:tc>
          <w:tcPr>
            <w:tcW w:w="1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11</w:t>
            </w:r>
          </w:p>
        </w:tc>
        <w:tc>
          <w:tcPr>
            <w:tcW w:w="10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8</w:t>
            </w:r>
          </w:p>
        </w:tc>
      </w:tr>
      <w:tr>
        <w:trPr>
          <w:trHeight w:val="81"/>
        </w:trPr>
        <w:tc>
          <w:tcPr>
            <w:tcW w:w="2540" w:type="dxa"/>
            <w:vAlign w:val="bottom"/>
            <w:shd w:val="clear" w:color="auto" w:fill="DFDFDF"/>
          </w:tcPr>
          <w:p>
            <w:pPr>
              <w:spacing w:after="0"/>
              <w:rPr>
                <w:sz w:val="7"/>
                <w:szCs w:val="7"/>
                <w:color w:val="auto"/>
              </w:rPr>
            </w:pPr>
          </w:p>
        </w:tc>
        <w:tc>
          <w:tcPr>
            <w:tcW w:w="1800" w:type="dxa"/>
            <w:vAlign w:val="bottom"/>
            <w:shd w:val="clear" w:color="auto" w:fill="DFDFDF"/>
          </w:tcPr>
          <w:p>
            <w:pPr>
              <w:spacing w:after="0"/>
              <w:rPr>
                <w:sz w:val="7"/>
                <w:szCs w:val="7"/>
                <w:color w:val="auto"/>
              </w:rPr>
            </w:pPr>
          </w:p>
        </w:tc>
        <w:tc>
          <w:tcPr>
            <w:tcW w:w="820" w:type="dxa"/>
            <w:vAlign w:val="bottom"/>
            <w:shd w:val="clear" w:color="auto" w:fill="DFDFDF"/>
          </w:tcPr>
          <w:p>
            <w:pPr>
              <w:spacing w:after="0"/>
              <w:rPr>
                <w:sz w:val="7"/>
                <w:szCs w:val="7"/>
                <w:color w:val="auto"/>
              </w:rPr>
            </w:pPr>
          </w:p>
        </w:tc>
        <w:tc>
          <w:tcPr>
            <w:tcW w:w="300" w:type="dxa"/>
            <w:vAlign w:val="bottom"/>
            <w:shd w:val="clear" w:color="auto" w:fill="DFDFDF"/>
          </w:tcPr>
          <w:p>
            <w:pPr>
              <w:spacing w:after="0"/>
              <w:rPr>
                <w:sz w:val="7"/>
                <w:szCs w:val="7"/>
                <w:color w:val="auto"/>
              </w:rPr>
            </w:pPr>
          </w:p>
        </w:tc>
        <w:tc>
          <w:tcPr>
            <w:tcW w:w="1020" w:type="dxa"/>
            <w:vAlign w:val="bottom"/>
            <w:shd w:val="clear" w:color="auto" w:fill="DFDFDF"/>
          </w:tcPr>
          <w:p>
            <w:pPr>
              <w:spacing w:after="0"/>
              <w:rPr>
                <w:sz w:val="7"/>
                <w:szCs w:val="7"/>
                <w:color w:val="auto"/>
              </w:rPr>
            </w:pPr>
          </w:p>
        </w:tc>
        <w:tc>
          <w:tcPr>
            <w:tcW w:w="140" w:type="dxa"/>
            <w:vAlign w:val="bottom"/>
            <w:shd w:val="clear" w:color="auto" w:fill="DFDFDF"/>
          </w:tcPr>
          <w:p>
            <w:pPr>
              <w:spacing w:after="0"/>
              <w:rPr>
                <w:sz w:val="7"/>
                <w:szCs w:val="7"/>
                <w:color w:val="auto"/>
              </w:rPr>
            </w:pP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Transactions with RBS Sempra Commodities</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Several of our business units engage in transactions with RBS Sempra Commodities. Amounts in our</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Condensed Consolidated Financial Statements related to these transactions are as follows:</w:t>
      </w:r>
    </w:p>
    <w:p>
      <w:pPr>
        <w:sectPr>
          <w:pgSz w:w="11900" w:h="16838" w:orient="portrait"/>
          <w:cols w:equalWidth="0" w:num="1">
            <w:col w:w="10219"/>
          </w:cols>
          <w:pgMar w:left="240" w:top="104" w:right="1440"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color w:val="auto"/>
        </w:rPr>
        <w:t>AMOUNTS RECORDED FOR TRANSACTIONS WITH RBS SEMPRA COMMODITIES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5076825" cy="2317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076825"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80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color w:val="auto"/>
              </w:rPr>
              <w:t>Three months ended March 31,</w:t>
            </w:r>
          </w:p>
        </w:tc>
        <w:tc>
          <w:tcPr>
            <w:tcW w:w="0" w:type="dxa"/>
            <w:vAlign w:val="bottom"/>
          </w:tcPr>
          <w:p>
            <w:pPr>
              <w:spacing w:after="0"/>
              <w:rPr>
                <w:sz w:val="1"/>
                <w:szCs w:val="1"/>
                <w:color w:val="auto"/>
              </w:rPr>
            </w:pPr>
          </w:p>
        </w:tc>
      </w:tr>
      <w:tr>
        <w:trPr>
          <w:trHeight w:val="183"/>
        </w:trPr>
        <w:tc>
          <w:tcPr>
            <w:tcW w:w="5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color w:val="auto"/>
              </w:rPr>
              <w:t>2010</w:t>
            </w:r>
          </w:p>
        </w:tc>
        <w:tc>
          <w:tcPr>
            <w:tcW w:w="3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2009</w:t>
            </w:r>
          </w:p>
        </w:tc>
        <w:tc>
          <w:tcPr>
            <w:tcW w:w="0" w:type="dxa"/>
            <w:vAlign w:val="bottom"/>
          </w:tcPr>
          <w:p>
            <w:pPr>
              <w:spacing w:after="0"/>
              <w:rPr>
                <w:sz w:val="1"/>
                <w:szCs w:val="1"/>
                <w:color w:val="auto"/>
              </w:rPr>
            </w:pPr>
          </w:p>
        </w:tc>
      </w:tr>
      <w:tr>
        <w:trPr>
          <w:trHeight w:val="184"/>
        </w:trPr>
        <w:tc>
          <w:tcPr>
            <w:tcW w:w="5200" w:type="dxa"/>
            <w:vAlign w:val="bottom"/>
          </w:tcPr>
          <w:p>
            <w:pPr>
              <w:spacing w:after="0"/>
              <w:rPr>
                <w:sz w:val="20"/>
                <w:szCs w:val="20"/>
                <w:color w:val="auto"/>
              </w:rPr>
            </w:pPr>
            <w:r>
              <w:rPr>
                <w:rFonts w:ascii="Arial" w:cs="Arial" w:eastAsia="Arial" w:hAnsi="Arial"/>
                <w:sz w:val="16"/>
                <w:szCs w:val="16"/>
                <w:color w:val="auto"/>
              </w:rPr>
              <w:t>Revenues:</w:t>
            </w: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200" w:type="dxa"/>
            <w:vAlign w:val="bottom"/>
          </w:tcPr>
          <w:p>
            <w:pPr>
              <w:ind w:left="180"/>
              <w:spacing w:after="0"/>
              <w:rPr>
                <w:sz w:val="20"/>
                <w:szCs w:val="20"/>
                <w:color w:val="auto"/>
              </w:rPr>
            </w:pPr>
            <w:r>
              <w:rPr>
                <w:rFonts w:ascii="Arial" w:cs="Arial" w:eastAsia="Arial" w:hAnsi="Arial"/>
                <w:sz w:val="16"/>
                <w:szCs w:val="16"/>
                <w:color w:val="auto"/>
              </w:rPr>
              <w:t>Sempra LNG(1)</w:t>
            </w:r>
          </w:p>
        </w:tc>
        <w:tc>
          <w:tcPr>
            <w:tcW w:w="960" w:type="dxa"/>
            <w:vAlign w:val="bottom"/>
          </w:tcPr>
          <w:p>
            <w:pPr>
              <w:jc w:val="right"/>
              <w:ind w:right="782"/>
              <w:spacing w:after="0"/>
              <w:rPr>
                <w:sz w:val="20"/>
                <w:szCs w:val="20"/>
                <w:color w:val="auto"/>
              </w:rPr>
            </w:pPr>
            <w:r>
              <w:rPr>
                <w:rFonts w:ascii="Arial" w:cs="Arial" w:eastAsia="Arial" w:hAnsi="Arial"/>
                <w:sz w:val="16"/>
                <w:szCs w:val="16"/>
                <w:color w:val="auto"/>
                <w:w w:val="89"/>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73</w:t>
            </w:r>
          </w:p>
        </w:tc>
        <w:tc>
          <w:tcPr>
            <w:tcW w:w="4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3"/>
        </w:trPr>
        <w:tc>
          <w:tcPr>
            <w:tcW w:w="5200" w:type="dxa"/>
            <w:vAlign w:val="bottom"/>
          </w:tcPr>
          <w:p>
            <w:pPr>
              <w:ind w:left="180"/>
              <w:spacing w:after="0"/>
              <w:rPr>
                <w:sz w:val="20"/>
                <w:szCs w:val="20"/>
                <w:color w:val="auto"/>
              </w:rPr>
            </w:pPr>
            <w:r>
              <w:rPr>
                <w:rFonts w:ascii="Arial" w:cs="Arial" w:eastAsia="Arial" w:hAnsi="Arial"/>
                <w:sz w:val="16"/>
                <w:szCs w:val="16"/>
                <w:color w:val="auto"/>
              </w:rPr>
              <w:t>Sempra Commodities</w:t>
            </w:r>
          </w:p>
        </w:tc>
        <w:tc>
          <w:tcPr>
            <w:tcW w:w="96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6</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3"/>
        </w:trPr>
        <w:tc>
          <w:tcPr>
            <w:tcW w:w="5200" w:type="dxa"/>
            <w:vAlign w:val="bottom"/>
          </w:tcPr>
          <w:p>
            <w:pPr>
              <w:ind w:left="180"/>
              <w:spacing w:after="0"/>
              <w:rPr>
                <w:sz w:val="20"/>
                <w:szCs w:val="20"/>
                <w:color w:val="auto"/>
              </w:rPr>
            </w:pPr>
            <w:r>
              <w:rPr>
                <w:rFonts w:ascii="Arial" w:cs="Arial" w:eastAsia="Arial" w:hAnsi="Arial"/>
                <w:sz w:val="16"/>
                <w:szCs w:val="16"/>
                <w:color w:val="auto"/>
              </w:rPr>
              <w:t>SoCalGas</w:t>
            </w:r>
          </w:p>
        </w:tc>
        <w:tc>
          <w:tcPr>
            <w:tcW w:w="96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4</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5"/>
        </w:trPr>
        <w:tc>
          <w:tcPr>
            <w:tcW w:w="5200" w:type="dxa"/>
            <w:vAlign w:val="bottom"/>
          </w:tcPr>
          <w:p>
            <w:pPr>
              <w:ind w:left="180"/>
              <w:spacing w:after="0"/>
              <w:rPr>
                <w:sz w:val="20"/>
                <w:szCs w:val="20"/>
                <w:color w:val="auto"/>
              </w:rPr>
            </w:pPr>
            <w:r>
              <w:rPr>
                <w:rFonts w:ascii="Arial" w:cs="Arial" w:eastAsia="Arial" w:hAnsi="Arial"/>
                <w:sz w:val="16"/>
                <w:szCs w:val="16"/>
                <w:color w:val="auto"/>
              </w:rPr>
              <w:t>Sempra Generation</w:t>
            </w:r>
          </w:p>
        </w:tc>
        <w:tc>
          <w:tcPr>
            <w:tcW w:w="9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3"/>
        </w:trPr>
        <w:tc>
          <w:tcPr>
            <w:tcW w:w="5200" w:type="dxa"/>
            <w:vAlign w:val="bottom"/>
            <w:vMerge w:val="restart"/>
          </w:tcPr>
          <w:p>
            <w:pPr>
              <w:ind w:left="360"/>
              <w:spacing w:after="0"/>
              <w:rPr>
                <w:sz w:val="20"/>
                <w:szCs w:val="20"/>
                <w:color w:val="auto"/>
              </w:rPr>
            </w:pPr>
            <w:r>
              <w:rPr>
                <w:rFonts w:ascii="Arial" w:cs="Arial" w:eastAsia="Arial" w:hAnsi="Arial"/>
                <w:sz w:val="16"/>
                <w:szCs w:val="16"/>
                <w:color w:val="auto"/>
              </w:rPr>
              <w:t>Total revenues</w:t>
            </w:r>
          </w:p>
        </w:tc>
        <w:tc>
          <w:tcPr>
            <w:tcW w:w="960" w:type="dxa"/>
            <w:vAlign w:val="bottom"/>
          </w:tcPr>
          <w:p>
            <w:pPr>
              <w:jc w:val="right"/>
              <w:ind w:right="782"/>
              <w:spacing w:after="0" w:line="183" w:lineRule="exact"/>
              <w:rPr>
                <w:sz w:val="20"/>
                <w:szCs w:val="20"/>
                <w:color w:val="auto"/>
              </w:rPr>
            </w:pPr>
            <w:r>
              <w:rPr>
                <w:rFonts w:ascii="Arial" w:cs="Arial" w:eastAsia="Arial" w:hAnsi="Arial"/>
                <w:sz w:val="16"/>
                <w:szCs w:val="16"/>
                <w:color w:val="auto"/>
                <w:w w:val="89"/>
              </w:rPr>
              <w:t>$</w:t>
            </w:r>
          </w:p>
        </w:tc>
        <w:tc>
          <w:tcPr>
            <w:tcW w:w="320" w:type="dxa"/>
            <w:vAlign w:val="bottom"/>
          </w:tcPr>
          <w:p>
            <w:pPr>
              <w:jc w:val="right"/>
              <w:spacing w:after="0" w:line="183" w:lineRule="exact"/>
              <w:rPr>
                <w:sz w:val="20"/>
                <w:szCs w:val="20"/>
                <w:color w:val="auto"/>
              </w:rPr>
            </w:pPr>
            <w:r>
              <w:rPr>
                <w:rFonts w:ascii="Arial" w:cs="Arial" w:eastAsia="Arial" w:hAnsi="Arial"/>
                <w:sz w:val="16"/>
                <w:szCs w:val="16"/>
                <w:color w:val="auto"/>
              </w:rPr>
              <w:t>86</w:t>
            </w:r>
          </w:p>
        </w:tc>
        <w:tc>
          <w:tcPr>
            <w:tcW w:w="40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1120" w:type="dxa"/>
            <w:vAlign w:val="bottom"/>
          </w:tcPr>
          <w:p>
            <w:pPr>
              <w:jc w:val="right"/>
              <w:spacing w:after="0" w:line="183" w:lineRule="exact"/>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81"/>
        </w:trPr>
        <w:tc>
          <w:tcPr>
            <w:tcW w:w="5200" w:type="dxa"/>
            <w:vAlign w:val="bottom"/>
            <w:vMerge w:val="continue"/>
          </w:tcPr>
          <w:p>
            <w:pPr>
              <w:spacing w:after="0"/>
              <w:rPr>
                <w:sz w:val="7"/>
                <w:szCs w:val="7"/>
                <w:color w:val="auto"/>
              </w:rPr>
            </w:pPr>
          </w:p>
        </w:tc>
        <w:tc>
          <w:tcPr>
            <w:tcW w:w="96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shd w:val="clear" w:color="auto" w:fill="000000"/>
          </w:tcPr>
          <w:p>
            <w:pPr>
              <w:spacing w:after="0"/>
              <w:rPr>
                <w:sz w:val="7"/>
                <w:szCs w:val="7"/>
                <w:color w:val="auto"/>
              </w:rPr>
            </w:pPr>
          </w:p>
        </w:tc>
        <w:tc>
          <w:tcPr>
            <w:tcW w:w="11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380"/>
        </w:trPr>
        <w:tc>
          <w:tcPr>
            <w:tcW w:w="5200" w:type="dxa"/>
            <w:vAlign w:val="bottom"/>
          </w:tcPr>
          <w:p>
            <w:pPr>
              <w:spacing w:after="0"/>
              <w:rPr>
                <w:sz w:val="20"/>
                <w:szCs w:val="20"/>
                <w:color w:val="auto"/>
              </w:rPr>
            </w:pPr>
            <w:r>
              <w:rPr>
                <w:rFonts w:ascii="Arial" w:cs="Arial" w:eastAsia="Arial" w:hAnsi="Arial"/>
                <w:sz w:val="16"/>
                <w:szCs w:val="16"/>
                <w:color w:val="auto"/>
              </w:rPr>
              <w:t>Cost of natural gas:</w:t>
            </w: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200" w:type="dxa"/>
            <w:vAlign w:val="bottom"/>
          </w:tcPr>
          <w:p>
            <w:pPr>
              <w:ind w:left="180"/>
              <w:spacing w:after="0"/>
              <w:rPr>
                <w:sz w:val="20"/>
                <w:szCs w:val="20"/>
                <w:color w:val="auto"/>
              </w:rPr>
            </w:pPr>
            <w:r>
              <w:rPr>
                <w:rFonts w:ascii="Arial" w:cs="Arial" w:eastAsia="Arial" w:hAnsi="Arial"/>
                <w:sz w:val="16"/>
                <w:szCs w:val="16"/>
                <w:color w:val="auto"/>
              </w:rPr>
              <w:t>Sempra LNG</w:t>
            </w:r>
          </w:p>
        </w:tc>
        <w:tc>
          <w:tcPr>
            <w:tcW w:w="960" w:type="dxa"/>
            <w:vAlign w:val="bottom"/>
          </w:tcPr>
          <w:p>
            <w:pPr>
              <w:jc w:val="right"/>
              <w:ind w:right="782"/>
              <w:spacing w:after="0"/>
              <w:rPr>
                <w:sz w:val="20"/>
                <w:szCs w:val="20"/>
                <w:color w:val="auto"/>
              </w:rPr>
            </w:pPr>
            <w:r>
              <w:rPr>
                <w:rFonts w:ascii="Arial" w:cs="Arial" w:eastAsia="Arial" w:hAnsi="Arial"/>
                <w:sz w:val="16"/>
                <w:szCs w:val="16"/>
                <w:color w:val="auto"/>
                <w:w w:val="89"/>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67</w:t>
            </w:r>
          </w:p>
        </w:tc>
        <w:tc>
          <w:tcPr>
            <w:tcW w:w="4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200" w:type="dxa"/>
            <w:vAlign w:val="bottom"/>
          </w:tcPr>
          <w:p>
            <w:pPr>
              <w:ind w:left="180"/>
              <w:spacing w:after="0"/>
              <w:rPr>
                <w:sz w:val="20"/>
                <w:szCs w:val="20"/>
                <w:color w:val="auto"/>
              </w:rPr>
            </w:pPr>
            <w:r>
              <w:rPr>
                <w:rFonts w:ascii="Arial" w:cs="Arial" w:eastAsia="Arial" w:hAnsi="Arial"/>
                <w:sz w:val="16"/>
                <w:szCs w:val="16"/>
                <w:color w:val="auto"/>
              </w:rPr>
              <w:t>Sempra Generation</w:t>
            </w:r>
          </w:p>
        </w:tc>
        <w:tc>
          <w:tcPr>
            <w:tcW w:w="96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16</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5200" w:type="dxa"/>
            <w:vAlign w:val="bottom"/>
          </w:tcPr>
          <w:p>
            <w:pPr>
              <w:ind w:left="180"/>
              <w:spacing w:after="0"/>
              <w:rPr>
                <w:sz w:val="20"/>
                <w:szCs w:val="20"/>
                <w:color w:val="auto"/>
              </w:rPr>
            </w:pPr>
            <w:r>
              <w:rPr>
                <w:rFonts w:ascii="Arial" w:cs="Arial" w:eastAsia="Arial" w:hAnsi="Arial"/>
                <w:sz w:val="16"/>
                <w:szCs w:val="16"/>
                <w:color w:val="auto"/>
              </w:rPr>
              <w:t>SoCalGas</w:t>
            </w:r>
          </w:p>
        </w:tc>
        <w:tc>
          <w:tcPr>
            <w:tcW w:w="96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12</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95"/>
        </w:trPr>
        <w:tc>
          <w:tcPr>
            <w:tcW w:w="5200" w:type="dxa"/>
            <w:vAlign w:val="bottom"/>
          </w:tcPr>
          <w:p>
            <w:pPr>
              <w:ind w:left="180"/>
              <w:spacing w:after="0"/>
              <w:rPr>
                <w:sz w:val="20"/>
                <w:szCs w:val="20"/>
                <w:color w:val="auto"/>
              </w:rPr>
            </w:pPr>
            <w:r>
              <w:rPr>
                <w:rFonts w:ascii="Arial" w:cs="Arial" w:eastAsia="Arial" w:hAnsi="Arial"/>
                <w:sz w:val="16"/>
                <w:szCs w:val="16"/>
                <w:color w:val="auto"/>
              </w:rPr>
              <w:t>Sempra Pipelines &amp; Storage</w:t>
            </w:r>
          </w:p>
        </w:tc>
        <w:tc>
          <w:tcPr>
            <w:tcW w:w="9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9</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95"/>
        </w:trPr>
        <w:tc>
          <w:tcPr>
            <w:tcW w:w="5200" w:type="dxa"/>
            <w:vAlign w:val="bottom"/>
          </w:tcPr>
          <w:p>
            <w:pPr>
              <w:ind w:left="180"/>
              <w:spacing w:after="0"/>
              <w:rPr>
                <w:sz w:val="20"/>
                <w:szCs w:val="20"/>
                <w:color w:val="auto"/>
              </w:rPr>
            </w:pPr>
            <w:r>
              <w:rPr>
                <w:rFonts w:ascii="Arial" w:cs="Arial" w:eastAsia="Arial" w:hAnsi="Arial"/>
                <w:sz w:val="16"/>
                <w:szCs w:val="16"/>
                <w:color w:val="auto"/>
              </w:rPr>
              <w:t>SDG&amp;E</w:t>
            </w:r>
          </w:p>
        </w:tc>
        <w:tc>
          <w:tcPr>
            <w:tcW w:w="9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5200" w:type="dxa"/>
            <w:vAlign w:val="bottom"/>
          </w:tcPr>
          <w:p>
            <w:pPr>
              <w:ind w:left="360"/>
              <w:spacing w:after="0" w:line="183" w:lineRule="exact"/>
              <w:rPr>
                <w:sz w:val="20"/>
                <w:szCs w:val="20"/>
                <w:color w:val="auto"/>
              </w:rPr>
            </w:pPr>
            <w:r>
              <w:rPr>
                <w:rFonts w:ascii="Arial" w:cs="Arial" w:eastAsia="Arial" w:hAnsi="Arial"/>
                <w:sz w:val="16"/>
                <w:szCs w:val="16"/>
                <w:color w:val="auto"/>
              </w:rPr>
              <w:t>Total cost of natural gas</w:t>
            </w:r>
          </w:p>
        </w:tc>
        <w:tc>
          <w:tcPr>
            <w:tcW w:w="960" w:type="dxa"/>
            <w:vAlign w:val="bottom"/>
          </w:tcPr>
          <w:p>
            <w:pPr>
              <w:jc w:val="right"/>
              <w:ind w:right="782"/>
              <w:spacing w:after="0" w:line="183" w:lineRule="exact"/>
              <w:rPr>
                <w:sz w:val="20"/>
                <w:szCs w:val="20"/>
                <w:color w:val="auto"/>
              </w:rPr>
            </w:pPr>
            <w:r>
              <w:rPr>
                <w:rFonts w:ascii="Arial" w:cs="Arial" w:eastAsia="Arial" w:hAnsi="Arial"/>
                <w:sz w:val="16"/>
                <w:szCs w:val="16"/>
                <w:color w:val="auto"/>
                <w:w w:val="89"/>
              </w:rPr>
              <w:t>$</w:t>
            </w:r>
          </w:p>
        </w:tc>
        <w:tc>
          <w:tcPr>
            <w:tcW w:w="320" w:type="dxa"/>
            <w:vAlign w:val="bottom"/>
          </w:tcPr>
          <w:p>
            <w:pPr>
              <w:jc w:val="right"/>
              <w:spacing w:after="0" w:line="183" w:lineRule="exact"/>
              <w:rPr>
                <w:sz w:val="20"/>
                <w:szCs w:val="20"/>
                <w:color w:val="auto"/>
              </w:rPr>
            </w:pPr>
            <w:r>
              <w:rPr>
                <w:rFonts w:ascii="Arial" w:cs="Arial" w:eastAsia="Arial" w:hAnsi="Arial"/>
                <w:sz w:val="16"/>
                <w:szCs w:val="16"/>
                <w:color w:val="auto"/>
                <w:w w:val="97"/>
              </w:rPr>
              <w:t>105</w:t>
            </w:r>
          </w:p>
        </w:tc>
        <w:tc>
          <w:tcPr>
            <w:tcW w:w="40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1120" w:type="dxa"/>
            <w:vAlign w:val="bottom"/>
          </w:tcPr>
          <w:p>
            <w:pPr>
              <w:jc w:val="right"/>
              <w:spacing w:after="0" w:line="183" w:lineRule="exact"/>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81"/>
        </w:trPr>
        <w:tc>
          <w:tcPr>
            <w:tcW w:w="5200" w:type="dxa"/>
            <w:vAlign w:val="bottom"/>
            <w:shd w:val="clear" w:color="auto" w:fill="000000"/>
          </w:tcPr>
          <w:p>
            <w:pPr>
              <w:spacing w:after="0"/>
              <w:rPr>
                <w:sz w:val="7"/>
                <w:szCs w:val="7"/>
                <w:color w:val="auto"/>
              </w:rPr>
            </w:pPr>
          </w:p>
        </w:tc>
        <w:tc>
          <w:tcPr>
            <w:tcW w:w="96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140" w:type="dxa"/>
            <w:vAlign w:val="bottom"/>
            <w:shd w:val="clear" w:color="auto" w:fill="000000"/>
          </w:tcPr>
          <w:p>
            <w:pPr>
              <w:spacing w:after="0"/>
              <w:rPr>
                <w:sz w:val="7"/>
                <w:szCs w:val="7"/>
                <w:color w:val="auto"/>
              </w:rPr>
            </w:pPr>
          </w:p>
        </w:tc>
        <w:tc>
          <w:tcPr>
            <w:tcW w:w="11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393"/>
        </w:trPr>
        <w:tc>
          <w:tcPr>
            <w:tcW w:w="5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March 31,</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ind w:right="10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74"/>
        </w:trPr>
        <w:tc>
          <w:tcPr>
            <w:tcW w:w="5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color w:val="auto"/>
              </w:rPr>
              <w:t>2010</w:t>
            </w:r>
          </w:p>
        </w:tc>
        <w:tc>
          <w:tcPr>
            <w:tcW w:w="3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2009</w:t>
            </w:r>
          </w:p>
        </w:tc>
        <w:tc>
          <w:tcPr>
            <w:tcW w:w="0" w:type="dxa"/>
            <w:vAlign w:val="bottom"/>
          </w:tcPr>
          <w:p>
            <w:pPr>
              <w:spacing w:after="0"/>
              <w:rPr>
                <w:sz w:val="1"/>
                <w:szCs w:val="1"/>
                <w:color w:val="auto"/>
              </w:rPr>
            </w:pPr>
          </w:p>
        </w:tc>
      </w:tr>
      <w:tr>
        <w:trPr>
          <w:trHeight w:val="184"/>
        </w:trPr>
        <w:tc>
          <w:tcPr>
            <w:tcW w:w="5200" w:type="dxa"/>
            <w:vAlign w:val="bottom"/>
          </w:tcPr>
          <w:p>
            <w:pPr>
              <w:spacing w:after="0"/>
              <w:rPr>
                <w:sz w:val="20"/>
                <w:szCs w:val="20"/>
                <w:color w:val="auto"/>
              </w:rPr>
            </w:pPr>
            <w:r>
              <w:rPr>
                <w:rFonts w:ascii="Arial" w:cs="Arial" w:eastAsia="Arial" w:hAnsi="Arial"/>
                <w:sz w:val="16"/>
                <w:szCs w:val="16"/>
                <w:color w:val="auto"/>
              </w:rPr>
              <w:t>Fixed-price contracts and other derivatives - Net Asset (Liability):</w:t>
            </w: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00" w:type="dxa"/>
            <w:vAlign w:val="bottom"/>
          </w:tcPr>
          <w:p>
            <w:pPr>
              <w:ind w:left="180"/>
              <w:spacing w:after="0"/>
              <w:rPr>
                <w:sz w:val="20"/>
                <w:szCs w:val="20"/>
                <w:color w:val="auto"/>
              </w:rPr>
            </w:pPr>
            <w:r>
              <w:rPr>
                <w:rFonts w:ascii="Arial" w:cs="Arial" w:eastAsia="Arial" w:hAnsi="Arial"/>
                <w:sz w:val="16"/>
                <w:szCs w:val="16"/>
                <w:color w:val="auto"/>
              </w:rPr>
              <w:t>Sempra Generation</w:t>
            </w:r>
          </w:p>
        </w:tc>
        <w:tc>
          <w:tcPr>
            <w:tcW w:w="960" w:type="dxa"/>
            <w:vAlign w:val="bottom"/>
          </w:tcPr>
          <w:p>
            <w:pPr>
              <w:jc w:val="right"/>
              <w:ind w:right="782"/>
              <w:spacing w:after="0"/>
              <w:rPr>
                <w:sz w:val="20"/>
                <w:szCs w:val="20"/>
                <w:color w:val="auto"/>
              </w:rPr>
            </w:pPr>
            <w:r>
              <w:rPr>
                <w:rFonts w:ascii="Arial" w:cs="Arial" w:eastAsia="Arial" w:hAnsi="Arial"/>
                <w:sz w:val="16"/>
                <w:szCs w:val="16"/>
                <w:color w:val="auto"/>
                <w:w w:val="89"/>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19</w:t>
            </w:r>
          </w:p>
        </w:tc>
        <w:tc>
          <w:tcPr>
            <w:tcW w:w="4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87"/>
        </w:trPr>
        <w:tc>
          <w:tcPr>
            <w:tcW w:w="5200" w:type="dxa"/>
            <w:vAlign w:val="bottom"/>
          </w:tcPr>
          <w:p>
            <w:pPr>
              <w:ind w:left="180"/>
              <w:spacing w:after="0"/>
              <w:rPr>
                <w:sz w:val="20"/>
                <w:szCs w:val="20"/>
                <w:color w:val="auto"/>
              </w:rPr>
            </w:pPr>
            <w:r>
              <w:rPr>
                <w:rFonts w:ascii="Arial" w:cs="Arial" w:eastAsia="Arial" w:hAnsi="Arial"/>
                <w:sz w:val="16"/>
                <w:szCs w:val="16"/>
                <w:color w:val="auto"/>
              </w:rPr>
              <w:t>Sempra LNG</w:t>
            </w:r>
          </w:p>
        </w:tc>
        <w:tc>
          <w:tcPr>
            <w:tcW w:w="9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83"/>
        </w:trPr>
        <w:tc>
          <w:tcPr>
            <w:tcW w:w="5200" w:type="dxa"/>
            <w:vAlign w:val="bottom"/>
            <w:vMerge w:val="restart"/>
          </w:tcPr>
          <w:p>
            <w:pPr>
              <w:ind w:left="360"/>
              <w:spacing w:after="0"/>
              <w:rPr>
                <w:sz w:val="20"/>
                <w:szCs w:val="20"/>
                <w:color w:val="auto"/>
              </w:rPr>
            </w:pPr>
            <w:r>
              <w:rPr>
                <w:rFonts w:ascii="Arial" w:cs="Arial" w:eastAsia="Arial" w:hAnsi="Arial"/>
                <w:sz w:val="16"/>
                <w:szCs w:val="16"/>
                <w:color w:val="auto"/>
              </w:rPr>
              <w:t>Total</w:t>
            </w:r>
          </w:p>
        </w:tc>
        <w:tc>
          <w:tcPr>
            <w:tcW w:w="960" w:type="dxa"/>
            <w:vAlign w:val="bottom"/>
          </w:tcPr>
          <w:p>
            <w:pPr>
              <w:jc w:val="right"/>
              <w:ind w:right="782"/>
              <w:spacing w:after="0" w:line="183" w:lineRule="exact"/>
              <w:rPr>
                <w:sz w:val="20"/>
                <w:szCs w:val="20"/>
                <w:color w:val="auto"/>
              </w:rPr>
            </w:pPr>
            <w:r>
              <w:rPr>
                <w:rFonts w:ascii="Arial" w:cs="Arial" w:eastAsia="Arial" w:hAnsi="Arial"/>
                <w:sz w:val="16"/>
                <w:szCs w:val="16"/>
                <w:color w:val="auto"/>
                <w:w w:val="89"/>
              </w:rPr>
              <w:t>$</w:t>
            </w:r>
          </w:p>
        </w:tc>
        <w:tc>
          <w:tcPr>
            <w:tcW w:w="320" w:type="dxa"/>
            <w:vAlign w:val="bottom"/>
          </w:tcPr>
          <w:p>
            <w:pPr>
              <w:jc w:val="right"/>
              <w:spacing w:after="0" w:line="183" w:lineRule="exact"/>
              <w:rPr>
                <w:sz w:val="20"/>
                <w:szCs w:val="20"/>
                <w:color w:val="auto"/>
              </w:rPr>
            </w:pPr>
            <w:r>
              <w:rPr>
                <w:rFonts w:ascii="Arial" w:cs="Arial" w:eastAsia="Arial" w:hAnsi="Arial"/>
                <w:sz w:val="16"/>
                <w:szCs w:val="16"/>
                <w:color w:val="auto"/>
              </w:rPr>
              <w:t>(18)</w:t>
            </w:r>
          </w:p>
        </w:tc>
        <w:tc>
          <w:tcPr>
            <w:tcW w:w="40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1120" w:type="dxa"/>
            <w:vAlign w:val="bottom"/>
          </w:tcPr>
          <w:p>
            <w:pPr>
              <w:jc w:val="right"/>
              <w:spacing w:after="0" w:line="183" w:lineRule="exact"/>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81"/>
        </w:trPr>
        <w:tc>
          <w:tcPr>
            <w:tcW w:w="5200" w:type="dxa"/>
            <w:vAlign w:val="bottom"/>
            <w:vMerge w:val="continue"/>
          </w:tcPr>
          <w:p>
            <w:pPr>
              <w:spacing w:after="0"/>
              <w:rPr>
                <w:sz w:val="7"/>
                <w:szCs w:val="7"/>
                <w:color w:val="auto"/>
              </w:rPr>
            </w:pPr>
          </w:p>
        </w:tc>
        <w:tc>
          <w:tcPr>
            <w:tcW w:w="96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shd w:val="clear" w:color="auto" w:fill="000000"/>
          </w:tcPr>
          <w:p>
            <w:pPr>
              <w:spacing w:after="0"/>
              <w:rPr>
                <w:sz w:val="7"/>
                <w:szCs w:val="7"/>
                <w:color w:val="auto"/>
              </w:rPr>
            </w:pPr>
          </w:p>
        </w:tc>
        <w:tc>
          <w:tcPr>
            <w:tcW w:w="11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380"/>
        </w:trPr>
        <w:tc>
          <w:tcPr>
            <w:tcW w:w="5200" w:type="dxa"/>
            <w:vAlign w:val="bottom"/>
          </w:tcPr>
          <w:p>
            <w:pPr>
              <w:spacing w:after="0"/>
              <w:rPr>
                <w:sz w:val="20"/>
                <w:szCs w:val="20"/>
                <w:color w:val="auto"/>
              </w:rPr>
            </w:pPr>
            <w:r>
              <w:rPr>
                <w:rFonts w:ascii="Arial" w:cs="Arial" w:eastAsia="Arial" w:hAnsi="Arial"/>
                <w:sz w:val="16"/>
                <w:szCs w:val="16"/>
                <w:color w:val="auto"/>
              </w:rPr>
              <w:t>Due to unconsolidated affiliates:</w:t>
            </w: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200" w:type="dxa"/>
            <w:vAlign w:val="bottom"/>
          </w:tcPr>
          <w:p>
            <w:pPr>
              <w:ind w:left="180"/>
              <w:spacing w:after="0"/>
              <w:rPr>
                <w:sz w:val="20"/>
                <w:szCs w:val="20"/>
                <w:color w:val="auto"/>
              </w:rPr>
            </w:pPr>
            <w:r>
              <w:rPr>
                <w:rFonts w:ascii="Arial" w:cs="Arial" w:eastAsia="Arial" w:hAnsi="Arial"/>
                <w:sz w:val="16"/>
                <w:szCs w:val="16"/>
                <w:color w:val="auto"/>
              </w:rPr>
              <w:t>Sempra Generation</w:t>
            </w:r>
          </w:p>
        </w:tc>
        <w:tc>
          <w:tcPr>
            <w:tcW w:w="960" w:type="dxa"/>
            <w:vAlign w:val="bottom"/>
          </w:tcPr>
          <w:p>
            <w:pPr>
              <w:jc w:val="right"/>
              <w:ind w:right="782"/>
              <w:spacing w:after="0"/>
              <w:rPr>
                <w:sz w:val="20"/>
                <w:szCs w:val="20"/>
                <w:color w:val="auto"/>
              </w:rPr>
            </w:pPr>
            <w:r>
              <w:rPr>
                <w:rFonts w:ascii="Arial" w:cs="Arial" w:eastAsia="Arial" w:hAnsi="Arial"/>
                <w:sz w:val="16"/>
                <w:szCs w:val="16"/>
                <w:color w:val="auto"/>
                <w:w w:val="89"/>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1</w:t>
            </w:r>
          </w:p>
        </w:tc>
        <w:tc>
          <w:tcPr>
            <w:tcW w:w="4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97"/>
        </w:trPr>
        <w:tc>
          <w:tcPr>
            <w:tcW w:w="5200" w:type="dxa"/>
            <w:vAlign w:val="bottom"/>
          </w:tcPr>
          <w:p>
            <w:pPr>
              <w:ind w:left="180"/>
              <w:spacing w:after="0"/>
              <w:rPr>
                <w:sz w:val="20"/>
                <w:szCs w:val="20"/>
                <w:color w:val="auto"/>
              </w:rPr>
            </w:pPr>
            <w:r>
              <w:rPr>
                <w:rFonts w:ascii="Arial" w:cs="Arial" w:eastAsia="Arial" w:hAnsi="Arial"/>
                <w:sz w:val="16"/>
                <w:szCs w:val="16"/>
                <w:color w:val="auto"/>
              </w:rPr>
              <w:t>Sempra LNG</w:t>
            </w:r>
          </w:p>
        </w:tc>
        <w:tc>
          <w:tcPr>
            <w:tcW w:w="96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87"/>
        </w:trPr>
        <w:tc>
          <w:tcPr>
            <w:tcW w:w="5200" w:type="dxa"/>
            <w:vAlign w:val="bottom"/>
          </w:tcPr>
          <w:p>
            <w:pPr>
              <w:ind w:left="180"/>
              <w:spacing w:after="0"/>
              <w:rPr>
                <w:sz w:val="20"/>
                <w:szCs w:val="20"/>
                <w:color w:val="auto"/>
              </w:rPr>
            </w:pPr>
            <w:r>
              <w:rPr>
                <w:rFonts w:ascii="Arial" w:cs="Arial" w:eastAsia="Arial" w:hAnsi="Arial"/>
                <w:sz w:val="16"/>
                <w:szCs w:val="16"/>
                <w:color w:val="auto"/>
              </w:rPr>
              <w:t>Sempra Pipelines &amp; Storage</w:t>
            </w:r>
          </w:p>
        </w:tc>
        <w:tc>
          <w:tcPr>
            <w:tcW w:w="9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3"/>
        </w:trPr>
        <w:tc>
          <w:tcPr>
            <w:tcW w:w="5200" w:type="dxa"/>
            <w:vAlign w:val="bottom"/>
            <w:vMerge w:val="restart"/>
          </w:tcPr>
          <w:p>
            <w:pPr>
              <w:ind w:left="360"/>
              <w:spacing w:after="0"/>
              <w:rPr>
                <w:sz w:val="20"/>
                <w:szCs w:val="20"/>
                <w:color w:val="auto"/>
              </w:rPr>
            </w:pPr>
            <w:r>
              <w:rPr>
                <w:rFonts w:ascii="Arial" w:cs="Arial" w:eastAsia="Arial" w:hAnsi="Arial"/>
                <w:sz w:val="16"/>
                <w:szCs w:val="16"/>
                <w:color w:val="auto"/>
              </w:rPr>
              <w:t>Total</w:t>
            </w:r>
          </w:p>
        </w:tc>
        <w:tc>
          <w:tcPr>
            <w:tcW w:w="960" w:type="dxa"/>
            <w:vAlign w:val="bottom"/>
          </w:tcPr>
          <w:p>
            <w:pPr>
              <w:jc w:val="right"/>
              <w:ind w:right="782"/>
              <w:spacing w:after="0" w:line="183" w:lineRule="exact"/>
              <w:rPr>
                <w:sz w:val="20"/>
                <w:szCs w:val="20"/>
                <w:color w:val="auto"/>
              </w:rPr>
            </w:pPr>
            <w:r>
              <w:rPr>
                <w:rFonts w:ascii="Arial" w:cs="Arial" w:eastAsia="Arial" w:hAnsi="Arial"/>
                <w:sz w:val="16"/>
                <w:szCs w:val="16"/>
                <w:color w:val="auto"/>
                <w:w w:val="89"/>
              </w:rPr>
              <w:t>$</w:t>
            </w:r>
          </w:p>
        </w:tc>
        <w:tc>
          <w:tcPr>
            <w:tcW w:w="320" w:type="dxa"/>
            <w:vAlign w:val="bottom"/>
          </w:tcPr>
          <w:p>
            <w:pPr>
              <w:jc w:val="right"/>
              <w:spacing w:after="0" w:line="183" w:lineRule="exact"/>
              <w:rPr>
                <w:sz w:val="20"/>
                <w:szCs w:val="20"/>
                <w:color w:val="auto"/>
              </w:rPr>
            </w:pPr>
            <w:r>
              <w:rPr>
                <w:rFonts w:ascii="Arial" w:cs="Arial" w:eastAsia="Arial" w:hAnsi="Arial"/>
                <w:sz w:val="16"/>
                <w:szCs w:val="16"/>
                <w:color w:val="auto"/>
              </w:rPr>
              <w:t>4</w:t>
            </w:r>
          </w:p>
        </w:tc>
        <w:tc>
          <w:tcPr>
            <w:tcW w:w="40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1120" w:type="dxa"/>
            <w:vAlign w:val="bottom"/>
          </w:tcPr>
          <w:p>
            <w:pPr>
              <w:jc w:val="right"/>
              <w:spacing w:after="0" w:line="183" w:lineRule="exact"/>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81"/>
        </w:trPr>
        <w:tc>
          <w:tcPr>
            <w:tcW w:w="5200" w:type="dxa"/>
            <w:vAlign w:val="bottom"/>
            <w:vMerge w:val="continue"/>
          </w:tcPr>
          <w:p>
            <w:pPr>
              <w:spacing w:after="0"/>
              <w:rPr>
                <w:sz w:val="7"/>
                <w:szCs w:val="7"/>
                <w:color w:val="auto"/>
              </w:rPr>
            </w:pPr>
          </w:p>
        </w:tc>
        <w:tc>
          <w:tcPr>
            <w:tcW w:w="96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shd w:val="clear" w:color="auto" w:fill="000000"/>
          </w:tcPr>
          <w:p>
            <w:pPr>
              <w:spacing w:after="0"/>
              <w:rPr>
                <w:sz w:val="7"/>
                <w:szCs w:val="7"/>
                <w:color w:val="auto"/>
              </w:rPr>
            </w:pPr>
          </w:p>
        </w:tc>
        <w:tc>
          <w:tcPr>
            <w:tcW w:w="11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380"/>
        </w:trPr>
        <w:tc>
          <w:tcPr>
            <w:tcW w:w="5200" w:type="dxa"/>
            <w:vAlign w:val="bottom"/>
          </w:tcPr>
          <w:p>
            <w:pPr>
              <w:spacing w:after="0"/>
              <w:rPr>
                <w:sz w:val="20"/>
                <w:szCs w:val="20"/>
                <w:color w:val="auto"/>
              </w:rPr>
            </w:pPr>
            <w:r>
              <w:rPr>
                <w:rFonts w:ascii="Arial" w:cs="Arial" w:eastAsia="Arial" w:hAnsi="Arial"/>
                <w:sz w:val="16"/>
                <w:szCs w:val="16"/>
                <w:color w:val="auto"/>
              </w:rPr>
              <w:t>Due from unconsolidated affiliates:</w:t>
            </w: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200" w:type="dxa"/>
            <w:vAlign w:val="bottom"/>
          </w:tcPr>
          <w:p>
            <w:pPr>
              <w:ind w:left="180"/>
              <w:spacing w:after="0"/>
              <w:rPr>
                <w:sz w:val="20"/>
                <w:szCs w:val="20"/>
                <w:color w:val="auto"/>
              </w:rPr>
            </w:pPr>
            <w:r>
              <w:rPr>
                <w:rFonts w:ascii="Arial" w:cs="Arial" w:eastAsia="Arial" w:hAnsi="Arial"/>
                <w:sz w:val="16"/>
                <w:szCs w:val="16"/>
                <w:color w:val="auto"/>
              </w:rPr>
              <w:t>Sempra Commodities</w:t>
            </w:r>
          </w:p>
        </w:tc>
        <w:tc>
          <w:tcPr>
            <w:tcW w:w="960" w:type="dxa"/>
            <w:vAlign w:val="bottom"/>
          </w:tcPr>
          <w:p>
            <w:pPr>
              <w:jc w:val="right"/>
              <w:ind w:right="782"/>
              <w:spacing w:after="0"/>
              <w:rPr>
                <w:sz w:val="20"/>
                <w:szCs w:val="20"/>
                <w:color w:val="auto"/>
              </w:rPr>
            </w:pPr>
            <w:r>
              <w:rPr>
                <w:rFonts w:ascii="Arial" w:cs="Arial" w:eastAsia="Arial" w:hAnsi="Arial"/>
                <w:sz w:val="16"/>
                <w:szCs w:val="16"/>
                <w:color w:val="auto"/>
                <w:w w:val="89"/>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1</w:t>
            </w:r>
          </w:p>
        </w:tc>
        <w:tc>
          <w:tcPr>
            <w:tcW w:w="4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7"/>
        </w:trPr>
        <w:tc>
          <w:tcPr>
            <w:tcW w:w="5200" w:type="dxa"/>
            <w:vAlign w:val="bottom"/>
          </w:tcPr>
          <w:p>
            <w:pPr>
              <w:ind w:left="180"/>
              <w:spacing w:after="0"/>
              <w:rPr>
                <w:sz w:val="20"/>
                <w:szCs w:val="20"/>
                <w:color w:val="auto"/>
              </w:rPr>
            </w:pPr>
            <w:r>
              <w:rPr>
                <w:rFonts w:ascii="Arial" w:cs="Arial" w:eastAsia="Arial" w:hAnsi="Arial"/>
                <w:sz w:val="16"/>
                <w:szCs w:val="16"/>
                <w:color w:val="auto"/>
              </w:rPr>
              <w:t>Sempra Generation</w:t>
            </w:r>
          </w:p>
        </w:tc>
        <w:tc>
          <w:tcPr>
            <w:tcW w:w="96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6</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89"/>
        </w:trPr>
        <w:tc>
          <w:tcPr>
            <w:tcW w:w="5200" w:type="dxa"/>
            <w:vAlign w:val="bottom"/>
          </w:tcPr>
          <w:p>
            <w:pPr>
              <w:ind w:left="180"/>
              <w:spacing w:after="0"/>
              <w:rPr>
                <w:sz w:val="20"/>
                <w:szCs w:val="20"/>
                <w:color w:val="auto"/>
              </w:rPr>
            </w:pPr>
            <w:r>
              <w:rPr>
                <w:rFonts w:ascii="Arial" w:cs="Arial" w:eastAsia="Arial" w:hAnsi="Arial"/>
                <w:sz w:val="16"/>
                <w:szCs w:val="16"/>
                <w:color w:val="auto"/>
              </w:rPr>
              <w:t>Sempra LNG</w:t>
            </w:r>
          </w:p>
        </w:tc>
        <w:tc>
          <w:tcPr>
            <w:tcW w:w="9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18</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87"/>
        </w:trPr>
        <w:tc>
          <w:tcPr>
            <w:tcW w:w="5200" w:type="dxa"/>
            <w:vAlign w:val="bottom"/>
          </w:tcPr>
          <w:p>
            <w:pPr>
              <w:ind w:left="180"/>
              <w:spacing w:after="0"/>
              <w:rPr>
                <w:sz w:val="20"/>
                <w:szCs w:val="20"/>
                <w:color w:val="auto"/>
              </w:rPr>
            </w:pPr>
            <w:r>
              <w:rPr>
                <w:rFonts w:ascii="Arial" w:cs="Arial" w:eastAsia="Arial" w:hAnsi="Arial"/>
                <w:sz w:val="16"/>
                <w:szCs w:val="16"/>
                <w:color w:val="auto"/>
              </w:rPr>
              <w:t>Parent and other</w:t>
            </w:r>
          </w:p>
        </w:tc>
        <w:tc>
          <w:tcPr>
            <w:tcW w:w="9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3"/>
        </w:trPr>
        <w:tc>
          <w:tcPr>
            <w:tcW w:w="5200" w:type="dxa"/>
            <w:vAlign w:val="bottom"/>
          </w:tcPr>
          <w:p>
            <w:pPr>
              <w:ind w:left="360"/>
              <w:spacing w:after="0" w:line="183" w:lineRule="exact"/>
              <w:rPr>
                <w:sz w:val="20"/>
                <w:szCs w:val="20"/>
                <w:color w:val="auto"/>
              </w:rPr>
            </w:pPr>
            <w:r>
              <w:rPr>
                <w:rFonts w:ascii="Arial" w:cs="Arial" w:eastAsia="Arial" w:hAnsi="Arial"/>
                <w:sz w:val="16"/>
                <w:szCs w:val="16"/>
                <w:color w:val="auto"/>
              </w:rPr>
              <w:t>Total</w:t>
            </w:r>
          </w:p>
        </w:tc>
        <w:tc>
          <w:tcPr>
            <w:tcW w:w="960" w:type="dxa"/>
            <w:vAlign w:val="bottom"/>
          </w:tcPr>
          <w:p>
            <w:pPr>
              <w:jc w:val="right"/>
              <w:ind w:right="782"/>
              <w:spacing w:after="0" w:line="183" w:lineRule="exact"/>
              <w:rPr>
                <w:sz w:val="20"/>
                <w:szCs w:val="20"/>
                <w:color w:val="auto"/>
              </w:rPr>
            </w:pPr>
            <w:r>
              <w:rPr>
                <w:rFonts w:ascii="Arial" w:cs="Arial" w:eastAsia="Arial" w:hAnsi="Arial"/>
                <w:sz w:val="16"/>
                <w:szCs w:val="16"/>
                <w:color w:val="auto"/>
                <w:w w:val="89"/>
              </w:rPr>
              <w:t>$</w:t>
            </w:r>
          </w:p>
        </w:tc>
        <w:tc>
          <w:tcPr>
            <w:tcW w:w="320" w:type="dxa"/>
            <w:vAlign w:val="bottom"/>
          </w:tcPr>
          <w:p>
            <w:pPr>
              <w:jc w:val="right"/>
              <w:spacing w:after="0" w:line="183" w:lineRule="exact"/>
              <w:rPr>
                <w:sz w:val="20"/>
                <w:szCs w:val="20"/>
                <w:color w:val="auto"/>
              </w:rPr>
            </w:pPr>
            <w:r>
              <w:rPr>
                <w:rFonts w:ascii="Arial" w:cs="Arial" w:eastAsia="Arial" w:hAnsi="Arial"/>
                <w:sz w:val="16"/>
                <w:szCs w:val="16"/>
                <w:color w:val="auto"/>
              </w:rPr>
              <w:t>29</w:t>
            </w:r>
          </w:p>
        </w:tc>
        <w:tc>
          <w:tcPr>
            <w:tcW w:w="40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1120" w:type="dxa"/>
            <w:vAlign w:val="bottom"/>
          </w:tcPr>
          <w:p>
            <w:pPr>
              <w:jc w:val="right"/>
              <w:spacing w:after="0" w:line="183" w:lineRule="exact"/>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81"/>
        </w:trPr>
        <w:tc>
          <w:tcPr>
            <w:tcW w:w="5200" w:type="dxa"/>
            <w:vAlign w:val="bottom"/>
            <w:shd w:val="clear" w:color="auto" w:fill="000000"/>
          </w:tcPr>
          <w:p>
            <w:pPr>
              <w:spacing w:after="0"/>
              <w:rPr>
                <w:sz w:val="7"/>
                <w:szCs w:val="7"/>
                <w:color w:val="auto"/>
              </w:rPr>
            </w:pPr>
          </w:p>
        </w:tc>
        <w:tc>
          <w:tcPr>
            <w:tcW w:w="96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140" w:type="dxa"/>
            <w:vAlign w:val="bottom"/>
            <w:shd w:val="clear" w:color="auto" w:fill="000000"/>
          </w:tcPr>
          <w:p>
            <w:pPr>
              <w:spacing w:after="0"/>
              <w:rPr>
                <w:sz w:val="7"/>
                <w:szCs w:val="7"/>
                <w:color w:val="auto"/>
              </w:rPr>
            </w:pPr>
          </w:p>
        </w:tc>
        <w:tc>
          <w:tcPr>
            <w:tcW w:w="11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bl>
    <w:p>
      <w:pPr>
        <w:ind w:left="420" w:right="2499" w:hanging="297"/>
        <w:spacing w:after="0" w:line="249" w:lineRule="auto"/>
        <w:tabs>
          <w:tab w:leader="none" w:pos="420"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Includes $11 million in 2010 and $5 million in 2009 related to a natural gas sales agreement with RBS Sempra Commodities which is subject to mark-to-market accounting. Under this agreement, which extends for five years beginning September 1, 2009, RBS Sempra Commodities will market natural gas that Sempra LNG purchases and does not sell under other contracts.</w:t>
      </w:r>
    </w:p>
    <w:p>
      <w:pPr>
        <w:sectPr>
          <w:pgSz w:w="11900" w:h="16838" w:orient="portrait"/>
          <w:cols w:equalWidth="0" w:num="1">
            <w:col w:w="10219"/>
          </w:cols>
          <w:pgMar w:left="240" w:top="378" w:right="1440" w:bottom="1440" w:gutter="0" w:footer="0" w:header="0"/>
        </w:sectPr>
      </w:pPr>
    </w:p>
    <w:bookmarkStart w:id="37" w:name="page38"/>
    <w:bookmarkEnd w:id="37"/>
    <w:p>
      <w:pPr>
        <w:spacing w:after="0"/>
        <w:rPr>
          <w:sz w:val="20"/>
          <w:szCs w:val="20"/>
          <w:color w:val="auto"/>
        </w:rPr>
      </w:pPr>
      <w:r>
        <w:rPr>
          <w:rFonts w:ascii="Arial" w:cs="Arial" w:eastAsia="Arial" w:hAnsi="Arial"/>
          <w:sz w:val="22"/>
          <w:szCs w:val="22"/>
          <w:b w:val="1"/>
          <w:bCs w:val="1"/>
          <w:color w:val="auto"/>
        </w:rPr>
        <w:t>OTHER INCOME, NET</w:t>
      </w:r>
    </w:p>
    <w:p>
      <w:pPr>
        <w:spacing w:after="0" w:line="69" w:lineRule="exact"/>
        <w:rPr>
          <w:sz w:val="20"/>
          <w:szCs w:val="20"/>
          <w:color w:val="auto"/>
        </w:rPr>
      </w:pPr>
    </w:p>
    <w:p>
      <w:pPr>
        <w:spacing w:after="0"/>
        <w:rPr>
          <w:sz w:val="20"/>
          <w:szCs w:val="20"/>
          <w:color w:val="auto"/>
        </w:rPr>
      </w:pPr>
      <w:r>
        <w:rPr>
          <w:rFonts w:ascii="Arial" w:cs="Arial" w:eastAsia="Arial" w:hAnsi="Arial"/>
          <w:sz w:val="19"/>
          <w:szCs w:val="19"/>
          <w:color w:val="auto"/>
        </w:rPr>
        <w:t>Other Income, Net on the Condensed Consolidated Statements of Operations consists of the following:</w:t>
      </w: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4408170" cy="2317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40817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700" w:type="dxa"/>
            <w:vAlign w:val="bottom"/>
            <w:gridSpan w:val="4"/>
          </w:tcPr>
          <w:p>
            <w:pPr>
              <w:jc w:val="right"/>
              <w:ind w:right="99"/>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1420" w:type="dxa"/>
            <w:vAlign w:val="bottom"/>
            <w:tcBorders>
              <w:bottom w:val="single" w:sz="8" w:color="auto"/>
            </w:tcBorders>
            <w:gridSpan w:val="3"/>
          </w:tcPr>
          <w:p>
            <w:pPr>
              <w:jc w:val="right"/>
              <w:ind w:right="160"/>
              <w:spacing w:after="0" w:line="157" w:lineRule="exact"/>
              <w:rPr>
                <w:sz w:val="20"/>
                <w:szCs w:val="20"/>
                <w:color w:val="auto"/>
              </w:rPr>
            </w:pPr>
            <w:r>
              <w:rPr>
                <w:rFonts w:ascii="Arial" w:cs="Arial" w:eastAsia="Arial" w:hAnsi="Arial"/>
                <w:sz w:val="14"/>
                <w:szCs w:val="14"/>
                <w:color w:val="auto"/>
              </w:rPr>
              <w:t>March 31,</w:t>
            </w:r>
          </w:p>
        </w:tc>
        <w:tc>
          <w:tcPr>
            <w:tcW w:w="2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2010</w:t>
            </w:r>
          </w:p>
        </w:tc>
        <w:tc>
          <w:tcPr>
            <w:tcW w:w="2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2009</w:t>
            </w:r>
          </w:p>
        </w:tc>
        <w:tc>
          <w:tcPr>
            <w:tcW w:w="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22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40" w:type="dxa"/>
            <w:vAlign w:val="bottom"/>
            <w:gridSpan w:val="2"/>
          </w:tcPr>
          <w:p>
            <w:pPr>
              <w:spacing w:after="0"/>
              <w:rPr>
                <w:sz w:val="20"/>
                <w:szCs w:val="20"/>
                <w:color w:val="auto"/>
              </w:rPr>
            </w:pPr>
            <w:r>
              <w:rPr>
                <w:rFonts w:ascii="Arial" w:cs="Arial" w:eastAsia="Arial" w:hAnsi="Arial"/>
                <w:sz w:val="16"/>
                <w:szCs w:val="16"/>
                <w:color w:val="auto"/>
              </w:rPr>
              <w:t>Allowance for equity funds used during construction</w:t>
            </w:r>
          </w:p>
        </w:tc>
        <w:tc>
          <w:tcPr>
            <w:tcW w:w="600" w:type="dxa"/>
            <w:vAlign w:val="bottom"/>
          </w:tcPr>
          <w:p>
            <w:pPr>
              <w:jc w:val="right"/>
              <w:ind w:right="445"/>
              <w:spacing w:after="0"/>
              <w:rPr>
                <w:sz w:val="20"/>
                <w:szCs w:val="20"/>
                <w:color w:val="auto"/>
              </w:rPr>
            </w:pPr>
            <w:r>
              <w:rPr>
                <w:rFonts w:ascii="Arial" w:cs="Arial" w:eastAsia="Arial" w:hAnsi="Arial"/>
                <w:sz w:val="15"/>
                <w:szCs w:val="15"/>
                <w:color w:val="auto"/>
                <w:w w:val="71"/>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13</w:t>
            </w:r>
          </w:p>
        </w:tc>
        <w:tc>
          <w:tcPr>
            <w:tcW w:w="580" w:type="dxa"/>
            <w:vAlign w:val="bottom"/>
          </w:tcPr>
          <w:p>
            <w:pPr>
              <w:jc w:val="right"/>
              <w:ind w:right="400"/>
              <w:spacing w:after="0"/>
              <w:rPr>
                <w:sz w:val="20"/>
                <w:szCs w:val="20"/>
                <w:color w:val="auto"/>
              </w:rPr>
            </w:pPr>
            <w:r>
              <w:rPr>
                <w:rFonts w:ascii="Arial" w:cs="Arial" w:eastAsia="Arial" w:hAnsi="Arial"/>
                <w:sz w:val="16"/>
                <w:szCs w:val="16"/>
                <w:color w:val="auto"/>
                <w:w w:val="89"/>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89"/>
        </w:trPr>
        <w:tc>
          <w:tcPr>
            <w:tcW w:w="5240" w:type="dxa"/>
            <w:vAlign w:val="bottom"/>
            <w:gridSpan w:val="2"/>
          </w:tcPr>
          <w:p>
            <w:pPr>
              <w:spacing w:after="0"/>
              <w:rPr>
                <w:sz w:val="20"/>
                <w:szCs w:val="20"/>
                <w:color w:val="auto"/>
              </w:rPr>
            </w:pPr>
            <w:r>
              <w:rPr>
                <w:rFonts w:ascii="Arial" w:cs="Arial" w:eastAsia="Arial" w:hAnsi="Arial"/>
                <w:sz w:val="16"/>
                <w:szCs w:val="16"/>
                <w:color w:val="auto"/>
              </w:rPr>
              <w:t>Regulatory interest, net</w:t>
            </w:r>
          </w:p>
        </w:tc>
        <w:tc>
          <w:tcPr>
            <w:tcW w:w="60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(1)</w:t>
            </w:r>
          </w:p>
        </w:tc>
        <w:tc>
          <w:tcPr>
            <w:tcW w:w="58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5240" w:type="dxa"/>
            <w:vAlign w:val="bottom"/>
            <w:gridSpan w:val="2"/>
          </w:tcPr>
          <w:p>
            <w:pPr>
              <w:spacing w:after="0"/>
              <w:rPr>
                <w:sz w:val="20"/>
                <w:szCs w:val="20"/>
                <w:color w:val="auto"/>
              </w:rPr>
            </w:pPr>
            <w:r>
              <w:rPr>
                <w:rFonts w:ascii="Arial" w:cs="Arial" w:eastAsia="Arial" w:hAnsi="Arial"/>
                <w:sz w:val="16"/>
                <w:szCs w:val="16"/>
                <w:color w:val="auto"/>
              </w:rPr>
              <w:t>Investment gains (losses)(1)</w:t>
            </w:r>
          </w:p>
        </w:tc>
        <w:tc>
          <w:tcPr>
            <w:tcW w:w="60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3</w:t>
            </w:r>
          </w:p>
        </w:tc>
        <w:tc>
          <w:tcPr>
            <w:tcW w:w="58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w w:val="91"/>
              </w:rPr>
              <w:t>(17)</w:t>
            </w:r>
          </w:p>
        </w:tc>
        <w:tc>
          <w:tcPr>
            <w:tcW w:w="0" w:type="dxa"/>
            <w:vAlign w:val="bottom"/>
          </w:tcPr>
          <w:p>
            <w:pPr>
              <w:spacing w:after="0"/>
              <w:rPr>
                <w:sz w:val="1"/>
                <w:szCs w:val="1"/>
                <w:color w:val="auto"/>
              </w:rPr>
            </w:pPr>
          </w:p>
        </w:tc>
      </w:tr>
      <w:tr>
        <w:trPr>
          <w:trHeight w:val="189"/>
        </w:trPr>
        <w:tc>
          <w:tcPr>
            <w:tcW w:w="5240" w:type="dxa"/>
            <w:vAlign w:val="bottom"/>
            <w:gridSpan w:val="2"/>
          </w:tcPr>
          <w:p>
            <w:pPr>
              <w:spacing w:after="0"/>
              <w:rPr>
                <w:sz w:val="20"/>
                <w:szCs w:val="20"/>
                <w:color w:val="auto"/>
              </w:rPr>
            </w:pPr>
            <w:r>
              <w:rPr>
                <w:rFonts w:ascii="Arial" w:cs="Arial" w:eastAsia="Arial" w:hAnsi="Arial"/>
                <w:sz w:val="16"/>
                <w:szCs w:val="16"/>
                <w:color w:val="auto"/>
              </w:rPr>
              <w:t>Gains (losses) on interest rate swaps (Otay Mesa VIE)</w:t>
            </w:r>
          </w:p>
        </w:tc>
        <w:tc>
          <w:tcPr>
            <w:tcW w:w="60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(9)</w:t>
            </w:r>
          </w:p>
        </w:tc>
        <w:tc>
          <w:tcPr>
            <w:tcW w:w="58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87"/>
        </w:trPr>
        <w:tc>
          <w:tcPr>
            <w:tcW w:w="5240" w:type="dxa"/>
            <w:vAlign w:val="bottom"/>
            <w:gridSpan w:val="2"/>
          </w:tcPr>
          <w:p>
            <w:pPr>
              <w:spacing w:after="0"/>
              <w:rPr>
                <w:sz w:val="20"/>
                <w:szCs w:val="20"/>
                <w:color w:val="auto"/>
              </w:rPr>
            </w:pPr>
            <w:r>
              <w:rPr>
                <w:rFonts w:ascii="Arial" w:cs="Arial" w:eastAsia="Arial" w:hAnsi="Arial"/>
                <w:sz w:val="16"/>
                <w:szCs w:val="16"/>
                <w:color w:val="auto"/>
              </w:rPr>
              <w:t>Sundry, net</w:t>
            </w:r>
          </w:p>
        </w:tc>
        <w:tc>
          <w:tcPr>
            <w:tcW w:w="6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5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20" w:type="dxa"/>
            <w:vAlign w:val="bottom"/>
          </w:tcPr>
          <w:p>
            <w:pPr>
              <w:ind w:left="400"/>
              <w:spacing w:after="0" w:line="183" w:lineRule="exact"/>
              <w:rPr>
                <w:sz w:val="20"/>
                <w:szCs w:val="20"/>
                <w:color w:val="auto"/>
              </w:rPr>
            </w:pPr>
            <w:r>
              <w:rPr>
                <w:rFonts w:ascii="Arial" w:cs="Arial" w:eastAsia="Arial" w:hAnsi="Arial"/>
                <w:sz w:val="16"/>
                <w:szCs w:val="16"/>
                <w:color w:val="auto"/>
              </w:rPr>
              <w:t>Total</w:t>
            </w:r>
          </w:p>
        </w:tc>
        <w:tc>
          <w:tcPr>
            <w:tcW w:w="600" w:type="dxa"/>
            <w:vAlign w:val="bottom"/>
          </w:tcPr>
          <w:p>
            <w:pPr>
              <w:jc w:val="right"/>
              <w:ind w:right="445"/>
              <w:spacing w:after="0"/>
              <w:rPr>
                <w:sz w:val="20"/>
                <w:szCs w:val="20"/>
                <w:color w:val="auto"/>
              </w:rPr>
            </w:pPr>
            <w:r>
              <w:rPr>
                <w:rFonts w:ascii="Arial" w:cs="Arial" w:eastAsia="Arial" w:hAnsi="Arial"/>
                <w:sz w:val="15"/>
                <w:szCs w:val="15"/>
                <w:color w:val="auto"/>
                <w:w w:val="71"/>
              </w:rPr>
              <w:t>$</w:t>
            </w:r>
          </w:p>
        </w:tc>
        <w:tc>
          <w:tcPr>
            <w:tcW w:w="240" w:type="dxa"/>
            <w:vAlign w:val="bottom"/>
          </w:tcPr>
          <w:p>
            <w:pPr>
              <w:jc w:val="right"/>
              <w:spacing w:after="0" w:line="183" w:lineRule="exact"/>
              <w:rPr>
                <w:sz w:val="20"/>
                <w:szCs w:val="20"/>
                <w:color w:val="auto"/>
              </w:rPr>
            </w:pPr>
            <w:r>
              <w:rPr>
                <w:rFonts w:ascii="Arial" w:cs="Arial" w:eastAsia="Arial" w:hAnsi="Arial"/>
                <w:sz w:val="16"/>
                <w:szCs w:val="16"/>
                <w:color w:val="auto"/>
              </w:rPr>
              <w:t>8</w:t>
            </w:r>
          </w:p>
        </w:tc>
        <w:tc>
          <w:tcPr>
            <w:tcW w:w="580" w:type="dxa"/>
            <w:vAlign w:val="bottom"/>
          </w:tcPr>
          <w:p>
            <w:pPr>
              <w:jc w:val="right"/>
              <w:ind w:right="400"/>
              <w:spacing w:after="0" w:line="183" w:lineRule="exact"/>
              <w:rPr>
                <w:sz w:val="20"/>
                <w:szCs w:val="20"/>
                <w:color w:val="auto"/>
              </w:rPr>
            </w:pPr>
            <w:r>
              <w:rPr>
                <w:rFonts w:ascii="Arial" w:cs="Arial" w:eastAsia="Arial" w:hAnsi="Arial"/>
                <w:sz w:val="16"/>
                <w:szCs w:val="16"/>
                <w:color w:val="auto"/>
                <w:w w:val="89"/>
              </w:rPr>
              <w:t>$</w:t>
            </w:r>
          </w:p>
        </w:tc>
        <w:tc>
          <w:tcPr>
            <w:tcW w:w="280" w:type="dxa"/>
            <w:vAlign w:val="bottom"/>
          </w:tcPr>
          <w:p>
            <w:pPr>
              <w:jc w:val="right"/>
              <w:spacing w:after="0" w:line="183"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5220" w:type="dxa"/>
            <w:vAlign w:val="bottom"/>
            <w:shd w:val="clear" w:color="auto" w:fill="000000"/>
          </w:tcPr>
          <w:p>
            <w:pPr>
              <w:spacing w:after="0"/>
              <w:rPr>
                <w:sz w:val="7"/>
                <w:szCs w:val="7"/>
                <w:color w:val="auto"/>
              </w:rPr>
            </w:pPr>
          </w:p>
        </w:tc>
        <w:tc>
          <w:tcPr>
            <w:tcW w:w="600" w:type="dxa"/>
            <w:vAlign w:val="bottom"/>
            <w:shd w:val="clear" w:color="auto" w:fill="000000"/>
          </w:tcPr>
          <w:p>
            <w:pPr>
              <w:spacing w:after="0"/>
              <w:rPr>
                <w:sz w:val="7"/>
                <w:szCs w:val="7"/>
                <w:color w:val="auto"/>
              </w:rPr>
            </w:pPr>
          </w:p>
        </w:tc>
        <w:tc>
          <w:tcPr>
            <w:tcW w:w="240" w:type="dxa"/>
            <w:vAlign w:val="bottom"/>
            <w:shd w:val="clear" w:color="auto" w:fill="000000"/>
          </w:tcPr>
          <w:p>
            <w:pPr>
              <w:spacing w:after="0"/>
              <w:rPr>
                <w:sz w:val="7"/>
                <w:szCs w:val="7"/>
                <w:color w:val="auto"/>
              </w:rPr>
            </w:pPr>
          </w:p>
        </w:tc>
        <w:tc>
          <w:tcPr>
            <w:tcW w:w="580" w:type="dxa"/>
            <w:vAlign w:val="bottom"/>
            <w:shd w:val="clear" w:color="auto" w:fill="000000"/>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522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40" w:type="dxa"/>
            <w:vAlign w:val="bottom"/>
            <w:gridSpan w:val="2"/>
          </w:tcPr>
          <w:p>
            <w:pPr>
              <w:spacing w:after="0"/>
              <w:rPr>
                <w:sz w:val="20"/>
                <w:szCs w:val="20"/>
                <w:color w:val="auto"/>
              </w:rPr>
            </w:pPr>
            <w:r>
              <w:rPr>
                <w:rFonts w:ascii="Arial" w:cs="Arial" w:eastAsia="Arial" w:hAnsi="Arial"/>
                <w:sz w:val="16"/>
                <w:szCs w:val="16"/>
                <w:color w:val="auto"/>
              </w:rPr>
              <w:t>Allowance for equity funds used during construction</w:t>
            </w:r>
          </w:p>
        </w:tc>
        <w:tc>
          <w:tcPr>
            <w:tcW w:w="600" w:type="dxa"/>
            <w:vAlign w:val="bottom"/>
          </w:tcPr>
          <w:p>
            <w:pPr>
              <w:jc w:val="right"/>
              <w:ind w:right="445"/>
              <w:spacing w:after="0"/>
              <w:rPr>
                <w:sz w:val="20"/>
                <w:szCs w:val="20"/>
                <w:color w:val="auto"/>
              </w:rPr>
            </w:pPr>
            <w:r>
              <w:rPr>
                <w:rFonts w:ascii="Arial" w:cs="Arial" w:eastAsia="Arial" w:hAnsi="Arial"/>
                <w:sz w:val="15"/>
                <w:szCs w:val="15"/>
                <w:color w:val="auto"/>
                <w:w w:val="71"/>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9</w:t>
            </w:r>
          </w:p>
        </w:tc>
        <w:tc>
          <w:tcPr>
            <w:tcW w:w="580" w:type="dxa"/>
            <w:vAlign w:val="bottom"/>
          </w:tcPr>
          <w:p>
            <w:pPr>
              <w:jc w:val="right"/>
              <w:ind w:right="400"/>
              <w:spacing w:after="0"/>
              <w:rPr>
                <w:sz w:val="20"/>
                <w:szCs w:val="20"/>
                <w:color w:val="auto"/>
              </w:rPr>
            </w:pPr>
            <w:r>
              <w:rPr>
                <w:rFonts w:ascii="Arial" w:cs="Arial" w:eastAsia="Arial" w:hAnsi="Arial"/>
                <w:sz w:val="16"/>
                <w:szCs w:val="16"/>
                <w:color w:val="auto"/>
                <w:w w:val="89"/>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89"/>
        </w:trPr>
        <w:tc>
          <w:tcPr>
            <w:tcW w:w="5240" w:type="dxa"/>
            <w:vAlign w:val="bottom"/>
            <w:gridSpan w:val="2"/>
          </w:tcPr>
          <w:p>
            <w:pPr>
              <w:spacing w:after="0"/>
              <w:rPr>
                <w:sz w:val="20"/>
                <w:szCs w:val="20"/>
                <w:color w:val="auto"/>
              </w:rPr>
            </w:pPr>
            <w:r>
              <w:rPr>
                <w:rFonts w:ascii="Arial" w:cs="Arial" w:eastAsia="Arial" w:hAnsi="Arial"/>
                <w:sz w:val="16"/>
                <w:szCs w:val="16"/>
                <w:color w:val="auto"/>
              </w:rPr>
              <w:t>Regulatory interest, net</w:t>
            </w:r>
          </w:p>
        </w:tc>
        <w:tc>
          <w:tcPr>
            <w:tcW w:w="60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(1)</w:t>
            </w:r>
          </w:p>
        </w:tc>
        <w:tc>
          <w:tcPr>
            <w:tcW w:w="58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5240" w:type="dxa"/>
            <w:vAlign w:val="bottom"/>
            <w:gridSpan w:val="2"/>
          </w:tcPr>
          <w:p>
            <w:pPr>
              <w:spacing w:after="0"/>
              <w:rPr>
                <w:sz w:val="20"/>
                <w:szCs w:val="20"/>
                <w:color w:val="auto"/>
              </w:rPr>
            </w:pPr>
            <w:r>
              <w:rPr>
                <w:rFonts w:ascii="Arial" w:cs="Arial" w:eastAsia="Arial" w:hAnsi="Arial"/>
                <w:sz w:val="16"/>
                <w:szCs w:val="16"/>
                <w:color w:val="auto"/>
              </w:rPr>
              <w:t>Gains (losses) on interest rate swaps (Otay Mesa VIE)</w:t>
            </w:r>
          </w:p>
        </w:tc>
        <w:tc>
          <w:tcPr>
            <w:tcW w:w="60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(9)</w:t>
            </w:r>
          </w:p>
        </w:tc>
        <w:tc>
          <w:tcPr>
            <w:tcW w:w="58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87"/>
        </w:trPr>
        <w:tc>
          <w:tcPr>
            <w:tcW w:w="5240" w:type="dxa"/>
            <w:vAlign w:val="bottom"/>
            <w:gridSpan w:val="2"/>
          </w:tcPr>
          <w:p>
            <w:pPr>
              <w:spacing w:after="0"/>
              <w:rPr>
                <w:sz w:val="20"/>
                <w:szCs w:val="20"/>
                <w:color w:val="auto"/>
              </w:rPr>
            </w:pPr>
            <w:r>
              <w:rPr>
                <w:rFonts w:ascii="Arial" w:cs="Arial" w:eastAsia="Arial" w:hAnsi="Arial"/>
                <w:sz w:val="16"/>
                <w:szCs w:val="16"/>
                <w:color w:val="auto"/>
              </w:rPr>
              <w:t>Sundry, net</w:t>
            </w:r>
          </w:p>
        </w:tc>
        <w:tc>
          <w:tcPr>
            <w:tcW w:w="6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5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20" w:type="dxa"/>
            <w:vAlign w:val="bottom"/>
          </w:tcPr>
          <w:p>
            <w:pPr>
              <w:ind w:left="400"/>
              <w:spacing w:after="0" w:line="183" w:lineRule="exact"/>
              <w:rPr>
                <w:sz w:val="20"/>
                <w:szCs w:val="20"/>
                <w:color w:val="auto"/>
              </w:rPr>
            </w:pPr>
            <w:r>
              <w:rPr>
                <w:rFonts w:ascii="Arial" w:cs="Arial" w:eastAsia="Arial" w:hAnsi="Arial"/>
                <w:sz w:val="16"/>
                <w:szCs w:val="16"/>
                <w:color w:val="auto"/>
              </w:rPr>
              <w:t>Total</w:t>
            </w:r>
          </w:p>
        </w:tc>
        <w:tc>
          <w:tcPr>
            <w:tcW w:w="600" w:type="dxa"/>
            <w:vAlign w:val="bottom"/>
          </w:tcPr>
          <w:p>
            <w:pPr>
              <w:jc w:val="right"/>
              <w:ind w:right="44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0"/>
              <w:spacing w:after="0" w:line="183" w:lineRule="exact"/>
              <w:rPr>
                <w:sz w:val="20"/>
                <w:szCs w:val="20"/>
                <w:color w:val="auto"/>
              </w:rPr>
            </w:pPr>
            <w:r>
              <w:rPr>
                <w:rFonts w:ascii="Arial" w:cs="Arial" w:eastAsia="Arial" w:hAnsi="Arial"/>
                <w:sz w:val="16"/>
                <w:szCs w:val="16"/>
                <w:color w:val="auto"/>
              </w:rPr>
              <w:t>- $</w:t>
            </w:r>
          </w:p>
        </w:tc>
        <w:tc>
          <w:tcPr>
            <w:tcW w:w="280" w:type="dxa"/>
            <w:vAlign w:val="bottom"/>
          </w:tcPr>
          <w:p>
            <w:pPr>
              <w:jc w:val="right"/>
              <w:spacing w:after="0" w:line="183" w:lineRule="exact"/>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5220" w:type="dxa"/>
            <w:vAlign w:val="bottom"/>
            <w:shd w:val="clear" w:color="auto" w:fill="000000"/>
          </w:tcPr>
          <w:p>
            <w:pPr>
              <w:spacing w:after="0"/>
              <w:rPr>
                <w:sz w:val="7"/>
                <w:szCs w:val="7"/>
                <w:color w:val="auto"/>
              </w:rPr>
            </w:pPr>
          </w:p>
        </w:tc>
        <w:tc>
          <w:tcPr>
            <w:tcW w:w="600" w:type="dxa"/>
            <w:vAlign w:val="bottom"/>
            <w:shd w:val="clear" w:color="auto" w:fill="000000"/>
          </w:tcPr>
          <w:p>
            <w:pPr>
              <w:spacing w:after="0"/>
              <w:rPr>
                <w:sz w:val="7"/>
                <w:szCs w:val="7"/>
                <w:color w:val="auto"/>
              </w:rPr>
            </w:pPr>
          </w:p>
        </w:tc>
        <w:tc>
          <w:tcPr>
            <w:tcW w:w="240" w:type="dxa"/>
            <w:vAlign w:val="bottom"/>
            <w:shd w:val="clear" w:color="auto" w:fill="000000"/>
          </w:tcPr>
          <w:p>
            <w:pPr>
              <w:spacing w:after="0"/>
              <w:rPr>
                <w:sz w:val="7"/>
                <w:szCs w:val="7"/>
                <w:color w:val="auto"/>
              </w:rPr>
            </w:pPr>
          </w:p>
        </w:tc>
        <w:tc>
          <w:tcPr>
            <w:tcW w:w="580" w:type="dxa"/>
            <w:vAlign w:val="bottom"/>
            <w:shd w:val="clear" w:color="auto" w:fill="000000"/>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5220" w:type="dxa"/>
            <w:vAlign w:val="bottom"/>
          </w:tcPr>
          <w:p>
            <w:pPr>
              <w:spacing w:after="0"/>
              <w:rPr>
                <w:sz w:val="20"/>
                <w:szCs w:val="20"/>
                <w:color w:val="auto"/>
              </w:rPr>
            </w:pPr>
            <w:r>
              <w:rPr>
                <w:rFonts w:ascii="Arial" w:cs="Arial" w:eastAsia="Arial" w:hAnsi="Arial"/>
                <w:sz w:val="16"/>
                <w:szCs w:val="16"/>
                <w:b w:val="1"/>
                <w:bCs w:val="1"/>
                <w:color w:val="auto"/>
              </w:rPr>
              <w:t>SoCalGas and PE:</w:t>
            </w: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40" w:type="dxa"/>
            <w:vAlign w:val="bottom"/>
            <w:gridSpan w:val="2"/>
          </w:tcPr>
          <w:p>
            <w:pPr>
              <w:spacing w:after="0"/>
              <w:rPr>
                <w:sz w:val="20"/>
                <w:szCs w:val="20"/>
                <w:color w:val="auto"/>
              </w:rPr>
            </w:pPr>
            <w:r>
              <w:rPr>
                <w:rFonts w:ascii="Arial" w:cs="Arial" w:eastAsia="Arial" w:hAnsi="Arial"/>
                <w:sz w:val="16"/>
                <w:szCs w:val="16"/>
                <w:color w:val="auto"/>
              </w:rPr>
              <w:t>Allowance for equity funds used during construction</w:t>
            </w:r>
          </w:p>
        </w:tc>
        <w:tc>
          <w:tcPr>
            <w:tcW w:w="600" w:type="dxa"/>
            <w:vAlign w:val="bottom"/>
          </w:tcPr>
          <w:p>
            <w:pPr>
              <w:jc w:val="right"/>
              <w:ind w:right="445"/>
              <w:spacing w:after="0"/>
              <w:rPr>
                <w:sz w:val="20"/>
                <w:szCs w:val="20"/>
                <w:color w:val="auto"/>
              </w:rPr>
            </w:pPr>
            <w:r>
              <w:rPr>
                <w:rFonts w:ascii="Arial" w:cs="Arial" w:eastAsia="Arial" w:hAnsi="Arial"/>
                <w:sz w:val="15"/>
                <w:szCs w:val="15"/>
                <w:color w:val="auto"/>
                <w:w w:val="71"/>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4</w:t>
            </w:r>
          </w:p>
        </w:tc>
        <w:tc>
          <w:tcPr>
            <w:tcW w:w="580" w:type="dxa"/>
            <w:vAlign w:val="bottom"/>
          </w:tcPr>
          <w:p>
            <w:pPr>
              <w:jc w:val="right"/>
              <w:ind w:right="400"/>
              <w:spacing w:after="0"/>
              <w:rPr>
                <w:sz w:val="20"/>
                <w:szCs w:val="20"/>
                <w:color w:val="auto"/>
              </w:rPr>
            </w:pPr>
            <w:r>
              <w:rPr>
                <w:rFonts w:ascii="Arial" w:cs="Arial" w:eastAsia="Arial" w:hAnsi="Arial"/>
                <w:sz w:val="16"/>
                <w:szCs w:val="16"/>
                <w:color w:val="auto"/>
                <w:w w:val="89"/>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7"/>
        </w:trPr>
        <w:tc>
          <w:tcPr>
            <w:tcW w:w="5240" w:type="dxa"/>
            <w:vAlign w:val="bottom"/>
            <w:gridSpan w:val="2"/>
          </w:tcPr>
          <w:p>
            <w:pPr>
              <w:spacing w:after="0"/>
              <w:rPr>
                <w:sz w:val="20"/>
                <w:szCs w:val="20"/>
                <w:color w:val="auto"/>
              </w:rPr>
            </w:pPr>
            <w:r>
              <w:rPr>
                <w:rFonts w:ascii="Arial" w:cs="Arial" w:eastAsia="Arial" w:hAnsi="Arial"/>
                <w:sz w:val="16"/>
                <w:szCs w:val="16"/>
                <w:color w:val="auto"/>
              </w:rPr>
              <w:t>Sundry, net</w:t>
            </w:r>
          </w:p>
        </w:tc>
        <w:tc>
          <w:tcPr>
            <w:tcW w:w="6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20" w:type="dxa"/>
            <w:vAlign w:val="bottom"/>
          </w:tcPr>
          <w:p>
            <w:pPr>
              <w:ind w:left="400"/>
              <w:spacing w:after="0" w:line="183" w:lineRule="exact"/>
              <w:rPr>
                <w:sz w:val="20"/>
                <w:szCs w:val="20"/>
                <w:color w:val="auto"/>
              </w:rPr>
            </w:pPr>
            <w:r>
              <w:rPr>
                <w:rFonts w:ascii="Arial" w:cs="Arial" w:eastAsia="Arial" w:hAnsi="Arial"/>
                <w:sz w:val="16"/>
                <w:szCs w:val="16"/>
                <w:color w:val="auto"/>
              </w:rPr>
              <w:t>Total at SoCalGas and PE</w:t>
            </w:r>
          </w:p>
        </w:tc>
        <w:tc>
          <w:tcPr>
            <w:tcW w:w="600" w:type="dxa"/>
            <w:vAlign w:val="bottom"/>
          </w:tcPr>
          <w:p>
            <w:pPr>
              <w:jc w:val="right"/>
              <w:ind w:right="445"/>
              <w:spacing w:after="0"/>
              <w:rPr>
                <w:sz w:val="20"/>
                <w:szCs w:val="20"/>
                <w:color w:val="auto"/>
              </w:rPr>
            </w:pPr>
            <w:r>
              <w:rPr>
                <w:rFonts w:ascii="Arial" w:cs="Arial" w:eastAsia="Arial" w:hAnsi="Arial"/>
                <w:sz w:val="15"/>
                <w:szCs w:val="15"/>
                <w:color w:val="auto"/>
                <w:w w:val="71"/>
              </w:rPr>
              <w:t>$</w:t>
            </w:r>
          </w:p>
        </w:tc>
        <w:tc>
          <w:tcPr>
            <w:tcW w:w="240" w:type="dxa"/>
            <w:vAlign w:val="bottom"/>
          </w:tcPr>
          <w:p>
            <w:pPr>
              <w:jc w:val="right"/>
              <w:spacing w:after="0" w:line="183" w:lineRule="exact"/>
              <w:rPr>
                <w:sz w:val="20"/>
                <w:szCs w:val="20"/>
                <w:color w:val="auto"/>
              </w:rPr>
            </w:pPr>
            <w:r>
              <w:rPr>
                <w:rFonts w:ascii="Arial" w:cs="Arial" w:eastAsia="Arial" w:hAnsi="Arial"/>
                <w:sz w:val="16"/>
                <w:szCs w:val="16"/>
                <w:color w:val="auto"/>
              </w:rPr>
              <w:t>4</w:t>
            </w:r>
          </w:p>
        </w:tc>
        <w:tc>
          <w:tcPr>
            <w:tcW w:w="580" w:type="dxa"/>
            <w:vAlign w:val="bottom"/>
          </w:tcPr>
          <w:p>
            <w:pPr>
              <w:jc w:val="right"/>
              <w:ind w:right="400"/>
              <w:spacing w:after="0" w:line="183" w:lineRule="exact"/>
              <w:rPr>
                <w:sz w:val="20"/>
                <w:szCs w:val="20"/>
                <w:color w:val="auto"/>
              </w:rPr>
            </w:pPr>
            <w:r>
              <w:rPr>
                <w:rFonts w:ascii="Arial" w:cs="Arial" w:eastAsia="Arial" w:hAnsi="Arial"/>
                <w:sz w:val="16"/>
                <w:szCs w:val="16"/>
                <w:color w:val="auto"/>
                <w:w w:val="89"/>
              </w:rPr>
              <w:t>$</w:t>
            </w:r>
          </w:p>
        </w:tc>
        <w:tc>
          <w:tcPr>
            <w:tcW w:w="280" w:type="dxa"/>
            <w:vAlign w:val="bottom"/>
          </w:tcPr>
          <w:p>
            <w:pPr>
              <w:jc w:val="right"/>
              <w:spacing w:after="0" w:line="183"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5220" w:type="dxa"/>
            <w:vAlign w:val="bottom"/>
            <w:shd w:val="clear" w:color="auto" w:fill="000000"/>
          </w:tcPr>
          <w:p>
            <w:pPr>
              <w:spacing w:after="0"/>
              <w:rPr>
                <w:sz w:val="7"/>
                <w:szCs w:val="7"/>
                <w:color w:val="auto"/>
              </w:rPr>
            </w:pPr>
          </w:p>
        </w:tc>
        <w:tc>
          <w:tcPr>
            <w:tcW w:w="600" w:type="dxa"/>
            <w:vAlign w:val="bottom"/>
            <w:shd w:val="clear" w:color="auto" w:fill="000000"/>
          </w:tcPr>
          <w:p>
            <w:pPr>
              <w:spacing w:after="0"/>
              <w:rPr>
                <w:sz w:val="7"/>
                <w:szCs w:val="7"/>
                <w:color w:val="auto"/>
              </w:rPr>
            </w:pPr>
          </w:p>
        </w:tc>
        <w:tc>
          <w:tcPr>
            <w:tcW w:w="240" w:type="dxa"/>
            <w:vAlign w:val="bottom"/>
            <w:shd w:val="clear" w:color="auto" w:fill="000000"/>
          </w:tcPr>
          <w:p>
            <w:pPr>
              <w:spacing w:after="0"/>
              <w:rPr>
                <w:sz w:val="7"/>
                <w:szCs w:val="7"/>
                <w:color w:val="auto"/>
              </w:rPr>
            </w:pPr>
          </w:p>
        </w:tc>
        <w:tc>
          <w:tcPr>
            <w:tcW w:w="580" w:type="dxa"/>
            <w:vAlign w:val="bottom"/>
            <w:shd w:val="clear" w:color="auto" w:fill="000000"/>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bl>
    <w:p>
      <w:pPr>
        <w:ind w:left="420" w:right="3379" w:hanging="291"/>
        <w:spacing w:after="0" w:line="253" w:lineRule="auto"/>
        <w:tabs>
          <w:tab w:leader="none" w:pos="420"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investment gains (losses) on dedicated assets in support of our executive retirement and deferred compensation plans. These amounts are partially offset by corresponding changes in compensation expense related to the plans.</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INCOME TAXES</w:t>
      </w: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 EXPENSE AND EFFECTIVE INCOME TAX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4827905" cy="2317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827905" cy="23177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4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57"/>
        </w:trPr>
        <w:tc>
          <w:tcPr>
            <w:tcW w:w="2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gridSpan w:val="3"/>
          </w:tcPr>
          <w:p>
            <w:pPr>
              <w:jc w:val="right"/>
              <w:spacing w:after="0" w:line="157" w:lineRule="exact"/>
              <w:rPr>
                <w:sz w:val="20"/>
                <w:szCs w:val="20"/>
                <w:color w:val="auto"/>
              </w:rPr>
            </w:pPr>
            <w:r>
              <w:rPr>
                <w:rFonts w:ascii="Arial" w:cs="Arial" w:eastAsia="Arial" w:hAnsi="Arial"/>
                <w:sz w:val="14"/>
                <w:szCs w:val="14"/>
                <w:color w:val="auto"/>
              </w:rPr>
              <w:t>Three months ended March 31,</w:t>
            </w:r>
          </w:p>
        </w:tc>
        <w:tc>
          <w:tcPr>
            <w:tcW w:w="1360" w:type="dxa"/>
            <w:vAlign w:val="bottom"/>
            <w:tcBorders>
              <w:bottom w:val="single" w:sz="8" w:color="auto"/>
            </w:tcBorders>
          </w:tcPr>
          <w:p>
            <w:pPr>
              <w:spacing w:after="0"/>
              <w:rPr>
                <w:sz w:val="13"/>
                <w:szCs w:val="13"/>
                <w:color w:val="auto"/>
              </w:rPr>
            </w:pPr>
          </w:p>
        </w:tc>
      </w:tr>
      <w:tr>
        <w:trPr>
          <w:trHeight w:val="169"/>
        </w:trPr>
        <w:tc>
          <w:tcPr>
            <w:tcW w:w="2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2010</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2009</w:t>
            </w:r>
          </w:p>
        </w:tc>
      </w:tr>
      <w:tr>
        <w:trPr>
          <w:trHeight w:val="160"/>
        </w:trPr>
        <w:tc>
          <w:tcPr>
            <w:tcW w:w="2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Effective</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60" w:type="dxa"/>
            <w:vAlign w:val="bottom"/>
          </w:tcPr>
          <w:p>
            <w:pPr>
              <w:jc w:val="center"/>
              <w:ind w:right="23"/>
              <w:spacing w:after="0"/>
              <w:rPr>
                <w:sz w:val="20"/>
                <w:szCs w:val="20"/>
                <w:color w:val="auto"/>
              </w:rPr>
            </w:pPr>
            <w:r>
              <w:rPr>
                <w:rFonts w:ascii="Arial" w:cs="Arial" w:eastAsia="Arial" w:hAnsi="Arial"/>
                <w:sz w:val="14"/>
                <w:szCs w:val="14"/>
                <w:color w:val="auto"/>
              </w:rPr>
              <w:t>Effective</w:t>
            </w:r>
          </w:p>
        </w:tc>
      </w:tr>
      <w:tr>
        <w:trPr>
          <w:trHeight w:val="172"/>
        </w:trPr>
        <w:tc>
          <w:tcPr>
            <w:tcW w:w="2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jc w:val="right"/>
              <w:ind w:right="2"/>
              <w:spacing w:after="0"/>
              <w:rPr>
                <w:sz w:val="20"/>
                <w:szCs w:val="20"/>
                <w:color w:val="auto"/>
              </w:rPr>
            </w:pPr>
            <w:r>
              <w:rPr>
                <w:rFonts w:ascii="Arial" w:cs="Arial" w:eastAsia="Arial" w:hAnsi="Arial"/>
                <w:sz w:val="14"/>
                <w:szCs w:val="14"/>
                <w:color w:val="auto"/>
              </w:rPr>
              <w:t>Income Tax</w:t>
            </w:r>
          </w:p>
        </w:tc>
        <w:tc>
          <w:tcPr>
            <w:tcW w:w="1380" w:type="dxa"/>
            <w:vAlign w:val="bottom"/>
          </w:tcPr>
          <w:p>
            <w:pPr>
              <w:jc w:val="center"/>
              <w:spacing w:after="0"/>
              <w:rPr>
                <w:sz w:val="20"/>
                <w:szCs w:val="20"/>
                <w:color w:val="auto"/>
              </w:rPr>
            </w:pPr>
            <w:r>
              <w:rPr>
                <w:rFonts w:ascii="Arial" w:cs="Arial" w:eastAsia="Arial" w:hAnsi="Arial"/>
                <w:sz w:val="14"/>
                <w:szCs w:val="14"/>
                <w:color w:val="auto"/>
              </w:rPr>
              <w:t>Income</w:t>
            </w:r>
          </w:p>
        </w:tc>
        <w:tc>
          <w:tcPr>
            <w:tcW w:w="240" w:type="dxa"/>
            <w:vAlign w:val="bottom"/>
          </w:tcPr>
          <w:p>
            <w:pPr>
              <w:spacing w:after="0"/>
              <w:rPr>
                <w:sz w:val="14"/>
                <w:szCs w:val="14"/>
                <w:color w:val="auto"/>
              </w:rPr>
            </w:pPr>
          </w:p>
        </w:tc>
        <w:tc>
          <w:tcPr>
            <w:tcW w:w="900" w:type="dxa"/>
            <w:vAlign w:val="bottom"/>
          </w:tcPr>
          <w:p>
            <w:pPr>
              <w:jc w:val="right"/>
              <w:ind w:right="62"/>
              <w:spacing w:after="0"/>
              <w:rPr>
                <w:sz w:val="20"/>
                <w:szCs w:val="20"/>
                <w:color w:val="auto"/>
              </w:rPr>
            </w:pPr>
            <w:r>
              <w:rPr>
                <w:rFonts w:ascii="Arial" w:cs="Arial" w:eastAsia="Arial" w:hAnsi="Arial"/>
                <w:sz w:val="14"/>
                <w:szCs w:val="14"/>
                <w:color w:val="auto"/>
              </w:rPr>
              <w:t>Income Tax</w:t>
            </w:r>
          </w:p>
        </w:tc>
        <w:tc>
          <w:tcPr>
            <w:tcW w:w="1360" w:type="dxa"/>
            <w:vAlign w:val="bottom"/>
          </w:tcPr>
          <w:p>
            <w:pPr>
              <w:jc w:val="center"/>
              <w:ind w:right="23"/>
              <w:spacing w:after="0"/>
              <w:rPr>
                <w:sz w:val="20"/>
                <w:szCs w:val="20"/>
                <w:color w:val="auto"/>
              </w:rPr>
            </w:pPr>
            <w:r>
              <w:rPr>
                <w:rFonts w:ascii="Arial" w:cs="Arial" w:eastAsia="Arial" w:hAnsi="Arial"/>
                <w:sz w:val="14"/>
                <w:szCs w:val="14"/>
                <w:color w:val="auto"/>
              </w:rPr>
              <w:t>Income</w:t>
            </w:r>
          </w:p>
        </w:tc>
      </w:tr>
      <w:tr>
        <w:trPr>
          <w:trHeight w:val="174"/>
        </w:trPr>
        <w:tc>
          <w:tcPr>
            <w:tcW w:w="24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color w:val="auto"/>
              </w:rPr>
              <w:t>Expense</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Tax Rate</w:t>
            </w: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Expense</w:t>
            </w:r>
          </w:p>
        </w:tc>
        <w:tc>
          <w:tcPr>
            <w:tcW w:w="136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color w:val="auto"/>
              </w:rPr>
              <w:t>Tax Rate</w:t>
            </w:r>
          </w:p>
        </w:tc>
      </w:tr>
      <w:tr>
        <w:trPr>
          <w:trHeight w:val="184"/>
        </w:trPr>
        <w:tc>
          <w:tcPr>
            <w:tcW w:w="2440" w:type="dxa"/>
            <w:vAlign w:val="bottom"/>
          </w:tcPr>
          <w:p>
            <w:pPr>
              <w:spacing w:after="0"/>
              <w:rPr>
                <w:sz w:val="20"/>
                <w:szCs w:val="20"/>
                <w:color w:val="auto"/>
              </w:rPr>
            </w:pPr>
            <w:r>
              <w:rPr>
                <w:rFonts w:ascii="Arial" w:cs="Arial" w:eastAsia="Arial" w:hAnsi="Arial"/>
                <w:sz w:val="16"/>
                <w:szCs w:val="16"/>
                <w:color w:val="auto"/>
              </w:rPr>
              <w:t>Sempra Energy Consolidated</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58</w:t>
            </w:r>
          </w:p>
        </w:tc>
        <w:tc>
          <w:tcPr>
            <w:tcW w:w="1380" w:type="dxa"/>
            <w:vAlign w:val="bottom"/>
          </w:tcPr>
          <w:p>
            <w:pPr>
              <w:ind w:left="880"/>
              <w:spacing w:after="0"/>
              <w:rPr>
                <w:sz w:val="20"/>
                <w:szCs w:val="20"/>
                <w:color w:val="auto"/>
              </w:rPr>
            </w:pPr>
            <w:r>
              <w:rPr>
                <w:rFonts w:ascii="Arial" w:cs="Arial" w:eastAsia="Arial" w:hAnsi="Arial"/>
                <w:sz w:val="16"/>
                <w:szCs w:val="16"/>
                <w:color w:val="auto"/>
              </w:rPr>
              <w:t>42 %</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109</w:t>
            </w:r>
          </w:p>
        </w:tc>
        <w:tc>
          <w:tcPr>
            <w:tcW w:w="1360" w:type="dxa"/>
            <w:vAlign w:val="bottom"/>
          </w:tcPr>
          <w:p>
            <w:pPr>
              <w:ind w:left="840"/>
              <w:spacing w:after="0"/>
              <w:rPr>
                <w:sz w:val="20"/>
                <w:szCs w:val="20"/>
                <w:color w:val="auto"/>
              </w:rPr>
            </w:pPr>
            <w:r>
              <w:rPr>
                <w:rFonts w:ascii="Arial" w:cs="Arial" w:eastAsia="Arial" w:hAnsi="Arial"/>
                <w:sz w:val="16"/>
                <w:szCs w:val="16"/>
                <w:color w:val="auto"/>
              </w:rPr>
              <w:t>26 %</w:t>
            </w:r>
          </w:p>
        </w:tc>
      </w:tr>
      <w:tr>
        <w:trPr>
          <w:trHeight w:val="189"/>
        </w:trPr>
        <w:tc>
          <w:tcPr>
            <w:tcW w:w="2440" w:type="dxa"/>
            <w:vAlign w:val="bottom"/>
          </w:tcPr>
          <w:p>
            <w:pPr>
              <w:spacing w:after="0"/>
              <w:rPr>
                <w:sz w:val="20"/>
                <w:szCs w:val="20"/>
                <w:color w:val="auto"/>
              </w:rPr>
            </w:pPr>
            <w:r>
              <w:rPr>
                <w:rFonts w:ascii="Arial" w:cs="Arial" w:eastAsia="Arial" w:hAnsi="Arial"/>
                <w:sz w:val="16"/>
                <w:szCs w:val="16"/>
                <w:color w:val="auto"/>
              </w:rPr>
              <w:t>SDG&amp;E</w:t>
            </w:r>
          </w:p>
        </w:tc>
        <w:tc>
          <w:tcPr>
            <w:tcW w:w="4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w:t>
            </w:r>
          </w:p>
        </w:tc>
        <w:tc>
          <w:tcPr>
            <w:tcW w:w="1380" w:type="dxa"/>
            <w:vAlign w:val="bottom"/>
          </w:tcPr>
          <w:p>
            <w:pPr>
              <w:ind w:left="880"/>
              <w:spacing w:after="0"/>
              <w:rPr>
                <w:sz w:val="20"/>
                <w:szCs w:val="20"/>
                <w:color w:val="auto"/>
              </w:rPr>
            </w:pPr>
            <w:r>
              <w:rPr>
                <w:rFonts w:ascii="Arial" w:cs="Arial" w:eastAsia="Arial" w:hAnsi="Arial"/>
                <w:sz w:val="16"/>
                <w:szCs w:val="16"/>
                <w:color w:val="auto"/>
              </w:rPr>
              <w:t>29</w:t>
            </w:r>
          </w:p>
        </w:tc>
        <w:tc>
          <w:tcPr>
            <w:tcW w:w="240" w:type="dxa"/>
            <w:vAlign w:val="bottom"/>
          </w:tcPr>
          <w:p>
            <w:pPr>
              <w:spacing w:after="0"/>
              <w:rPr>
                <w:sz w:val="16"/>
                <w:szCs w:val="16"/>
                <w:color w:val="auto"/>
              </w:rPr>
            </w:pP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60</w:t>
            </w:r>
          </w:p>
        </w:tc>
        <w:tc>
          <w:tcPr>
            <w:tcW w:w="1360" w:type="dxa"/>
            <w:vAlign w:val="bottom"/>
          </w:tcPr>
          <w:p>
            <w:pPr>
              <w:ind w:left="840"/>
              <w:spacing w:after="0"/>
              <w:rPr>
                <w:sz w:val="20"/>
                <w:szCs w:val="20"/>
                <w:color w:val="auto"/>
              </w:rPr>
            </w:pPr>
            <w:r>
              <w:rPr>
                <w:rFonts w:ascii="Arial" w:cs="Arial" w:eastAsia="Arial" w:hAnsi="Arial"/>
                <w:sz w:val="16"/>
                <w:szCs w:val="16"/>
                <w:color w:val="auto"/>
              </w:rPr>
              <w:t>36</w:t>
            </w:r>
          </w:p>
        </w:tc>
      </w:tr>
      <w:tr>
        <w:trPr>
          <w:trHeight w:val="189"/>
        </w:trPr>
        <w:tc>
          <w:tcPr>
            <w:tcW w:w="2440" w:type="dxa"/>
            <w:vAlign w:val="bottom"/>
          </w:tcPr>
          <w:p>
            <w:pPr>
              <w:spacing w:after="0"/>
              <w:rPr>
                <w:sz w:val="20"/>
                <w:szCs w:val="20"/>
                <w:color w:val="auto"/>
              </w:rPr>
            </w:pPr>
            <w:r>
              <w:rPr>
                <w:rFonts w:ascii="Arial" w:cs="Arial" w:eastAsia="Arial" w:hAnsi="Arial"/>
                <w:sz w:val="16"/>
                <w:szCs w:val="16"/>
                <w:color w:val="auto"/>
              </w:rPr>
              <w:t>PE</w:t>
            </w:r>
          </w:p>
        </w:tc>
        <w:tc>
          <w:tcPr>
            <w:tcW w:w="4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57</w:t>
            </w:r>
          </w:p>
        </w:tc>
        <w:tc>
          <w:tcPr>
            <w:tcW w:w="1380" w:type="dxa"/>
            <w:vAlign w:val="bottom"/>
          </w:tcPr>
          <w:p>
            <w:pPr>
              <w:ind w:left="880"/>
              <w:spacing w:after="0"/>
              <w:rPr>
                <w:sz w:val="20"/>
                <w:szCs w:val="20"/>
                <w:color w:val="auto"/>
              </w:rPr>
            </w:pPr>
            <w:r>
              <w:rPr>
                <w:rFonts w:ascii="Arial" w:cs="Arial" w:eastAsia="Arial" w:hAnsi="Arial"/>
                <w:sz w:val="16"/>
                <w:szCs w:val="16"/>
                <w:color w:val="auto"/>
              </w:rPr>
              <w:t>47</w:t>
            </w:r>
          </w:p>
        </w:tc>
        <w:tc>
          <w:tcPr>
            <w:tcW w:w="240" w:type="dxa"/>
            <w:vAlign w:val="bottom"/>
          </w:tcPr>
          <w:p>
            <w:pPr>
              <w:spacing w:after="0"/>
              <w:rPr>
                <w:sz w:val="16"/>
                <w:szCs w:val="16"/>
                <w:color w:val="auto"/>
              </w:rPr>
            </w:pP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36</w:t>
            </w:r>
          </w:p>
        </w:tc>
        <w:tc>
          <w:tcPr>
            <w:tcW w:w="1360" w:type="dxa"/>
            <w:vAlign w:val="bottom"/>
          </w:tcPr>
          <w:p>
            <w:pPr>
              <w:ind w:left="840"/>
              <w:spacing w:after="0"/>
              <w:rPr>
                <w:sz w:val="20"/>
                <w:szCs w:val="20"/>
                <w:color w:val="auto"/>
              </w:rPr>
            </w:pPr>
            <w:r>
              <w:rPr>
                <w:rFonts w:ascii="Arial" w:cs="Arial" w:eastAsia="Arial" w:hAnsi="Arial"/>
                <w:sz w:val="16"/>
                <w:szCs w:val="16"/>
                <w:color w:val="auto"/>
              </w:rPr>
              <w:t>38</w:t>
            </w:r>
          </w:p>
        </w:tc>
      </w:tr>
      <w:tr>
        <w:trPr>
          <w:trHeight w:val="187"/>
        </w:trPr>
        <w:tc>
          <w:tcPr>
            <w:tcW w:w="2440" w:type="dxa"/>
            <w:vAlign w:val="bottom"/>
          </w:tcPr>
          <w:p>
            <w:pPr>
              <w:spacing w:after="0"/>
              <w:rPr>
                <w:sz w:val="20"/>
                <w:szCs w:val="20"/>
                <w:color w:val="auto"/>
              </w:rPr>
            </w:pPr>
            <w:r>
              <w:rPr>
                <w:rFonts w:ascii="Arial" w:cs="Arial" w:eastAsia="Arial" w:hAnsi="Arial"/>
                <w:sz w:val="16"/>
                <w:szCs w:val="16"/>
                <w:color w:val="auto"/>
              </w:rPr>
              <w:t>SoCalGas</w:t>
            </w:r>
          </w:p>
        </w:tc>
        <w:tc>
          <w:tcPr>
            <w:tcW w:w="4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56</w:t>
            </w:r>
          </w:p>
        </w:tc>
        <w:tc>
          <w:tcPr>
            <w:tcW w:w="1380" w:type="dxa"/>
            <w:vAlign w:val="bottom"/>
          </w:tcPr>
          <w:p>
            <w:pPr>
              <w:ind w:left="880"/>
              <w:spacing w:after="0"/>
              <w:rPr>
                <w:sz w:val="20"/>
                <w:szCs w:val="20"/>
                <w:color w:val="auto"/>
              </w:rPr>
            </w:pPr>
            <w:r>
              <w:rPr>
                <w:rFonts w:ascii="Arial" w:cs="Arial" w:eastAsia="Arial" w:hAnsi="Arial"/>
                <w:sz w:val="16"/>
                <w:szCs w:val="16"/>
                <w:color w:val="auto"/>
              </w:rPr>
              <w:t>46</w:t>
            </w:r>
          </w:p>
        </w:tc>
        <w:tc>
          <w:tcPr>
            <w:tcW w:w="240" w:type="dxa"/>
            <w:vAlign w:val="bottom"/>
          </w:tcPr>
          <w:p>
            <w:pPr>
              <w:spacing w:after="0"/>
              <w:rPr>
                <w:sz w:val="16"/>
                <w:szCs w:val="16"/>
                <w:color w:val="auto"/>
              </w:rPr>
            </w:pP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36</w:t>
            </w:r>
          </w:p>
        </w:tc>
        <w:tc>
          <w:tcPr>
            <w:tcW w:w="1360" w:type="dxa"/>
            <w:vAlign w:val="bottom"/>
          </w:tcPr>
          <w:p>
            <w:pPr>
              <w:ind w:left="840"/>
              <w:spacing w:after="0"/>
              <w:rPr>
                <w:sz w:val="20"/>
                <w:szCs w:val="20"/>
                <w:color w:val="auto"/>
              </w:rPr>
            </w:pPr>
            <w:r>
              <w:rPr>
                <w:rFonts w:ascii="Arial" w:cs="Arial" w:eastAsia="Arial" w:hAnsi="Arial"/>
                <w:sz w:val="16"/>
                <w:szCs w:val="16"/>
                <w:color w:val="auto"/>
              </w:rPr>
              <w:t>38</w:t>
            </w:r>
          </w:p>
        </w:tc>
      </w:tr>
      <w:tr>
        <w:trPr>
          <w:trHeight w:val="81"/>
        </w:trPr>
        <w:tc>
          <w:tcPr>
            <w:tcW w:w="2440" w:type="dxa"/>
            <w:vAlign w:val="bottom"/>
            <w:shd w:val="clear" w:color="auto" w:fill="DFDFDF"/>
          </w:tcPr>
          <w:p>
            <w:pPr>
              <w:spacing w:after="0"/>
              <w:rPr>
                <w:sz w:val="7"/>
                <w:szCs w:val="7"/>
                <w:color w:val="auto"/>
              </w:rPr>
            </w:pPr>
          </w:p>
        </w:tc>
        <w:tc>
          <w:tcPr>
            <w:tcW w:w="420" w:type="dxa"/>
            <w:vAlign w:val="bottom"/>
            <w:shd w:val="clear" w:color="auto" w:fill="DFDFDF"/>
          </w:tcPr>
          <w:p>
            <w:pPr>
              <w:spacing w:after="0"/>
              <w:rPr>
                <w:sz w:val="7"/>
                <w:szCs w:val="7"/>
                <w:color w:val="auto"/>
              </w:rPr>
            </w:pPr>
          </w:p>
        </w:tc>
        <w:tc>
          <w:tcPr>
            <w:tcW w:w="880" w:type="dxa"/>
            <w:vAlign w:val="bottom"/>
            <w:shd w:val="clear" w:color="auto" w:fill="DFDFDF"/>
          </w:tcPr>
          <w:p>
            <w:pPr>
              <w:spacing w:after="0"/>
              <w:rPr>
                <w:sz w:val="7"/>
                <w:szCs w:val="7"/>
                <w:color w:val="auto"/>
              </w:rPr>
            </w:pPr>
          </w:p>
        </w:tc>
        <w:tc>
          <w:tcPr>
            <w:tcW w:w="1380" w:type="dxa"/>
            <w:vAlign w:val="bottom"/>
            <w:shd w:val="clear" w:color="auto" w:fill="DFDFDF"/>
          </w:tcPr>
          <w:p>
            <w:pPr>
              <w:spacing w:after="0"/>
              <w:rPr>
                <w:sz w:val="7"/>
                <w:szCs w:val="7"/>
                <w:color w:val="auto"/>
              </w:rPr>
            </w:pPr>
          </w:p>
        </w:tc>
        <w:tc>
          <w:tcPr>
            <w:tcW w:w="240" w:type="dxa"/>
            <w:vAlign w:val="bottom"/>
            <w:shd w:val="clear" w:color="auto" w:fill="DFDFDF"/>
          </w:tcPr>
          <w:p>
            <w:pPr>
              <w:spacing w:after="0"/>
              <w:rPr>
                <w:sz w:val="7"/>
                <w:szCs w:val="7"/>
                <w:color w:val="auto"/>
              </w:rPr>
            </w:pPr>
          </w:p>
        </w:tc>
        <w:tc>
          <w:tcPr>
            <w:tcW w:w="900" w:type="dxa"/>
            <w:vAlign w:val="bottom"/>
            <w:shd w:val="clear" w:color="auto" w:fill="DFDFDF"/>
          </w:tcPr>
          <w:p>
            <w:pPr>
              <w:spacing w:after="0"/>
              <w:rPr>
                <w:sz w:val="7"/>
                <w:szCs w:val="7"/>
                <w:color w:val="auto"/>
              </w:rPr>
            </w:pPr>
          </w:p>
        </w:tc>
        <w:tc>
          <w:tcPr>
            <w:tcW w:w="1360" w:type="dxa"/>
            <w:vAlign w:val="bottom"/>
            <w:shd w:val="clear" w:color="auto" w:fill="DFDFDF"/>
          </w:tcPr>
          <w:p>
            <w:pPr>
              <w:spacing w:after="0"/>
              <w:rPr>
                <w:sz w:val="7"/>
                <w:szCs w:val="7"/>
                <w:color w:val="auto"/>
              </w:rPr>
            </w:pPr>
          </w:p>
        </w:tc>
      </w:tr>
    </w:tbl>
    <w:p>
      <w:pPr>
        <w:sectPr>
          <w:pgSz w:w="11900" w:h="16838" w:orient="portrait"/>
          <w:cols w:equalWidth="0" w:num="1">
            <w:col w:w="10219"/>
          </w:cols>
          <w:pgMar w:left="240" w:top="404" w:right="1440" w:bottom="1440" w:gutter="0" w:footer="0" w:header="0"/>
        </w:sectPr>
      </w:pPr>
    </w:p>
    <w:bookmarkStart w:id="38" w:name="page39"/>
    <w:bookmarkEnd w:id="38"/>
    <w:p>
      <w:pPr>
        <w:spacing w:after="0"/>
        <w:rPr>
          <w:sz w:val="20"/>
          <w:szCs w:val="20"/>
          <w:color w:val="auto"/>
        </w:rPr>
      </w:pPr>
      <w:r>
        <w:rPr>
          <w:rFonts w:ascii="Arial" w:cs="Arial" w:eastAsia="Arial" w:hAnsi="Arial"/>
          <w:sz w:val="20"/>
          <w:szCs w:val="20"/>
          <w:b w:val="1"/>
          <w:bCs w:val="1"/>
          <w:i w:val="1"/>
          <w:iCs w:val="1"/>
          <w:color w:val="auto"/>
        </w:rPr>
        <w:t>Changes in Effective Income Tax Rates</w:t>
      </w:r>
    </w:p>
    <w:p>
      <w:pPr>
        <w:spacing w:after="0" w:line="4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 Consolidated</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color w:val="auto"/>
        </w:rPr>
        <w:t>For the three months ended March 31, 2010, the increase in effective tax rate was primarily due to:</w:t>
      </w:r>
    </w:p>
    <w:p>
      <w:pPr>
        <w:spacing w:after="0" w:line="22" w:lineRule="exact"/>
        <w:rPr>
          <w:sz w:val="20"/>
          <w:szCs w:val="20"/>
          <w:color w:val="auto"/>
        </w:rPr>
      </w:pPr>
    </w:p>
    <w:p>
      <w:pPr>
        <w:ind w:left="140" w:hanging="132"/>
        <w:spacing w:after="0"/>
        <w:tabs>
          <w:tab w:leader="none" w:pos="140" w:val="left"/>
        </w:tabs>
        <w:numPr>
          <w:ilvl w:val="0"/>
          <w:numId w:val="15"/>
        </w:numPr>
        <w:rPr>
          <w:rFonts w:ascii="Arial" w:cs="Arial" w:eastAsia="Arial" w:hAnsi="Arial"/>
          <w:sz w:val="22"/>
          <w:szCs w:val="22"/>
          <w:color w:val="auto"/>
        </w:rPr>
      </w:pPr>
      <w:r>
        <w:rPr>
          <w:rFonts w:ascii="Arial" w:cs="Arial" w:eastAsia="Arial" w:hAnsi="Arial"/>
          <w:sz w:val="22"/>
          <w:szCs w:val="22"/>
          <w:color w:val="auto"/>
        </w:rPr>
        <w:t>lower pretax income in countries with lower statutory rates;</w:t>
      </w:r>
    </w:p>
    <w:p>
      <w:pPr>
        <w:spacing w:after="0" w:line="3" w:lineRule="exact"/>
        <w:rPr>
          <w:rFonts w:ascii="Arial" w:cs="Arial" w:eastAsia="Arial" w:hAnsi="Arial"/>
          <w:sz w:val="22"/>
          <w:szCs w:val="22"/>
          <w:color w:val="auto"/>
        </w:rPr>
      </w:pPr>
    </w:p>
    <w:p>
      <w:pPr>
        <w:ind w:left="180" w:right="1979" w:hanging="172"/>
        <w:spacing w:after="0" w:line="230" w:lineRule="auto"/>
        <w:tabs>
          <w:tab w:leader="none" w:pos="153" w:val="left"/>
        </w:tabs>
        <w:numPr>
          <w:ilvl w:val="0"/>
          <w:numId w:val="15"/>
        </w:numPr>
        <w:rPr>
          <w:rFonts w:ascii="Arial" w:cs="Arial" w:eastAsia="Arial" w:hAnsi="Arial"/>
          <w:sz w:val="22"/>
          <w:szCs w:val="22"/>
          <w:color w:val="auto"/>
        </w:rPr>
      </w:pPr>
      <w:r>
        <w:rPr>
          <w:rFonts w:ascii="Arial" w:cs="Arial" w:eastAsia="Arial" w:hAnsi="Arial"/>
          <w:sz w:val="22"/>
          <w:szCs w:val="22"/>
          <w:color w:val="auto"/>
        </w:rPr>
        <w:t>$12 million tax expense in 2010 compared to a $9 million tax benefit in 2009 due to Mexican currency translation and inflation adjustments; and</w:t>
      </w:r>
    </w:p>
    <w:p>
      <w:pPr>
        <w:spacing w:after="0" w:line="1" w:lineRule="exact"/>
        <w:rPr>
          <w:rFonts w:ascii="Arial" w:cs="Arial" w:eastAsia="Arial" w:hAnsi="Arial"/>
          <w:sz w:val="22"/>
          <w:szCs w:val="22"/>
          <w:color w:val="auto"/>
        </w:rPr>
      </w:pPr>
    </w:p>
    <w:p>
      <w:pPr>
        <w:ind w:left="180" w:right="1799" w:hanging="172"/>
        <w:spacing w:after="0" w:line="228" w:lineRule="auto"/>
        <w:tabs>
          <w:tab w:leader="none" w:pos="153" w:val="left"/>
        </w:tabs>
        <w:numPr>
          <w:ilvl w:val="0"/>
          <w:numId w:val="15"/>
        </w:numPr>
        <w:rPr>
          <w:rFonts w:ascii="Arial" w:cs="Arial" w:eastAsia="Arial" w:hAnsi="Arial"/>
          <w:sz w:val="21"/>
          <w:szCs w:val="21"/>
          <w:color w:val="auto"/>
        </w:rPr>
      </w:pPr>
      <w:r>
        <w:rPr>
          <w:rFonts w:ascii="Arial" w:cs="Arial" w:eastAsia="Arial" w:hAnsi="Arial"/>
          <w:sz w:val="21"/>
          <w:szCs w:val="21"/>
          <w:color w:val="auto"/>
        </w:rPr>
        <w:t xml:space="preserve">a $16 million write-down of deferred tax assets related to other post employment benefits, as a result of a change in U.S. tax law that eliminates a future deduction, starting in 2013, for retiree healthcare funded by the Medicare Part D subsidy; </w:t>
      </w:r>
      <w:r>
        <w:rPr>
          <w:rFonts w:ascii="Arial" w:cs="Arial" w:eastAsia="Arial" w:hAnsi="Arial"/>
          <w:sz w:val="21"/>
          <w:szCs w:val="21"/>
          <w:b w:val="1"/>
          <w:bCs w:val="1"/>
          <w:color w:val="auto"/>
        </w:rPr>
        <w:t>offset by</w:t>
      </w:r>
    </w:p>
    <w:p>
      <w:pPr>
        <w:ind w:left="140" w:hanging="132"/>
        <w:spacing w:after="0"/>
        <w:tabs>
          <w:tab w:leader="none" w:pos="140" w:val="left"/>
        </w:tabs>
        <w:numPr>
          <w:ilvl w:val="0"/>
          <w:numId w:val="15"/>
        </w:numPr>
        <w:rPr>
          <w:rFonts w:ascii="Arial" w:cs="Arial" w:eastAsia="Arial" w:hAnsi="Arial"/>
          <w:sz w:val="22"/>
          <w:szCs w:val="22"/>
          <w:color w:val="auto"/>
        </w:rPr>
      </w:pPr>
      <w:r>
        <w:rPr>
          <w:rFonts w:ascii="Arial" w:cs="Arial" w:eastAsia="Arial" w:hAnsi="Arial"/>
          <w:sz w:val="22"/>
          <w:szCs w:val="22"/>
          <w:color w:val="auto"/>
        </w:rPr>
        <w:t>higher tax deductions for self-developed software costs;</w:t>
      </w:r>
    </w:p>
    <w:p>
      <w:pPr>
        <w:spacing w:after="0" w:line="3" w:lineRule="exact"/>
        <w:rPr>
          <w:rFonts w:ascii="Arial" w:cs="Arial" w:eastAsia="Arial" w:hAnsi="Arial"/>
          <w:sz w:val="22"/>
          <w:szCs w:val="22"/>
          <w:color w:val="auto"/>
        </w:rPr>
      </w:pPr>
    </w:p>
    <w:p>
      <w:pPr>
        <w:ind w:left="140" w:hanging="132"/>
        <w:spacing w:after="0"/>
        <w:tabs>
          <w:tab w:leader="none" w:pos="140" w:val="left"/>
        </w:tabs>
        <w:numPr>
          <w:ilvl w:val="0"/>
          <w:numId w:val="15"/>
        </w:numPr>
        <w:rPr>
          <w:rFonts w:ascii="Arial" w:cs="Arial" w:eastAsia="Arial" w:hAnsi="Arial"/>
          <w:sz w:val="22"/>
          <w:szCs w:val="22"/>
          <w:color w:val="auto"/>
        </w:rPr>
      </w:pPr>
      <w:r>
        <w:rPr>
          <w:rFonts w:ascii="Arial" w:cs="Arial" w:eastAsia="Arial" w:hAnsi="Arial"/>
          <w:sz w:val="22"/>
          <w:szCs w:val="22"/>
          <w:color w:val="auto"/>
        </w:rPr>
        <w:t>higher favorable impact from the resolution of prior years' income tax issues; and</w:t>
      </w:r>
    </w:p>
    <w:p>
      <w:pPr>
        <w:spacing w:after="0" w:line="17" w:lineRule="exact"/>
        <w:rPr>
          <w:rFonts w:ascii="Arial" w:cs="Arial" w:eastAsia="Arial" w:hAnsi="Arial"/>
          <w:sz w:val="22"/>
          <w:szCs w:val="22"/>
          <w:color w:val="auto"/>
        </w:rPr>
      </w:pPr>
    </w:p>
    <w:p>
      <w:pPr>
        <w:ind w:left="140" w:hanging="132"/>
        <w:spacing w:after="0"/>
        <w:tabs>
          <w:tab w:leader="none" w:pos="140" w:val="left"/>
        </w:tabs>
        <w:numPr>
          <w:ilvl w:val="0"/>
          <w:numId w:val="15"/>
        </w:numPr>
        <w:rPr>
          <w:rFonts w:ascii="Arial" w:cs="Arial" w:eastAsia="Arial" w:hAnsi="Arial"/>
          <w:sz w:val="22"/>
          <w:szCs w:val="22"/>
          <w:color w:val="auto"/>
        </w:rPr>
      </w:pPr>
      <w:r>
        <w:rPr>
          <w:rFonts w:ascii="Arial" w:cs="Arial" w:eastAsia="Arial" w:hAnsi="Arial"/>
          <w:sz w:val="22"/>
          <w:szCs w:val="22"/>
          <w:color w:val="auto"/>
        </w:rPr>
        <w:t>higher planned investment tax credits.</w:t>
      </w:r>
    </w:p>
    <w:p>
      <w:pPr>
        <w:spacing w:after="0" w:line="9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SDG&amp;E</w:t>
      </w:r>
    </w:p>
    <w:p>
      <w:pPr>
        <w:spacing w:after="0" w:line="63" w:lineRule="exact"/>
        <w:rPr>
          <w:sz w:val="20"/>
          <w:szCs w:val="20"/>
          <w:color w:val="auto"/>
        </w:rPr>
      </w:pPr>
    </w:p>
    <w:p>
      <w:pPr>
        <w:spacing w:after="0"/>
        <w:rPr>
          <w:sz w:val="20"/>
          <w:szCs w:val="20"/>
          <w:color w:val="auto"/>
        </w:rPr>
      </w:pPr>
      <w:r>
        <w:rPr>
          <w:rFonts w:ascii="Arial" w:cs="Arial" w:eastAsia="Arial" w:hAnsi="Arial"/>
          <w:sz w:val="19"/>
          <w:szCs w:val="19"/>
          <w:color w:val="auto"/>
        </w:rPr>
        <w:t>For the three months ended March 31, 2010, the decrease in SDG&amp;E's effective tax rate was primarily due to:</w:t>
      </w:r>
    </w:p>
    <w:p>
      <w:pPr>
        <w:spacing w:after="0" w:line="56" w:lineRule="exact"/>
        <w:rPr>
          <w:sz w:val="20"/>
          <w:szCs w:val="20"/>
          <w:color w:val="auto"/>
        </w:rPr>
      </w:pPr>
    </w:p>
    <w:p>
      <w:pPr>
        <w:ind w:left="140" w:hanging="132"/>
        <w:spacing w:after="0"/>
        <w:tabs>
          <w:tab w:leader="none" w:pos="140" w:val="left"/>
        </w:tabs>
        <w:numPr>
          <w:ilvl w:val="0"/>
          <w:numId w:val="16"/>
        </w:numPr>
        <w:rPr>
          <w:rFonts w:ascii="Arial" w:cs="Arial" w:eastAsia="Arial" w:hAnsi="Arial"/>
          <w:sz w:val="22"/>
          <w:szCs w:val="22"/>
          <w:color w:val="auto"/>
        </w:rPr>
      </w:pPr>
      <w:r>
        <w:rPr>
          <w:rFonts w:ascii="Arial" w:cs="Arial" w:eastAsia="Arial" w:hAnsi="Arial"/>
          <w:sz w:val="22"/>
          <w:szCs w:val="22"/>
          <w:color w:val="auto"/>
        </w:rPr>
        <w:t>higher favorable impact from the resolution of prior years' income tax issues;</w:t>
      </w:r>
    </w:p>
    <w:p>
      <w:pPr>
        <w:spacing w:after="0" w:line="17" w:lineRule="exact"/>
        <w:rPr>
          <w:rFonts w:ascii="Arial" w:cs="Arial" w:eastAsia="Arial" w:hAnsi="Arial"/>
          <w:sz w:val="22"/>
          <w:szCs w:val="22"/>
          <w:color w:val="auto"/>
        </w:rPr>
      </w:pPr>
    </w:p>
    <w:p>
      <w:pPr>
        <w:ind w:left="140" w:hanging="132"/>
        <w:spacing w:after="0"/>
        <w:tabs>
          <w:tab w:leader="none" w:pos="140" w:val="left"/>
        </w:tabs>
        <w:numPr>
          <w:ilvl w:val="0"/>
          <w:numId w:val="16"/>
        </w:numPr>
        <w:rPr>
          <w:rFonts w:ascii="Arial" w:cs="Arial" w:eastAsia="Arial" w:hAnsi="Arial"/>
          <w:sz w:val="22"/>
          <w:szCs w:val="22"/>
          <w:color w:val="auto"/>
        </w:rPr>
      </w:pPr>
      <w:r>
        <w:rPr>
          <w:rFonts w:ascii="Arial" w:cs="Arial" w:eastAsia="Arial" w:hAnsi="Arial"/>
          <w:sz w:val="22"/>
          <w:szCs w:val="22"/>
          <w:color w:val="auto"/>
        </w:rPr>
        <w:t>higher deductions for self-developed software costs; and</w:t>
      </w:r>
    </w:p>
    <w:p>
      <w:pPr>
        <w:spacing w:after="0" w:line="3" w:lineRule="exact"/>
        <w:rPr>
          <w:rFonts w:ascii="Arial" w:cs="Arial" w:eastAsia="Arial" w:hAnsi="Arial"/>
          <w:sz w:val="22"/>
          <w:szCs w:val="22"/>
          <w:color w:val="auto"/>
        </w:rPr>
      </w:pPr>
    </w:p>
    <w:p>
      <w:pPr>
        <w:ind w:left="140" w:hanging="132"/>
        <w:spacing w:after="0"/>
        <w:tabs>
          <w:tab w:leader="none" w:pos="140" w:val="left"/>
        </w:tabs>
        <w:numPr>
          <w:ilvl w:val="0"/>
          <w:numId w:val="16"/>
        </w:numPr>
        <w:rPr>
          <w:rFonts w:ascii="Arial" w:cs="Arial" w:eastAsia="Arial" w:hAnsi="Arial"/>
          <w:sz w:val="22"/>
          <w:szCs w:val="22"/>
          <w:color w:val="auto"/>
        </w:rPr>
      </w:pPr>
      <w:r>
        <w:rPr>
          <w:rFonts w:ascii="Arial" w:cs="Arial" w:eastAsia="Arial" w:hAnsi="Arial"/>
          <w:sz w:val="22"/>
          <w:szCs w:val="22"/>
          <w:color w:val="auto"/>
        </w:rPr>
        <w:t xml:space="preserve">lower state and local tax expense; </w:t>
      </w:r>
      <w:r>
        <w:rPr>
          <w:rFonts w:ascii="Arial" w:cs="Arial" w:eastAsia="Arial" w:hAnsi="Arial"/>
          <w:sz w:val="22"/>
          <w:szCs w:val="22"/>
          <w:b w:val="1"/>
          <w:bCs w:val="1"/>
          <w:color w:val="auto"/>
        </w:rPr>
        <w:t>offset by</w:t>
      </w:r>
    </w:p>
    <w:p>
      <w:pPr>
        <w:spacing w:after="0" w:line="3" w:lineRule="exact"/>
        <w:rPr>
          <w:rFonts w:ascii="Arial" w:cs="Arial" w:eastAsia="Arial" w:hAnsi="Arial"/>
          <w:sz w:val="22"/>
          <w:szCs w:val="22"/>
          <w:color w:val="auto"/>
        </w:rPr>
      </w:pPr>
    </w:p>
    <w:p>
      <w:pPr>
        <w:ind w:left="180" w:right="1999" w:hanging="172"/>
        <w:spacing w:after="0" w:line="230" w:lineRule="auto"/>
        <w:tabs>
          <w:tab w:leader="none" w:pos="153" w:val="left"/>
        </w:tabs>
        <w:numPr>
          <w:ilvl w:val="0"/>
          <w:numId w:val="16"/>
        </w:numPr>
        <w:rPr>
          <w:rFonts w:ascii="Arial" w:cs="Arial" w:eastAsia="Arial" w:hAnsi="Arial"/>
          <w:sz w:val="22"/>
          <w:szCs w:val="22"/>
          <w:color w:val="auto"/>
        </w:rPr>
      </w:pPr>
      <w:r>
        <w:rPr>
          <w:rFonts w:ascii="Arial" w:cs="Arial" w:eastAsia="Arial" w:hAnsi="Arial"/>
          <w:sz w:val="22"/>
          <w:szCs w:val="22"/>
          <w:color w:val="auto"/>
        </w:rPr>
        <w:t>a $3 million write-down of deferred tax assets related to other post employment benefits, as a result of a change in U.S. tax law, as we discuss above.</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PE and SoCalGas</w:t>
      </w:r>
    </w:p>
    <w:p>
      <w:pPr>
        <w:spacing w:after="0" w:line="63" w:lineRule="exact"/>
        <w:rPr>
          <w:sz w:val="20"/>
          <w:szCs w:val="20"/>
          <w:color w:val="auto"/>
        </w:rPr>
      </w:pPr>
    </w:p>
    <w:p>
      <w:pPr>
        <w:ind w:right="499"/>
        <w:spacing w:after="0" w:line="232" w:lineRule="auto"/>
        <w:rPr>
          <w:sz w:val="20"/>
          <w:szCs w:val="20"/>
          <w:color w:val="auto"/>
        </w:rPr>
      </w:pPr>
      <w:r>
        <w:rPr>
          <w:rFonts w:ascii="Arial" w:cs="Arial" w:eastAsia="Arial" w:hAnsi="Arial"/>
          <w:sz w:val="22"/>
          <w:szCs w:val="22"/>
          <w:color w:val="auto"/>
        </w:rPr>
        <w:t>For the three months ended March 31, 2010, the increase in PE’s and SoCalGas’ effective tax rate was primarily due to:</w:t>
      </w:r>
    </w:p>
    <w:p>
      <w:pPr>
        <w:spacing w:after="0" w:line="2" w:lineRule="exact"/>
        <w:rPr>
          <w:sz w:val="20"/>
          <w:szCs w:val="20"/>
          <w:color w:val="auto"/>
        </w:rPr>
      </w:pPr>
    </w:p>
    <w:p>
      <w:pPr>
        <w:ind w:left="180" w:right="1899" w:hanging="172"/>
        <w:spacing w:after="0" w:line="224" w:lineRule="auto"/>
        <w:tabs>
          <w:tab w:leader="none" w:pos="153" w:val="left"/>
        </w:tabs>
        <w:numPr>
          <w:ilvl w:val="0"/>
          <w:numId w:val="17"/>
        </w:numPr>
        <w:rPr>
          <w:rFonts w:ascii="Arial" w:cs="Arial" w:eastAsia="Arial" w:hAnsi="Arial"/>
          <w:sz w:val="22"/>
          <w:szCs w:val="22"/>
          <w:color w:val="auto"/>
        </w:rPr>
      </w:pPr>
      <w:r>
        <w:rPr>
          <w:rFonts w:ascii="Arial" w:cs="Arial" w:eastAsia="Arial" w:hAnsi="Arial"/>
          <w:sz w:val="22"/>
          <w:szCs w:val="22"/>
          <w:color w:val="auto"/>
        </w:rPr>
        <w:t xml:space="preserve">a $13 million write-down of deferred tax assets related to other post employment benefits, as a result of a change in U.S. tax law, as we discuss above; </w:t>
      </w:r>
      <w:r>
        <w:rPr>
          <w:rFonts w:ascii="Arial" w:cs="Arial" w:eastAsia="Arial" w:hAnsi="Arial"/>
          <w:sz w:val="22"/>
          <w:szCs w:val="22"/>
          <w:b w:val="1"/>
          <w:bCs w:val="1"/>
          <w:color w:val="auto"/>
        </w:rPr>
        <w:t>offset by</w:t>
      </w:r>
    </w:p>
    <w:p>
      <w:pPr>
        <w:ind w:left="140" w:hanging="132"/>
        <w:spacing w:after="0"/>
        <w:tabs>
          <w:tab w:leader="none" w:pos="140" w:val="left"/>
        </w:tabs>
        <w:numPr>
          <w:ilvl w:val="0"/>
          <w:numId w:val="17"/>
        </w:numPr>
        <w:rPr>
          <w:rFonts w:ascii="Arial" w:cs="Arial" w:eastAsia="Arial" w:hAnsi="Arial"/>
          <w:sz w:val="22"/>
          <w:szCs w:val="22"/>
          <w:color w:val="auto"/>
        </w:rPr>
      </w:pPr>
      <w:r>
        <w:rPr>
          <w:rFonts w:ascii="Arial" w:cs="Arial" w:eastAsia="Arial" w:hAnsi="Arial"/>
          <w:sz w:val="22"/>
          <w:szCs w:val="22"/>
          <w:color w:val="auto"/>
        </w:rPr>
        <w:t>higher deductions for self-developed software costs; and</w:t>
      </w:r>
    </w:p>
    <w:p>
      <w:pPr>
        <w:spacing w:after="0" w:line="17" w:lineRule="exact"/>
        <w:rPr>
          <w:rFonts w:ascii="Arial" w:cs="Arial" w:eastAsia="Arial" w:hAnsi="Arial"/>
          <w:sz w:val="22"/>
          <w:szCs w:val="22"/>
          <w:color w:val="auto"/>
        </w:rPr>
      </w:pPr>
    </w:p>
    <w:p>
      <w:pPr>
        <w:ind w:left="140" w:hanging="132"/>
        <w:spacing w:after="0"/>
        <w:tabs>
          <w:tab w:leader="none" w:pos="140" w:val="left"/>
        </w:tabs>
        <w:numPr>
          <w:ilvl w:val="0"/>
          <w:numId w:val="17"/>
        </w:numPr>
        <w:rPr>
          <w:rFonts w:ascii="Arial" w:cs="Arial" w:eastAsia="Arial" w:hAnsi="Arial"/>
          <w:sz w:val="22"/>
          <w:szCs w:val="22"/>
          <w:color w:val="auto"/>
        </w:rPr>
      </w:pPr>
      <w:r>
        <w:rPr>
          <w:rFonts w:ascii="Arial" w:cs="Arial" w:eastAsia="Arial" w:hAnsi="Arial"/>
          <w:sz w:val="22"/>
          <w:szCs w:val="22"/>
          <w:color w:val="auto"/>
        </w:rPr>
        <w:t>lower state and local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617474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NOTE 6. DEBT AND CREDIT FACILITIES</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COMMITTED LINES OF CREDIT</w:t>
      </w:r>
    </w:p>
    <w:p>
      <w:pPr>
        <w:spacing w:after="0" w:line="55" w:lineRule="exact"/>
        <w:rPr>
          <w:sz w:val="20"/>
          <w:szCs w:val="20"/>
          <w:color w:val="auto"/>
        </w:rPr>
      </w:pPr>
    </w:p>
    <w:p>
      <w:pPr>
        <w:ind w:right="579"/>
        <w:spacing w:after="0" w:line="257" w:lineRule="auto"/>
        <w:rPr>
          <w:sz w:val="20"/>
          <w:szCs w:val="20"/>
          <w:color w:val="auto"/>
        </w:rPr>
      </w:pPr>
      <w:r>
        <w:rPr>
          <w:rFonts w:ascii="Arial" w:cs="Arial" w:eastAsia="Arial" w:hAnsi="Arial"/>
          <w:sz w:val="19"/>
          <w:szCs w:val="19"/>
          <w:color w:val="auto"/>
        </w:rPr>
        <w:t>At March 31, 2010, Sempra Energy Consolidated had $4.3 billion in committed lines of credit to provide liquidity and to support commercial paper and variable-rate demand notes, the major components of which are detailed below. Available unused credit on these lines at March 31, 2010 was $3.3 billion. We discuss the terms of our credit agreements in Note 6 of the Notes to Consolidated Financial Statements in the Annual Report.</w:t>
      </w:r>
    </w:p>
    <w:p>
      <w:pPr>
        <w:spacing w:after="0" w:line="23" w:lineRule="exact"/>
        <w:rPr>
          <w:sz w:val="20"/>
          <w:szCs w:val="20"/>
          <w:color w:val="auto"/>
        </w:rPr>
      </w:pPr>
    </w:p>
    <w:p>
      <w:pPr>
        <w:ind w:right="579"/>
        <w:spacing w:after="0" w:line="214" w:lineRule="auto"/>
        <w:rPr>
          <w:sz w:val="20"/>
          <w:szCs w:val="20"/>
          <w:color w:val="auto"/>
        </w:rPr>
      </w:pPr>
      <w:r>
        <w:rPr>
          <w:rFonts w:ascii="Arial" w:cs="Arial" w:eastAsia="Arial" w:hAnsi="Arial"/>
          <w:sz w:val="22"/>
          <w:szCs w:val="22"/>
          <w:color w:val="auto"/>
        </w:rPr>
        <w:t>These amounts exclude lines of credit associated with Sempra Commodities, one of which we continue to guarantee, as we discuss below in "RBS Sempra Commodities." RBS has replaced Sempra Energy as guarantor on all uncommitted lines of credit associated with Sempra Commodities. To the extent that Sempra Energy's credit support arrangements, including Sempra Commodities' committed facilities, have not been terminated or replaced, RBS has indemnified Sempra Energy for any claims or losses arising in connection with those arrangements.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Sempra Energy has a $1 billion, three-year syndicated revolving credit agreement expiring in 2011.</w:t>
      </w:r>
    </w:p>
    <w:p>
      <w:pPr>
        <w:sectPr>
          <w:pgSz w:w="11900" w:h="16838" w:orient="portrait"/>
          <w:cols w:equalWidth="0" w:num="1">
            <w:col w:w="10219"/>
          </w:cols>
          <w:pgMar w:left="240" w:top="122" w:right="1440" w:bottom="1440" w:gutter="0" w:footer="0" w:header="0"/>
        </w:sectPr>
      </w:pPr>
    </w:p>
    <w:bookmarkStart w:id="39" w:name="page40"/>
    <w:bookmarkEnd w:id="39"/>
    <w:p>
      <w:pPr>
        <w:ind w:right="779"/>
        <w:spacing w:after="0" w:line="300" w:lineRule="auto"/>
        <w:rPr>
          <w:sz w:val="20"/>
          <w:szCs w:val="20"/>
          <w:color w:val="auto"/>
        </w:rPr>
      </w:pPr>
      <w:r>
        <w:rPr>
          <w:rFonts w:ascii="Arial" w:cs="Arial" w:eastAsia="Arial" w:hAnsi="Arial"/>
          <w:sz w:val="19"/>
          <w:szCs w:val="19"/>
          <w:color w:val="auto"/>
        </w:rPr>
        <w:t>Borrowings bear interest at benchmark rates plus a margin that varies with market index rates and Sempra Energy's credit ratings. At March 31, 2010, Sempra Energy had no outstanding borrowings under the facility.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Global</w:t>
      </w:r>
    </w:p>
    <w:p>
      <w:pPr>
        <w:spacing w:after="0" w:line="20" w:lineRule="exact"/>
        <w:rPr>
          <w:sz w:val="20"/>
          <w:szCs w:val="20"/>
          <w:color w:val="auto"/>
        </w:rPr>
      </w:pPr>
    </w:p>
    <w:p>
      <w:pPr>
        <w:ind w:right="599"/>
        <w:spacing w:after="0" w:line="216" w:lineRule="auto"/>
        <w:rPr>
          <w:sz w:val="20"/>
          <w:szCs w:val="20"/>
          <w:color w:val="auto"/>
        </w:rPr>
      </w:pPr>
      <w:r>
        <w:rPr>
          <w:rFonts w:ascii="Arial" w:cs="Arial" w:eastAsia="Arial" w:hAnsi="Arial"/>
          <w:sz w:val="22"/>
          <w:szCs w:val="22"/>
          <w:color w:val="auto"/>
        </w:rPr>
        <w:t>Sempra Global has a $2.5 billion, three-year syndicated revolving credit agreement expiring in 2011. The facility also provides for issuance of up to $300 million of letters of credit on behalf of Sempra Global with the amount of borrowings otherwise available under the facility reduced by the amount of outstanding letters of credit.</w:t>
      </w:r>
    </w:p>
    <w:p>
      <w:pPr>
        <w:spacing w:after="0" w:line="36" w:lineRule="exact"/>
        <w:rPr>
          <w:sz w:val="20"/>
          <w:szCs w:val="20"/>
          <w:color w:val="auto"/>
        </w:rPr>
      </w:pPr>
    </w:p>
    <w:p>
      <w:pPr>
        <w:ind w:right="499"/>
        <w:spacing w:after="0" w:line="257" w:lineRule="auto"/>
        <w:rPr>
          <w:sz w:val="20"/>
          <w:szCs w:val="20"/>
          <w:color w:val="auto"/>
        </w:rPr>
      </w:pPr>
      <w:r>
        <w:rPr>
          <w:rFonts w:ascii="Arial" w:cs="Arial" w:eastAsia="Arial" w:hAnsi="Arial"/>
          <w:sz w:val="19"/>
          <w:szCs w:val="19"/>
          <w:color w:val="auto"/>
        </w:rPr>
        <w:t>Sempra Energy guarantees Sempra Global’s obligations under the credit facility. Borrowings bear interest at benchmark rates plus a margin that varies with market index rates and Sempra Energy’s credit ratings. At March 31, 2010, Sempra Global had letters of credit of $7 million outstanding and no outstanding borrowings under the facility. The facility provides support for $727 million of commercial paper outstanding at March 31, 2010.</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Utilities</w:t>
      </w:r>
    </w:p>
    <w:p>
      <w:pPr>
        <w:spacing w:after="0" w:line="20" w:lineRule="exact"/>
        <w:rPr>
          <w:sz w:val="20"/>
          <w:szCs w:val="20"/>
          <w:color w:val="auto"/>
        </w:rPr>
      </w:pPr>
    </w:p>
    <w:p>
      <w:pPr>
        <w:ind w:right="499"/>
        <w:spacing w:after="0" w:line="249" w:lineRule="auto"/>
        <w:rPr>
          <w:sz w:val="20"/>
          <w:szCs w:val="20"/>
          <w:color w:val="auto"/>
        </w:rPr>
      </w:pPr>
      <w:r>
        <w:rPr>
          <w:rFonts w:ascii="Arial" w:cs="Arial" w:eastAsia="Arial" w:hAnsi="Arial"/>
          <w:sz w:val="19"/>
          <w:szCs w:val="19"/>
          <w:color w:val="auto"/>
        </w:rPr>
        <w:t>SDG&amp;E and SoCalGas have a combined $800 million, three-year syndicated revolving credit agreement expiring in 2011. The agreement permits each utility to individually borrow up to $600 million, subject to a combined limit of $800 million for both utilities. It also provides for the issuance of letters of credit on behalf of each utility subject to a combined letter of credit commitment of $200 million for both utilities. The amount of borrowings otherwise available under the facility is reduced by the amount of outstanding letters of credit.</w:t>
      </w:r>
    </w:p>
    <w:p>
      <w:pPr>
        <w:spacing w:after="0" w:line="30" w:lineRule="exact"/>
        <w:rPr>
          <w:sz w:val="20"/>
          <w:szCs w:val="20"/>
          <w:color w:val="auto"/>
        </w:rPr>
      </w:pPr>
    </w:p>
    <w:p>
      <w:pPr>
        <w:ind w:right="599"/>
        <w:spacing w:after="0" w:line="229" w:lineRule="auto"/>
        <w:rPr>
          <w:sz w:val="20"/>
          <w:szCs w:val="20"/>
          <w:color w:val="auto"/>
        </w:rPr>
      </w:pPr>
      <w:r>
        <w:rPr>
          <w:rFonts w:ascii="Arial" w:cs="Arial" w:eastAsia="Arial" w:hAnsi="Arial"/>
          <w:sz w:val="21"/>
          <w:szCs w:val="21"/>
          <w:color w:val="auto"/>
        </w:rPr>
        <w:t>Borrowings under the facility bear interest at benchmark rates plus a margin that varies with market index rates and the borrowing utility's credit rating. Each utility’s obligations under the agreement are individual obligations, and a default by one utility would not constitute a default by the other utility or preclude borrowings by, or the issuance of letters of credit on behalf of, the other utility.</w:t>
      </w:r>
    </w:p>
    <w:p>
      <w:pPr>
        <w:spacing w:after="0" w:line="37" w:lineRule="exact"/>
        <w:rPr>
          <w:sz w:val="20"/>
          <w:szCs w:val="20"/>
          <w:color w:val="auto"/>
        </w:rPr>
      </w:pPr>
    </w:p>
    <w:p>
      <w:pPr>
        <w:ind w:right="519"/>
        <w:spacing w:after="0" w:line="224" w:lineRule="auto"/>
        <w:rPr>
          <w:sz w:val="20"/>
          <w:szCs w:val="20"/>
          <w:color w:val="auto"/>
        </w:rPr>
      </w:pPr>
      <w:r>
        <w:rPr>
          <w:rFonts w:ascii="Arial" w:cs="Arial" w:eastAsia="Arial" w:hAnsi="Arial"/>
          <w:sz w:val="21"/>
          <w:szCs w:val="21"/>
          <w:color w:val="auto"/>
        </w:rPr>
        <w:t>At March 31, 2010, SDG&amp;E and SoCalGas had no outstanding borrowings under this facility. SDG&amp;E had $25 million of outstanding letters of credit and $237 million of variable-rate demand notes outstanding supported by this facility at March 31, 2010. The facility also provides support for $24 million of commercial paper outstanding at SDG&amp;E at March 31, 2010. Available unused credit on these lines at March 31, 2010 was $314 million at SDG&amp;E and $514 million at SoCalGas; SoCalGas' availability reflects the impact of SDG&amp;E's use of the combined credit available on the line.</w:t>
      </w: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GUARANTEES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RBS Sempra Commodities</w:t>
      </w:r>
    </w:p>
    <w:p>
      <w:pPr>
        <w:spacing w:after="0" w:line="20" w:lineRule="exact"/>
        <w:rPr>
          <w:sz w:val="20"/>
          <w:szCs w:val="20"/>
          <w:color w:val="auto"/>
        </w:rPr>
      </w:pPr>
    </w:p>
    <w:p>
      <w:pPr>
        <w:ind w:right="559"/>
        <w:spacing w:after="0" w:line="245" w:lineRule="auto"/>
        <w:rPr>
          <w:sz w:val="20"/>
          <w:szCs w:val="20"/>
          <w:color w:val="auto"/>
        </w:rPr>
      </w:pPr>
      <w:r>
        <w:rPr>
          <w:rFonts w:ascii="Arial" w:cs="Arial" w:eastAsia="Arial" w:hAnsi="Arial"/>
          <w:sz w:val="19"/>
          <w:szCs w:val="19"/>
          <w:color w:val="auto"/>
        </w:rPr>
        <w:t>RBS is obligated to provide RBS Sempra Commodities with all growth capital, working-capital requirements and credit support. However, as a transitional measure, we continue to provide back-up guarantees for a portion of RBS Sempra Commodities’ trading obligations and for a credit facility with third party lenders pending novation (legal transfer) of the remaining trading obligations to RBS or, after the closing of the transaction we discuss in Note 4, to J.P. Morgan Ventures. Some of these back-up guarantees may continue for a prolonged period of time. RBS, which is controlled by the government of the United Kingdom, has fully indemnified us for any claims or losses in connection with these arrangements.</w:t>
      </w:r>
    </w:p>
    <w:p>
      <w:pPr>
        <w:spacing w:after="0" w:line="34" w:lineRule="exact"/>
        <w:rPr>
          <w:sz w:val="20"/>
          <w:szCs w:val="20"/>
          <w:color w:val="auto"/>
        </w:rPr>
      </w:pPr>
    </w:p>
    <w:p>
      <w:pPr>
        <w:jc w:val="both"/>
        <w:ind w:right="619"/>
        <w:spacing w:after="0" w:line="268" w:lineRule="auto"/>
        <w:rPr>
          <w:sz w:val="20"/>
          <w:szCs w:val="20"/>
          <w:color w:val="auto"/>
        </w:rPr>
      </w:pPr>
      <w:r>
        <w:rPr>
          <w:rFonts w:ascii="Arial" w:cs="Arial" w:eastAsia="Arial" w:hAnsi="Arial"/>
          <w:sz w:val="19"/>
          <w:szCs w:val="19"/>
          <w:color w:val="auto"/>
        </w:rPr>
        <w:t>RBS Sempra Commodities’ net trading liabilities supported by Sempra Energy’s guarantees at March 31, 2010 were $745 million, consisting of guaranteed trading obligations net of collateral. The amount of guaranteed net trading liabilities varies from day to day with the value of the trading obligations and related collateral.</w:t>
      </w:r>
    </w:p>
    <w:p>
      <w:pPr>
        <w:spacing w:after="0" w:line="11" w:lineRule="exact"/>
        <w:rPr>
          <w:sz w:val="20"/>
          <w:szCs w:val="20"/>
          <w:color w:val="auto"/>
        </w:rPr>
      </w:pPr>
    </w:p>
    <w:p>
      <w:pPr>
        <w:ind w:right="619"/>
        <w:spacing w:after="0" w:line="212" w:lineRule="auto"/>
        <w:rPr>
          <w:sz w:val="20"/>
          <w:szCs w:val="20"/>
          <w:color w:val="auto"/>
        </w:rPr>
      </w:pPr>
      <w:r>
        <w:rPr>
          <w:rFonts w:ascii="Arial" w:cs="Arial" w:eastAsia="Arial" w:hAnsi="Arial"/>
          <w:sz w:val="22"/>
          <w:szCs w:val="22"/>
          <w:color w:val="auto"/>
        </w:rPr>
        <w:t>Sempra Energy also has guaranteed $344 million of $1.72 billion of RBS Sempra Commodities' commitments under a credit facility expiring September 29, 2010. Extensions of credit under the committed facility, which total $853 million at March 31, 2010, are limited to and secured by a borrowing base consisting of receivables, inventories and other joint venture assets that are valued at varying percentages of current market value. At March 31, 2010, the gross market value of the borrowing base assets was $2.26 billion. The facility will be reduced and end as the borrowing base assets are transferred to RBS as established by the joint venture agreement.</w:t>
      </w:r>
    </w:p>
    <w:p>
      <w:pPr>
        <w:spacing w:after="0" w:line="29" w:lineRule="exact"/>
        <w:rPr>
          <w:sz w:val="20"/>
          <w:szCs w:val="20"/>
          <w:color w:val="auto"/>
        </w:rPr>
      </w:pPr>
    </w:p>
    <w:p>
      <w:pPr>
        <w:ind w:right="699"/>
        <w:spacing w:after="0" w:line="223" w:lineRule="auto"/>
        <w:rPr>
          <w:sz w:val="20"/>
          <w:szCs w:val="20"/>
          <w:color w:val="auto"/>
        </w:rPr>
      </w:pPr>
      <w:r>
        <w:rPr>
          <w:rFonts w:ascii="Arial" w:cs="Arial" w:eastAsia="Arial" w:hAnsi="Arial"/>
          <w:sz w:val="22"/>
          <w:szCs w:val="22"/>
          <w:color w:val="auto"/>
        </w:rPr>
        <w:t>On February 16, 2010, Sempra Energy, RBS and the partnership entered into an agreement to sell certain businesses within the partnership. We discuss this transaction and related agreements affecting the partnership in Note 4.</w:t>
      </w:r>
    </w:p>
    <w:p>
      <w:pPr>
        <w:sectPr>
          <w:pgSz w:w="11900" w:h="16838" w:orient="portrait"/>
          <w:cols w:equalWidth="0" w:num="1">
            <w:col w:w="10219"/>
          </w:cols>
          <w:pgMar w:left="240" w:top="104" w:right="1440" w:bottom="1440" w:gutter="0" w:footer="0" w:header="0"/>
        </w:sectPr>
      </w:pPr>
    </w:p>
    <w:bookmarkStart w:id="40" w:name="page41"/>
    <w:bookmarkEnd w:id="40"/>
    <w:p>
      <w:pPr>
        <w:spacing w:after="0"/>
        <w:rPr>
          <w:sz w:val="20"/>
          <w:szCs w:val="20"/>
          <w:color w:val="auto"/>
        </w:rPr>
      </w:pPr>
      <w:r>
        <w:rPr>
          <w:rFonts w:ascii="Arial" w:cs="Arial" w:eastAsia="Arial" w:hAnsi="Arial"/>
          <w:sz w:val="20"/>
          <w:szCs w:val="20"/>
          <w:b w:val="1"/>
          <w:bCs w:val="1"/>
          <w:i w:val="1"/>
          <w:iCs w:val="1"/>
          <w:color w:val="auto"/>
        </w:rPr>
        <w:t>Other Guarantees</w:t>
      </w:r>
    </w:p>
    <w:p>
      <w:pPr>
        <w:spacing w:after="0" w:line="20" w:lineRule="exact"/>
        <w:rPr>
          <w:sz w:val="20"/>
          <w:szCs w:val="20"/>
          <w:color w:val="auto"/>
        </w:rPr>
      </w:pPr>
    </w:p>
    <w:p>
      <w:pPr>
        <w:ind w:right="599"/>
        <w:spacing w:after="0" w:line="242" w:lineRule="auto"/>
        <w:rPr>
          <w:sz w:val="20"/>
          <w:szCs w:val="20"/>
          <w:color w:val="auto"/>
        </w:rPr>
      </w:pPr>
      <w:r>
        <w:rPr>
          <w:rFonts w:ascii="Arial" w:cs="Arial" w:eastAsia="Arial" w:hAnsi="Arial"/>
          <w:sz w:val="19"/>
          <w:szCs w:val="19"/>
          <w:color w:val="auto"/>
        </w:rPr>
        <w:t>Sempra Energy, Conoco Phillips (Conoco) and Kinder Morgan Energy Partners, L.P. (KMP) currently hold 25-percent, 25-percent and 50-percent ownership interests, respectively, in Rockies Express. Rockies Express operates a natural gas pipeline linking natural gas producing areas in the Rocky Mountain region to the upper Midwest and the eastern United States. Rockies Express had a $2 billion, five-year credit facility expiring in 2011 that provided for revolving extensions of credit that were guaranteed by Sempra Energy, Conoco and KMP in proportion to their respective ownership percentages. In April 2010, this credit facility was reduced to $200 million, and Sempra Energy, Conoco and KMP were released from their respective guarantor obligations. Rockies Express had no outstanding borrowings under this facility at March 31, 2010. Long-term debt of $1.7 billion issued in March 2010 was used to pay down the credit facility; this new debt is not se parately guaranteed by the partners.</w:t>
      </w: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WEIGHTED AVERAGE INTEREST RATES</w:t>
      </w:r>
    </w:p>
    <w:p>
      <w:pPr>
        <w:spacing w:after="0" w:line="55" w:lineRule="exact"/>
        <w:rPr>
          <w:sz w:val="20"/>
          <w:szCs w:val="20"/>
          <w:color w:val="auto"/>
        </w:rPr>
      </w:pPr>
    </w:p>
    <w:p>
      <w:pPr>
        <w:ind w:right="479"/>
        <w:spacing w:after="0" w:line="218" w:lineRule="auto"/>
        <w:rPr>
          <w:sz w:val="20"/>
          <w:szCs w:val="20"/>
          <w:color w:val="auto"/>
        </w:rPr>
      </w:pPr>
      <w:r>
        <w:rPr>
          <w:rFonts w:ascii="Arial" w:cs="Arial" w:eastAsia="Arial" w:hAnsi="Arial"/>
          <w:sz w:val="22"/>
          <w:szCs w:val="22"/>
          <w:color w:val="auto"/>
        </w:rPr>
        <w:t>At March 31, 2010, the weighted average interest rate on the total short-term debt outstanding at Sempra Energy was 0.67 percent. At March 31, 2010, the weighted average interest rate on the total short-term debt outstanding at SDG&amp;E was 0.17 percent. The weighted average interest rate on the total short-term debt outstanding at Sempra Energy was 0.79 percent at December 31, 2009.</w:t>
      </w: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INTEREST RATE SWAPS</w:t>
      </w:r>
    </w:p>
    <w:p>
      <w:pPr>
        <w:spacing w:after="0" w:line="55" w:lineRule="exact"/>
        <w:rPr>
          <w:sz w:val="20"/>
          <w:szCs w:val="20"/>
          <w:color w:val="auto"/>
        </w:rPr>
      </w:pPr>
    </w:p>
    <w:p>
      <w:pPr>
        <w:spacing w:after="0"/>
        <w:rPr>
          <w:sz w:val="20"/>
          <w:szCs w:val="20"/>
          <w:color w:val="auto"/>
        </w:rPr>
      </w:pPr>
      <w:r>
        <w:rPr>
          <w:rFonts w:ascii="Arial" w:cs="Arial" w:eastAsia="Arial" w:hAnsi="Arial"/>
          <w:sz w:val="22"/>
          <w:szCs w:val="22"/>
          <w:color w:val="auto"/>
        </w:rPr>
        <w:t>We discuss our fair value interest rate swaps and interest rate swaps to hedge cash flows in Note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617474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color w:val="auto"/>
        </w:rPr>
        <w:t>NOTE 7. DERIVATIVE FINANCIAL INSTRUMENTS</w:t>
      </w:r>
    </w:p>
    <w:p>
      <w:pPr>
        <w:spacing w:after="0" w:line="49" w:lineRule="exact"/>
        <w:rPr>
          <w:sz w:val="20"/>
          <w:szCs w:val="20"/>
          <w:color w:val="auto"/>
        </w:rPr>
      </w:pPr>
    </w:p>
    <w:p>
      <w:pPr>
        <w:ind w:right="619"/>
        <w:spacing w:after="0" w:line="247" w:lineRule="auto"/>
        <w:rPr>
          <w:sz w:val="20"/>
          <w:szCs w:val="20"/>
          <w:color w:val="auto"/>
        </w:rPr>
      </w:pPr>
      <w:r>
        <w:rPr>
          <w:rFonts w:ascii="Arial" w:cs="Arial" w:eastAsia="Arial" w:hAnsi="Arial"/>
          <w:sz w:val="19"/>
          <w:szCs w:val="19"/>
          <w:color w:val="auto"/>
        </w:rPr>
        <w:t>We use derivative instruments primarily to manage exposures arising in the normal course of business. These exposures are commodity market risk and benchmark interest rate risk. Our use of derivatives for these risks is integrated into the economic management of our anticipated revenues, anticipated expenses, assets and liabilities. Derivatives may be effective in mitigating these risks that could lead to declines in anticipated revenues or increases in anticipated expenses, or that our asset values may fall or our liabilities increase. Accordingly, our derivative activity summarized below generally represents an impact that is intended to offset associated revenues, expenses, assets or liabilities that are not presented below.</w:t>
      </w:r>
    </w:p>
    <w:p>
      <w:pPr>
        <w:spacing w:after="0" w:line="33" w:lineRule="exact"/>
        <w:rPr>
          <w:sz w:val="20"/>
          <w:szCs w:val="20"/>
          <w:color w:val="auto"/>
        </w:rPr>
      </w:pPr>
    </w:p>
    <w:p>
      <w:pPr>
        <w:ind w:right="659"/>
        <w:spacing w:after="0" w:line="247" w:lineRule="auto"/>
        <w:rPr>
          <w:sz w:val="20"/>
          <w:szCs w:val="20"/>
          <w:color w:val="auto"/>
        </w:rPr>
      </w:pPr>
      <w:r>
        <w:rPr>
          <w:rFonts w:ascii="Arial" w:cs="Arial" w:eastAsia="Arial" w:hAnsi="Arial"/>
          <w:sz w:val="19"/>
          <w:szCs w:val="19"/>
          <w:color w:val="auto"/>
        </w:rPr>
        <w:t>We record all derivatives at fair value on the Condensed Consolidated Balance Sheets. We designate each derivative as 1) a cash flow hedge, 2) a fair value hedge, or 3) undesignated. Depending on the applicability of hedge accounting and, for the Sempra Utilities and other operations subject to regulatory accounting, the requirement to pass impacts through to customers, the impact of derivative instruments may be offset in other comprehensive income (cash flow hedge), on the balance sheet (fair value hedges and regulatory offsets), or recognized in earnings. We classify cash flows from the settlements of derivative instruments as operating activities on the Condensed Statements of Consolidated Cash Flows.</w:t>
      </w:r>
    </w:p>
    <w:p>
      <w:pPr>
        <w:spacing w:after="0" w:line="20" w:lineRule="exact"/>
        <w:rPr>
          <w:sz w:val="20"/>
          <w:szCs w:val="20"/>
          <w:color w:val="auto"/>
        </w:rPr>
      </w:pPr>
    </w:p>
    <w:p>
      <w:pPr>
        <w:ind w:right="839"/>
        <w:spacing w:after="0" w:line="223" w:lineRule="auto"/>
        <w:rPr>
          <w:sz w:val="20"/>
          <w:szCs w:val="20"/>
          <w:color w:val="auto"/>
        </w:rPr>
      </w:pPr>
      <w:r>
        <w:rPr>
          <w:rFonts w:ascii="Arial" w:cs="Arial" w:eastAsia="Arial" w:hAnsi="Arial"/>
          <w:sz w:val="22"/>
          <w:szCs w:val="22"/>
          <w:color w:val="auto"/>
        </w:rPr>
        <w:t>In certain cases, we apply the normal purchase or sale exception to derivative accounting and have other commodity contracts that are not derivatives. These contracts are not recorded at fair value and are therefore excluded from the disclosures below.</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HEDGE ACCOUNTING</w:t>
      </w:r>
    </w:p>
    <w:p>
      <w:pPr>
        <w:spacing w:after="0" w:line="55" w:lineRule="exact"/>
        <w:rPr>
          <w:sz w:val="20"/>
          <w:szCs w:val="20"/>
          <w:color w:val="auto"/>
        </w:rPr>
      </w:pPr>
    </w:p>
    <w:p>
      <w:pPr>
        <w:ind w:right="579"/>
        <w:spacing w:after="0" w:line="226" w:lineRule="auto"/>
        <w:rPr>
          <w:sz w:val="20"/>
          <w:szCs w:val="20"/>
          <w:color w:val="auto"/>
        </w:rPr>
      </w:pPr>
      <w:r>
        <w:rPr>
          <w:rFonts w:ascii="Arial" w:cs="Arial" w:eastAsia="Arial" w:hAnsi="Arial"/>
          <w:sz w:val="21"/>
          <w:szCs w:val="21"/>
          <w:color w:val="auto"/>
        </w:rPr>
        <w:t>We may designate a derivative as a cash flow hedging instrument if it effectively converts anticipated revenues or expenses to a fixed dollar amount. We may utilize cash flow hedge accounting for derivative commodity instruments and interest rate instruments. Designating cash flow hedges is dependent on the business context in which the instrument is being used, the effectiveness of the instrument in offsetting the risk that a given future revenue or expense item may vary, and other criteria.</w:t>
      </w:r>
    </w:p>
    <w:p>
      <w:pPr>
        <w:spacing w:after="0" w:line="38" w:lineRule="exact"/>
        <w:rPr>
          <w:sz w:val="20"/>
          <w:szCs w:val="20"/>
          <w:color w:val="auto"/>
        </w:rPr>
      </w:pPr>
    </w:p>
    <w:p>
      <w:pPr>
        <w:ind w:right="519"/>
        <w:spacing w:after="0" w:line="226" w:lineRule="auto"/>
        <w:rPr>
          <w:sz w:val="20"/>
          <w:szCs w:val="20"/>
          <w:color w:val="auto"/>
        </w:rPr>
      </w:pPr>
      <w:r>
        <w:rPr>
          <w:rFonts w:ascii="Arial" w:cs="Arial" w:eastAsia="Arial" w:hAnsi="Arial"/>
          <w:sz w:val="21"/>
          <w:szCs w:val="21"/>
          <w:color w:val="auto"/>
        </w:rPr>
        <w:t>We may designate an interest rate derivative as a fair value hedging instrument if it effectively converts our own debt from a fixed interest rate to a variable rate. The combination of the derivative and debt instruments results in fixing that portion of the fair value of the debt that is related to benchmark interest rates. Designating fair value hedges is dependent on the instrument being used, the effectiveness of the instrument in offsetting changes in the fair value of our debt instruments, and other criteria.</w:t>
      </w:r>
    </w:p>
    <w:p>
      <w:pPr>
        <w:sectPr>
          <w:pgSz w:w="11900" w:h="16838" w:orient="portrait"/>
          <w:cols w:equalWidth="0" w:num="1">
            <w:col w:w="10219"/>
          </w:cols>
          <w:pgMar w:left="240" w:top="325" w:right="1440" w:bottom="1440" w:gutter="0" w:footer="0" w:header="0"/>
        </w:sectPr>
      </w:pPr>
    </w:p>
    <w:bookmarkStart w:id="41" w:name="page42"/>
    <w:bookmarkEnd w:id="41"/>
    <w:p>
      <w:pPr>
        <w:spacing w:after="0"/>
        <w:rPr>
          <w:sz w:val="20"/>
          <w:szCs w:val="20"/>
          <w:color w:val="auto"/>
        </w:rPr>
      </w:pPr>
      <w:r>
        <w:rPr>
          <w:rFonts w:ascii="Arial" w:cs="Arial" w:eastAsia="Arial" w:hAnsi="Arial"/>
          <w:sz w:val="22"/>
          <w:szCs w:val="22"/>
          <w:b w:val="1"/>
          <w:bCs w:val="1"/>
          <w:color w:val="auto"/>
        </w:rPr>
        <w:t>ENERGY DERIVATIVES</w:t>
      </w:r>
    </w:p>
    <w:p>
      <w:pPr>
        <w:spacing w:after="0" w:line="69" w:lineRule="exact"/>
        <w:rPr>
          <w:sz w:val="20"/>
          <w:szCs w:val="20"/>
          <w:color w:val="auto"/>
        </w:rPr>
      </w:pPr>
    </w:p>
    <w:p>
      <w:pPr>
        <w:ind w:right="599"/>
        <w:spacing w:after="0" w:line="218" w:lineRule="auto"/>
        <w:rPr>
          <w:sz w:val="20"/>
          <w:szCs w:val="20"/>
          <w:color w:val="auto"/>
        </w:rPr>
      </w:pPr>
      <w:r>
        <w:rPr>
          <w:rFonts w:ascii="Arial" w:cs="Arial" w:eastAsia="Arial" w:hAnsi="Arial"/>
          <w:sz w:val="22"/>
          <w:szCs w:val="22"/>
          <w:color w:val="auto"/>
        </w:rPr>
        <w:t>Our market risk is primarily related to natural gas and electricity price volatility and the specific physical locations where we transact. We use energy derivatives to manage these risks. The use of energy derivatives in our various businesses depends on the particular energy market, and the operating and regulatory environments applicable to the business.</w:t>
      </w:r>
    </w:p>
    <w:p>
      <w:pPr>
        <w:spacing w:after="0" w:line="40" w:lineRule="exact"/>
        <w:rPr>
          <w:sz w:val="20"/>
          <w:szCs w:val="20"/>
          <w:color w:val="auto"/>
        </w:rPr>
      </w:pPr>
    </w:p>
    <w:p>
      <w:pPr>
        <w:ind w:left="180" w:right="1919" w:hanging="172"/>
        <w:spacing w:after="0" w:line="245" w:lineRule="auto"/>
        <w:tabs>
          <w:tab w:leader="none" w:pos="153"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 Sempra Utilities use natural gas energy derivatives, on their customers' behalf, with the objective of managing price risk and lowering natural gas costs. These derivatives include fixed price natural gas positions, options, and basis risk instruments and are governed by risk management and transacting activity plans that have been filed with and approved by the California Public Utilities Commission (CPUC). Natural gas derivative activities are recorded as commodity costs that are offset by regulatory account balances and are recovered in rates. Net commodity cost impacts on the Condensed Consolidated Statements of Operations are reflected in Cost of Electric Fuel and Purchased Power or in Cost of Natural Gas.</w:t>
      </w:r>
    </w:p>
    <w:p>
      <w:pPr>
        <w:spacing w:after="0" w:line="2" w:lineRule="exact"/>
        <w:rPr>
          <w:rFonts w:ascii="Arial" w:cs="Arial" w:eastAsia="Arial" w:hAnsi="Arial"/>
          <w:sz w:val="19"/>
          <w:szCs w:val="19"/>
          <w:color w:val="auto"/>
        </w:rPr>
      </w:pPr>
    </w:p>
    <w:p>
      <w:pPr>
        <w:ind w:left="180" w:right="1959" w:hanging="172"/>
        <w:spacing w:after="0" w:line="211" w:lineRule="auto"/>
        <w:tabs>
          <w:tab w:leader="none" w:pos="153" w:val="left"/>
        </w:tabs>
        <w:numPr>
          <w:ilvl w:val="0"/>
          <w:numId w:val="18"/>
        </w:numPr>
        <w:rPr>
          <w:rFonts w:ascii="Arial" w:cs="Arial" w:eastAsia="Arial" w:hAnsi="Arial"/>
          <w:sz w:val="22"/>
          <w:szCs w:val="22"/>
          <w:color w:val="auto"/>
        </w:rPr>
      </w:pPr>
      <w:r>
        <w:rPr>
          <w:rFonts w:ascii="Arial" w:cs="Arial" w:eastAsia="Arial" w:hAnsi="Arial"/>
          <w:sz w:val="22"/>
          <w:szCs w:val="22"/>
          <w:color w:val="auto"/>
        </w:rPr>
        <w:t>SDG&amp;E is allocated and may purchase congestion revenue rights (CRRs), which serve to reduce the regional electricity price volatility risk which may result from local transmission capacity constraints. Unrealized gains and losses do not impact earnings, as they are offset by regulatory account balances. Realized gains and losses associated with CRRs are recorded in Cost of Electric Fuel and Purchased Power on the Condensed Consolidated Statements of Operations.</w:t>
      </w:r>
    </w:p>
    <w:p>
      <w:pPr>
        <w:spacing w:after="0" w:line="2" w:lineRule="exact"/>
        <w:rPr>
          <w:rFonts w:ascii="Arial" w:cs="Arial" w:eastAsia="Arial" w:hAnsi="Arial"/>
          <w:sz w:val="22"/>
          <w:szCs w:val="22"/>
          <w:color w:val="auto"/>
        </w:rPr>
      </w:pPr>
    </w:p>
    <w:p>
      <w:pPr>
        <w:ind w:left="180" w:right="1839" w:hanging="172"/>
        <w:spacing w:after="0" w:line="248" w:lineRule="auto"/>
        <w:tabs>
          <w:tab w:leader="none" w:pos="153" w:val="left"/>
        </w:tabs>
        <w:numPr>
          <w:ilvl w:val="0"/>
          <w:numId w:val="18"/>
        </w:numPr>
        <w:rPr>
          <w:rFonts w:ascii="Arial" w:cs="Arial" w:eastAsia="Arial" w:hAnsi="Arial"/>
          <w:sz w:val="19"/>
          <w:szCs w:val="19"/>
          <w:color w:val="auto"/>
        </w:rPr>
      </w:pPr>
      <w:r>
        <w:rPr>
          <w:rFonts w:ascii="Arial" w:cs="Arial" w:eastAsia="Arial" w:hAnsi="Arial"/>
          <w:sz w:val="19"/>
          <w:szCs w:val="19"/>
          <w:color w:val="auto"/>
        </w:rPr>
        <w:t>Sempra Generation uses natural gas and electricity instruments to market and optimize the earnings of its power generation fleet. Gains and losses associated with these derivatives are recognized in Sempra Global and Parent Revenues or in Cost of Natural Gas, Electric Fuel and Purchased Power on the Condensed Consolidated Statements of Operations.</w:t>
      </w:r>
    </w:p>
    <w:p>
      <w:pPr>
        <w:spacing w:after="0" w:line="1" w:lineRule="exact"/>
        <w:rPr>
          <w:rFonts w:ascii="Arial" w:cs="Arial" w:eastAsia="Arial" w:hAnsi="Arial"/>
          <w:sz w:val="19"/>
          <w:szCs w:val="19"/>
          <w:color w:val="auto"/>
        </w:rPr>
      </w:pPr>
    </w:p>
    <w:p>
      <w:pPr>
        <w:ind w:left="180" w:right="1799" w:hanging="172"/>
        <w:spacing w:after="0" w:line="243" w:lineRule="auto"/>
        <w:tabs>
          <w:tab w:leader="none" w:pos="153" w:val="left"/>
        </w:tabs>
        <w:numPr>
          <w:ilvl w:val="0"/>
          <w:numId w:val="18"/>
        </w:numPr>
        <w:rPr>
          <w:rFonts w:ascii="Arial" w:cs="Arial" w:eastAsia="Arial" w:hAnsi="Arial"/>
          <w:sz w:val="19"/>
          <w:szCs w:val="19"/>
          <w:color w:val="auto"/>
        </w:rPr>
      </w:pPr>
      <w:r>
        <w:rPr>
          <w:rFonts w:ascii="Arial" w:cs="Arial" w:eastAsia="Arial" w:hAnsi="Arial"/>
          <w:sz w:val="19"/>
          <w:szCs w:val="19"/>
          <w:color w:val="auto"/>
        </w:rPr>
        <w:t>Sempra LNG and Sempra Pipelines &amp; Storage use natural gas derivatives to market and optimize the earnings of the liquefied natural gas business and Sempra Pipelines &amp; Storage's natural gas storage and transportation assets. Sempra Pipelines &amp; Storage also uses natural gas energy derivatives with the objective of managing price risk and lowering natural gas prices at its Mexican distribution operations. Sempra Pipelines &amp; Storage’s derivatives are either undesignated or are recorded as commodity costs that are offset by regulatory account balances and are recovered in rates. Sempra LNG’s derivatives are undesignated and their impact on earnings is recorded in Sempra Global and Parent Revenues on the Condensed Consolidated Statements of Operations. The impacts on earnings are recognized in Sempra Global and Parent Revenues or in Cost of Natural Gas, Electr ic Fuel and Purchased Power on the Condensed Consolidated Statements of Operations.</w:t>
      </w:r>
    </w:p>
    <w:p>
      <w:pPr>
        <w:spacing w:after="0" w:line="74" w:lineRule="exact"/>
        <w:rPr>
          <w:sz w:val="20"/>
          <w:szCs w:val="20"/>
          <w:color w:val="auto"/>
        </w:rPr>
      </w:pPr>
    </w:p>
    <w:p>
      <w:pPr>
        <w:ind w:right="699"/>
        <w:spacing w:after="0" w:line="223" w:lineRule="auto"/>
        <w:rPr>
          <w:sz w:val="20"/>
          <w:szCs w:val="20"/>
          <w:color w:val="auto"/>
        </w:rPr>
      </w:pPr>
      <w:r>
        <w:rPr>
          <w:rFonts w:ascii="Arial" w:cs="Arial" w:eastAsia="Arial" w:hAnsi="Arial"/>
          <w:sz w:val="22"/>
          <w:szCs w:val="22"/>
          <w:color w:val="auto"/>
        </w:rPr>
        <w:t>From time to time, our various businesses, including the Sempra Utilities, may use other energy derivatives to hedge exposures such as the price of vehicle fuel. These derivatives are typically accounted for as cash flow hedges.</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We summarize net commodity derivative volumes as of March 31, 2010 as follows: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Business Unit and Commodity</w:t>
            </w:r>
          </w:p>
        </w:tc>
        <w:tc>
          <w:tcPr>
            <w:tcW w:w="2180" w:type="dxa"/>
            <w:vAlign w:val="bottom"/>
            <w:tcBorders>
              <w:bottom w:val="single" w:sz="8" w:color="auto"/>
            </w:tcBorders>
          </w:tcPr>
          <w:p>
            <w:pPr>
              <w:jc w:val="right"/>
              <w:ind w:right="1020"/>
              <w:spacing w:after="0"/>
              <w:rPr>
                <w:sz w:val="20"/>
                <w:szCs w:val="20"/>
                <w:color w:val="auto"/>
              </w:rPr>
            </w:pPr>
            <w:r>
              <w:rPr>
                <w:rFonts w:ascii="Arial" w:cs="Arial" w:eastAsia="Arial" w:hAnsi="Arial"/>
                <w:sz w:val="14"/>
                <w:szCs w:val="14"/>
                <w:color w:val="auto"/>
              </w:rPr>
              <w:t>Volume</w:t>
            </w:r>
          </w:p>
        </w:tc>
      </w:tr>
      <w:tr>
        <w:trPr>
          <w:trHeight w:val="204"/>
        </w:trPr>
        <w:tc>
          <w:tcPr>
            <w:tcW w:w="3900" w:type="dxa"/>
            <w:vAlign w:val="bottom"/>
          </w:tcPr>
          <w:p>
            <w:pPr>
              <w:spacing w:after="0"/>
              <w:rPr>
                <w:sz w:val="20"/>
                <w:szCs w:val="20"/>
                <w:color w:val="auto"/>
              </w:rPr>
            </w:pPr>
            <w:r>
              <w:rPr>
                <w:rFonts w:ascii="Arial" w:cs="Arial" w:eastAsia="Arial" w:hAnsi="Arial"/>
                <w:sz w:val="16"/>
                <w:szCs w:val="16"/>
                <w:color w:val="auto"/>
              </w:rPr>
              <w:t>Sempra Utilities:</w:t>
            </w:r>
          </w:p>
        </w:tc>
        <w:tc>
          <w:tcPr>
            <w:tcW w:w="2180" w:type="dxa"/>
            <w:vAlign w:val="bottom"/>
          </w:tcPr>
          <w:p>
            <w:pPr>
              <w:spacing w:after="0"/>
              <w:rPr>
                <w:sz w:val="17"/>
                <w:szCs w:val="17"/>
                <w:color w:val="auto"/>
              </w:rPr>
            </w:pPr>
          </w:p>
        </w:tc>
      </w:tr>
      <w:tr>
        <w:trPr>
          <w:trHeight w:val="197"/>
        </w:trPr>
        <w:tc>
          <w:tcPr>
            <w:tcW w:w="3900" w:type="dxa"/>
            <w:vAlign w:val="bottom"/>
          </w:tcPr>
          <w:p>
            <w:pPr>
              <w:ind w:left="460"/>
              <w:spacing w:after="0"/>
              <w:rPr>
                <w:sz w:val="20"/>
                <w:szCs w:val="20"/>
                <w:color w:val="auto"/>
              </w:rPr>
            </w:pPr>
            <w:r>
              <w:rPr>
                <w:rFonts w:ascii="Arial" w:cs="Arial" w:eastAsia="Arial" w:hAnsi="Arial"/>
                <w:sz w:val="16"/>
                <w:szCs w:val="16"/>
                <w:color w:val="auto"/>
              </w:rPr>
              <w:t>SDG&amp;E:</w:t>
            </w:r>
          </w:p>
        </w:tc>
        <w:tc>
          <w:tcPr>
            <w:tcW w:w="2180" w:type="dxa"/>
            <w:vAlign w:val="bottom"/>
          </w:tcPr>
          <w:p>
            <w:pPr>
              <w:spacing w:after="0"/>
              <w:rPr>
                <w:sz w:val="17"/>
                <w:szCs w:val="17"/>
                <w:color w:val="auto"/>
              </w:rPr>
            </w:pPr>
          </w:p>
        </w:tc>
      </w:tr>
      <w:tr>
        <w:trPr>
          <w:trHeight w:val="189"/>
        </w:trPr>
        <w:tc>
          <w:tcPr>
            <w:tcW w:w="3900" w:type="dxa"/>
            <w:vAlign w:val="bottom"/>
          </w:tcPr>
          <w:p>
            <w:pPr>
              <w:ind w:left="720"/>
              <w:spacing w:after="0"/>
              <w:rPr>
                <w:sz w:val="20"/>
                <w:szCs w:val="20"/>
                <w:color w:val="auto"/>
              </w:rPr>
            </w:pPr>
            <w:r>
              <w:rPr>
                <w:rFonts w:ascii="Arial" w:cs="Arial" w:eastAsia="Arial" w:hAnsi="Arial"/>
                <w:sz w:val="16"/>
                <w:szCs w:val="16"/>
                <w:color w:val="auto"/>
              </w:rPr>
              <w:t>Natural gas</w:t>
            </w:r>
          </w:p>
        </w:tc>
        <w:tc>
          <w:tcPr>
            <w:tcW w:w="2180" w:type="dxa"/>
            <w:vAlign w:val="bottom"/>
          </w:tcPr>
          <w:p>
            <w:pPr>
              <w:jc w:val="right"/>
              <w:ind w:right="220"/>
              <w:spacing w:after="0"/>
              <w:rPr>
                <w:sz w:val="20"/>
                <w:szCs w:val="20"/>
                <w:color w:val="auto"/>
              </w:rPr>
            </w:pPr>
            <w:r>
              <w:rPr>
                <w:rFonts w:ascii="Arial" w:cs="Arial" w:eastAsia="Arial" w:hAnsi="Arial"/>
                <w:sz w:val="16"/>
                <w:szCs w:val="16"/>
                <w:color w:val="auto"/>
              </w:rPr>
              <w:t>43 million MMBtu(1)</w:t>
            </w:r>
          </w:p>
        </w:tc>
      </w:tr>
      <w:tr>
        <w:trPr>
          <w:trHeight w:val="195"/>
        </w:trPr>
        <w:tc>
          <w:tcPr>
            <w:tcW w:w="3900" w:type="dxa"/>
            <w:vAlign w:val="bottom"/>
          </w:tcPr>
          <w:p>
            <w:pPr>
              <w:ind w:left="720"/>
              <w:spacing w:after="0"/>
              <w:rPr>
                <w:sz w:val="20"/>
                <w:szCs w:val="20"/>
                <w:color w:val="auto"/>
              </w:rPr>
            </w:pPr>
            <w:r>
              <w:rPr>
                <w:rFonts w:ascii="Arial" w:cs="Arial" w:eastAsia="Arial" w:hAnsi="Arial"/>
                <w:sz w:val="16"/>
                <w:szCs w:val="16"/>
                <w:color w:val="auto"/>
              </w:rPr>
              <w:t>Congestion revenue rights</w:t>
            </w:r>
          </w:p>
        </w:tc>
        <w:tc>
          <w:tcPr>
            <w:tcW w:w="2180" w:type="dxa"/>
            <w:vAlign w:val="bottom"/>
          </w:tcPr>
          <w:p>
            <w:pPr>
              <w:jc w:val="right"/>
              <w:ind w:right="220"/>
              <w:spacing w:after="0"/>
              <w:rPr>
                <w:sz w:val="20"/>
                <w:szCs w:val="20"/>
                <w:color w:val="auto"/>
              </w:rPr>
            </w:pPr>
            <w:r>
              <w:rPr>
                <w:rFonts w:ascii="Arial" w:cs="Arial" w:eastAsia="Arial" w:hAnsi="Arial"/>
                <w:sz w:val="16"/>
                <w:szCs w:val="16"/>
                <w:color w:val="auto"/>
              </w:rPr>
              <w:t>13 million MWh(2)</w:t>
            </w:r>
          </w:p>
        </w:tc>
      </w:tr>
      <w:tr>
        <w:trPr>
          <w:trHeight w:val="203"/>
        </w:trPr>
        <w:tc>
          <w:tcPr>
            <w:tcW w:w="3900" w:type="dxa"/>
            <w:vAlign w:val="bottom"/>
          </w:tcPr>
          <w:p>
            <w:pPr>
              <w:ind w:left="460"/>
              <w:spacing w:after="0"/>
              <w:rPr>
                <w:sz w:val="20"/>
                <w:szCs w:val="20"/>
                <w:color w:val="auto"/>
              </w:rPr>
            </w:pPr>
            <w:r>
              <w:rPr>
                <w:rFonts w:ascii="Arial" w:cs="Arial" w:eastAsia="Arial" w:hAnsi="Arial"/>
                <w:sz w:val="16"/>
                <w:szCs w:val="16"/>
                <w:color w:val="auto"/>
              </w:rPr>
              <w:t>SoCalGas - natural gas</w:t>
            </w:r>
          </w:p>
        </w:tc>
        <w:tc>
          <w:tcPr>
            <w:tcW w:w="2180" w:type="dxa"/>
            <w:vAlign w:val="bottom"/>
          </w:tcPr>
          <w:p>
            <w:pPr>
              <w:jc w:val="right"/>
              <w:ind w:right="420"/>
              <w:spacing w:after="0"/>
              <w:rPr>
                <w:sz w:val="20"/>
                <w:szCs w:val="20"/>
                <w:color w:val="auto"/>
              </w:rPr>
            </w:pPr>
            <w:r>
              <w:rPr>
                <w:rFonts w:ascii="Arial" w:cs="Arial" w:eastAsia="Arial" w:hAnsi="Arial"/>
                <w:sz w:val="16"/>
                <w:szCs w:val="16"/>
                <w:color w:val="auto"/>
              </w:rPr>
              <w:t>19 million MMBtu</w:t>
            </w:r>
          </w:p>
        </w:tc>
      </w:tr>
      <w:tr>
        <w:trPr>
          <w:trHeight w:val="405"/>
        </w:trPr>
        <w:tc>
          <w:tcPr>
            <w:tcW w:w="3900" w:type="dxa"/>
            <w:vAlign w:val="bottom"/>
          </w:tcPr>
          <w:p>
            <w:pPr>
              <w:spacing w:after="0"/>
              <w:rPr>
                <w:sz w:val="20"/>
                <w:szCs w:val="20"/>
                <w:color w:val="auto"/>
              </w:rPr>
            </w:pPr>
            <w:r>
              <w:rPr>
                <w:rFonts w:ascii="Arial" w:cs="Arial" w:eastAsia="Arial" w:hAnsi="Arial"/>
                <w:sz w:val="16"/>
                <w:szCs w:val="16"/>
                <w:color w:val="auto"/>
              </w:rPr>
              <w:t>Sempra Global:</w:t>
            </w:r>
          </w:p>
        </w:tc>
        <w:tc>
          <w:tcPr>
            <w:tcW w:w="2180" w:type="dxa"/>
            <w:vAlign w:val="bottom"/>
          </w:tcPr>
          <w:p>
            <w:pPr>
              <w:spacing w:after="0"/>
              <w:rPr>
                <w:sz w:val="24"/>
                <w:szCs w:val="24"/>
                <w:color w:val="auto"/>
              </w:rPr>
            </w:pPr>
          </w:p>
        </w:tc>
      </w:tr>
      <w:tr>
        <w:trPr>
          <w:trHeight w:val="203"/>
        </w:trPr>
        <w:tc>
          <w:tcPr>
            <w:tcW w:w="3900" w:type="dxa"/>
            <w:vAlign w:val="bottom"/>
          </w:tcPr>
          <w:p>
            <w:pPr>
              <w:ind w:left="460"/>
              <w:spacing w:after="0"/>
              <w:rPr>
                <w:sz w:val="20"/>
                <w:szCs w:val="20"/>
                <w:color w:val="auto"/>
              </w:rPr>
            </w:pPr>
            <w:r>
              <w:rPr>
                <w:rFonts w:ascii="Arial" w:cs="Arial" w:eastAsia="Arial" w:hAnsi="Arial"/>
                <w:sz w:val="16"/>
                <w:szCs w:val="16"/>
                <w:color w:val="auto"/>
              </w:rPr>
              <w:t>Sempra LNG - natural gas</w:t>
            </w:r>
          </w:p>
        </w:tc>
        <w:tc>
          <w:tcPr>
            <w:tcW w:w="2180" w:type="dxa"/>
            <w:vAlign w:val="bottom"/>
          </w:tcPr>
          <w:p>
            <w:pPr>
              <w:jc w:val="right"/>
              <w:ind w:right="420"/>
              <w:spacing w:after="0"/>
              <w:rPr>
                <w:sz w:val="20"/>
                <w:szCs w:val="20"/>
                <w:color w:val="auto"/>
              </w:rPr>
            </w:pPr>
            <w:r>
              <w:rPr>
                <w:rFonts w:ascii="Arial" w:cs="Arial" w:eastAsia="Arial" w:hAnsi="Arial"/>
                <w:sz w:val="16"/>
                <w:szCs w:val="16"/>
                <w:color w:val="auto"/>
              </w:rPr>
              <w:t>8 million MMBtu</w:t>
            </w:r>
          </w:p>
        </w:tc>
      </w:tr>
      <w:tr>
        <w:trPr>
          <w:trHeight w:val="203"/>
        </w:trPr>
        <w:tc>
          <w:tcPr>
            <w:tcW w:w="3900" w:type="dxa"/>
            <w:vAlign w:val="bottom"/>
          </w:tcPr>
          <w:p>
            <w:pPr>
              <w:ind w:left="460"/>
              <w:spacing w:after="0"/>
              <w:rPr>
                <w:sz w:val="20"/>
                <w:szCs w:val="20"/>
                <w:color w:val="auto"/>
              </w:rPr>
            </w:pPr>
            <w:r>
              <w:rPr>
                <w:rFonts w:ascii="Arial" w:cs="Arial" w:eastAsia="Arial" w:hAnsi="Arial"/>
                <w:sz w:val="16"/>
                <w:szCs w:val="16"/>
                <w:color w:val="auto"/>
              </w:rPr>
              <w:t>Sempra Pipelines &amp; Storage - natural gas</w:t>
            </w:r>
          </w:p>
        </w:tc>
        <w:tc>
          <w:tcPr>
            <w:tcW w:w="2180" w:type="dxa"/>
            <w:vAlign w:val="bottom"/>
          </w:tcPr>
          <w:p>
            <w:pPr>
              <w:jc w:val="right"/>
              <w:ind w:right="420"/>
              <w:spacing w:after="0"/>
              <w:rPr>
                <w:sz w:val="20"/>
                <w:szCs w:val="20"/>
                <w:color w:val="auto"/>
              </w:rPr>
            </w:pPr>
            <w:r>
              <w:rPr>
                <w:rFonts w:ascii="Arial" w:cs="Arial" w:eastAsia="Arial" w:hAnsi="Arial"/>
                <w:sz w:val="16"/>
                <w:szCs w:val="16"/>
                <w:color w:val="auto"/>
              </w:rPr>
              <w:t>1 million MMBtu</w:t>
            </w:r>
          </w:p>
        </w:tc>
      </w:tr>
      <w:tr>
        <w:trPr>
          <w:trHeight w:val="195"/>
        </w:trPr>
        <w:tc>
          <w:tcPr>
            <w:tcW w:w="3900" w:type="dxa"/>
            <w:vAlign w:val="bottom"/>
          </w:tcPr>
          <w:p>
            <w:pPr>
              <w:ind w:left="460"/>
              <w:spacing w:after="0"/>
              <w:rPr>
                <w:sz w:val="20"/>
                <w:szCs w:val="20"/>
                <w:color w:val="auto"/>
              </w:rPr>
            </w:pPr>
            <w:r>
              <w:rPr>
                <w:rFonts w:ascii="Arial" w:cs="Arial" w:eastAsia="Arial" w:hAnsi="Arial"/>
                <w:sz w:val="16"/>
                <w:szCs w:val="16"/>
                <w:color w:val="auto"/>
              </w:rPr>
              <w:t>Sempra Generation - electric power</w:t>
            </w:r>
          </w:p>
        </w:tc>
        <w:tc>
          <w:tcPr>
            <w:tcW w:w="2180" w:type="dxa"/>
            <w:vAlign w:val="bottom"/>
          </w:tcPr>
          <w:p>
            <w:pPr>
              <w:jc w:val="right"/>
              <w:ind w:right="420"/>
              <w:spacing w:after="0"/>
              <w:rPr>
                <w:sz w:val="20"/>
                <w:szCs w:val="20"/>
                <w:color w:val="auto"/>
              </w:rPr>
            </w:pPr>
            <w:r>
              <w:rPr>
                <w:rFonts w:ascii="Arial" w:cs="Arial" w:eastAsia="Arial" w:hAnsi="Arial"/>
                <w:sz w:val="16"/>
                <w:szCs w:val="16"/>
                <w:color w:val="auto"/>
              </w:rPr>
              <w:t>1 million MWh</w:t>
            </w:r>
          </w:p>
        </w:tc>
      </w:tr>
      <w:tr>
        <w:trPr>
          <w:trHeight w:val="81"/>
        </w:trPr>
        <w:tc>
          <w:tcPr>
            <w:tcW w:w="3900" w:type="dxa"/>
            <w:vAlign w:val="bottom"/>
            <w:shd w:val="clear" w:color="auto" w:fill="DFDFDF"/>
          </w:tcPr>
          <w:p>
            <w:pPr>
              <w:spacing w:after="0"/>
              <w:rPr>
                <w:sz w:val="7"/>
                <w:szCs w:val="7"/>
                <w:color w:val="auto"/>
              </w:rPr>
            </w:pPr>
          </w:p>
        </w:tc>
        <w:tc>
          <w:tcPr>
            <w:tcW w:w="2180" w:type="dxa"/>
            <w:vAlign w:val="bottom"/>
            <w:shd w:val="clear" w:color="auto" w:fill="DFDFDF"/>
          </w:tcPr>
          <w:p>
            <w:pPr>
              <w:spacing w:after="0"/>
              <w:rPr>
                <w:sz w:val="7"/>
                <w:szCs w:val="7"/>
                <w:color w:val="auto"/>
              </w:rPr>
            </w:pPr>
          </w:p>
        </w:tc>
      </w:tr>
      <w:tr>
        <w:trPr>
          <w:trHeight w:val="153"/>
        </w:trPr>
        <w:tc>
          <w:tcPr>
            <w:tcW w:w="3900" w:type="dxa"/>
            <w:vAlign w:val="bottom"/>
          </w:tcPr>
          <w:p>
            <w:pPr>
              <w:ind w:left="300"/>
              <w:spacing w:after="0" w:line="153" w:lineRule="exact"/>
              <w:rPr>
                <w:sz w:val="20"/>
                <w:szCs w:val="20"/>
                <w:color w:val="auto"/>
              </w:rPr>
            </w:pPr>
            <w:r>
              <w:rPr>
                <w:rFonts w:ascii="Arial" w:cs="Arial" w:eastAsia="Arial" w:hAnsi="Arial"/>
                <w:sz w:val="14"/>
                <w:szCs w:val="14"/>
                <w:i w:val="1"/>
                <w:iCs w:val="1"/>
                <w:color w:val="auto"/>
              </w:rPr>
              <w:t>(1)Million British thermal units</w:t>
            </w:r>
          </w:p>
        </w:tc>
        <w:tc>
          <w:tcPr>
            <w:tcW w:w="2180" w:type="dxa"/>
            <w:vAlign w:val="bottom"/>
          </w:tcPr>
          <w:p>
            <w:pPr>
              <w:spacing w:after="0"/>
              <w:rPr>
                <w:sz w:val="13"/>
                <w:szCs w:val="13"/>
                <w:color w:val="auto"/>
              </w:rPr>
            </w:pPr>
          </w:p>
        </w:tc>
      </w:tr>
      <w:tr>
        <w:trPr>
          <w:trHeight w:val="186"/>
        </w:trPr>
        <w:tc>
          <w:tcPr>
            <w:tcW w:w="3900" w:type="dxa"/>
            <w:vAlign w:val="bottom"/>
          </w:tcPr>
          <w:p>
            <w:pPr>
              <w:ind w:left="300"/>
              <w:spacing w:after="0"/>
              <w:rPr>
                <w:sz w:val="20"/>
                <w:szCs w:val="20"/>
                <w:color w:val="auto"/>
              </w:rPr>
            </w:pPr>
            <w:r>
              <w:rPr>
                <w:rFonts w:ascii="Arial" w:cs="Arial" w:eastAsia="Arial" w:hAnsi="Arial"/>
                <w:sz w:val="14"/>
                <w:szCs w:val="14"/>
                <w:i w:val="1"/>
                <w:iCs w:val="1"/>
                <w:color w:val="auto"/>
              </w:rPr>
              <w:t>(2)Megawatt hours</w:t>
            </w:r>
          </w:p>
        </w:tc>
        <w:tc>
          <w:tcPr>
            <w:tcW w:w="2180" w:type="dxa"/>
            <w:vAlign w:val="bottom"/>
          </w:tcPr>
          <w:p>
            <w:pPr>
              <w:spacing w:after="0"/>
              <w:rPr>
                <w:sz w:val="16"/>
                <w:szCs w:val="16"/>
                <w:color w:val="auto"/>
              </w:rPr>
            </w:pPr>
          </w:p>
        </w:tc>
      </w:tr>
    </w:tbl>
    <w:p>
      <w:pPr>
        <w:spacing w:after="0" w:line="193" w:lineRule="exact"/>
        <w:rPr>
          <w:sz w:val="20"/>
          <w:szCs w:val="20"/>
          <w:color w:val="auto"/>
        </w:rPr>
      </w:pPr>
    </w:p>
    <w:p>
      <w:pPr>
        <w:ind w:right="799"/>
        <w:spacing w:after="0" w:line="223" w:lineRule="auto"/>
        <w:rPr>
          <w:sz w:val="20"/>
          <w:szCs w:val="20"/>
          <w:color w:val="auto"/>
        </w:rPr>
      </w:pPr>
      <w:r>
        <w:rPr>
          <w:rFonts w:ascii="Arial" w:cs="Arial" w:eastAsia="Arial" w:hAnsi="Arial"/>
          <w:sz w:val="22"/>
          <w:szCs w:val="22"/>
          <w:color w:val="auto"/>
        </w:rPr>
        <w:t>In addition to the amounts noted above, we frequently use commodity derivatives to manage risks associated with the physical locations of our customers, assets and other contractual obligations, such as natural gas purchases.</w:t>
      </w:r>
    </w:p>
    <w:p>
      <w:pPr>
        <w:sectPr>
          <w:pgSz w:w="11900" w:h="16838" w:orient="portrait"/>
          <w:cols w:equalWidth="0" w:num="1">
            <w:col w:w="10219"/>
          </w:cols>
          <w:pgMar w:left="240" w:top="404" w:right="1440" w:bottom="1440" w:gutter="0" w:footer="0" w:header="0"/>
        </w:sectPr>
      </w:pPr>
    </w:p>
    <w:bookmarkStart w:id="42" w:name="page43"/>
    <w:bookmarkEnd w:id="42"/>
    <w:p>
      <w:pPr>
        <w:spacing w:after="0"/>
        <w:rPr>
          <w:sz w:val="20"/>
          <w:szCs w:val="20"/>
          <w:color w:val="auto"/>
        </w:rPr>
      </w:pPr>
      <w:r>
        <w:rPr>
          <w:rFonts w:ascii="Arial" w:cs="Arial" w:eastAsia="Arial" w:hAnsi="Arial"/>
          <w:sz w:val="22"/>
          <w:szCs w:val="22"/>
          <w:b w:val="1"/>
          <w:bCs w:val="1"/>
          <w:color w:val="auto"/>
        </w:rPr>
        <w:t>INTEREST RATE DERIVATIVES</w:t>
      </w:r>
    </w:p>
    <w:p>
      <w:pPr>
        <w:spacing w:after="0" w:line="69" w:lineRule="exact"/>
        <w:rPr>
          <w:sz w:val="20"/>
          <w:szCs w:val="20"/>
          <w:color w:val="auto"/>
        </w:rPr>
      </w:pPr>
    </w:p>
    <w:p>
      <w:pPr>
        <w:ind w:right="699"/>
        <w:spacing w:after="0" w:line="224" w:lineRule="auto"/>
        <w:rPr>
          <w:sz w:val="20"/>
          <w:szCs w:val="20"/>
          <w:color w:val="auto"/>
        </w:rPr>
      </w:pPr>
      <w:r>
        <w:rPr>
          <w:rFonts w:ascii="Arial" w:cs="Arial" w:eastAsia="Arial" w:hAnsi="Arial"/>
          <w:sz w:val="21"/>
          <w:szCs w:val="21"/>
          <w:color w:val="auto"/>
        </w:rPr>
        <w:t>We are exposed to interest rates primarily as a result of our current and expected use of financing. We periodically enter into interest rate derivative agreements intended to moderate our exposure to interest rates and to lower our overall costs of borrowing. We utilize interest rate swaps typically designated as fair value hedges, as a means to achieve our targeted level of variable rate debt as a percent of total debt. In addition, we may utilize interest rate swaps, which are typically designated as cash flow hedges, to lock in interest rates in anticipation of future financings.</w:t>
      </w:r>
    </w:p>
    <w:p>
      <w:pPr>
        <w:spacing w:after="0" w:line="39" w:lineRule="exact"/>
        <w:rPr>
          <w:sz w:val="20"/>
          <w:szCs w:val="20"/>
          <w:color w:val="auto"/>
        </w:rPr>
      </w:pPr>
    </w:p>
    <w:p>
      <w:pPr>
        <w:ind w:right="779"/>
        <w:spacing w:after="0" w:line="214" w:lineRule="auto"/>
        <w:rPr>
          <w:sz w:val="20"/>
          <w:szCs w:val="20"/>
          <w:color w:val="auto"/>
        </w:rPr>
      </w:pPr>
      <w:r>
        <w:rPr>
          <w:rFonts w:ascii="Arial" w:cs="Arial" w:eastAsia="Arial" w:hAnsi="Arial"/>
          <w:sz w:val="22"/>
          <w:szCs w:val="22"/>
          <w:color w:val="auto"/>
        </w:rPr>
        <w:t>Interest rate derivatives are utilized by the Sempra Utilities as well as by other Sempra Energy subsidiaries. Although the Sempra Utilities generally recover borrowing costs in rates over time, the use of interest rate derivatives is subject to certain regulatory constraints, and the impact of interest rate derivatives may not be recovered from customers as timely as described above with regard to natural gas derivatives. Accordingly, interest rate derivatives are generally accounted for as hedges at the Sempra Utilities, as at the rest of Sempra Energy's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The net notional amounts of our interest rate derivatives as of March 31, 2010 were:</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5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2"/>
          </w:tcPr>
          <w:p>
            <w:pPr>
              <w:jc w:val="right"/>
              <w:ind w:right="681"/>
              <w:spacing w:after="0"/>
              <w:rPr>
                <w:sz w:val="20"/>
                <w:szCs w:val="20"/>
                <w:color w:val="auto"/>
              </w:rPr>
            </w:pPr>
            <w:r>
              <w:rPr>
                <w:rFonts w:ascii="Arial" w:cs="Arial" w:eastAsia="Arial" w:hAnsi="Arial"/>
                <w:sz w:val="14"/>
                <w:szCs w:val="14"/>
                <w:color w:val="auto"/>
              </w:rPr>
              <w:t>March 31, 2010</w:t>
            </w:r>
          </w:p>
        </w:tc>
        <w:tc>
          <w:tcPr>
            <w:tcW w:w="0" w:type="dxa"/>
            <w:vAlign w:val="bottom"/>
          </w:tcPr>
          <w:p>
            <w:pPr>
              <w:spacing w:after="0"/>
              <w:rPr>
                <w:sz w:val="1"/>
                <w:szCs w:val="1"/>
                <w:color w:val="auto"/>
              </w:rPr>
            </w:pPr>
          </w:p>
        </w:tc>
      </w:tr>
      <w:tr>
        <w:trPr>
          <w:trHeight w:val="156"/>
        </w:trPr>
        <w:tc>
          <w:tcPr>
            <w:tcW w:w="3760" w:type="dxa"/>
            <w:vAlign w:val="bottom"/>
            <w:tcBorders>
              <w:bottom w:val="single" w:sz="8" w:color="auto"/>
            </w:tcBorders>
            <w:vMerge w:val="continue"/>
          </w:tcPr>
          <w:p>
            <w:pPr>
              <w:spacing w:after="0"/>
              <w:rPr>
                <w:sz w:val="13"/>
                <w:szCs w:val="13"/>
                <w:color w:val="auto"/>
              </w:rPr>
            </w:pPr>
          </w:p>
        </w:tc>
        <w:tc>
          <w:tcPr>
            <w:tcW w:w="1460" w:type="dxa"/>
            <w:vAlign w:val="bottom"/>
            <w:tcBorders>
              <w:bottom w:val="single" w:sz="8" w:color="auto"/>
            </w:tcBorders>
            <w:gridSpan w:val="2"/>
          </w:tcPr>
          <w:p>
            <w:pPr>
              <w:ind w:left="220"/>
              <w:spacing w:after="0" w:line="155" w:lineRule="exact"/>
              <w:rPr>
                <w:sz w:val="20"/>
                <w:szCs w:val="20"/>
                <w:color w:val="auto"/>
              </w:rPr>
            </w:pPr>
            <w:r>
              <w:rPr>
                <w:rFonts w:ascii="Arial" w:cs="Arial" w:eastAsia="Arial" w:hAnsi="Arial"/>
                <w:sz w:val="14"/>
                <w:szCs w:val="14"/>
                <w:color w:val="auto"/>
              </w:rPr>
              <w:t>Notional Debt</w:t>
            </w:r>
          </w:p>
        </w:tc>
        <w:tc>
          <w:tcPr>
            <w:tcW w:w="1060" w:type="dxa"/>
            <w:vAlign w:val="bottom"/>
            <w:tcBorders>
              <w:bottom w:val="single" w:sz="8" w:color="auto"/>
            </w:tcBorders>
          </w:tcPr>
          <w:p>
            <w:pPr>
              <w:jc w:val="right"/>
              <w:ind w:right="221"/>
              <w:spacing w:after="0" w:line="155" w:lineRule="exact"/>
              <w:rPr>
                <w:sz w:val="20"/>
                <w:szCs w:val="20"/>
                <w:color w:val="auto"/>
              </w:rPr>
            </w:pPr>
            <w:r>
              <w:rPr>
                <w:rFonts w:ascii="Arial" w:cs="Arial" w:eastAsia="Arial" w:hAnsi="Arial"/>
                <w:sz w:val="14"/>
                <w:szCs w:val="14"/>
                <w:color w:val="auto"/>
              </w:rPr>
              <w:t>Maturities</w:t>
            </w:r>
          </w:p>
        </w:tc>
        <w:tc>
          <w:tcPr>
            <w:tcW w:w="0" w:type="dxa"/>
            <w:vAlign w:val="bottom"/>
          </w:tcPr>
          <w:p>
            <w:pPr>
              <w:spacing w:after="0"/>
              <w:rPr>
                <w:sz w:val="1"/>
                <w:szCs w:val="1"/>
                <w:color w:val="auto"/>
              </w:rPr>
            </w:pPr>
          </w:p>
        </w:tc>
      </w:tr>
      <w:tr>
        <w:trPr>
          <w:trHeight w:val="184"/>
        </w:trPr>
        <w:tc>
          <w:tcPr>
            <w:tcW w:w="3760" w:type="dxa"/>
            <w:vAlign w:val="bottom"/>
          </w:tcPr>
          <w:p>
            <w:pPr>
              <w:spacing w:after="0"/>
              <w:rPr>
                <w:sz w:val="20"/>
                <w:szCs w:val="20"/>
                <w:color w:val="auto"/>
              </w:rPr>
            </w:pPr>
            <w:r>
              <w:rPr>
                <w:rFonts w:ascii="Arial" w:cs="Arial" w:eastAsia="Arial" w:hAnsi="Arial"/>
                <w:sz w:val="16"/>
                <w:szCs w:val="16"/>
                <w:color w:val="auto"/>
              </w:rPr>
              <w:t>Sempra Energy Consolidated(1)</w:t>
            </w:r>
          </w:p>
        </w:tc>
        <w:tc>
          <w:tcPr>
            <w:tcW w:w="500" w:type="dxa"/>
            <w:vAlign w:val="bottom"/>
          </w:tcPr>
          <w:p>
            <w:pPr>
              <w:ind w:left="20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215-355</w:t>
            </w:r>
          </w:p>
        </w:tc>
        <w:tc>
          <w:tcPr>
            <w:tcW w:w="1060" w:type="dxa"/>
            <w:vAlign w:val="bottom"/>
          </w:tcPr>
          <w:p>
            <w:pPr>
              <w:jc w:val="right"/>
              <w:spacing w:after="0"/>
              <w:rPr>
                <w:sz w:val="20"/>
                <w:szCs w:val="20"/>
                <w:color w:val="auto"/>
              </w:rPr>
            </w:pPr>
            <w:r>
              <w:rPr>
                <w:rFonts w:ascii="Arial" w:cs="Arial" w:eastAsia="Arial" w:hAnsi="Arial"/>
                <w:sz w:val="16"/>
                <w:szCs w:val="16"/>
                <w:color w:val="auto"/>
              </w:rPr>
              <w:t>2011-2019</w:t>
            </w:r>
          </w:p>
        </w:tc>
        <w:tc>
          <w:tcPr>
            <w:tcW w:w="0" w:type="dxa"/>
            <w:vAlign w:val="bottom"/>
          </w:tcPr>
          <w:p>
            <w:pPr>
              <w:spacing w:after="0"/>
              <w:rPr>
                <w:sz w:val="1"/>
                <w:szCs w:val="1"/>
                <w:color w:val="auto"/>
              </w:rPr>
            </w:pPr>
          </w:p>
        </w:tc>
      </w:tr>
      <w:tr>
        <w:trPr>
          <w:trHeight w:val="189"/>
        </w:trPr>
        <w:tc>
          <w:tcPr>
            <w:tcW w:w="3760" w:type="dxa"/>
            <w:vAlign w:val="bottom"/>
          </w:tcPr>
          <w:p>
            <w:pPr>
              <w:spacing w:after="0"/>
              <w:rPr>
                <w:sz w:val="20"/>
                <w:szCs w:val="20"/>
                <w:color w:val="auto"/>
              </w:rPr>
            </w:pPr>
            <w:r>
              <w:rPr>
                <w:rFonts w:ascii="Arial" w:cs="Arial" w:eastAsia="Arial" w:hAnsi="Arial"/>
                <w:sz w:val="16"/>
                <w:szCs w:val="16"/>
                <w:color w:val="auto"/>
              </w:rPr>
              <w:t>SDG&amp;E(1)</w:t>
            </w:r>
          </w:p>
        </w:tc>
        <w:tc>
          <w:tcPr>
            <w:tcW w:w="500" w:type="dxa"/>
            <w:vAlign w:val="bottom"/>
          </w:tcPr>
          <w:p>
            <w:pPr>
              <w:spacing w:after="0"/>
              <w:rPr>
                <w:sz w:val="16"/>
                <w:szCs w:val="16"/>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285-372</w:t>
            </w:r>
          </w:p>
        </w:tc>
        <w:tc>
          <w:tcPr>
            <w:tcW w:w="1060" w:type="dxa"/>
            <w:vAlign w:val="bottom"/>
          </w:tcPr>
          <w:p>
            <w:pPr>
              <w:jc w:val="right"/>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187"/>
        </w:trPr>
        <w:tc>
          <w:tcPr>
            <w:tcW w:w="3760" w:type="dxa"/>
            <w:vAlign w:val="bottom"/>
          </w:tcPr>
          <w:p>
            <w:pPr>
              <w:spacing w:after="0"/>
              <w:rPr>
                <w:sz w:val="20"/>
                <w:szCs w:val="20"/>
                <w:color w:val="auto"/>
              </w:rPr>
            </w:pPr>
            <w:r>
              <w:rPr>
                <w:rFonts w:ascii="Arial" w:cs="Arial" w:eastAsia="Arial" w:hAnsi="Arial"/>
                <w:sz w:val="16"/>
                <w:szCs w:val="16"/>
                <w:color w:val="auto"/>
              </w:rPr>
              <w:t>SoCalGas</w:t>
            </w:r>
          </w:p>
        </w:tc>
        <w:tc>
          <w:tcPr>
            <w:tcW w:w="500" w:type="dxa"/>
            <w:vAlign w:val="bottom"/>
          </w:tcPr>
          <w:p>
            <w:pPr>
              <w:spacing w:after="0"/>
              <w:rPr>
                <w:sz w:val="16"/>
                <w:szCs w:val="16"/>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150</w:t>
            </w:r>
          </w:p>
        </w:tc>
        <w:tc>
          <w:tcPr>
            <w:tcW w:w="1060" w:type="dxa"/>
            <w:vAlign w:val="bottom"/>
          </w:tcPr>
          <w:p>
            <w:pPr>
              <w:jc w:val="right"/>
              <w:spacing w:after="0"/>
              <w:rPr>
                <w:sz w:val="20"/>
                <w:szCs w:val="20"/>
                <w:color w:val="auto"/>
              </w:rPr>
            </w:pPr>
            <w:r>
              <w:rPr>
                <w:rFonts w:ascii="Arial" w:cs="Arial" w:eastAsia="Arial" w:hAnsi="Arial"/>
                <w:sz w:val="16"/>
                <w:szCs w:val="16"/>
                <w:color w:val="auto"/>
              </w:rPr>
              <w:t>2011</w:t>
            </w:r>
          </w:p>
        </w:tc>
        <w:tc>
          <w:tcPr>
            <w:tcW w:w="0" w:type="dxa"/>
            <w:vAlign w:val="bottom"/>
          </w:tcPr>
          <w:p>
            <w:pPr>
              <w:spacing w:after="0"/>
              <w:rPr>
                <w:sz w:val="1"/>
                <w:szCs w:val="1"/>
                <w:color w:val="auto"/>
              </w:rPr>
            </w:pPr>
          </w:p>
        </w:tc>
      </w:tr>
      <w:tr>
        <w:trPr>
          <w:trHeight w:val="81"/>
        </w:trPr>
        <w:tc>
          <w:tcPr>
            <w:tcW w:w="3760" w:type="dxa"/>
            <w:vAlign w:val="bottom"/>
            <w:shd w:val="clear" w:color="auto" w:fill="DFDFDF"/>
          </w:tcPr>
          <w:p>
            <w:pPr>
              <w:spacing w:after="0"/>
              <w:rPr>
                <w:sz w:val="7"/>
                <w:szCs w:val="7"/>
                <w:color w:val="auto"/>
              </w:rPr>
            </w:pPr>
          </w:p>
        </w:tc>
        <w:tc>
          <w:tcPr>
            <w:tcW w:w="500" w:type="dxa"/>
            <w:vAlign w:val="bottom"/>
            <w:shd w:val="clear" w:color="auto" w:fill="DFDFDF"/>
          </w:tcPr>
          <w:p>
            <w:pPr>
              <w:spacing w:after="0"/>
              <w:rPr>
                <w:sz w:val="7"/>
                <w:szCs w:val="7"/>
                <w:color w:val="auto"/>
              </w:rPr>
            </w:pPr>
          </w:p>
        </w:tc>
        <w:tc>
          <w:tcPr>
            <w:tcW w:w="960" w:type="dxa"/>
            <w:vAlign w:val="bottom"/>
            <w:shd w:val="clear" w:color="auto" w:fill="DFDFDF"/>
          </w:tcPr>
          <w:p>
            <w:pPr>
              <w:spacing w:after="0"/>
              <w:rPr>
                <w:sz w:val="7"/>
                <w:szCs w:val="7"/>
                <w:color w:val="auto"/>
              </w:rPr>
            </w:pPr>
          </w:p>
        </w:tc>
        <w:tc>
          <w:tcPr>
            <w:tcW w:w="1060" w:type="dxa"/>
            <w:vAlign w:val="bottom"/>
            <w:shd w:val="clear" w:color="auto" w:fill="DFDFDF"/>
          </w:tcPr>
          <w:p>
            <w:pPr>
              <w:spacing w:after="0"/>
              <w:rPr>
                <w:sz w:val="7"/>
                <w:szCs w:val="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(1) Includes Otay Mesa VIE. All of SDG&amp;E's interest rate derivatives relate to Otay Mesa VIE.</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STATEMENT PRESENTATION</w:t>
      </w:r>
    </w:p>
    <w:p>
      <w:pPr>
        <w:spacing w:after="0" w:line="69" w:lineRule="exact"/>
        <w:rPr>
          <w:sz w:val="20"/>
          <w:szCs w:val="20"/>
          <w:color w:val="auto"/>
        </w:rPr>
      </w:pPr>
    </w:p>
    <w:p>
      <w:pPr>
        <w:ind w:right="579"/>
        <w:spacing w:after="0" w:line="298" w:lineRule="auto"/>
        <w:rPr>
          <w:sz w:val="20"/>
          <w:szCs w:val="20"/>
          <w:color w:val="auto"/>
        </w:rPr>
      </w:pPr>
      <w:r>
        <w:rPr>
          <w:rFonts w:ascii="Arial" w:cs="Arial" w:eastAsia="Arial" w:hAnsi="Arial"/>
          <w:sz w:val="19"/>
          <w:szCs w:val="19"/>
          <w:color w:val="auto"/>
        </w:rPr>
        <w:t>The following table provides the fair values of derivative instruments, without consideration of margin deposits held or posted, on the Condensed Consolidated Balance Sheets as of March 31, 2010 and December 31, 2009:</w:t>
      </w:r>
    </w:p>
    <w:p>
      <w:pPr>
        <w:sectPr>
          <w:pgSz w:w="11900" w:h="16838" w:orient="portrait"/>
          <w:cols w:equalWidth="0" w:num="1">
            <w:col w:w="10219"/>
          </w:cols>
          <w:pgMar w:left="240" w:top="404" w:right="1440" w:bottom="1440" w:gutter="0" w:footer="0" w:header="0"/>
        </w:sectPr>
      </w:pPr>
    </w:p>
    <w:bookmarkStart w:id="43" w:name="page44"/>
    <w:bookmarkEnd w:id="43"/>
    <w:p>
      <w:pPr>
        <w:spacing w:after="0"/>
        <w:rPr>
          <w:sz w:val="20"/>
          <w:szCs w:val="20"/>
          <w:color w:val="auto"/>
        </w:rPr>
      </w:pPr>
      <w:r>
        <w:rPr>
          <w:rFonts w:ascii="Arial" w:cs="Arial" w:eastAsia="Arial" w:hAnsi="Arial"/>
          <w:sz w:val="16"/>
          <w:szCs w:val="16"/>
          <w:b w:val="1"/>
          <w:bCs w:val="1"/>
          <w:color w:val="auto"/>
        </w:rPr>
        <w:t>DERIVATIVE INSTRUMENTS ON THE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6062980" cy="2317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62980" cy="23177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0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3"/>
            <w:vMerge w:val="restart"/>
          </w:tcPr>
          <w:p>
            <w:pPr>
              <w:jc w:val="right"/>
              <w:ind w:right="881"/>
              <w:spacing w:after="0"/>
              <w:rPr>
                <w:sz w:val="20"/>
                <w:szCs w:val="20"/>
                <w:color w:val="auto"/>
              </w:rPr>
            </w:pPr>
            <w:r>
              <w:rPr>
                <w:rFonts w:ascii="Arial" w:cs="Arial" w:eastAsia="Arial" w:hAnsi="Arial"/>
                <w:sz w:val="14"/>
                <w:szCs w:val="14"/>
                <w:color w:val="auto"/>
              </w:rPr>
              <w:t>March 31, 2010</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480" w:type="dxa"/>
            <w:vAlign w:val="bottom"/>
            <w:tcBorders>
              <w:bottom w:val="single" w:sz="8" w:color="auto"/>
            </w:tcBorders>
            <w:gridSpan w:val="3"/>
            <w:vMerge w:val="continue"/>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jc w:val="center"/>
              <w:ind w:right="22"/>
              <w:spacing w:after="0"/>
              <w:rPr>
                <w:sz w:val="20"/>
                <w:szCs w:val="20"/>
                <w:color w:val="auto"/>
              </w:rPr>
            </w:pPr>
            <w:r>
              <w:rPr>
                <w:rFonts w:ascii="Arial" w:cs="Arial" w:eastAsia="Arial" w:hAnsi="Arial"/>
                <w:sz w:val="14"/>
                <w:szCs w:val="14"/>
                <w:color w:val="auto"/>
              </w:rPr>
              <w:t>Deferred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center"/>
              <w:ind w:right="2"/>
              <w:spacing w:after="0"/>
              <w:rPr>
                <w:sz w:val="20"/>
                <w:szCs w:val="20"/>
                <w:color w:val="auto"/>
              </w:rPr>
            </w:pPr>
            <w:r>
              <w:rPr>
                <w:rFonts w:ascii="Arial" w:cs="Arial" w:eastAsia="Arial" w:hAnsi="Arial"/>
                <w:sz w:val="14"/>
                <w:szCs w:val="14"/>
                <w:color w:val="auto"/>
              </w:rPr>
              <w:t>credits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center"/>
              <w:ind w:right="41"/>
              <w:spacing w:after="0"/>
              <w:rPr>
                <w:sz w:val="20"/>
                <w:szCs w:val="20"/>
                <w:color w:val="auto"/>
              </w:rPr>
            </w:pPr>
            <w:r>
              <w:rPr>
                <w:rFonts w:ascii="Arial" w:cs="Arial" w:eastAsia="Arial" w:hAnsi="Arial"/>
                <w:sz w:val="14"/>
                <w:szCs w:val="14"/>
                <w:color w:val="auto"/>
              </w:rPr>
              <w:t>Current</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ind w:right="61"/>
              <w:spacing w:after="0"/>
              <w:rPr>
                <w:sz w:val="20"/>
                <w:szCs w:val="20"/>
                <w:color w:val="auto"/>
              </w:rPr>
            </w:pPr>
            <w:r>
              <w:rPr>
                <w:rFonts w:ascii="Arial" w:cs="Arial" w:eastAsia="Arial" w:hAnsi="Arial"/>
                <w:sz w:val="14"/>
                <w:szCs w:val="14"/>
                <w:color w:val="auto"/>
              </w:rPr>
              <w:t>Current</w:t>
            </w:r>
          </w:p>
        </w:tc>
        <w:tc>
          <w:tcPr>
            <w:tcW w:w="260" w:type="dxa"/>
            <w:vAlign w:val="bottom"/>
          </w:tcPr>
          <w:p>
            <w:pPr>
              <w:spacing w:after="0"/>
              <w:rPr>
                <w:sz w:val="14"/>
                <w:szCs w:val="14"/>
                <w:color w:val="auto"/>
              </w:rPr>
            </w:pPr>
          </w:p>
        </w:tc>
        <w:tc>
          <w:tcPr>
            <w:tcW w:w="1020" w:type="dxa"/>
            <w:vAlign w:val="bottom"/>
          </w:tcPr>
          <w:p>
            <w:pPr>
              <w:jc w:val="center"/>
              <w:ind w:right="22"/>
              <w:spacing w:after="0"/>
              <w:rPr>
                <w:sz w:val="20"/>
                <w:szCs w:val="20"/>
                <w:color w:val="auto"/>
              </w:rPr>
            </w:pPr>
            <w:r>
              <w:rPr>
                <w:rFonts w:ascii="Arial" w:cs="Arial" w:eastAsia="Arial" w:hAnsi="Arial"/>
                <w:sz w:val="14"/>
                <w:szCs w:val="14"/>
                <w:color w:val="auto"/>
              </w:rPr>
              <w:t>and other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center"/>
              <w:ind w:right="61"/>
              <w:spacing w:after="0"/>
              <w:rPr>
                <w:sz w:val="20"/>
                <w:szCs w:val="20"/>
                <w:color w:val="auto"/>
              </w:rPr>
            </w:pPr>
            <w:r>
              <w:rPr>
                <w:rFonts w:ascii="Arial" w:cs="Arial" w:eastAsia="Arial" w:hAnsi="Arial"/>
                <w:sz w:val="14"/>
                <w:szCs w:val="14"/>
                <w:color w:val="auto"/>
              </w:rPr>
              <w:t>assets:</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ind w:right="61"/>
              <w:spacing w:after="0"/>
              <w:rPr>
                <w:sz w:val="20"/>
                <w:szCs w:val="20"/>
                <w:color w:val="auto"/>
              </w:rPr>
            </w:pPr>
            <w:r>
              <w:rPr>
                <w:rFonts w:ascii="Arial" w:cs="Arial" w:eastAsia="Arial" w:hAnsi="Arial"/>
                <w:sz w:val="14"/>
                <w:szCs w:val="14"/>
                <w:color w:val="auto"/>
              </w:rPr>
              <w:t>liabilities:</w:t>
            </w:r>
          </w:p>
        </w:tc>
        <w:tc>
          <w:tcPr>
            <w:tcW w:w="260" w:type="dxa"/>
            <w:vAlign w:val="bottom"/>
          </w:tcPr>
          <w:p>
            <w:pPr>
              <w:spacing w:after="0"/>
              <w:rPr>
                <w:sz w:val="14"/>
                <w:szCs w:val="14"/>
                <w:color w:val="auto"/>
              </w:rPr>
            </w:pPr>
          </w:p>
        </w:tc>
        <w:tc>
          <w:tcPr>
            <w:tcW w:w="1020" w:type="dxa"/>
            <w:vAlign w:val="bottom"/>
          </w:tcPr>
          <w:p>
            <w:pPr>
              <w:jc w:val="center"/>
              <w:ind w:right="2"/>
              <w:spacing w:after="0"/>
              <w:rPr>
                <w:sz w:val="20"/>
                <w:szCs w:val="20"/>
                <w:color w:val="auto"/>
              </w:rPr>
            </w:pPr>
            <w:r>
              <w:rPr>
                <w:rFonts w:ascii="Arial" w:cs="Arial" w:eastAsia="Arial" w:hAnsi="Arial"/>
                <w:sz w:val="14"/>
                <w:szCs w:val="14"/>
                <w:color w:val="auto"/>
              </w:rPr>
              <w:t>liabilities: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center"/>
              <w:ind w:right="61"/>
              <w:spacing w:after="0"/>
              <w:rPr>
                <w:sz w:val="20"/>
                <w:szCs w:val="20"/>
                <w:color w:val="auto"/>
              </w:rPr>
            </w:pPr>
            <w:r>
              <w:rPr>
                <w:rFonts w:ascii="Arial" w:cs="Arial" w:eastAsia="Arial" w:hAnsi="Arial"/>
                <w:sz w:val="14"/>
                <w:szCs w:val="14"/>
                <w:color w:val="auto"/>
              </w:rPr>
              <w:t>Fixed-price</w:t>
            </w:r>
          </w:p>
        </w:tc>
        <w:tc>
          <w:tcPr>
            <w:tcW w:w="260" w:type="dxa"/>
            <w:vAlign w:val="bottom"/>
          </w:tcPr>
          <w:p>
            <w:pPr>
              <w:spacing w:after="0"/>
              <w:rPr>
                <w:sz w:val="14"/>
                <w:szCs w:val="14"/>
                <w:color w:val="auto"/>
              </w:rPr>
            </w:pPr>
          </w:p>
        </w:tc>
        <w:tc>
          <w:tcPr>
            <w:tcW w:w="1120" w:type="dxa"/>
            <w:vAlign w:val="bottom"/>
          </w:tcPr>
          <w:p>
            <w:pPr>
              <w:jc w:val="center"/>
              <w:ind w:right="101"/>
              <w:spacing w:after="0"/>
              <w:rPr>
                <w:sz w:val="20"/>
                <w:szCs w:val="20"/>
                <w:color w:val="auto"/>
              </w:rPr>
            </w:pPr>
            <w:r>
              <w:rPr>
                <w:rFonts w:ascii="Arial" w:cs="Arial" w:eastAsia="Arial" w:hAnsi="Arial"/>
                <w:sz w:val="14"/>
                <w:szCs w:val="14"/>
                <w:color w:val="auto"/>
              </w:rPr>
              <w:t>Investments</w:t>
            </w:r>
          </w:p>
        </w:tc>
        <w:tc>
          <w:tcPr>
            <w:tcW w:w="220" w:type="dxa"/>
            <w:vAlign w:val="bottom"/>
          </w:tcPr>
          <w:p>
            <w:pPr>
              <w:spacing w:after="0"/>
              <w:rPr>
                <w:sz w:val="14"/>
                <w:szCs w:val="14"/>
                <w:color w:val="auto"/>
              </w:rPr>
            </w:pPr>
          </w:p>
        </w:tc>
        <w:tc>
          <w:tcPr>
            <w:tcW w:w="1140" w:type="dxa"/>
            <w:vAlign w:val="bottom"/>
          </w:tcPr>
          <w:p>
            <w:pPr>
              <w:jc w:val="center"/>
              <w:ind w:right="61"/>
              <w:spacing w:after="0"/>
              <w:rPr>
                <w:sz w:val="20"/>
                <w:szCs w:val="20"/>
                <w:color w:val="auto"/>
              </w:rPr>
            </w:pPr>
            <w:r>
              <w:rPr>
                <w:rFonts w:ascii="Arial" w:cs="Arial" w:eastAsia="Arial" w:hAnsi="Arial"/>
                <w:sz w:val="14"/>
                <w:szCs w:val="14"/>
                <w:color w:val="auto"/>
              </w:rPr>
              <w:t>Fixed-price</w:t>
            </w:r>
          </w:p>
        </w:tc>
        <w:tc>
          <w:tcPr>
            <w:tcW w:w="260" w:type="dxa"/>
            <w:vAlign w:val="bottom"/>
          </w:tcPr>
          <w:p>
            <w:pPr>
              <w:spacing w:after="0"/>
              <w:rPr>
                <w:sz w:val="14"/>
                <w:szCs w:val="14"/>
                <w:color w:val="auto"/>
              </w:rPr>
            </w:pPr>
          </w:p>
        </w:tc>
        <w:tc>
          <w:tcPr>
            <w:tcW w:w="1020" w:type="dxa"/>
            <w:vAlign w:val="bottom"/>
          </w:tcPr>
          <w:p>
            <w:pPr>
              <w:jc w:val="center"/>
              <w:ind w:right="22"/>
              <w:spacing w:after="0"/>
              <w:rPr>
                <w:sz w:val="20"/>
                <w:szCs w:val="20"/>
                <w:color w:val="auto"/>
              </w:rPr>
            </w:pPr>
            <w:r>
              <w:rPr>
                <w:rFonts w:ascii="Arial" w:cs="Arial" w:eastAsia="Arial" w:hAnsi="Arial"/>
                <w:sz w:val="14"/>
                <w:szCs w:val="14"/>
                <w:color w:val="auto"/>
              </w:rPr>
              <w:t>Fixed-price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center"/>
              <w:ind w:right="61"/>
              <w:spacing w:after="0"/>
              <w:rPr>
                <w:sz w:val="20"/>
                <w:szCs w:val="20"/>
                <w:color w:val="auto"/>
              </w:rPr>
            </w:pPr>
            <w:r>
              <w:rPr>
                <w:rFonts w:ascii="Arial" w:cs="Arial" w:eastAsia="Arial" w:hAnsi="Arial"/>
                <w:sz w:val="14"/>
                <w:szCs w:val="14"/>
                <w:color w:val="auto"/>
              </w:rPr>
              <w:t>contracts</w:t>
            </w:r>
          </w:p>
        </w:tc>
        <w:tc>
          <w:tcPr>
            <w:tcW w:w="260" w:type="dxa"/>
            <w:vAlign w:val="bottom"/>
          </w:tcPr>
          <w:p>
            <w:pPr>
              <w:spacing w:after="0"/>
              <w:rPr>
                <w:sz w:val="14"/>
                <w:szCs w:val="14"/>
                <w:color w:val="auto"/>
              </w:rPr>
            </w:pPr>
          </w:p>
        </w:tc>
        <w:tc>
          <w:tcPr>
            <w:tcW w:w="1120" w:type="dxa"/>
            <w:vAlign w:val="bottom"/>
          </w:tcPr>
          <w:p>
            <w:pPr>
              <w:jc w:val="center"/>
              <w:ind w:right="81"/>
              <w:spacing w:after="0"/>
              <w:rPr>
                <w:sz w:val="20"/>
                <w:szCs w:val="20"/>
                <w:color w:val="auto"/>
              </w:rPr>
            </w:pPr>
            <w:r>
              <w:rPr>
                <w:rFonts w:ascii="Arial" w:cs="Arial" w:eastAsia="Arial" w:hAnsi="Arial"/>
                <w:sz w:val="14"/>
                <w:szCs w:val="14"/>
                <w:color w:val="auto"/>
              </w:rPr>
              <w:t>and other</w:t>
            </w:r>
          </w:p>
        </w:tc>
        <w:tc>
          <w:tcPr>
            <w:tcW w:w="220" w:type="dxa"/>
            <w:vAlign w:val="bottom"/>
          </w:tcPr>
          <w:p>
            <w:pPr>
              <w:spacing w:after="0"/>
              <w:rPr>
                <w:sz w:val="14"/>
                <w:szCs w:val="14"/>
                <w:color w:val="auto"/>
              </w:rPr>
            </w:pPr>
          </w:p>
        </w:tc>
        <w:tc>
          <w:tcPr>
            <w:tcW w:w="1140" w:type="dxa"/>
            <w:vAlign w:val="bottom"/>
          </w:tcPr>
          <w:p>
            <w:pPr>
              <w:jc w:val="center"/>
              <w:ind w:right="61"/>
              <w:spacing w:after="0"/>
              <w:rPr>
                <w:sz w:val="20"/>
                <w:szCs w:val="20"/>
                <w:color w:val="auto"/>
              </w:rPr>
            </w:pPr>
            <w:r>
              <w:rPr>
                <w:rFonts w:ascii="Arial" w:cs="Arial" w:eastAsia="Arial" w:hAnsi="Arial"/>
                <w:sz w:val="14"/>
                <w:szCs w:val="14"/>
                <w:color w:val="auto"/>
              </w:rPr>
              <w:t>contracts</w:t>
            </w:r>
          </w:p>
        </w:tc>
        <w:tc>
          <w:tcPr>
            <w:tcW w:w="260" w:type="dxa"/>
            <w:vAlign w:val="bottom"/>
          </w:tcPr>
          <w:p>
            <w:pPr>
              <w:spacing w:after="0"/>
              <w:rPr>
                <w:sz w:val="14"/>
                <w:szCs w:val="14"/>
                <w:color w:val="auto"/>
              </w:rPr>
            </w:pPr>
          </w:p>
        </w:tc>
        <w:tc>
          <w:tcPr>
            <w:tcW w:w="1020" w:type="dxa"/>
            <w:vAlign w:val="bottom"/>
          </w:tcPr>
          <w:p>
            <w:pPr>
              <w:jc w:val="center"/>
              <w:ind w:right="2"/>
              <w:spacing w:after="0"/>
              <w:rPr>
                <w:sz w:val="20"/>
                <w:szCs w:val="20"/>
                <w:color w:val="auto"/>
              </w:rPr>
            </w:pPr>
            <w:r>
              <w:rPr>
                <w:rFonts w:ascii="Arial" w:cs="Arial" w:eastAsia="Arial" w:hAnsi="Arial"/>
                <w:sz w:val="14"/>
                <w:szCs w:val="14"/>
                <w:color w:val="auto"/>
              </w:rPr>
              <w:t>contracts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center"/>
              <w:ind w:right="61"/>
              <w:spacing w:after="0"/>
              <w:rPr>
                <w:sz w:val="20"/>
                <w:szCs w:val="20"/>
                <w:color w:val="auto"/>
              </w:rPr>
            </w:pPr>
            <w:r>
              <w:rPr>
                <w:rFonts w:ascii="Arial" w:cs="Arial" w:eastAsia="Arial" w:hAnsi="Arial"/>
                <w:sz w:val="14"/>
                <w:szCs w:val="14"/>
                <w:color w:val="auto"/>
              </w:rPr>
              <w:t>and other</w:t>
            </w:r>
          </w:p>
        </w:tc>
        <w:tc>
          <w:tcPr>
            <w:tcW w:w="260" w:type="dxa"/>
            <w:vAlign w:val="bottom"/>
          </w:tcPr>
          <w:p>
            <w:pPr>
              <w:spacing w:after="0"/>
              <w:rPr>
                <w:sz w:val="14"/>
                <w:szCs w:val="14"/>
                <w:color w:val="auto"/>
              </w:rPr>
            </w:pPr>
          </w:p>
        </w:tc>
        <w:tc>
          <w:tcPr>
            <w:tcW w:w="1120" w:type="dxa"/>
            <w:vAlign w:val="bottom"/>
          </w:tcPr>
          <w:p>
            <w:pPr>
              <w:jc w:val="center"/>
              <w:ind w:right="101"/>
              <w:spacing w:after="0"/>
              <w:rPr>
                <w:sz w:val="20"/>
                <w:szCs w:val="20"/>
                <w:color w:val="auto"/>
              </w:rPr>
            </w:pPr>
            <w:r>
              <w:rPr>
                <w:rFonts w:ascii="Arial" w:cs="Arial" w:eastAsia="Arial" w:hAnsi="Arial"/>
                <w:sz w:val="14"/>
                <w:szCs w:val="14"/>
                <w:color w:val="auto"/>
              </w:rPr>
              <w:t>assets:</w:t>
            </w:r>
          </w:p>
        </w:tc>
        <w:tc>
          <w:tcPr>
            <w:tcW w:w="220" w:type="dxa"/>
            <w:vAlign w:val="bottom"/>
          </w:tcPr>
          <w:p>
            <w:pPr>
              <w:spacing w:after="0"/>
              <w:rPr>
                <w:sz w:val="14"/>
                <w:szCs w:val="14"/>
                <w:color w:val="auto"/>
              </w:rPr>
            </w:pPr>
          </w:p>
        </w:tc>
        <w:tc>
          <w:tcPr>
            <w:tcW w:w="1140" w:type="dxa"/>
            <w:vAlign w:val="bottom"/>
          </w:tcPr>
          <w:p>
            <w:pPr>
              <w:jc w:val="center"/>
              <w:ind w:right="61"/>
              <w:spacing w:after="0"/>
              <w:rPr>
                <w:sz w:val="20"/>
                <w:szCs w:val="20"/>
                <w:color w:val="auto"/>
              </w:rPr>
            </w:pPr>
            <w:r>
              <w:rPr>
                <w:rFonts w:ascii="Arial" w:cs="Arial" w:eastAsia="Arial" w:hAnsi="Arial"/>
                <w:sz w:val="14"/>
                <w:szCs w:val="14"/>
                <w:color w:val="auto"/>
              </w:rPr>
              <w:t>and other</w:t>
            </w:r>
          </w:p>
        </w:tc>
        <w:tc>
          <w:tcPr>
            <w:tcW w:w="260" w:type="dxa"/>
            <w:vAlign w:val="bottom"/>
          </w:tcPr>
          <w:p>
            <w:pPr>
              <w:spacing w:after="0"/>
              <w:rPr>
                <w:sz w:val="14"/>
                <w:szCs w:val="14"/>
                <w:color w:val="auto"/>
              </w:rPr>
            </w:pPr>
          </w:p>
        </w:tc>
        <w:tc>
          <w:tcPr>
            <w:tcW w:w="1020" w:type="dxa"/>
            <w:vAlign w:val="bottom"/>
          </w:tcPr>
          <w:p>
            <w:pPr>
              <w:jc w:val="center"/>
              <w:ind w:right="22"/>
              <w:spacing w:after="0"/>
              <w:rPr>
                <w:sz w:val="20"/>
                <w:szCs w:val="20"/>
                <w:color w:val="auto"/>
              </w:rPr>
            </w:pPr>
            <w:r>
              <w:rPr>
                <w:rFonts w:ascii="Arial" w:cs="Arial" w:eastAsia="Arial" w:hAnsi="Arial"/>
                <w:sz w:val="14"/>
                <w:szCs w:val="14"/>
                <w:color w:val="auto"/>
              </w:rPr>
              <w:t>and other</w:t>
            </w:r>
          </w:p>
        </w:tc>
        <w:tc>
          <w:tcPr>
            <w:tcW w:w="0" w:type="dxa"/>
            <w:vAlign w:val="bottom"/>
          </w:tcPr>
          <w:p>
            <w:pPr>
              <w:spacing w:after="0"/>
              <w:rPr>
                <w:sz w:val="1"/>
                <w:szCs w:val="1"/>
                <w:color w:val="auto"/>
              </w:rPr>
            </w:pPr>
          </w:p>
        </w:tc>
      </w:tr>
      <w:tr>
        <w:trPr>
          <w:trHeight w:val="157"/>
        </w:trPr>
        <w:tc>
          <w:tcPr>
            <w:tcW w:w="4100" w:type="dxa"/>
            <w:vAlign w:val="bottom"/>
            <w:tcBorders>
              <w:bottom w:val="single" w:sz="8" w:color="auto"/>
            </w:tcBorders>
            <w:gridSpan w:val="2"/>
          </w:tcPr>
          <w:p>
            <w:pPr>
              <w:spacing w:after="0" w:line="157" w:lineRule="exact"/>
              <w:rPr>
                <w:sz w:val="20"/>
                <w:szCs w:val="20"/>
                <w:color w:val="auto"/>
              </w:rPr>
            </w:pPr>
            <w:r>
              <w:rPr>
                <w:rFonts w:ascii="Arial" w:cs="Arial" w:eastAsia="Arial" w:hAnsi="Arial"/>
                <w:sz w:val="14"/>
                <w:szCs w:val="14"/>
                <w:color w:val="auto"/>
              </w:rPr>
              <w:t>Derivatives designated as hedging instruments</w:t>
            </w: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61"/>
              <w:spacing w:after="0" w:line="157" w:lineRule="exact"/>
              <w:rPr>
                <w:sz w:val="20"/>
                <w:szCs w:val="20"/>
                <w:color w:val="auto"/>
              </w:rPr>
            </w:pPr>
            <w:r>
              <w:rPr>
                <w:rFonts w:ascii="Arial" w:cs="Arial" w:eastAsia="Arial" w:hAnsi="Arial"/>
                <w:sz w:val="14"/>
                <w:szCs w:val="14"/>
                <w:color w:val="auto"/>
              </w:rPr>
              <w:t>derivatives(1)</w:t>
            </w:r>
          </w:p>
        </w:tc>
        <w:tc>
          <w:tcPr>
            <w:tcW w:w="2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101"/>
              <w:spacing w:after="0" w:line="157" w:lineRule="exact"/>
              <w:rPr>
                <w:sz w:val="20"/>
                <w:szCs w:val="20"/>
                <w:color w:val="auto"/>
              </w:rPr>
            </w:pPr>
            <w:r>
              <w:rPr>
                <w:rFonts w:ascii="Arial" w:cs="Arial" w:eastAsia="Arial" w:hAnsi="Arial"/>
                <w:sz w:val="14"/>
                <w:szCs w:val="14"/>
                <w:color w:val="auto"/>
              </w:rPr>
              <w:t>Sundry</w:t>
            </w: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61"/>
              <w:spacing w:after="0" w:line="157" w:lineRule="exact"/>
              <w:rPr>
                <w:sz w:val="20"/>
                <w:szCs w:val="20"/>
                <w:color w:val="auto"/>
              </w:rPr>
            </w:pPr>
            <w:r>
              <w:rPr>
                <w:rFonts w:ascii="Arial" w:cs="Arial" w:eastAsia="Arial" w:hAnsi="Arial"/>
                <w:sz w:val="14"/>
                <w:szCs w:val="14"/>
                <w:color w:val="auto"/>
              </w:rPr>
              <w:t>derivatives(2)</w:t>
            </w: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22"/>
              <w:spacing w:after="0" w:line="157" w:lineRule="exact"/>
              <w:rPr>
                <w:sz w:val="20"/>
                <w:szCs w:val="20"/>
                <w:color w:val="auto"/>
              </w:rPr>
            </w:pPr>
            <w:r>
              <w:rPr>
                <w:rFonts w:ascii="Arial" w:cs="Arial" w:eastAsia="Arial" w:hAnsi="Arial"/>
                <w:sz w:val="14"/>
                <w:szCs w:val="14"/>
                <w:color w:val="auto"/>
              </w:rPr>
              <w:t>derivatives</w:t>
            </w:r>
          </w:p>
        </w:tc>
        <w:tc>
          <w:tcPr>
            <w:tcW w:w="0" w:type="dxa"/>
            <w:vAlign w:val="bottom"/>
          </w:tcPr>
          <w:p>
            <w:pPr>
              <w:spacing w:after="0"/>
              <w:rPr>
                <w:sz w:val="1"/>
                <w:szCs w:val="1"/>
                <w:color w:val="auto"/>
              </w:rPr>
            </w:pPr>
          </w:p>
        </w:tc>
      </w:tr>
      <w:tr>
        <w:trPr>
          <w:trHeight w:val="184"/>
        </w:trPr>
        <w:tc>
          <w:tcPr>
            <w:tcW w:w="4100" w:type="dxa"/>
            <w:vAlign w:val="bottom"/>
            <w:gridSpan w:val="2"/>
          </w:tcPr>
          <w:p>
            <w:pPr>
              <w:spacing w:after="0"/>
              <w:rPr>
                <w:sz w:val="20"/>
                <w:szCs w:val="20"/>
                <w:color w:val="auto"/>
              </w:rPr>
            </w:pPr>
            <w:r>
              <w:rPr>
                <w:rFonts w:ascii="Arial" w:cs="Arial" w:eastAsia="Arial" w:hAnsi="Arial"/>
                <w:sz w:val="16"/>
                <w:szCs w:val="16"/>
                <w:b w:val="1"/>
                <w:bCs w:val="1"/>
                <w:color w:val="auto"/>
              </w:rPr>
              <w:t>Sempra Energy Consolidated:</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80" w:type="dxa"/>
            <w:vAlign w:val="bottom"/>
          </w:tcPr>
          <w:p>
            <w:pPr>
              <w:ind w:left="220"/>
              <w:spacing w:after="0"/>
              <w:rPr>
                <w:sz w:val="20"/>
                <w:szCs w:val="20"/>
                <w:color w:val="auto"/>
              </w:rPr>
            </w:pPr>
            <w:r>
              <w:rPr>
                <w:rFonts w:ascii="Arial" w:cs="Arial" w:eastAsia="Arial" w:hAnsi="Arial"/>
                <w:sz w:val="16"/>
                <w:szCs w:val="16"/>
                <w:color w:val="auto"/>
              </w:rPr>
              <w:t>Interest rate instruments</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80" w:type="dxa"/>
            <w:vAlign w:val="bottom"/>
          </w:tcPr>
          <w:p>
            <w:pPr>
              <w:ind w:left="220"/>
              <w:spacing w:after="0"/>
              <w:rPr>
                <w:sz w:val="20"/>
                <w:szCs w:val="20"/>
                <w:color w:val="auto"/>
              </w:rPr>
            </w:pPr>
            <w:r>
              <w:rPr>
                <w:rFonts w:ascii="Arial" w:cs="Arial" w:eastAsia="Arial" w:hAnsi="Arial"/>
                <w:sz w:val="16"/>
                <w:szCs w:val="16"/>
                <w:color w:val="auto"/>
              </w:rPr>
              <w:t>Commodity contracts not subject to rate recovery</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80" w:type="dxa"/>
            <w:vAlign w:val="bottom"/>
          </w:tcPr>
          <w:p>
            <w:pPr>
              <w:ind w:left="220"/>
              <w:spacing w:after="0" w:line="183" w:lineRule="exact"/>
              <w:rPr>
                <w:sz w:val="20"/>
                <w:szCs w:val="20"/>
                <w:color w:val="auto"/>
              </w:rPr>
            </w:pPr>
            <w:r>
              <w:rPr>
                <w:rFonts w:ascii="Arial" w:cs="Arial" w:eastAsia="Arial" w:hAnsi="Arial"/>
                <w:sz w:val="16"/>
                <w:szCs w:val="16"/>
                <w:color w:val="auto"/>
              </w:rPr>
              <w:t>Total</w:t>
            </w:r>
          </w:p>
        </w:tc>
        <w:tc>
          <w:tcPr>
            <w:tcW w:w="3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120" w:type="dxa"/>
            <w:vAlign w:val="bottom"/>
          </w:tcPr>
          <w:p>
            <w:pPr>
              <w:jc w:val="right"/>
              <w:ind w:right="41"/>
              <w:spacing w:after="0" w:line="183" w:lineRule="exact"/>
              <w:rPr>
                <w:sz w:val="20"/>
                <w:szCs w:val="20"/>
                <w:color w:val="auto"/>
              </w:rPr>
            </w:pPr>
            <w:r>
              <w:rPr>
                <w:rFonts w:ascii="Arial" w:cs="Arial" w:eastAsia="Arial" w:hAnsi="Arial"/>
                <w:sz w:val="16"/>
                <w:szCs w:val="16"/>
                <w:color w:val="auto"/>
              </w:rPr>
              <w:t>6</w:t>
            </w:r>
          </w:p>
        </w:tc>
        <w:tc>
          <w:tcPr>
            <w:tcW w:w="26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120" w:type="dxa"/>
            <w:vAlign w:val="bottom"/>
          </w:tcPr>
          <w:p>
            <w:pPr>
              <w:jc w:val="right"/>
              <w:ind w:right="61"/>
              <w:spacing w:after="0" w:line="183" w:lineRule="exact"/>
              <w:rPr>
                <w:sz w:val="20"/>
                <w:szCs w:val="20"/>
                <w:color w:val="auto"/>
              </w:rPr>
            </w:pPr>
            <w:r>
              <w:rPr>
                <w:rFonts w:ascii="Arial" w:cs="Arial" w:eastAsia="Arial" w:hAnsi="Arial"/>
                <w:sz w:val="16"/>
                <w:szCs w:val="16"/>
                <w:color w:val="auto"/>
              </w:rPr>
              <w:t>-</w:t>
            </w:r>
          </w:p>
        </w:tc>
        <w:tc>
          <w:tcPr>
            <w:tcW w:w="2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140" w:type="dxa"/>
            <w:vAlign w:val="bottom"/>
          </w:tcPr>
          <w:p>
            <w:pPr>
              <w:jc w:val="right"/>
              <w:ind w:right="61"/>
              <w:spacing w:after="0" w:line="183" w:lineRule="exact"/>
              <w:rPr>
                <w:sz w:val="20"/>
                <w:szCs w:val="20"/>
                <w:color w:val="auto"/>
              </w:rPr>
            </w:pPr>
            <w:r>
              <w:rPr>
                <w:rFonts w:ascii="Arial" w:cs="Arial" w:eastAsia="Arial" w:hAnsi="Arial"/>
                <w:sz w:val="16"/>
                <w:szCs w:val="16"/>
                <w:color w:val="auto"/>
              </w:rPr>
              <w:t>-</w:t>
            </w:r>
          </w:p>
        </w:tc>
        <w:tc>
          <w:tcPr>
            <w:tcW w:w="260" w:type="dxa"/>
            <w:vAlign w:val="bottom"/>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408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112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112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114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10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408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80" w:type="dxa"/>
            <w:vAlign w:val="bottom"/>
          </w:tcPr>
          <w:p>
            <w:pPr>
              <w:ind w:left="220"/>
              <w:spacing w:after="0"/>
              <w:rPr>
                <w:sz w:val="20"/>
                <w:szCs w:val="20"/>
                <w:color w:val="auto"/>
              </w:rPr>
            </w:pPr>
            <w:r>
              <w:rPr>
                <w:rFonts w:ascii="Arial" w:cs="Arial" w:eastAsia="Arial" w:hAnsi="Arial"/>
                <w:sz w:val="16"/>
                <w:szCs w:val="16"/>
                <w:color w:val="auto"/>
              </w:rPr>
              <w:t>Interest rate instruments</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80" w:type="dxa"/>
            <w:vAlign w:val="bottom"/>
          </w:tcPr>
          <w:p>
            <w:pPr>
              <w:ind w:left="220"/>
              <w:spacing w:after="0"/>
              <w:rPr>
                <w:sz w:val="20"/>
                <w:szCs w:val="20"/>
                <w:color w:val="auto"/>
              </w:rPr>
            </w:pPr>
            <w:r>
              <w:rPr>
                <w:rFonts w:ascii="Arial" w:cs="Arial" w:eastAsia="Arial" w:hAnsi="Arial"/>
                <w:sz w:val="16"/>
                <w:szCs w:val="16"/>
                <w:color w:val="auto"/>
              </w:rPr>
              <w:t>Commodity contracts not subject to rate recovery</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80" w:type="dxa"/>
            <w:vAlign w:val="bottom"/>
          </w:tcPr>
          <w:p>
            <w:pPr>
              <w:ind w:left="220"/>
              <w:spacing w:after="0" w:line="183" w:lineRule="exact"/>
              <w:rPr>
                <w:sz w:val="20"/>
                <w:szCs w:val="20"/>
                <w:color w:val="auto"/>
              </w:rPr>
            </w:pPr>
            <w:r>
              <w:rPr>
                <w:rFonts w:ascii="Arial" w:cs="Arial" w:eastAsia="Arial" w:hAnsi="Arial"/>
                <w:sz w:val="16"/>
                <w:szCs w:val="16"/>
                <w:color w:val="auto"/>
              </w:rPr>
              <w:t>Total</w:t>
            </w:r>
          </w:p>
        </w:tc>
        <w:tc>
          <w:tcPr>
            <w:tcW w:w="3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120" w:type="dxa"/>
            <w:vAlign w:val="bottom"/>
          </w:tcPr>
          <w:p>
            <w:pPr>
              <w:jc w:val="right"/>
              <w:ind w:right="41"/>
              <w:spacing w:after="0" w:line="183" w:lineRule="exact"/>
              <w:rPr>
                <w:sz w:val="20"/>
                <w:szCs w:val="20"/>
                <w:color w:val="auto"/>
              </w:rPr>
            </w:pPr>
            <w:r>
              <w:rPr>
                <w:rFonts w:ascii="Arial" w:cs="Arial" w:eastAsia="Arial" w:hAnsi="Arial"/>
                <w:sz w:val="16"/>
                <w:szCs w:val="16"/>
                <w:color w:val="auto"/>
              </w:rPr>
              <w:t>6</w:t>
            </w:r>
          </w:p>
        </w:tc>
        <w:tc>
          <w:tcPr>
            <w:tcW w:w="26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120" w:type="dxa"/>
            <w:vAlign w:val="bottom"/>
          </w:tcPr>
          <w:p>
            <w:pPr>
              <w:jc w:val="right"/>
              <w:ind w:right="61"/>
              <w:spacing w:after="0" w:line="183" w:lineRule="exact"/>
              <w:rPr>
                <w:sz w:val="20"/>
                <w:szCs w:val="20"/>
                <w:color w:val="auto"/>
              </w:rPr>
            </w:pPr>
            <w:r>
              <w:rPr>
                <w:rFonts w:ascii="Arial" w:cs="Arial" w:eastAsia="Arial" w:hAnsi="Arial"/>
                <w:sz w:val="16"/>
                <w:szCs w:val="16"/>
                <w:color w:val="auto"/>
              </w:rPr>
              <w:t>-</w:t>
            </w:r>
          </w:p>
        </w:tc>
        <w:tc>
          <w:tcPr>
            <w:tcW w:w="2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140" w:type="dxa"/>
            <w:vAlign w:val="bottom"/>
          </w:tcPr>
          <w:p>
            <w:pPr>
              <w:jc w:val="right"/>
              <w:ind w:right="61"/>
              <w:spacing w:after="0" w:line="183" w:lineRule="exact"/>
              <w:rPr>
                <w:sz w:val="20"/>
                <w:szCs w:val="20"/>
                <w:color w:val="auto"/>
              </w:rPr>
            </w:pPr>
            <w:r>
              <w:rPr>
                <w:rFonts w:ascii="Arial" w:cs="Arial" w:eastAsia="Arial" w:hAnsi="Arial"/>
                <w:sz w:val="16"/>
                <w:szCs w:val="16"/>
                <w:color w:val="auto"/>
              </w:rPr>
              <w:t>-</w:t>
            </w:r>
          </w:p>
        </w:tc>
        <w:tc>
          <w:tcPr>
            <w:tcW w:w="260" w:type="dxa"/>
            <w:vAlign w:val="bottom"/>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08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112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112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114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10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365"/>
        </w:trPr>
        <w:tc>
          <w:tcPr>
            <w:tcW w:w="41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Derivatives not designated as hedging instruments</w:t>
            </w: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100" w:type="dxa"/>
            <w:vAlign w:val="bottom"/>
            <w:gridSpan w:val="2"/>
          </w:tcPr>
          <w:p>
            <w:pPr>
              <w:spacing w:after="0"/>
              <w:rPr>
                <w:sz w:val="20"/>
                <w:szCs w:val="20"/>
                <w:color w:val="auto"/>
              </w:rPr>
            </w:pPr>
            <w:r>
              <w:rPr>
                <w:rFonts w:ascii="Arial" w:cs="Arial" w:eastAsia="Arial" w:hAnsi="Arial"/>
                <w:sz w:val="16"/>
                <w:szCs w:val="16"/>
                <w:b w:val="1"/>
                <w:bCs w:val="1"/>
                <w:color w:val="auto"/>
              </w:rPr>
              <w:t>Sempra Energy Consolidated:</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080" w:type="dxa"/>
            <w:vAlign w:val="bottom"/>
          </w:tcPr>
          <w:p>
            <w:pPr>
              <w:ind w:left="220"/>
              <w:spacing w:after="0"/>
              <w:rPr>
                <w:sz w:val="20"/>
                <w:szCs w:val="20"/>
                <w:color w:val="auto"/>
              </w:rPr>
            </w:pPr>
            <w:r>
              <w:rPr>
                <w:rFonts w:ascii="Arial" w:cs="Arial" w:eastAsia="Arial" w:hAnsi="Arial"/>
                <w:sz w:val="16"/>
                <w:szCs w:val="16"/>
                <w:color w:val="auto"/>
              </w:rPr>
              <w:t>Interest rate instruments(3)</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16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(25)</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tcPr>
          <w:p>
            <w:pPr>
              <w:ind w:left="220"/>
              <w:spacing w:after="0"/>
              <w:rPr>
                <w:sz w:val="20"/>
                <w:szCs w:val="20"/>
                <w:color w:val="auto"/>
              </w:rPr>
            </w:pPr>
            <w:r>
              <w:rPr>
                <w:rFonts w:ascii="Arial" w:cs="Arial" w:eastAsia="Arial" w:hAnsi="Arial"/>
                <w:sz w:val="16"/>
                <w:szCs w:val="16"/>
                <w:color w:val="auto"/>
              </w:rPr>
              <w:t>Commodity contracts not subject to rate recovery</w:t>
            </w:r>
          </w:p>
        </w:tc>
        <w:tc>
          <w:tcPr>
            <w:tcW w:w="320" w:type="dxa"/>
            <w:vAlign w:val="bottom"/>
          </w:tcPr>
          <w:p>
            <w:pPr>
              <w:spacing w:after="0"/>
              <w:rPr>
                <w:sz w:val="17"/>
                <w:szCs w:val="17"/>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108</w:t>
            </w:r>
          </w:p>
        </w:tc>
        <w:tc>
          <w:tcPr>
            <w:tcW w:w="260" w:type="dxa"/>
            <w:vAlign w:val="bottom"/>
          </w:tcPr>
          <w:p>
            <w:pPr>
              <w:spacing w:after="0"/>
              <w:rPr>
                <w:sz w:val="17"/>
                <w:szCs w:val="17"/>
                <w:color w:val="auto"/>
              </w:rPr>
            </w:pP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36</w:t>
            </w:r>
          </w:p>
        </w:tc>
        <w:tc>
          <w:tcPr>
            <w:tcW w:w="220" w:type="dxa"/>
            <w:vAlign w:val="bottom"/>
          </w:tcPr>
          <w:p>
            <w:pPr>
              <w:spacing w:after="0"/>
              <w:rPr>
                <w:sz w:val="17"/>
                <w:szCs w:val="17"/>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(95)</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tcPr>
          <w:p>
            <w:pPr>
              <w:ind w:left="380"/>
              <w:spacing w:after="0"/>
              <w:rPr>
                <w:sz w:val="20"/>
                <w:szCs w:val="20"/>
                <w:color w:val="auto"/>
              </w:rPr>
            </w:pPr>
            <w:r>
              <w:rPr>
                <w:rFonts w:ascii="Arial" w:cs="Arial" w:eastAsia="Arial" w:hAnsi="Arial"/>
                <w:sz w:val="16"/>
                <w:szCs w:val="16"/>
                <w:color w:val="auto"/>
              </w:rPr>
              <w:t>Associated offsetting commodity contracts</w:t>
            </w:r>
          </w:p>
        </w:tc>
        <w:tc>
          <w:tcPr>
            <w:tcW w:w="320" w:type="dxa"/>
            <w:vAlign w:val="bottom"/>
          </w:tcPr>
          <w:p>
            <w:pPr>
              <w:spacing w:after="0"/>
              <w:rPr>
                <w:sz w:val="17"/>
                <w:szCs w:val="17"/>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(55)</w:t>
            </w:r>
          </w:p>
        </w:tc>
        <w:tc>
          <w:tcPr>
            <w:tcW w:w="260" w:type="dxa"/>
            <w:vAlign w:val="bottom"/>
          </w:tcPr>
          <w:p>
            <w:pPr>
              <w:spacing w:after="0"/>
              <w:rPr>
                <w:sz w:val="17"/>
                <w:szCs w:val="17"/>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(10)</w:t>
            </w:r>
          </w:p>
        </w:tc>
        <w:tc>
          <w:tcPr>
            <w:tcW w:w="220" w:type="dxa"/>
            <w:vAlign w:val="bottom"/>
          </w:tcPr>
          <w:p>
            <w:pPr>
              <w:spacing w:after="0"/>
              <w:rPr>
                <w:sz w:val="17"/>
                <w:szCs w:val="17"/>
                <w:color w:val="auto"/>
              </w:rPr>
            </w:pPr>
          </w:p>
        </w:tc>
        <w:tc>
          <w:tcPr>
            <w:tcW w:w="1140" w:type="dxa"/>
            <w:vAlign w:val="bottom"/>
          </w:tcPr>
          <w:p>
            <w:pPr>
              <w:jc w:val="right"/>
              <w:ind w:right="61"/>
              <w:spacing w:after="0"/>
              <w:rPr>
                <w:sz w:val="20"/>
                <w:szCs w:val="20"/>
                <w:color w:val="auto"/>
              </w:rPr>
            </w:pPr>
            <w:r>
              <w:rPr>
                <w:rFonts w:ascii="Arial" w:cs="Arial" w:eastAsia="Arial" w:hAnsi="Arial"/>
                <w:sz w:val="16"/>
                <w:szCs w:val="16"/>
                <w:color w:val="auto"/>
              </w:rPr>
              <w:t>55</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80" w:type="dxa"/>
            <w:vAlign w:val="bottom"/>
          </w:tcPr>
          <w:p>
            <w:pPr>
              <w:ind w:left="220"/>
              <w:spacing w:after="0"/>
              <w:rPr>
                <w:sz w:val="20"/>
                <w:szCs w:val="20"/>
                <w:color w:val="auto"/>
              </w:rPr>
            </w:pPr>
            <w:r>
              <w:rPr>
                <w:rFonts w:ascii="Arial" w:cs="Arial" w:eastAsia="Arial" w:hAnsi="Arial"/>
                <w:sz w:val="16"/>
                <w:szCs w:val="16"/>
                <w:color w:val="auto"/>
              </w:rPr>
              <w:t>Commodity contracts subject to rate recovery</w:t>
            </w:r>
          </w:p>
        </w:tc>
        <w:tc>
          <w:tcPr>
            <w:tcW w:w="320" w:type="dxa"/>
            <w:vAlign w:val="bottom"/>
          </w:tcPr>
          <w:p>
            <w:pPr>
              <w:spacing w:after="0"/>
              <w:rPr>
                <w:sz w:val="17"/>
                <w:szCs w:val="17"/>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21</w:t>
            </w:r>
          </w:p>
        </w:tc>
        <w:tc>
          <w:tcPr>
            <w:tcW w:w="260" w:type="dxa"/>
            <w:vAlign w:val="bottom"/>
          </w:tcPr>
          <w:p>
            <w:pPr>
              <w:spacing w:after="0"/>
              <w:rPr>
                <w:sz w:val="17"/>
                <w:szCs w:val="17"/>
                <w:color w:val="auto"/>
              </w:rPr>
            </w:pP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17"/>
                <w:szCs w:val="17"/>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(55)</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80" w:type="dxa"/>
            <w:vAlign w:val="bottom"/>
          </w:tcPr>
          <w:p>
            <w:pPr>
              <w:ind w:left="380"/>
              <w:spacing w:after="0"/>
              <w:rPr>
                <w:sz w:val="20"/>
                <w:szCs w:val="20"/>
                <w:color w:val="auto"/>
              </w:rPr>
            </w:pPr>
            <w:r>
              <w:rPr>
                <w:rFonts w:ascii="Arial" w:cs="Arial" w:eastAsia="Arial" w:hAnsi="Arial"/>
                <w:sz w:val="16"/>
                <w:szCs w:val="16"/>
                <w:color w:val="auto"/>
              </w:rPr>
              <w:t>Associated offsetting commodity contracts</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(47)</w:t>
            </w: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(22)</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47</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80" w:type="dxa"/>
            <w:vAlign w:val="bottom"/>
          </w:tcPr>
          <w:p>
            <w:pPr>
              <w:ind w:left="220"/>
              <w:spacing w:after="0" w:line="183" w:lineRule="exact"/>
              <w:rPr>
                <w:sz w:val="20"/>
                <w:szCs w:val="20"/>
                <w:color w:val="auto"/>
              </w:rPr>
            </w:pPr>
            <w:r>
              <w:rPr>
                <w:rFonts w:ascii="Arial" w:cs="Arial" w:eastAsia="Arial" w:hAnsi="Arial"/>
                <w:sz w:val="16"/>
                <w:szCs w:val="16"/>
                <w:color w:val="auto"/>
              </w:rPr>
              <w:t>Total</w:t>
            </w:r>
          </w:p>
        </w:tc>
        <w:tc>
          <w:tcPr>
            <w:tcW w:w="3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120" w:type="dxa"/>
            <w:vAlign w:val="bottom"/>
          </w:tcPr>
          <w:p>
            <w:pPr>
              <w:jc w:val="right"/>
              <w:ind w:right="41"/>
              <w:spacing w:after="0" w:line="183" w:lineRule="exact"/>
              <w:rPr>
                <w:sz w:val="20"/>
                <w:szCs w:val="20"/>
                <w:color w:val="auto"/>
              </w:rPr>
            </w:pPr>
            <w:r>
              <w:rPr>
                <w:rFonts w:ascii="Arial" w:cs="Arial" w:eastAsia="Arial" w:hAnsi="Arial"/>
                <w:sz w:val="16"/>
                <w:szCs w:val="16"/>
                <w:color w:val="auto"/>
              </w:rPr>
              <w:t>36</w:t>
            </w:r>
          </w:p>
        </w:tc>
        <w:tc>
          <w:tcPr>
            <w:tcW w:w="26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120" w:type="dxa"/>
            <w:vAlign w:val="bottom"/>
          </w:tcPr>
          <w:p>
            <w:pPr>
              <w:jc w:val="right"/>
              <w:ind w:right="61"/>
              <w:spacing w:after="0" w:line="183" w:lineRule="exact"/>
              <w:rPr>
                <w:sz w:val="20"/>
                <w:szCs w:val="20"/>
                <w:color w:val="auto"/>
              </w:rPr>
            </w:pPr>
            <w:r>
              <w:rPr>
                <w:rFonts w:ascii="Arial" w:cs="Arial" w:eastAsia="Arial" w:hAnsi="Arial"/>
                <w:sz w:val="16"/>
                <w:szCs w:val="16"/>
                <w:color w:val="auto"/>
              </w:rPr>
              <w:t>25</w:t>
            </w:r>
          </w:p>
        </w:tc>
        <w:tc>
          <w:tcPr>
            <w:tcW w:w="2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140" w:type="dxa"/>
            <w:vAlign w:val="bottom"/>
          </w:tcPr>
          <w:p>
            <w:pPr>
              <w:jc w:val="right"/>
              <w:ind w:right="1"/>
              <w:spacing w:after="0" w:line="183" w:lineRule="exact"/>
              <w:rPr>
                <w:sz w:val="20"/>
                <w:szCs w:val="20"/>
                <w:color w:val="auto"/>
              </w:rPr>
            </w:pPr>
            <w:r>
              <w:rPr>
                <w:rFonts w:ascii="Arial" w:cs="Arial" w:eastAsia="Arial" w:hAnsi="Arial"/>
                <w:sz w:val="16"/>
                <w:szCs w:val="16"/>
                <w:color w:val="auto"/>
              </w:rPr>
              <w:t>(73)</w:t>
            </w:r>
          </w:p>
        </w:tc>
        <w:tc>
          <w:tcPr>
            <w:tcW w:w="260" w:type="dxa"/>
            <w:vAlign w:val="bottom"/>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408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112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112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114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10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408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080" w:type="dxa"/>
            <w:vAlign w:val="bottom"/>
          </w:tcPr>
          <w:p>
            <w:pPr>
              <w:ind w:left="220"/>
              <w:spacing w:after="0"/>
              <w:rPr>
                <w:sz w:val="20"/>
                <w:szCs w:val="20"/>
                <w:color w:val="auto"/>
              </w:rPr>
            </w:pPr>
            <w:r>
              <w:rPr>
                <w:rFonts w:ascii="Arial" w:cs="Arial" w:eastAsia="Arial" w:hAnsi="Arial"/>
                <w:sz w:val="16"/>
                <w:szCs w:val="16"/>
                <w:color w:val="auto"/>
              </w:rPr>
              <w:t>Interest rate instruments(3)</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(17)</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80" w:type="dxa"/>
            <w:vAlign w:val="bottom"/>
          </w:tcPr>
          <w:p>
            <w:pPr>
              <w:ind w:left="220"/>
              <w:spacing w:after="0"/>
              <w:rPr>
                <w:sz w:val="20"/>
                <w:szCs w:val="20"/>
                <w:color w:val="auto"/>
              </w:rPr>
            </w:pPr>
            <w:r>
              <w:rPr>
                <w:rFonts w:ascii="Arial" w:cs="Arial" w:eastAsia="Arial" w:hAnsi="Arial"/>
                <w:sz w:val="16"/>
                <w:szCs w:val="16"/>
                <w:color w:val="auto"/>
              </w:rPr>
              <w:t>Commodity contracts subject to rate recovery</w:t>
            </w:r>
          </w:p>
        </w:tc>
        <w:tc>
          <w:tcPr>
            <w:tcW w:w="320" w:type="dxa"/>
            <w:vAlign w:val="bottom"/>
          </w:tcPr>
          <w:p>
            <w:pPr>
              <w:spacing w:after="0"/>
              <w:rPr>
                <w:sz w:val="17"/>
                <w:szCs w:val="17"/>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15</w:t>
            </w:r>
          </w:p>
        </w:tc>
        <w:tc>
          <w:tcPr>
            <w:tcW w:w="260" w:type="dxa"/>
            <w:vAlign w:val="bottom"/>
          </w:tcPr>
          <w:p>
            <w:pPr>
              <w:spacing w:after="0"/>
              <w:rPr>
                <w:sz w:val="17"/>
                <w:szCs w:val="17"/>
                <w:color w:val="auto"/>
              </w:rPr>
            </w:pP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17"/>
                <w:szCs w:val="17"/>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(44)</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80" w:type="dxa"/>
            <w:vAlign w:val="bottom"/>
          </w:tcPr>
          <w:p>
            <w:pPr>
              <w:ind w:left="380"/>
              <w:spacing w:after="0"/>
              <w:rPr>
                <w:sz w:val="20"/>
                <w:szCs w:val="20"/>
                <w:color w:val="auto"/>
              </w:rPr>
            </w:pPr>
            <w:r>
              <w:rPr>
                <w:rFonts w:ascii="Arial" w:cs="Arial" w:eastAsia="Arial" w:hAnsi="Arial"/>
                <w:sz w:val="16"/>
                <w:szCs w:val="16"/>
                <w:color w:val="auto"/>
              </w:rPr>
              <w:t>Associated offsetting commodity contracts</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(44)</w:t>
            </w: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(22)</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44</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80" w:type="dxa"/>
            <w:vAlign w:val="bottom"/>
          </w:tcPr>
          <w:p>
            <w:pPr>
              <w:ind w:left="220"/>
              <w:spacing w:after="0" w:line="183" w:lineRule="exact"/>
              <w:rPr>
                <w:sz w:val="20"/>
                <w:szCs w:val="20"/>
                <w:color w:val="auto"/>
              </w:rPr>
            </w:pPr>
            <w:r>
              <w:rPr>
                <w:rFonts w:ascii="Arial" w:cs="Arial" w:eastAsia="Arial" w:hAnsi="Arial"/>
                <w:sz w:val="16"/>
                <w:szCs w:val="16"/>
                <w:color w:val="auto"/>
              </w:rPr>
              <w:t>Total</w:t>
            </w:r>
          </w:p>
        </w:tc>
        <w:tc>
          <w:tcPr>
            <w:tcW w:w="3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120" w:type="dxa"/>
            <w:vAlign w:val="bottom"/>
          </w:tcPr>
          <w:p>
            <w:pPr>
              <w:jc w:val="right"/>
              <w:ind w:right="1"/>
              <w:spacing w:after="0" w:line="183" w:lineRule="exact"/>
              <w:rPr>
                <w:sz w:val="20"/>
                <w:szCs w:val="20"/>
                <w:color w:val="auto"/>
              </w:rPr>
            </w:pPr>
            <w:r>
              <w:rPr>
                <w:rFonts w:ascii="Arial" w:cs="Arial" w:eastAsia="Arial" w:hAnsi="Arial"/>
                <w:sz w:val="16"/>
                <w:szCs w:val="16"/>
                <w:color w:val="auto"/>
              </w:rPr>
              <w:t>(29)</w:t>
            </w:r>
          </w:p>
        </w:tc>
        <w:tc>
          <w:tcPr>
            <w:tcW w:w="26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120" w:type="dxa"/>
            <w:vAlign w:val="bottom"/>
          </w:tcPr>
          <w:p>
            <w:pPr>
              <w:jc w:val="right"/>
              <w:ind w:right="21"/>
              <w:spacing w:after="0" w:line="183" w:lineRule="exact"/>
              <w:rPr>
                <w:sz w:val="20"/>
                <w:szCs w:val="20"/>
                <w:color w:val="auto"/>
              </w:rPr>
            </w:pPr>
            <w:r>
              <w:rPr>
                <w:rFonts w:ascii="Arial" w:cs="Arial" w:eastAsia="Arial" w:hAnsi="Arial"/>
                <w:sz w:val="16"/>
                <w:szCs w:val="16"/>
                <w:color w:val="auto"/>
              </w:rPr>
              <w:t>(17)</w:t>
            </w:r>
          </w:p>
        </w:tc>
        <w:tc>
          <w:tcPr>
            <w:tcW w:w="2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140" w:type="dxa"/>
            <w:vAlign w:val="bottom"/>
          </w:tcPr>
          <w:p>
            <w:pPr>
              <w:jc w:val="right"/>
              <w:ind w:right="1"/>
              <w:spacing w:after="0" w:line="183" w:lineRule="exact"/>
              <w:rPr>
                <w:sz w:val="20"/>
                <w:szCs w:val="20"/>
                <w:color w:val="auto"/>
              </w:rPr>
            </w:pPr>
            <w:r>
              <w:rPr>
                <w:rFonts w:ascii="Arial" w:cs="Arial" w:eastAsia="Arial" w:hAnsi="Arial"/>
                <w:sz w:val="16"/>
                <w:szCs w:val="16"/>
                <w:color w:val="auto"/>
              </w:rPr>
              <w:t>(17)</w:t>
            </w:r>
          </w:p>
        </w:tc>
        <w:tc>
          <w:tcPr>
            <w:tcW w:w="260" w:type="dxa"/>
            <w:vAlign w:val="bottom"/>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408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112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112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114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10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408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80" w:type="dxa"/>
            <w:vAlign w:val="bottom"/>
          </w:tcPr>
          <w:p>
            <w:pPr>
              <w:ind w:left="220"/>
              <w:spacing w:after="0"/>
              <w:rPr>
                <w:sz w:val="20"/>
                <w:szCs w:val="20"/>
                <w:color w:val="auto"/>
              </w:rPr>
            </w:pPr>
            <w:r>
              <w:rPr>
                <w:rFonts w:ascii="Arial" w:cs="Arial" w:eastAsia="Arial" w:hAnsi="Arial"/>
                <w:sz w:val="16"/>
                <w:szCs w:val="16"/>
                <w:color w:val="auto"/>
              </w:rPr>
              <w:t>Commodity contracts subject to rate recovery</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(4)</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80" w:type="dxa"/>
            <w:vAlign w:val="bottom"/>
          </w:tcPr>
          <w:p>
            <w:pPr>
              <w:ind w:left="380"/>
              <w:spacing w:after="0"/>
              <w:rPr>
                <w:sz w:val="20"/>
                <w:szCs w:val="20"/>
                <w:color w:val="auto"/>
              </w:rPr>
            </w:pPr>
            <w:r>
              <w:rPr>
                <w:rFonts w:ascii="Arial" w:cs="Arial" w:eastAsia="Arial" w:hAnsi="Arial"/>
                <w:sz w:val="16"/>
                <w:szCs w:val="16"/>
                <w:color w:val="auto"/>
              </w:rPr>
              <w:t>Associated offsetting commodity contracts</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w:t>
            </w: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3</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80" w:type="dxa"/>
            <w:vAlign w:val="bottom"/>
          </w:tcPr>
          <w:p>
            <w:pPr>
              <w:ind w:left="220"/>
              <w:spacing w:after="0" w:line="183" w:lineRule="exact"/>
              <w:rPr>
                <w:sz w:val="20"/>
                <w:szCs w:val="20"/>
                <w:color w:val="auto"/>
              </w:rPr>
            </w:pPr>
            <w:r>
              <w:rPr>
                <w:rFonts w:ascii="Arial" w:cs="Arial" w:eastAsia="Arial" w:hAnsi="Arial"/>
                <w:sz w:val="16"/>
                <w:szCs w:val="16"/>
                <w:color w:val="auto"/>
              </w:rPr>
              <w:t>Total</w:t>
            </w:r>
          </w:p>
        </w:tc>
        <w:tc>
          <w:tcPr>
            <w:tcW w:w="3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120" w:type="dxa"/>
            <w:vAlign w:val="bottom"/>
          </w:tcPr>
          <w:p>
            <w:pPr>
              <w:jc w:val="right"/>
              <w:ind w:right="41"/>
              <w:spacing w:after="0" w:line="183" w:lineRule="exact"/>
              <w:rPr>
                <w:sz w:val="20"/>
                <w:szCs w:val="20"/>
                <w:color w:val="auto"/>
              </w:rPr>
            </w:pPr>
            <w:r>
              <w:rPr>
                <w:rFonts w:ascii="Arial" w:cs="Arial" w:eastAsia="Arial" w:hAnsi="Arial"/>
                <w:sz w:val="16"/>
                <w:szCs w:val="16"/>
                <w:color w:val="auto"/>
              </w:rPr>
              <w:t>3</w:t>
            </w:r>
          </w:p>
        </w:tc>
        <w:tc>
          <w:tcPr>
            <w:tcW w:w="26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120" w:type="dxa"/>
            <w:vAlign w:val="bottom"/>
          </w:tcPr>
          <w:p>
            <w:pPr>
              <w:jc w:val="right"/>
              <w:ind w:right="61"/>
              <w:spacing w:after="0" w:line="183" w:lineRule="exact"/>
              <w:rPr>
                <w:sz w:val="20"/>
                <w:szCs w:val="20"/>
                <w:color w:val="auto"/>
              </w:rPr>
            </w:pPr>
            <w:r>
              <w:rPr>
                <w:rFonts w:ascii="Arial" w:cs="Arial" w:eastAsia="Arial" w:hAnsi="Arial"/>
                <w:sz w:val="16"/>
                <w:szCs w:val="16"/>
                <w:color w:val="auto"/>
              </w:rPr>
              <w:t>-</w:t>
            </w:r>
          </w:p>
        </w:tc>
        <w:tc>
          <w:tcPr>
            <w:tcW w:w="2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140" w:type="dxa"/>
            <w:vAlign w:val="bottom"/>
          </w:tcPr>
          <w:p>
            <w:pPr>
              <w:jc w:val="right"/>
              <w:ind w:right="1"/>
              <w:spacing w:after="0" w:line="183" w:lineRule="exact"/>
              <w:rPr>
                <w:sz w:val="20"/>
                <w:szCs w:val="20"/>
                <w:color w:val="auto"/>
              </w:rPr>
            </w:pPr>
            <w:r>
              <w:rPr>
                <w:rFonts w:ascii="Arial" w:cs="Arial" w:eastAsia="Arial" w:hAnsi="Arial"/>
                <w:sz w:val="16"/>
                <w:szCs w:val="16"/>
                <w:color w:val="auto"/>
              </w:rPr>
              <w:t>(1)</w:t>
            </w:r>
          </w:p>
        </w:tc>
        <w:tc>
          <w:tcPr>
            <w:tcW w:w="260" w:type="dxa"/>
            <w:vAlign w:val="bottom"/>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08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112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112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114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10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378" w:right="1440" w:bottom="1440" w:gutter="0" w:footer="0" w:header="0"/>
        </w:sectPr>
      </w:pPr>
    </w:p>
    <w:bookmarkStart w:id="44" w:name="page45"/>
    <w:bookmarkEnd w:id="4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6062980" cy="514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62980" cy="514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3"/>
          </w:tcPr>
          <w:p>
            <w:pPr>
              <w:jc w:val="right"/>
              <w:ind w:right="741"/>
              <w:spacing w:after="0"/>
              <w:rPr>
                <w:sz w:val="20"/>
                <w:szCs w:val="20"/>
                <w:color w:val="auto"/>
              </w:rPr>
            </w:pPr>
            <w:r>
              <w:rPr>
                <w:rFonts w:ascii="Arial" w:cs="Arial" w:eastAsia="Arial" w:hAnsi="Arial"/>
                <w:sz w:val="14"/>
                <w:szCs w:val="14"/>
                <w:color w:val="auto"/>
              </w:rPr>
              <w:t>December 31, 2009</w:t>
            </w: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jc w:val="center"/>
              <w:ind w:right="22"/>
              <w:spacing w:after="0"/>
              <w:rPr>
                <w:sz w:val="20"/>
                <w:szCs w:val="20"/>
                <w:color w:val="auto"/>
              </w:rPr>
            </w:pPr>
            <w:r>
              <w:rPr>
                <w:rFonts w:ascii="Arial" w:cs="Arial" w:eastAsia="Arial" w:hAnsi="Arial"/>
                <w:sz w:val="14"/>
                <w:szCs w:val="14"/>
                <w:color w:val="auto"/>
              </w:rPr>
              <w:t>Deferred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center"/>
              <w:ind w:right="2"/>
              <w:spacing w:after="0"/>
              <w:rPr>
                <w:sz w:val="20"/>
                <w:szCs w:val="20"/>
                <w:color w:val="auto"/>
              </w:rPr>
            </w:pPr>
            <w:r>
              <w:rPr>
                <w:rFonts w:ascii="Arial" w:cs="Arial" w:eastAsia="Arial" w:hAnsi="Arial"/>
                <w:sz w:val="14"/>
                <w:szCs w:val="14"/>
                <w:color w:val="auto"/>
              </w:rPr>
              <w:t>credits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center"/>
              <w:ind w:right="41"/>
              <w:spacing w:after="0"/>
              <w:rPr>
                <w:sz w:val="20"/>
                <w:szCs w:val="20"/>
                <w:color w:val="auto"/>
              </w:rPr>
            </w:pPr>
            <w:r>
              <w:rPr>
                <w:rFonts w:ascii="Arial" w:cs="Arial" w:eastAsia="Arial" w:hAnsi="Arial"/>
                <w:sz w:val="14"/>
                <w:szCs w:val="14"/>
                <w:color w:val="auto"/>
              </w:rPr>
              <w:t>Current</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ind w:right="61"/>
              <w:spacing w:after="0"/>
              <w:rPr>
                <w:sz w:val="20"/>
                <w:szCs w:val="20"/>
                <w:color w:val="auto"/>
              </w:rPr>
            </w:pPr>
            <w:r>
              <w:rPr>
                <w:rFonts w:ascii="Arial" w:cs="Arial" w:eastAsia="Arial" w:hAnsi="Arial"/>
                <w:sz w:val="14"/>
                <w:szCs w:val="14"/>
                <w:color w:val="auto"/>
              </w:rPr>
              <w:t>Current</w:t>
            </w:r>
          </w:p>
        </w:tc>
        <w:tc>
          <w:tcPr>
            <w:tcW w:w="260" w:type="dxa"/>
            <w:vAlign w:val="bottom"/>
          </w:tcPr>
          <w:p>
            <w:pPr>
              <w:spacing w:after="0"/>
              <w:rPr>
                <w:sz w:val="14"/>
                <w:szCs w:val="14"/>
                <w:color w:val="auto"/>
              </w:rPr>
            </w:pPr>
          </w:p>
        </w:tc>
        <w:tc>
          <w:tcPr>
            <w:tcW w:w="1020" w:type="dxa"/>
            <w:vAlign w:val="bottom"/>
          </w:tcPr>
          <w:p>
            <w:pPr>
              <w:jc w:val="center"/>
              <w:ind w:right="22"/>
              <w:spacing w:after="0"/>
              <w:rPr>
                <w:sz w:val="20"/>
                <w:szCs w:val="20"/>
                <w:color w:val="auto"/>
              </w:rPr>
            </w:pPr>
            <w:r>
              <w:rPr>
                <w:rFonts w:ascii="Arial" w:cs="Arial" w:eastAsia="Arial" w:hAnsi="Arial"/>
                <w:sz w:val="14"/>
                <w:szCs w:val="14"/>
                <w:color w:val="auto"/>
              </w:rPr>
              <w:t>and other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center"/>
              <w:ind w:right="61"/>
              <w:spacing w:after="0"/>
              <w:rPr>
                <w:sz w:val="20"/>
                <w:szCs w:val="20"/>
                <w:color w:val="auto"/>
              </w:rPr>
            </w:pPr>
            <w:r>
              <w:rPr>
                <w:rFonts w:ascii="Arial" w:cs="Arial" w:eastAsia="Arial" w:hAnsi="Arial"/>
                <w:sz w:val="14"/>
                <w:szCs w:val="14"/>
                <w:color w:val="auto"/>
              </w:rPr>
              <w:t>assets:</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ind w:right="61"/>
              <w:spacing w:after="0"/>
              <w:rPr>
                <w:sz w:val="20"/>
                <w:szCs w:val="20"/>
                <w:color w:val="auto"/>
              </w:rPr>
            </w:pPr>
            <w:r>
              <w:rPr>
                <w:rFonts w:ascii="Arial" w:cs="Arial" w:eastAsia="Arial" w:hAnsi="Arial"/>
                <w:sz w:val="14"/>
                <w:szCs w:val="14"/>
                <w:color w:val="auto"/>
              </w:rPr>
              <w:t>liabilities:</w:t>
            </w:r>
          </w:p>
        </w:tc>
        <w:tc>
          <w:tcPr>
            <w:tcW w:w="260" w:type="dxa"/>
            <w:vAlign w:val="bottom"/>
          </w:tcPr>
          <w:p>
            <w:pPr>
              <w:spacing w:after="0"/>
              <w:rPr>
                <w:sz w:val="14"/>
                <w:szCs w:val="14"/>
                <w:color w:val="auto"/>
              </w:rPr>
            </w:pPr>
          </w:p>
        </w:tc>
        <w:tc>
          <w:tcPr>
            <w:tcW w:w="1020" w:type="dxa"/>
            <w:vAlign w:val="bottom"/>
          </w:tcPr>
          <w:p>
            <w:pPr>
              <w:jc w:val="center"/>
              <w:ind w:right="2"/>
              <w:spacing w:after="0"/>
              <w:rPr>
                <w:sz w:val="20"/>
                <w:szCs w:val="20"/>
                <w:color w:val="auto"/>
              </w:rPr>
            </w:pPr>
            <w:r>
              <w:rPr>
                <w:rFonts w:ascii="Arial" w:cs="Arial" w:eastAsia="Arial" w:hAnsi="Arial"/>
                <w:sz w:val="14"/>
                <w:szCs w:val="14"/>
                <w:color w:val="auto"/>
              </w:rPr>
              <w:t>liabilities: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center"/>
              <w:ind w:right="61"/>
              <w:spacing w:after="0"/>
              <w:rPr>
                <w:sz w:val="20"/>
                <w:szCs w:val="20"/>
                <w:color w:val="auto"/>
              </w:rPr>
            </w:pPr>
            <w:r>
              <w:rPr>
                <w:rFonts w:ascii="Arial" w:cs="Arial" w:eastAsia="Arial" w:hAnsi="Arial"/>
                <w:sz w:val="14"/>
                <w:szCs w:val="14"/>
                <w:color w:val="auto"/>
              </w:rPr>
              <w:t>Fixed-price</w:t>
            </w:r>
          </w:p>
        </w:tc>
        <w:tc>
          <w:tcPr>
            <w:tcW w:w="260" w:type="dxa"/>
            <w:vAlign w:val="bottom"/>
          </w:tcPr>
          <w:p>
            <w:pPr>
              <w:spacing w:after="0"/>
              <w:rPr>
                <w:sz w:val="14"/>
                <w:szCs w:val="14"/>
                <w:color w:val="auto"/>
              </w:rPr>
            </w:pPr>
          </w:p>
        </w:tc>
        <w:tc>
          <w:tcPr>
            <w:tcW w:w="1120" w:type="dxa"/>
            <w:vAlign w:val="bottom"/>
          </w:tcPr>
          <w:p>
            <w:pPr>
              <w:jc w:val="center"/>
              <w:ind w:right="101"/>
              <w:spacing w:after="0"/>
              <w:rPr>
                <w:sz w:val="20"/>
                <w:szCs w:val="20"/>
                <w:color w:val="auto"/>
              </w:rPr>
            </w:pPr>
            <w:r>
              <w:rPr>
                <w:rFonts w:ascii="Arial" w:cs="Arial" w:eastAsia="Arial" w:hAnsi="Arial"/>
                <w:sz w:val="14"/>
                <w:szCs w:val="14"/>
                <w:color w:val="auto"/>
              </w:rPr>
              <w:t>Investments</w:t>
            </w:r>
          </w:p>
        </w:tc>
        <w:tc>
          <w:tcPr>
            <w:tcW w:w="220" w:type="dxa"/>
            <w:vAlign w:val="bottom"/>
          </w:tcPr>
          <w:p>
            <w:pPr>
              <w:spacing w:after="0"/>
              <w:rPr>
                <w:sz w:val="14"/>
                <w:szCs w:val="14"/>
                <w:color w:val="auto"/>
              </w:rPr>
            </w:pPr>
          </w:p>
        </w:tc>
        <w:tc>
          <w:tcPr>
            <w:tcW w:w="1140" w:type="dxa"/>
            <w:vAlign w:val="bottom"/>
          </w:tcPr>
          <w:p>
            <w:pPr>
              <w:jc w:val="center"/>
              <w:ind w:right="61"/>
              <w:spacing w:after="0"/>
              <w:rPr>
                <w:sz w:val="20"/>
                <w:szCs w:val="20"/>
                <w:color w:val="auto"/>
              </w:rPr>
            </w:pPr>
            <w:r>
              <w:rPr>
                <w:rFonts w:ascii="Arial" w:cs="Arial" w:eastAsia="Arial" w:hAnsi="Arial"/>
                <w:sz w:val="14"/>
                <w:szCs w:val="14"/>
                <w:color w:val="auto"/>
              </w:rPr>
              <w:t>Fixed-price</w:t>
            </w:r>
          </w:p>
        </w:tc>
        <w:tc>
          <w:tcPr>
            <w:tcW w:w="260" w:type="dxa"/>
            <w:vAlign w:val="bottom"/>
          </w:tcPr>
          <w:p>
            <w:pPr>
              <w:spacing w:after="0"/>
              <w:rPr>
                <w:sz w:val="14"/>
                <w:szCs w:val="14"/>
                <w:color w:val="auto"/>
              </w:rPr>
            </w:pPr>
          </w:p>
        </w:tc>
        <w:tc>
          <w:tcPr>
            <w:tcW w:w="1020" w:type="dxa"/>
            <w:vAlign w:val="bottom"/>
          </w:tcPr>
          <w:p>
            <w:pPr>
              <w:jc w:val="center"/>
              <w:ind w:right="22"/>
              <w:spacing w:after="0"/>
              <w:rPr>
                <w:sz w:val="20"/>
                <w:szCs w:val="20"/>
                <w:color w:val="auto"/>
              </w:rPr>
            </w:pPr>
            <w:r>
              <w:rPr>
                <w:rFonts w:ascii="Arial" w:cs="Arial" w:eastAsia="Arial" w:hAnsi="Arial"/>
                <w:sz w:val="14"/>
                <w:szCs w:val="14"/>
                <w:color w:val="auto"/>
              </w:rPr>
              <w:t>Fixed-price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center"/>
              <w:ind w:right="61"/>
              <w:spacing w:after="0"/>
              <w:rPr>
                <w:sz w:val="20"/>
                <w:szCs w:val="20"/>
                <w:color w:val="auto"/>
              </w:rPr>
            </w:pPr>
            <w:r>
              <w:rPr>
                <w:rFonts w:ascii="Arial" w:cs="Arial" w:eastAsia="Arial" w:hAnsi="Arial"/>
                <w:sz w:val="14"/>
                <w:szCs w:val="14"/>
                <w:color w:val="auto"/>
              </w:rPr>
              <w:t>contracts</w:t>
            </w:r>
          </w:p>
        </w:tc>
        <w:tc>
          <w:tcPr>
            <w:tcW w:w="260" w:type="dxa"/>
            <w:vAlign w:val="bottom"/>
          </w:tcPr>
          <w:p>
            <w:pPr>
              <w:spacing w:after="0"/>
              <w:rPr>
                <w:sz w:val="14"/>
                <w:szCs w:val="14"/>
                <w:color w:val="auto"/>
              </w:rPr>
            </w:pPr>
          </w:p>
        </w:tc>
        <w:tc>
          <w:tcPr>
            <w:tcW w:w="1120" w:type="dxa"/>
            <w:vAlign w:val="bottom"/>
          </w:tcPr>
          <w:p>
            <w:pPr>
              <w:jc w:val="center"/>
              <w:ind w:right="81"/>
              <w:spacing w:after="0"/>
              <w:rPr>
                <w:sz w:val="20"/>
                <w:szCs w:val="20"/>
                <w:color w:val="auto"/>
              </w:rPr>
            </w:pPr>
            <w:r>
              <w:rPr>
                <w:rFonts w:ascii="Arial" w:cs="Arial" w:eastAsia="Arial" w:hAnsi="Arial"/>
                <w:sz w:val="14"/>
                <w:szCs w:val="14"/>
                <w:color w:val="auto"/>
              </w:rPr>
              <w:t>and other</w:t>
            </w:r>
          </w:p>
        </w:tc>
        <w:tc>
          <w:tcPr>
            <w:tcW w:w="220" w:type="dxa"/>
            <w:vAlign w:val="bottom"/>
          </w:tcPr>
          <w:p>
            <w:pPr>
              <w:spacing w:after="0"/>
              <w:rPr>
                <w:sz w:val="14"/>
                <w:szCs w:val="14"/>
                <w:color w:val="auto"/>
              </w:rPr>
            </w:pPr>
          </w:p>
        </w:tc>
        <w:tc>
          <w:tcPr>
            <w:tcW w:w="1140" w:type="dxa"/>
            <w:vAlign w:val="bottom"/>
          </w:tcPr>
          <w:p>
            <w:pPr>
              <w:jc w:val="center"/>
              <w:ind w:right="61"/>
              <w:spacing w:after="0"/>
              <w:rPr>
                <w:sz w:val="20"/>
                <w:szCs w:val="20"/>
                <w:color w:val="auto"/>
              </w:rPr>
            </w:pPr>
            <w:r>
              <w:rPr>
                <w:rFonts w:ascii="Arial" w:cs="Arial" w:eastAsia="Arial" w:hAnsi="Arial"/>
                <w:sz w:val="14"/>
                <w:szCs w:val="14"/>
                <w:color w:val="auto"/>
              </w:rPr>
              <w:t>contracts</w:t>
            </w:r>
          </w:p>
        </w:tc>
        <w:tc>
          <w:tcPr>
            <w:tcW w:w="260" w:type="dxa"/>
            <w:vAlign w:val="bottom"/>
          </w:tcPr>
          <w:p>
            <w:pPr>
              <w:spacing w:after="0"/>
              <w:rPr>
                <w:sz w:val="14"/>
                <w:szCs w:val="14"/>
                <w:color w:val="auto"/>
              </w:rPr>
            </w:pPr>
          </w:p>
        </w:tc>
        <w:tc>
          <w:tcPr>
            <w:tcW w:w="1020" w:type="dxa"/>
            <w:vAlign w:val="bottom"/>
          </w:tcPr>
          <w:p>
            <w:pPr>
              <w:jc w:val="center"/>
              <w:ind w:right="2"/>
              <w:spacing w:after="0"/>
              <w:rPr>
                <w:sz w:val="20"/>
                <w:szCs w:val="20"/>
                <w:color w:val="auto"/>
              </w:rPr>
            </w:pPr>
            <w:r>
              <w:rPr>
                <w:rFonts w:ascii="Arial" w:cs="Arial" w:eastAsia="Arial" w:hAnsi="Arial"/>
                <w:sz w:val="14"/>
                <w:szCs w:val="14"/>
                <w:color w:val="auto"/>
              </w:rPr>
              <w:t>contracts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center"/>
              <w:ind w:right="61"/>
              <w:spacing w:after="0"/>
              <w:rPr>
                <w:sz w:val="20"/>
                <w:szCs w:val="20"/>
                <w:color w:val="auto"/>
              </w:rPr>
            </w:pPr>
            <w:r>
              <w:rPr>
                <w:rFonts w:ascii="Arial" w:cs="Arial" w:eastAsia="Arial" w:hAnsi="Arial"/>
                <w:sz w:val="14"/>
                <w:szCs w:val="14"/>
                <w:color w:val="auto"/>
              </w:rPr>
              <w:t>and other</w:t>
            </w:r>
          </w:p>
        </w:tc>
        <w:tc>
          <w:tcPr>
            <w:tcW w:w="260" w:type="dxa"/>
            <w:vAlign w:val="bottom"/>
          </w:tcPr>
          <w:p>
            <w:pPr>
              <w:spacing w:after="0"/>
              <w:rPr>
                <w:sz w:val="14"/>
                <w:szCs w:val="14"/>
                <w:color w:val="auto"/>
              </w:rPr>
            </w:pPr>
          </w:p>
        </w:tc>
        <w:tc>
          <w:tcPr>
            <w:tcW w:w="1120" w:type="dxa"/>
            <w:vAlign w:val="bottom"/>
          </w:tcPr>
          <w:p>
            <w:pPr>
              <w:jc w:val="center"/>
              <w:ind w:right="101"/>
              <w:spacing w:after="0"/>
              <w:rPr>
                <w:sz w:val="20"/>
                <w:szCs w:val="20"/>
                <w:color w:val="auto"/>
              </w:rPr>
            </w:pPr>
            <w:r>
              <w:rPr>
                <w:rFonts w:ascii="Arial" w:cs="Arial" w:eastAsia="Arial" w:hAnsi="Arial"/>
                <w:sz w:val="14"/>
                <w:szCs w:val="14"/>
                <w:color w:val="auto"/>
              </w:rPr>
              <w:t>assets:</w:t>
            </w:r>
          </w:p>
        </w:tc>
        <w:tc>
          <w:tcPr>
            <w:tcW w:w="220" w:type="dxa"/>
            <w:vAlign w:val="bottom"/>
          </w:tcPr>
          <w:p>
            <w:pPr>
              <w:spacing w:after="0"/>
              <w:rPr>
                <w:sz w:val="14"/>
                <w:szCs w:val="14"/>
                <w:color w:val="auto"/>
              </w:rPr>
            </w:pPr>
          </w:p>
        </w:tc>
        <w:tc>
          <w:tcPr>
            <w:tcW w:w="1140" w:type="dxa"/>
            <w:vAlign w:val="bottom"/>
          </w:tcPr>
          <w:p>
            <w:pPr>
              <w:jc w:val="center"/>
              <w:ind w:right="61"/>
              <w:spacing w:after="0"/>
              <w:rPr>
                <w:sz w:val="20"/>
                <w:szCs w:val="20"/>
                <w:color w:val="auto"/>
              </w:rPr>
            </w:pPr>
            <w:r>
              <w:rPr>
                <w:rFonts w:ascii="Arial" w:cs="Arial" w:eastAsia="Arial" w:hAnsi="Arial"/>
                <w:sz w:val="14"/>
                <w:szCs w:val="14"/>
                <w:color w:val="auto"/>
              </w:rPr>
              <w:t>and other</w:t>
            </w:r>
          </w:p>
        </w:tc>
        <w:tc>
          <w:tcPr>
            <w:tcW w:w="260" w:type="dxa"/>
            <w:vAlign w:val="bottom"/>
          </w:tcPr>
          <w:p>
            <w:pPr>
              <w:spacing w:after="0"/>
              <w:rPr>
                <w:sz w:val="14"/>
                <w:szCs w:val="14"/>
                <w:color w:val="auto"/>
              </w:rPr>
            </w:pPr>
          </w:p>
        </w:tc>
        <w:tc>
          <w:tcPr>
            <w:tcW w:w="1020" w:type="dxa"/>
            <w:vAlign w:val="bottom"/>
          </w:tcPr>
          <w:p>
            <w:pPr>
              <w:jc w:val="center"/>
              <w:ind w:right="22"/>
              <w:spacing w:after="0"/>
              <w:rPr>
                <w:sz w:val="20"/>
                <w:szCs w:val="20"/>
                <w:color w:val="auto"/>
              </w:rPr>
            </w:pPr>
            <w:r>
              <w:rPr>
                <w:rFonts w:ascii="Arial" w:cs="Arial" w:eastAsia="Arial" w:hAnsi="Arial"/>
                <w:sz w:val="14"/>
                <w:szCs w:val="14"/>
                <w:color w:val="auto"/>
              </w:rPr>
              <w:t>and other</w:t>
            </w:r>
          </w:p>
        </w:tc>
        <w:tc>
          <w:tcPr>
            <w:tcW w:w="0" w:type="dxa"/>
            <w:vAlign w:val="bottom"/>
          </w:tcPr>
          <w:p>
            <w:pPr>
              <w:spacing w:after="0"/>
              <w:rPr>
                <w:sz w:val="1"/>
                <w:szCs w:val="1"/>
                <w:color w:val="auto"/>
              </w:rPr>
            </w:pPr>
          </w:p>
        </w:tc>
      </w:tr>
      <w:tr>
        <w:trPr>
          <w:trHeight w:val="157"/>
        </w:trPr>
        <w:tc>
          <w:tcPr>
            <w:tcW w:w="4100" w:type="dxa"/>
            <w:vAlign w:val="bottom"/>
            <w:tcBorders>
              <w:bottom w:val="single" w:sz="8" w:color="auto"/>
            </w:tcBorders>
            <w:gridSpan w:val="2"/>
          </w:tcPr>
          <w:p>
            <w:pPr>
              <w:spacing w:after="0" w:line="157" w:lineRule="exact"/>
              <w:rPr>
                <w:sz w:val="20"/>
                <w:szCs w:val="20"/>
                <w:color w:val="auto"/>
              </w:rPr>
            </w:pPr>
            <w:r>
              <w:rPr>
                <w:rFonts w:ascii="Arial" w:cs="Arial" w:eastAsia="Arial" w:hAnsi="Arial"/>
                <w:sz w:val="14"/>
                <w:szCs w:val="14"/>
                <w:color w:val="auto"/>
              </w:rPr>
              <w:t>Derivatives designated as hedging instruments</w:t>
            </w: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61"/>
              <w:spacing w:after="0" w:line="157" w:lineRule="exact"/>
              <w:rPr>
                <w:sz w:val="20"/>
                <w:szCs w:val="20"/>
                <w:color w:val="auto"/>
              </w:rPr>
            </w:pPr>
            <w:r>
              <w:rPr>
                <w:rFonts w:ascii="Arial" w:cs="Arial" w:eastAsia="Arial" w:hAnsi="Arial"/>
                <w:sz w:val="14"/>
                <w:szCs w:val="14"/>
                <w:color w:val="auto"/>
              </w:rPr>
              <w:t>derivatives(1)</w:t>
            </w:r>
          </w:p>
        </w:tc>
        <w:tc>
          <w:tcPr>
            <w:tcW w:w="2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101"/>
              <w:spacing w:after="0" w:line="157" w:lineRule="exact"/>
              <w:rPr>
                <w:sz w:val="20"/>
                <w:szCs w:val="20"/>
                <w:color w:val="auto"/>
              </w:rPr>
            </w:pPr>
            <w:r>
              <w:rPr>
                <w:rFonts w:ascii="Arial" w:cs="Arial" w:eastAsia="Arial" w:hAnsi="Arial"/>
                <w:sz w:val="14"/>
                <w:szCs w:val="14"/>
                <w:color w:val="auto"/>
              </w:rPr>
              <w:t>Sundry</w:t>
            </w: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61"/>
              <w:spacing w:after="0" w:line="157" w:lineRule="exact"/>
              <w:rPr>
                <w:sz w:val="20"/>
                <w:szCs w:val="20"/>
                <w:color w:val="auto"/>
              </w:rPr>
            </w:pPr>
            <w:r>
              <w:rPr>
                <w:rFonts w:ascii="Arial" w:cs="Arial" w:eastAsia="Arial" w:hAnsi="Arial"/>
                <w:sz w:val="14"/>
                <w:szCs w:val="14"/>
                <w:color w:val="auto"/>
              </w:rPr>
              <w:t>derivatives(2)</w:t>
            </w: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22"/>
              <w:spacing w:after="0" w:line="157" w:lineRule="exact"/>
              <w:rPr>
                <w:sz w:val="20"/>
                <w:szCs w:val="20"/>
                <w:color w:val="auto"/>
              </w:rPr>
            </w:pPr>
            <w:r>
              <w:rPr>
                <w:rFonts w:ascii="Arial" w:cs="Arial" w:eastAsia="Arial" w:hAnsi="Arial"/>
                <w:sz w:val="14"/>
                <w:szCs w:val="14"/>
                <w:color w:val="auto"/>
              </w:rPr>
              <w:t>derivatives</w:t>
            </w:r>
          </w:p>
        </w:tc>
        <w:tc>
          <w:tcPr>
            <w:tcW w:w="0" w:type="dxa"/>
            <w:vAlign w:val="bottom"/>
          </w:tcPr>
          <w:p>
            <w:pPr>
              <w:spacing w:after="0"/>
              <w:rPr>
                <w:sz w:val="1"/>
                <w:szCs w:val="1"/>
                <w:color w:val="auto"/>
              </w:rPr>
            </w:pPr>
          </w:p>
        </w:tc>
      </w:tr>
      <w:tr>
        <w:trPr>
          <w:trHeight w:val="184"/>
        </w:trPr>
        <w:tc>
          <w:tcPr>
            <w:tcW w:w="4100" w:type="dxa"/>
            <w:vAlign w:val="bottom"/>
            <w:gridSpan w:val="2"/>
          </w:tcPr>
          <w:p>
            <w:pPr>
              <w:spacing w:after="0"/>
              <w:rPr>
                <w:sz w:val="20"/>
                <w:szCs w:val="20"/>
                <w:color w:val="auto"/>
              </w:rPr>
            </w:pPr>
            <w:r>
              <w:rPr>
                <w:rFonts w:ascii="Arial" w:cs="Arial" w:eastAsia="Arial" w:hAnsi="Arial"/>
                <w:sz w:val="16"/>
                <w:szCs w:val="16"/>
                <w:b w:val="1"/>
                <w:bCs w:val="1"/>
                <w:color w:val="auto"/>
              </w:rPr>
              <w:t>Sempra Energy Consolidated:</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80" w:type="dxa"/>
            <w:vAlign w:val="bottom"/>
          </w:tcPr>
          <w:p>
            <w:pPr>
              <w:ind w:left="220"/>
              <w:spacing w:after="0"/>
              <w:rPr>
                <w:sz w:val="20"/>
                <w:szCs w:val="20"/>
                <w:color w:val="auto"/>
              </w:rPr>
            </w:pPr>
            <w:r>
              <w:rPr>
                <w:rFonts w:ascii="Arial" w:cs="Arial" w:eastAsia="Arial" w:hAnsi="Arial"/>
                <w:sz w:val="16"/>
                <w:szCs w:val="16"/>
                <w:color w:val="auto"/>
              </w:rPr>
              <w:t>Interest rate instruments</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80" w:type="dxa"/>
            <w:vAlign w:val="bottom"/>
          </w:tcPr>
          <w:p>
            <w:pPr>
              <w:ind w:left="220"/>
              <w:spacing w:after="0"/>
              <w:rPr>
                <w:sz w:val="20"/>
                <w:szCs w:val="20"/>
                <w:color w:val="auto"/>
              </w:rPr>
            </w:pPr>
            <w:r>
              <w:rPr>
                <w:rFonts w:ascii="Arial" w:cs="Arial" w:eastAsia="Arial" w:hAnsi="Arial"/>
                <w:sz w:val="16"/>
                <w:szCs w:val="16"/>
                <w:color w:val="auto"/>
              </w:rPr>
              <w:t>Commodity contracts not subject to rate recovery</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80" w:type="dxa"/>
            <w:vAlign w:val="bottom"/>
          </w:tcPr>
          <w:p>
            <w:pPr>
              <w:ind w:left="220"/>
              <w:spacing w:after="0" w:line="183" w:lineRule="exact"/>
              <w:rPr>
                <w:sz w:val="20"/>
                <w:szCs w:val="20"/>
                <w:color w:val="auto"/>
              </w:rPr>
            </w:pPr>
            <w:r>
              <w:rPr>
                <w:rFonts w:ascii="Arial" w:cs="Arial" w:eastAsia="Arial" w:hAnsi="Arial"/>
                <w:sz w:val="16"/>
                <w:szCs w:val="16"/>
                <w:color w:val="auto"/>
              </w:rPr>
              <w:t>Total</w:t>
            </w:r>
          </w:p>
        </w:tc>
        <w:tc>
          <w:tcPr>
            <w:tcW w:w="3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120" w:type="dxa"/>
            <w:vAlign w:val="bottom"/>
          </w:tcPr>
          <w:p>
            <w:pPr>
              <w:jc w:val="right"/>
              <w:ind w:right="41"/>
              <w:spacing w:after="0" w:line="183" w:lineRule="exact"/>
              <w:rPr>
                <w:sz w:val="20"/>
                <w:szCs w:val="20"/>
                <w:color w:val="auto"/>
              </w:rPr>
            </w:pPr>
            <w:r>
              <w:rPr>
                <w:rFonts w:ascii="Arial" w:cs="Arial" w:eastAsia="Arial" w:hAnsi="Arial"/>
                <w:sz w:val="16"/>
                <w:szCs w:val="16"/>
                <w:color w:val="auto"/>
              </w:rPr>
              <w:t>13</w:t>
            </w:r>
          </w:p>
        </w:tc>
        <w:tc>
          <w:tcPr>
            <w:tcW w:w="26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120" w:type="dxa"/>
            <w:vAlign w:val="bottom"/>
          </w:tcPr>
          <w:p>
            <w:pPr>
              <w:jc w:val="right"/>
              <w:ind w:right="61"/>
              <w:spacing w:after="0" w:line="183" w:lineRule="exact"/>
              <w:rPr>
                <w:sz w:val="20"/>
                <w:szCs w:val="20"/>
                <w:color w:val="auto"/>
              </w:rPr>
            </w:pPr>
            <w:r>
              <w:rPr>
                <w:rFonts w:ascii="Arial" w:cs="Arial" w:eastAsia="Arial" w:hAnsi="Arial"/>
                <w:sz w:val="16"/>
                <w:szCs w:val="16"/>
                <w:color w:val="auto"/>
              </w:rPr>
              <w:t>2</w:t>
            </w:r>
          </w:p>
        </w:tc>
        <w:tc>
          <w:tcPr>
            <w:tcW w:w="2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140" w:type="dxa"/>
            <w:vAlign w:val="bottom"/>
          </w:tcPr>
          <w:p>
            <w:pPr>
              <w:jc w:val="right"/>
              <w:ind w:right="61"/>
              <w:spacing w:after="0" w:line="183" w:lineRule="exact"/>
              <w:rPr>
                <w:sz w:val="20"/>
                <w:szCs w:val="20"/>
                <w:color w:val="auto"/>
              </w:rPr>
            </w:pPr>
            <w:r>
              <w:rPr>
                <w:rFonts w:ascii="Arial" w:cs="Arial" w:eastAsia="Arial" w:hAnsi="Arial"/>
                <w:sz w:val="16"/>
                <w:szCs w:val="16"/>
                <w:color w:val="auto"/>
              </w:rPr>
              <w:t>-</w:t>
            </w:r>
          </w:p>
        </w:tc>
        <w:tc>
          <w:tcPr>
            <w:tcW w:w="260" w:type="dxa"/>
            <w:vAlign w:val="bottom"/>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408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112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112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114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10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408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80" w:type="dxa"/>
            <w:vAlign w:val="bottom"/>
          </w:tcPr>
          <w:p>
            <w:pPr>
              <w:ind w:left="220"/>
              <w:spacing w:after="0"/>
              <w:rPr>
                <w:sz w:val="20"/>
                <w:szCs w:val="20"/>
                <w:color w:val="auto"/>
              </w:rPr>
            </w:pPr>
            <w:r>
              <w:rPr>
                <w:rFonts w:ascii="Arial" w:cs="Arial" w:eastAsia="Arial" w:hAnsi="Arial"/>
                <w:sz w:val="16"/>
                <w:szCs w:val="16"/>
                <w:color w:val="auto"/>
              </w:rPr>
              <w:t>Interest rate instruments</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08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112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112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114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10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365"/>
        </w:trPr>
        <w:tc>
          <w:tcPr>
            <w:tcW w:w="41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Derivatives not designated as hedging instruments</w:t>
            </w: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100" w:type="dxa"/>
            <w:vAlign w:val="bottom"/>
            <w:gridSpan w:val="2"/>
          </w:tcPr>
          <w:p>
            <w:pPr>
              <w:spacing w:after="0"/>
              <w:rPr>
                <w:sz w:val="20"/>
                <w:szCs w:val="20"/>
                <w:color w:val="auto"/>
              </w:rPr>
            </w:pPr>
            <w:r>
              <w:rPr>
                <w:rFonts w:ascii="Arial" w:cs="Arial" w:eastAsia="Arial" w:hAnsi="Arial"/>
                <w:sz w:val="16"/>
                <w:szCs w:val="16"/>
                <w:b w:val="1"/>
                <w:bCs w:val="1"/>
                <w:color w:val="auto"/>
              </w:rPr>
              <w:t>Sempra Energy Consolidated:</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080" w:type="dxa"/>
            <w:vAlign w:val="bottom"/>
          </w:tcPr>
          <w:p>
            <w:pPr>
              <w:ind w:left="220"/>
              <w:spacing w:after="0"/>
              <w:rPr>
                <w:sz w:val="20"/>
                <w:szCs w:val="20"/>
                <w:color w:val="auto"/>
              </w:rPr>
            </w:pPr>
            <w:r>
              <w:rPr>
                <w:rFonts w:ascii="Arial" w:cs="Arial" w:eastAsia="Arial" w:hAnsi="Arial"/>
                <w:sz w:val="16"/>
                <w:szCs w:val="16"/>
                <w:color w:val="auto"/>
              </w:rPr>
              <w:t>Interest rate instruments(3)</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15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(25)</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tcPr>
          <w:p>
            <w:pPr>
              <w:ind w:left="220"/>
              <w:spacing w:after="0"/>
              <w:rPr>
                <w:sz w:val="20"/>
                <w:szCs w:val="20"/>
                <w:color w:val="auto"/>
              </w:rPr>
            </w:pPr>
            <w:r>
              <w:rPr>
                <w:rFonts w:ascii="Arial" w:cs="Arial" w:eastAsia="Arial" w:hAnsi="Arial"/>
                <w:sz w:val="16"/>
                <w:szCs w:val="16"/>
                <w:color w:val="auto"/>
              </w:rPr>
              <w:t>Commodity contracts not subject to rate recovery</w:t>
            </w:r>
          </w:p>
        </w:tc>
        <w:tc>
          <w:tcPr>
            <w:tcW w:w="320" w:type="dxa"/>
            <w:vAlign w:val="bottom"/>
          </w:tcPr>
          <w:p>
            <w:pPr>
              <w:spacing w:after="0"/>
              <w:rPr>
                <w:sz w:val="17"/>
                <w:szCs w:val="17"/>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74</w:t>
            </w:r>
          </w:p>
        </w:tc>
        <w:tc>
          <w:tcPr>
            <w:tcW w:w="260" w:type="dxa"/>
            <w:vAlign w:val="bottom"/>
          </w:tcPr>
          <w:p>
            <w:pPr>
              <w:spacing w:after="0"/>
              <w:rPr>
                <w:sz w:val="17"/>
                <w:szCs w:val="17"/>
                <w:color w:val="auto"/>
              </w:rPr>
            </w:pP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30</w:t>
            </w:r>
          </w:p>
        </w:tc>
        <w:tc>
          <w:tcPr>
            <w:tcW w:w="220" w:type="dxa"/>
            <w:vAlign w:val="bottom"/>
          </w:tcPr>
          <w:p>
            <w:pPr>
              <w:spacing w:after="0"/>
              <w:rPr>
                <w:sz w:val="17"/>
                <w:szCs w:val="17"/>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(64)</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tcPr>
          <w:p>
            <w:pPr>
              <w:ind w:left="380"/>
              <w:spacing w:after="0"/>
              <w:rPr>
                <w:sz w:val="20"/>
                <w:szCs w:val="20"/>
                <w:color w:val="auto"/>
              </w:rPr>
            </w:pPr>
            <w:r>
              <w:rPr>
                <w:rFonts w:ascii="Arial" w:cs="Arial" w:eastAsia="Arial" w:hAnsi="Arial"/>
                <w:sz w:val="16"/>
                <w:szCs w:val="16"/>
                <w:color w:val="auto"/>
              </w:rPr>
              <w:t>Associated offsetting commodity contracts</w:t>
            </w:r>
          </w:p>
        </w:tc>
        <w:tc>
          <w:tcPr>
            <w:tcW w:w="320" w:type="dxa"/>
            <w:vAlign w:val="bottom"/>
          </w:tcPr>
          <w:p>
            <w:pPr>
              <w:spacing w:after="0"/>
              <w:rPr>
                <w:sz w:val="17"/>
                <w:szCs w:val="17"/>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(34)</w:t>
            </w:r>
          </w:p>
        </w:tc>
        <w:tc>
          <w:tcPr>
            <w:tcW w:w="260" w:type="dxa"/>
            <w:vAlign w:val="bottom"/>
          </w:tcPr>
          <w:p>
            <w:pPr>
              <w:spacing w:after="0"/>
              <w:rPr>
                <w:sz w:val="17"/>
                <w:szCs w:val="17"/>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17"/>
                <w:szCs w:val="17"/>
                <w:color w:val="auto"/>
              </w:rPr>
            </w:pPr>
          </w:p>
        </w:tc>
        <w:tc>
          <w:tcPr>
            <w:tcW w:w="1140" w:type="dxa"/>
            <w:vAlign w:val="bottom"/>
          </w:tcPr>
          <w:p>
            <w:pPr>
              <w:jc w:val="right"/>
              <w:ind w:right="61"/>
              <w:spacing w:after="0"/>
              <w:rPr>
                <w:sz w:val="20"/>
                <w:szCs w:val="20"/>
                <w:color w:val="auto"/>
              </w:rPr>
            </w:pPr>
            <w:r>
              <w:rPr>
                <w:rFonts w:ascii="Arial" w:cs="Arial" w:eastAsia="Arial" w:hAnsi="Arial"/>
                <w:sz w:val="16"/>
                <w:szCs w:val="16"/>
                <w:color w:val="auto"/>
              </w:rPr>
              <w:t>34</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80" w:type="dxa"/>
            <w:vAlign w:val="bottom"/>
          </w:tcPr>
          <w:p>
            <w:pPr>
              <w:ind w:left="220"/>
              <w:spacing w:after="0"/>
              <w:rPr>
                <w:sz w:val="20"/>
                <w:szCs w:val="20"/>
                <w:color w:val="auto"/>
              </w:rPr>
            </w:pPr>
            <w:r>
              <w:rPr>
                <w:rFonts w:ascii="Arial" w:cs="Arial" w:eastAsia="Arial" w:hAnsi="Arial"/>
                <w:sz w:val="16"/>
                <w:szCs w:val="16"/>
                <w:color w:val="auto"/>
              </w:rPr>
              <w:t>Commodity contracts subject to rate recovery</w:t>
            </w:r>
          </w:p>
        </w:tc>
        <w:tc>
          <w:tcPr>
            <w:tcW w:w="320" w:type="dxa"/>
            <w:vAlign w:val="bottom"/>
          </w:tcPr>
          <w:p>
            <w:pPr>
              <w:spacing w:after="0"/>
              <w:rPr>
                <w:sz w:val="17"/>
                <w:szCs w:val="17"/>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20</w:t>
            </w:r>
          </w:p>
        </w:tc>
        <w:tc>
          <w:tcPr>
            <w:tcW w:w="260" w:type="dxa"/>
            <w:vAlign w:val="bottom"/>
          </w:tcPr>
          <w:p>
            <w:pPr>
              <w:spacing w:after="0"/>
              <w:rPr>
                <w:sz w:val="17"/>
                <w:szCs w:val="17"/>
                <w:color w:val="auto"/>
              </w:rPr>
            </w:pP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17"/>
                <w:szCs w:val="17"/>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(20)</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80" w:type="dxa"/>
            <w:vAlign w:val="bottom"/>
          </w:tcPr>
          <w:p>
            <w:pPr>
              <w:ind w:left="380"/>
              <w:spacing w:after="0"/>
              <w:rPr>
                <w:sz w:val="20"/>
                <w:szCs w:val="20"/>
                <w:color w:val="auto"/>
              </w:rPr>
            </w:pPr>
            <w:r>
              <w:rPr>
                <w:rFonts w:ascii="Arial" w:cs="Arial" w:eastAsia="Arial" w:hAnsi="Arial"/>
                <w:sz w:val="16"/>
                <w:szCs w:val="16"/>
                <w:color w:val="auto"/>
              </w:rPr>
              <w:t>Associated offsetting commodity contracts</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w:t>
            </w: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(9)</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14</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80" w:type="dxa"/>
            <w:vAlign w:val="bottom"/>
          </w:tcPr>
          <w:p>
            <w:pPr>
              <w:ind w:left="220"/>
              <w:spacing w:after="0" w:line="183" w:lineRule="exact"/>
              <w:rPr>
                <w:sz w:val="20"/>
                <w:szCs w:val="20"/>
                <w:color w:val="auto"/>
              </w:rPr>
            </w:pPr>
            <w:r>
              <w:rPr>
                <w:rFonts w:ascii="Arial" w:cs="Arial" w:eastAsia="Arial" w:hAnsi="Arial"/>
                <w:sz w:val="16"/>
                <w:szCs w:val="16"/>
                <w:color w:val="auto"/>
              </w:rPr>
              <w:t>Total</w:t>
            </w:r>
          </w:p>
        </w:tc>
        <w:tc>
          <w:tcPr>
            <w:tcW w:w="3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120" w:type="dxa"/>
            <w:vAlign w:val="bottom"/>
          </w:tcPr>
          <w:p>
            <w:pPr>
              <w:jc w:val="right"/>
              <w:ind w:right="41"/>
              <w:spacing w:after="0" w:line="183" w:lineRule="exact"/>
              <w:rPr>
                <w:sz w:val="20"/>
                <w:szCs w:val="20"/>
                <w:color w:val="auto"/>
              </w:rPr>
            </w:pPr>
            <w:r>
              <w:rPr>
                <w:rFonts w:ascii="Arial" w:cs="Arial" w:eastAsia="Arial" w:hAnsi="Arial"/>
                <w:sz w:val="16"/>
                <w:szCs w:val="16"/>
                <w:color w:val="auto"/>
              </w:rPr>
              <w:t>55</w:t>
            </w:r>
          </w:p>
        </w:tc>
        <w:tc>
          <w:tcPr>
            <w:tcW w:w="26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120" w:type="dxa"/>
            <w:vAlign w:val="bottom"/>
          </w:tcPr>
          <w:p>
            <w:pPr>
              <w:jc w:val="right"/>
              <w:ind w:right="61"/>
              <w:spacing w:after="0" w:line="183" w:lineRule="exact"/>
              <w:rPr>
                <w:sz w:val="20"/>
                <w:szCs w:val="20"/>
                <w:color w:val="auto"/>
              </w:rPr>
            </w:pPr>
            <w:r>
              <w:rPr>
                <w:rFonts w:ascii="Arial" w:cs="Arial" w:eastAsia="Arial" w:hAnsi="Arial"/>
                <w:sz w:val="16"/>
                <w:szCs w:val="16"/>
                <w:color w:val="auto"/>
              </w:rPr>
              <w:t>37</w:t>
            </w:r>
          </w:p>
        </w:tc>
        <w:tc>
          <w:tcPr>
            <w:tcW w:w="2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140" w:type="dxa"/>
            <w:vAlign w:val="bottom"/>
          </w:tcPr>
          <w:p>
            <w:pPr>
              <w:jc w:val="right"/>
              <w:ind w:right="1"/>
              <w:spacing w:after="0" w:line="183" w:lineRule="exact"/>
              <w:rPr>
                <w:sz w:val="20"/>
                <w:szCs w:val="20"/>
                <w:color w:val="auto"/>
              </w:rPr>
            </w:pPr>
            <w:r>
              <w:rPr>
                <w:rFonts w:ascii="Arial" w:cs="Arial" w:eastAsia="Arial" w:hAnsi="Arial"/>
                <w:sz w:val="16"/>
                <w:szCs w:val="16"/>
                <w:color w:val="auto"/>
              </w:rPr>
              <w:t>(61)</w:t>
            </w:r>
          </w:p>
        </w:tc>
        <w:tc>
          <w:tcPr>
            <w:tcW w:w="260" w:type="dxa"/>
            <w:vAlign w:val="bottom"/>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408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112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112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114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10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408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080" w:type="dxa"/>
            <w:vAlign w:val="bottom"/>
          </w:tcPr>
          <w:p>
            <w:pPr>
              <w:ind w:left="220"/>
              <w:spacing w:after="0"/>
              <w:rPr>
                <w:sz w:val="20"/>
                <w:szCs w:val="20"/>
                <w:color w:val="auto"/>
              </w:rPr>
            </w:pPr>
            <w:r>
              <w:rPr>
                <w:rFonts w:ascii="Arial" w:cs="Arial" w:eastAsia="Arial" w:hAnsi="Arial"/>
                <w:sz w:val="16"/>
                <w:szCs w:val="16"/>
                <w:color w:val="auto"/>
              </w:rPr>
              <w:t>Interest rate instruments(3)</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(17)</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80" w:type="dxa"/>
            <w:vAlign w:val="bottom"/>
          </w:tcPr>
          <w:p>
            <w:pPr>
              <w:ind w:left="220"/>
              <w:spacing w:after="0"/>
              <w:rPr>
                <w:sz w:val="20"/>
                <w:szCs w:val="20"/>
                <w:color w:val="auto"/>
              </w:rPr>
            </w:pPr>
            <w:r>
              <w:rPr>
                <w:rFonts w:ascii="Arial" w:cs="Arial" w:eastAsia="Arial" w:hAnsi="Arial"/>
                <w:sz w:val="16"/>
                <w:szCs w:val="16"/>
                <w:color w:val="auto"/>
              </w:rPr>
              <w:t>Commodity contracts subject to rate recovery</w:t>
            </w:r>
          </w:p>
        </w:tc>
        <w:tc>
          <w:tcPr>
            <w:tcW w:w="320" w:type="dxa"/>
            <w:vAlign w:val="bottom"/>
          </w:tcPr>
          <w:p>
            <w:pPr>
              <w:spacing w:after="0"/>
              <w:rPr>
                <w:sz w:val="17"/>
                <w:szCs w:val="17"/>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18</w:t>
            </w:r>
          </w:p>
        </w:tc>
        <w:tc>
          <w:tcPr>
            <w:tcW w:w="260" w:type="dxa"/>
            <w:vAlign w:val="bottom"/>
          </w:tcPr>
          <w:p>
            <w:pPr>
              <w:spacing w:after="0"/>
              <w:rPr>
                <w:sz w:val="17"/>
                <w:szCs w:val="17"/>
                <w:color w:val="auto"/>
              </w:rPr>
            </w:pP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17"/>
                <w:szCs w:val="17"/>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(13)</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80" w:type="dxa"/>
            <w:vAlign w:val="bottom"/>
          </w:tcPr>
          <w:p>
            <w:pPr>
              <w:ind w:left="380"/>
              <w:spacing w:after="0"/>
              <w:rPr>
                <w:sz w:val="20"/>
                <w:szCs w:val="20"/>
                <w:color w:val="auto"/>
              </w:rPr>
            </w:pPr>
            <w:r>
              <w:rPr>
                <w:rFonts w:ascii="Arial" w:cs="Arial" w:eastAsia="Arial" w:hAnsi="Arial"/>
                <w:sz w:val="16"/>
                <w:szCs w:val="16"/>
                <w:color w:val="auto"/>
              </w:rPr>
              <w:t>Associated offsetting commodity contracts</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w:t>
            </w: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(9)</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13</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80" w:type="dxa"/>
            <w:vAlign w:val="bottom"/>
          </w:tcPr>
          <w:p>
            <w:pPr>
              <w:ind w:left="220"/>
              <w:spacing w:after="0" w:line="183" w:lineRule="exact"/>
              <w:rPr>
                <w:sz w:val="20"/>
                <w:szCs w:val="20"/>
                <w:color w:val="auto"/>
              </w:rPr>
            </w:pPr>
            <w:r>
              <w:rPr>
                <w:rFonts w:ascii="Arial" w:cs="Arial" w:eastAsia="Arial" w:hAnsi="Arial"/>
                <w:sz w:val="16"/>
                <w:szCs w:val="16"/>
                <w:color w:val="auto"/>
              </w:rPr>
              <w:t>Total</w:t>
            </w:r>
          </w:p>
        </w:tc>
        <w:tc>
          <w:tcPr>
            <w:tcW w:w="3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120" w:type="dxa"/>
            <w:vAlign w:val="bottom"/>
          </w:tcPr>
          <w:p>
            <w:pPr>
              <w:jc w:val="right"/>
              <w:ind w:right="41"/>
              <w:spacing w:after="0" w:line="183" w:lineRule="exact"/>
              <w:rPr>
                <w:sz w:val="20"/>
                <w:szCs w:val="20"/>
                <w:color w:val="auto"/>
              </w:rPr>
            </w:pPr>
            <w:r>
              <w:rPr>
                <w:rFonts w:ascii="Arial" w:cs="Arial" w:eastAsia="Arial" w:hAnsi="Arial"/>
                <w:sz w:val="16"/>
                <w:szCs w:val="16"/>
                <w:color w:val="auto"/>
              </w:rPr>
              <w:t>5</w:t>
            </w:r>
          </w:p>
        </w:tc>
        <w:tc>
          <w:tcPr>
            <w:tcW w:w="26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120" w:type="dxa"/>
            <w:vAlign w:val="bottom"/>
          </w:tcPr>
          <w:p>
            <w:pPr>
              <w:jc w:val="right"/>
              <w:ind w:right="21"/>
              <w:spacing w:after="0" w:line="183" w:lineRule="exact"/>
              <w:rPr>
                <w:sz w:val="20"/>
                <w:szCs w:val="20"/>
                <w:color w:val="auto"/>
              </w:rPr>
            </w:pPr>
            <w:r>
              <w:rPr>
                <w:rFonts w:ascii="Arial" w:cs="Arial" w:eastAsia="Arial" w:hAnsi="Arial"/>
                <w:sz w:val="16"/>
                <w:szCs w:val="16"/>
                <w:color w:val="auto"/>
              </w:rPr>
              <w:t>(2)</w:t>
            </w:r>
          </w:p>
        </w:tc>
        <w:tc>
          <w:tcPr>
            <w:tcW w:w="2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140" w:type="dxa"/>
            <w:vAlign w:val="bottom"/>
          </w:tcPr>
          <w:p>
            <w:pPr>
              <w:jc w:val="right"/>
              <w:ind w:right="1"/>
              <w:spacing w:after="0" w:line="183" w:lineRule="exact"/>
              <w:rPr>
                <w:sz w:val="20"/>
                <w:szCs w:val="20"/>
                <w:color w:val="auto"/>
              </w:rPr>
            </w:pPr>
            <w:r>
              <w:rPr>
                <w:rFonts w:ascii="Arial" w:cs="Arial" w:eastAsia="Arial" w:hAnsi="Arial"/>
                <w:sz w:val="16"/>
                <w:szCs w:val="16"/>
                <w:color w:val="auto"/>
              </w:rPr>
              <w:t>(17)</w:t>
            </w:r>
          </w:p>
        </w:tc>
        <w:tc>
          <w:tcPr>
            <w:tcW w:w="260" w:type="dxa"/>
            <w:vAlign w:val="bottom"/>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408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112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112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114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10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408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80" w:type="dxa"/>
            <w:vAlign w:val="bottom"/>
          </w:tcPr>
          <w:p>
            <w:pPr>
              <w:ind w:left="220"/>
              <w:spacing w:after="0"/>
              <w:rPr>
                <w:sz w:val="20"/>
                <w:szCs w:val="20"/>
                <w:color w:val="auto"/>
              </w:rPr>
            </w:pPr>
            <w:r>
              <w:rPr>
                <w:rFonts w:ascii="Arial" w:cs="Arial" w:eastAsia="Arial" w:hAnsi="Arial"/>
                <w:sz w:val="16"/>
                <w:szCs w:val="16"/>
                <w:color w:val="auto"/>
              </w:rPr>
              <w:t>Commodity contracts subject to rate recovery</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80" w:type="dxa"/>
            <w:vAlign w:val="bottom"/>
          </w:tcPr>
          <w:p>
            <w:pPr>
              <w:ind w:left="380"/>
              <w:spacing w:after="0"/>
              <w:rPr>
                <w:sz w:val="20"/>
                <w:szCs w:val="20"/>
                <w:color w:val="auto"/>
              </w:rPr>
            </w:pPr>
            <w:r>
              <w:rPr>
                <w:rFonts w:ascii="Arial" w:cs="Arial" w:eastAsia="Arial" w:hAnsi="Arial"/>
                <w:sz w:val="16"/>
                <w:szCs w:val="16"/>
                <w:color w:val="auto"/>
              </w:rPr>
              <w:t>Associated offsetting commodity contracts</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80" w:type="dxa"/>
            <w:vAlign w:val="bottom"/>
          </w:tcPr>
          <w:p>
            <w:pPr>
              <w:ind w:left="220"/>
              <w:spacing w:after="0" w:line="183" w:lineRule="exact"/>
              <w:rPr>
                <w:sz w:val="20"/>
                <w:szCs w:val="20"/>
                <w:color w:val="auto"/>
              </w:rPr>
            </w:pPr>
            <w:r>
              <w:rPr>
                <w:rFonts w:ascii="Arial" w:cs="Arial" w:eastAsia="Arial" w:hAnsi="Arial"/>
                <w:sz w:val="16"/>
                <w:szCs w:val="16"/>
                <w:color w:val="auto"/>
              </w:rPr>
              <w:t>Total</w:t>
            </w:r>
          </w:p>
        </w:tc>
        <w:tc>
          <w:tcPr>
            <w:tcW w:w="3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120" w:type="dxa"/>
            <w:vAlign w:val="bottom"/>
          </w:tcPr>
          <w:p>
            <w:pPr>
              <w:jc w:val="right"/>
              <w:ind w:right="41"/>
              <w:spacing w:after="0" w:line="183" w:lineRule="exact"/>
              <w:rPr>
                <w:sz w:val="20"/>
                <w:szCs w:val="20"/>
                <w:color w:val="auto"/>
              </w:rPr>
            </w:pPr>
            <w:r>
              <w:rPr>
                <w:rFonts w:ascii="Arial" w:cs="Arial" w:eastAsia="Arial" w:hAnsi="Arial"/>
                <w:sz w:val="16"/>
                <w:szCs w:val="16"/>
                <w:color w:val="auto"/>
              </w:rPr>
              <w:t>1</w:t>
            </w:r>
          </w:p>
        </w:tc>
        <w:tc>
          <w:tcPr>
            <w:tcW w:w="26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120" w:type="dxa"/>
            <w:vAlign w:val="bottom"/>
          </w:tcPr>
          <w:p>
            <w:pPr>
              <w:jc w:val="right"/>
              <w:ind w:right="61"/>
              <w:spacing w:after="0" w:line="183" w:lineRule="exact"/>
              <w:rPr>
                <w:sz w:val="20"/>
                <w:szCs w:val="20"/>
                <w:color w:val="auto"/>
              </w:rPr>
            </w:pPr>
            <w:r>
              <w:rPr>
                <w:rFonts w:ascii="Arial" w:cs="Arial" w:eastAsia="Arial" w:hAnsi="Arial"/>
                <w:sz w:val="16"/>
                <w:szCs w:val="16"/>
                <w:color w:val="auto"/>
              </w:rPr>
              <w:t>-</w:t>
            </w:r>
          </w:p>
        </w:tc>
        <w:tc>
          <w:tcPr>
            <w:tcW w:w="2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140" w:type="dxa"/>
            <w:vAlign w:val="bottom"/>
          </w:tcPr>
          <w:p>
            <w:pPr>
              <w:jc w:val="right"/>
              <w:ind w:right="61"/>
              <w:spacing w:after="0" w:line="183" w:lineRule="exact"/>
              <w:rPr>
                <w:sz w:val="20"/>
                <w:szCs w:val="20"/>
                <w:color w:val="auto"/>
              </w:rPr>
            </w:pPr>
            <w:r>
              <w:rPr>
                <w:rFonts w:ascii="Arial" w:cs="Arial" w:eastAsia="Arial" w:hAnsi="Arial"/>
                <w:sz w:val="16"/>
                <w:szCs w:val="16"/>
                <w:color w:val="auto"/>
              </w:rPr>
              <w:t>-</w:t>
            </w:r>
          </w:p>
        </w:tc>
        <w:tc>
          <w:tcPr>
            <w:tcW w:w="260" w:type="dxa"/>
            <w:vAlign w:val="bottom"/>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08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112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112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114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10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Current assets: Other for SoCalGas.</w:t>
      </w:r>
    </w:p>
    <w:p>
      <w:pPr>
        <w:spacing w:after="0" w:line="5" w:lineRule="exact"/>
        <w:rPr>
          <w:rFonts w:ascii="Arial" w:cs="Arial" w:eastAsia="Arial" w:hAnsi="Arial"/>
          <w:sz w:val="14"/>
          <w:szCs w:val="14"/>
          <w:i w:val="1"/>
          <w:iCs w:val="1"/>
          <w:color w:val="auto"/>
        </w:rPr>
      </w:pPr>
    </w:p>
    <w:p>
      <w:pPr>
        <w:ind w:left="260" w:hanging="252"/>
        <w:spacing w:after="0"/>
        <w:tabs>
          <w:tab w:leader="none" w:pos="260"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Current liabilities: Other for SoCalGas.</w:t>
      </w:r>
    </w:p>
    <w:p>
      <w:pPr>
        <w:spacing w:after="0" w:line="1" w:lineRule="exact"/>
        <w:rPr>
          <w:rFonts w:ascii="Arial" w:cs="Arial" w:eastAsia="Arial" w:hAnsi="Arial"/>
          <w:sz w:val="14"/>
          <w:szCs w:val="14"/>
          <w:i w:val="1"/>
          <w:iCs w:val="1"/>
          <w:color w:val="auto"/>
        </w:rPr>
      </w:pPr>
    </w:p>
    <w:p>
      <w:pPr>
        <w:ind w:left="260" w:hanging="252"/>
        <w:spacing w:after="0"/>
        <w:tabs>
          <w:tab w:leader="none" w:pos="260"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Includes Otay Mesa VIE. All of SDG&amp;E's amounts relate to Otay Mesa VIE.</w:t>
      </w:r>
    </w:p>
    <w:p>
      <w:pPr>
        <w:sectPr>
          <w:pgSz w:w="11900" w:h="16838" w:orient="portrait"/>
          <w:cols w:equalWidth="0" w:num="1">
            <w:col w:w="10219"/>
          </w:cols>
          <w:pgMar w:left="240" w:top="667" w:right="1440" w:bottom="1440" w:gutter="0" w:footer="0" w:header="0"/>
        </w:sectPr>
      </w:pPr>
    </w:p>
    <w:bookmarkStart w:id="45" w:name="page46"/>
    <w:bookmarkEnd w:id="45"/>
    <w:p>
      <w:pPr>
        <w:spacing w:after="0"/>
        <w:rPr>
          <w:sz w:val="20"/>
          <w:szCs w:val="20"/>
          <w:color w:val="auto"/>
        </w:rPr>
      </w:pPr>
      <w:r>
        <w:rPr>
          <w:rFonts w:ascii="Arial" w:cs="Arial" w:eastAsia="Arial" w:hAnsi="Arial"/>
          <w:sz w:val="19"/>
          <w:szCs w:val="19"/>
          <w:color w:val="auto"/>
        </w:rPr>
        <w:t>The effects of derivative instruments designated as hedges on the Condensed Consolidated Statements of</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Operations for the three months ended March 31, 2010 and 2009 were:</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HEDGE IMPACT ON THE CONDENSED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5986145" cy="2317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86145" cy="23177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8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1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580" w:type="dxa"/>
            <w:vAlign w:val="bottom"/>
            <w:gridSpan w:val="4"/>
            <w:vMerge w:val="restart"/>
          </w:tcPr>
          <w:p>
            <w:pPr>
              <w:jc w:val="right"/>
              <w:ind w:right="279"/>
              <w:spacing w:after="0"/>
              <w:rPr>
                <w:sz w:val="20"/>
                <w:szCs w:val="20"/>
                <w:color w:val="auto"/>
              </w:rPr>
            </w:pPr>
            <w:r>
              <w:rPr>
                <w:rFonts w:ascii="Arial" w:cs="Arial" w:eastAsia="Arial" w:hAnsi="Arial"/>
                <w:sz w:val="14"/>
                <w:szCs w:val="14"/>
                <w:color w:val="auto"/>
              </w:rPr>
              <w:t>Gain (loss) on derivative recognized in earnings</w:t>
            </w: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Borders>
              <w:bottom w:val="single" w:sz="8" w:color="auto"/>
            </w:tcBorders>
          </w:tcPr>
          <w:p>
            <w:pPr>
              <w:spacing w:after="0"/>
              <w:rPr>
                <w:sz w:val="11"/>
                <w:szCs w:val="11"/>
                <w:color w:val="auto"/>
              </w:rPr>
            </w:pPr>
          </w:p>
        </w:tc>
        <w:tc>
          <w:tcPr>
            <w:tcW w:w="3580" w:type="dxa"/>
            <w:vAlign w:val="bottom"/>
            <w:tcBorders>
              <w:bottom w:val="single" w:sz="8" w:color="auto"/>
            </w:tcBorders>
            <w:gridSpan w:val="4"/>
            <w:vMerge w:val="continue"/>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3680" w:type="dxa"/>
            <w:vAlign w:val="bottom"/>
            <w:tcBorders>
              <w:bottom w:val="single" w:sz="8" w:color="auto"/>
            </w:tcBorders>
            <w:gridSpan w:val="3"/>
          </w:tcPr>
          <w:p>
            <w:pPr>
              <w:jc w:val="right"/>
              <w:ind w:right="1060"/>
              <w:spacing w:after="0" w:line="155" w:lineRule="exact"/>
              <w:rPr>
                <w:sz w:val="20"/>
                <w:szCs w:val="20"/>
                <w:color w:val="auto"/>
              </w:rPr>
            </w:pPr>
            <w:r>
              <w:rPr>
                <w:rFonts w:ascii="Arial" w:cs="Arial" w:eastAsia="Arial" w:hAnsi="Arial"/>
                <w:sz w:val="14"/>
                <w:szCs w:val="14"/>
                <w:color w:val="auto"/>
              </w:rPr>
              <w:t>Three months ended March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ind w:left="960"/>
              <w:spacing w:after="0" w:line="155" w:lineRule="exact"/>
              <w:rPr>
                <w:sz w:val="20"/>
                <w:szCs w:val="20"/>
                <w:color w:val="auto"/>
              </w:rPr>
            </w:pPr>
            <w:r>
              <w:rPr>
                <w:rFonts w:ascii="Arial" w:cs="Arial" w:eastAsia="Arial" w:hAnsi="Arial"/>
                <w:sz w:val="14"/>
                <w:szCs w:val="14"/>
                <w:color w:val="auto"/>
              </w:rPr>
              <w:t>Location</w:t>
            </w:r>
          </w:p>
        </w:tc>
        <w:tc>
          <w:tcPr>
            <w:tcW w:w="8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right"/>
              <w:ind w:right="961"/>
              <w:spacing w:after="0" w:line="155" w:lineRule="exact"/>
              <w:rPr>
                <w:sz w:val="20"/>
                <w:szCs w:val="20"/>
                <w:color w:val="auto"/>
              </w:rPr>
            </w:pPr>
            <w:r>
              <w:rPr>
                <w:rFonts w:ascii="Arial" w:cs="Arial" w:eastAsia="Arial" w:hAnsi="Arial"/>
                <w:sz w:val="14"/>
                <w:szCs w:val="14"/>
                <w:color w:val="auto"/>
              </w:rPr>
              <w:t>2010</w:t>
            </w:r>
          </w:p>
        </w:tc>
        <w:tc>
          <w:tcPr>
            <w:tcW w:w="5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840"/>
              <w:spacing w:after="0" w:line="155" w:lineRule="exact"/>
              <w:rPr>
                <w:sz w:val="20"/>
                <w:szCs w:val="20"/>
                <w:color w:val="auto"/>
              </w:rPr>
            </w:pPr>
            <w:r>
              <w:rPr>
                <w:rFonts w:ascii="Arial" w:cs="Arial" w:eastAsia="Arial" w:hAnsi="Arial"/>
                <w:sz w:val="14"/>
                <w:szCs w:val="14"/>
                <w:color w:val="auto"/>
              </w:rPr>
              <w:t>2009</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46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1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60" w:type="dxa"/>
            <w:vAlign w:val="bottom"/>
          </w:tcPr>
          <w:p>
            <w:pPr>
              <w:ind w:left="200"/>
              <w:spacing w:after="0"/>
              <w:rPr>
                <w:sz w:val="20"/>
                <w:szCs w:val="20"/>
                <w:color w:val="auto"/>
              </w:rPr>
            </w:pPr>
            <w:r>
              <w:rPr>
                <w:rFonts w:ascii="Arial" w:cs="Arial" w:eastAsia="Arial" w:hAnsi="Arial"/>
                <w:sz w:val="16"/>
                <w:szCs w:val="16"/>
                <w:color w:val="auto"/>
              </w:rPr>
              <w:t>Interest rate instruments(1)</w:t>
            </w:r>
          </w:p>
        </w:tc>
        <w:tc>
          <w:tcPr>
            <w:tcW w:w="1860" w:type="dxa"/>
            <w:vAlign w:val="bottom"/>
            <w:gridSpan w:val="2"/>
          </w:tcPr>
          <w:p>
            <w:pPr>
              <w:ind w:left="180"/>
              <w:spacing w:after="0"/>
              <w:rPr>
                <w:sz w:val="20"/>
                <w:szCs w:val="20"/>
                <w:color w:val="auto"/>
              </w:rPr>
            </w:pPr>
            <w:r>
              <w:rPr>
                <w:rFonts w:ascii="Arial" w:cs="Arial" w:eastAsia="Arial" w:hAnsi="Arial"/>
                <w:sz w:val="16"/>
                <w:szCs w:val="16"/>
                <w:color w:val="auto"/>
              </w:rPr>
              <w:t>Interest Expense</w:t>
            </w:r>
          </w:p>
        </w:tc>
        <w:tc>
          <w:tcPr>
            <w:tcW w:w="14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101"/>
              <w:spacing w:after="0"/>
              <w:rPr>
                <w:sz w:val="20"/>
                <w:szCs w:val="20"/>
                <w:color w:val="auto"/>
              </w:rPr>
            </w:pPr>
            <w:r>
              <w:rPr>
                <w:rFonts w:ascii="Arial" w:cs="Arial" w:eastAsia="Arial" w:hAnsi="Arial"/>
                <w:sz w:val="16"/>
                <w:szCs w:val="16"/>
                <w:color w:val="auto"/>
              </w:rPr>
              <w:t>2</w:t>
            </w:r>
          </w:p>
        </w:tc>
        <w:tc>
          <w:tcPr>
            <w:tcW w:w="5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460" w:type="dxa"/>
            <w:vAlign w:val="bottom"/>
          </w:tcPr>
          <w:p>
            <w:pPr>
              <w:ind w:left="200"/>
              <w:spacing w:after="0"/>
              <w:rPr>
                <w:sz w:val="20"/>
                <w:szCs w:val="20"/>
                <w:color w:val="auto"/>
              </w:rPr>
            </w:pPr>
            <w:r>
              <w:rPr>
                <w:rFonts w:ascii="Arial" w:cs="Arial" w:eastAsia="Arial" w:hAnsi="Arial"/>
                <w:sz w:val="16"/>
                <w:szCs w:val="16"/>
                <w:color w:val="auto"/>
              </w:rPr>
              <w:t>Interest rate instruments</w:t>
            </w:r>
          </w:p>
        </w:tc>
        <w:tc>
          <w:tcPr>
            <w:tcW w:w="1860" w:type="dxa"/>
            <w:vAlign w:val="bottom"/>
            <w:gridSpan w:val="2"/>
          </w:tcPr>
          <w:p>
            <w:pPr>
              <w:ind w:left="180"/>
              <w:spacing w:after="0"/>
              <w:rPr>
                <w:sz w:val="20"/>
                <w:szCs w:val="20"/>
                <w:color w:val="auto"/>
              </w:rPr>
            </w:pPr>
            <w:r>
              <w:rPr>
                <w:rFonts w:ascii="Arial" w:cs="Arial" w:eastAsia="Arial" w:hAnsi="Arial"/>
                <w:sz w:val="16"/>
                <w:szCs w:val="16"/>
                <w:color w:val="auto"/>
              </w:rPr>
              <w:t>Other Income, Net</w:t>
            </w:r>
          </w:p>
        </w:tc>
        <w:tc>
          <w:tcPr>
            <w:tcW w:w="8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(2)</w:t>
            </w:r>
          </w:p>
        </w:tc>
        <w:tc>
          <w:tcPr>
            <w:tcW w:w="5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460" w:type="dxa"/>
            <w:vAlign w:val="bottom"/>
          </w:tcPr>
          <w:p>
            <w:pPr>
              <w:ind w:left="200"/>
              <w:spacing w:after="0" w:line="183" w:lineRule="exact"/>
              <w:rPr>
                <w:sz w:val="20"/>
                <w:szCs w:val="20"/>
                <w:color w:val="auto"/>
              </w:rPr>
            </w:pPr>
            <w:r>
              <w:rPr>
                <w:rFonts w:ascii="Arial" w:cs="Arial" w:eastAsia="Arial" w:hAnsi="Arial"/>
                <w:sz w:val="16"/>
                <w:szCs w:val="16"/>
                <w:color w:val="auto"/>
              </w:rPr>
              <w:t>Total</w:t>
            </w:r>
          </w:p>
        </w:tc>
        <w:tc>
          <w:tcPr>
            <w:tcW w:w="1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420" w:type="dxa"/>
            <w:vAlign w:val="bottom"/>
            <w:gridSpan w:val="2"/>
          </w:tcPr>
          <w:p>
            <w:pPr>
              <w:jc w:val="right"/>
              <w:ind w:right="300"/>
              <w:spacing w:after="0" w:line="183" w:lineRule="exact"/>
              <w:rPr>
                <w:sz w:val="20"/>
                <w:szCs w:val="20"/>
                <w:color w:val="auto"/>
              </w:rPr>
            </w:pPr>
            <w:r>
              <w:rPr>
                <w:rFonts w:ascii="Arial" w:cs="Arial" w:eastAsia="Arial" w:hAnsi="Arial"/>
                <w:sz w:val="16"/>
                <w:szCs w:val="16"/>
                <w:color w:val="auto"/>
              </w:rPr>
              <w:t>$</w:t>
            </w:r>
          </w:p>
        </w:tc>
        <w:tc>
          <w:tcPr>
            <w:tcW w:w="1660" w:type="dxa"/>
            <w:vAlign w:val="bottom"/>
          </w:tcPr>
          <w:p>
            <w:pPr>
              <w:jc w:val="right"/>
              <w:ind w:right="101"/>
              <w:spacing w:after="0" w:line="183" w:lineRule="exact"/>
              <w:rPr>
                <w:sz w:val="20"/>
                <w:szCs w:val="20"/>
                <w:color w:val="auto"/>
              </w:rPr>
            </w:pPr>
            <w:r>
              <w:rPr>
                <w:rFonts w:ascii="Arial" w:cs="Arial" w:eastAsia="Arial" w:hAnsi="Arial"/>
                <w:sz w:val="16"/>
                <w:szCs w:val="16"/>
                <w:color w:val="auto"/>
              </w:rPr>
              <w:t>-</w:t>
            </w:r>
          </w:p>
        </w:tc>
        <w:tc>
          <w:tcPr>
            <w:tcW w:w="500" w:type="dxa"/>
            <w:vAlign w:val="bottom"/>
          </w:tcPr>
          <w:p>
            <w:pPr>
              <w:jc w:val="right"/>
              <w:ind w:right="219"/>
              <w:spacing w:after="0" w:line="183" w:lineRule="exact"/>
              <w:rPr>
                <w:sz w:val="20"/>
                <w:szCs w:val="20"/>
                <w:color w:val="auto"/>
              </w:rPr>
            </w:pPr>
            <w:r>
              <w:rPr>
                <w:rFonts w:ascii="Arial" w:cs="Arial" w:eastAsia="Arial" w:hAnsi="Arial"/>
                <w:sz w:val="16"/>
                <w:szCs w:val="16"/>
                <w:color w:val="auto"/>
              </w:rPr>
              <w:t>$</w:t>
            </w:r>
          </w:p>
        </w:tc>
        <w:tc>
          <w:tcPr>
            <w:tcW w:w="1520" w:type="dxa"/>
            <w:vAlign w:val="bottom"/>
          </w:tcPr>
          <w:p>
            <w:pPr>
              <w:jc w:val="right"/>
              <w:spacing w:after="0" w:line="183" w:lineRule="exact"/>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2460" w:type="dxa"/>
            <w:vAlign w:val="bottom"/>
            <w:shd w:val="clear" w:color="auto" w:fill="000000"/>
          </w:tcPr>
          <w:p>
            <w:pPr>
              <w:spacing w:after="0"/>
              <w:rPr>
                <w:sz w:val="7"/>
                <w:szCs w:val="7"/>
                <w:color w:val="auto"/>
              </w:rPr>
            </w:pPr>
          </w:p>
        </w:tc>
        <w:tc>
          <w:tcPr>
            <w:tcW w:w="180" w:type="dxa"/>
            <w:vAlign w:val="bottom"/>
            <w:shd w:val="clear" w:color="auto" w:fill="000000"/>
          </w:tcPr>
          <w:p>
            <w:pPr>
              <w:spacing w:after="0"/>
              <w:rPr>
                <w:sz w:val="7"/>
                <w:szCs w:val="7"/>
                <w:color w:val="auto"/>
              </w:rPr>
            </w:pPr>
          </w:p>
        </w:tc>
        <w:tc>
          <w:tcPr>
            <w:tcW w:w="1680" w:type="dxa"/>
            <w:vAlign w:val="bottom"/>
            <w:shd w:val="clear" w:color="auto" w:fill="000000"/>
          </w:tcPr>
          <w:p>
            <w:pPr>
              <w:spacing w:after="0"/>
              <w:rPr>
                <w:sz w:val="7"/>
                <w:szCs w:val="7"/>
                <w:color w:val="auto"/>
              </w:rPr>
            </w:pPr>
          </w:p>
        </w:tc>
        <w:tc>
          <w:tcPr>
            <w:tcW w:w="800" w:type="dxa"/>
            <w:vAlign w:val="bottom"/>
            <w:shd w:val="clear" w:color="auto" w:fill="000000"/>
          </w:tcPr>
          <w:p>
            <w:pPr>
              <w:spacing w:after="0"/>
              <w:rPr>
                <w:sz w:val="7"/>
                <w:szCs w:val="7"/>
                <w:color w:val="auto"/>
              </w:rPr>
            </w:pPr>
          </w:p>
        </w:tc>
        <w:tc>
          <w:tcPr>
            <w:tcW w:w="620" w:type="dxa"/>
            <w:vAlign w:val="bottom"/>
            <w:shd w:val="clear" w:color="auto" w:fill="000000"/>
          </w:tcPr>
          <w:p>
            <w:pPr>
              <w:spacing w:after="0"/>
              <w:rPr>
                <w:sz w:val="7"/>
                <w:szCs w:val="7"/>
                <w:color w:val="auto"/>
              </w:rPr>
            </w:pPr>
          </w:p>
        </w:tc>
        <w:tc>
          <w:tcPr>
            <w:tcW w:w="1660" w:type="dxa"/>
            <w:vAlign w:val="bottom"/>
            <w:shd w:val="clear" w:color="auto" w:fill="000000"/>
          </w:tcPr>
          <w:p>
            <w:pPr>
              <w:spacing w:after="0"/>
              <w:rPr>
                <w:sz w:val="7"/>
                <w:szCs w:val="7"/>
                <w:color w:val="auto"/>
              </w:rPr>
            </w:pPr>
          </w:p>
        </w:tc>
        <w:tc>
          <w:tcPr>
            <w:tcW w:w="500" w:type="dxa"/>
            <w:vAlign w:val="bottom"/>
            <w:shd w:val="clear" w:color="auto" w:fill="000000"/>
          </w:tcPr>
          <w:p>
            <w:pPr>
              <w:spacing w:after="0"/>
              <w:rPr>
                <w:sz w:val="7"/>
                <w:szCs w:val="7"/>
                <w:color w:val="auto"/>
              </w:rPr>
            </w:pPr>
          </w:p>
        </w:tc>
        <w:tc>
          <w:tcPr>
            <w:tcW w:w="15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246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1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60" w:type="dxa"/>
            <w:vAlign w:val="bottom"/>
          </w:tcPr>
          <w:p>
            <w:pPr>
              <w:ind w:left="200"/>
              <w:spacing w:after="0"/>
              <w:rPr>
                <w:sz w:val="20"/>
                <w:szCs w:val="20"/>
                <w:color w:val="auto"/>
              </w:rPr>
            </w:pPr>
            <w:r>
              <w:rPr>
                <w:rFonts w:ascii="Arial" w:cs="Arial" w:eastAsia="Arial" w:hAnsi="Arial"/>
                <w:sz w:val="16"/>
                <w:szCs w:val="16"/>
                <w:color w:val="auto"/>
              </w:rPr>
              <w:t>Interest rate instrument(1)</w:t>
            </w:r>
          </w:p>
        </w:tc>
        <w:tc>
          <w:tcPr>
            <w:tcW w:w="1860" w:type="dxa"/>
            <w:vAlign w:val="bottom"/>
            <w:gridSpan w:val="2"/>
          </w:tcPr>
          <w:p>
            <w:pPr>
              <w:ind w:left="180"/>
              <w:spacing w:after="0"/>
              <w:rPr>
                <w:sz w:val="20"/>
                <w:szCs w:val="20"/>
                <w:color w:val="auto"/>
              </w:rPr>
            </w:pPr>
            <w:r>
              <w:rPr>
                <w:rFonts w:ascii="Arial" w:cs="Arial" w:eastAsia="Arial" w:hAnsi="Arial"/>
                <w:sz w:val="16"/>
                <w:szCs w:val="16"/>
                <w:color w:val="auto"/>
              </w:rPr>
              <w:t>Interest Expense</w:t>
            </w:r>
          </w:p>
        </w:tc>
        <w:tc>
          <w:tcPr>
            <w:tcW w:w="14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101"/>
              <w:spacing w:after="0"/>
              <w:rPr>
                <w:sz w:val="20"/>
                <w:szCs w:val="20"/>
                <w:color w:val="auto"/>
              </w:rPr>
            </w:pPr>
            <w:r>
              <w:rPr>
                <w:rFonts w:ascii="Arial" w:cs="Arial" w:eastAsia="Arial" w:hAnsi="Arial"/>
                <w:sz w:val="16"/>
                <w:szCs w:val="16"/>
                <w:color w:val="auto"/>
              </w:rPr>
              <w:t>2</w:t>
            </w:r>
          </w:p>
        </w:tc>
        <w:tc>
          <w:tcPr>
            <w:tcW w:w="5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460" w:type="dxa"/>
            <w:vAlign w:val="bottom"/>
          </w:tcPr>
          <w:p>
            <w:pPr>
              <w:ind w:left="200"/>
              <w:spacing w:after="0"/>
              <w:rPr>
                <w:sz w:val="20"/>
                <w:szCs w:val="20"/>
                <w:color w:val="auto"/>
              </w:rPr>
            </w:pPr>
            <w:r>
              <w:rPr>
                <w:rFonts w:ascii="Arial" w:cs="Arial" w:eastAsia="Arial" w:hAnsi="Arial"/>
                <w:sz w:val="16"/>
                <w:szCs w:val="16"/>
                <w:color w:val="auto"/>
              </w:rPr>
              <w:t>Interest rate instrument</w:t>
            </w:r>
          </w:p>
        </w:tc>
        <w:tc>
          <w:tcPr>
            <w:tcW w:w="1860" w:type="dxa"/>
            <w:vAlign w:val="bottom"/>
            <w:gridSpan w:val="2"/>
          </w:tcPr>
          <w:p>
            <w:pPr>
              <w:ind w:left="180"/>
              <w:spacing w:after="0"/>
              <w:rPr>
                <w:sz w:val="20"/>
                <w:szCs w:val="20"/>
                <w:color w:val="auto"/>
              </w:rPr>
            </w:pPr>
            <w:r>
              <w:rPr>
                <w:rFonts w:ascii="Arial" w:cs="Arial" w:eastAsia="Arial" w:hAnsi="Arial"/>
                <w:sz w:val="16"/>
                <w:szCs w:val="16"/>
                <w:color w:val="auto"/>
              </w:rPr>
              <w:t>Other Income, Net</w:t>
            </w:r>
          </w:p>
        </w:tc>
        <w:tc>
          <w:tcPr>
            <w:tcW w:w="8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(2)</w:t>
            </w:r>
          </w:p>
        </w:tc>
        <w:tc>
          <w:tcPr>
            <w:tcW w:w="5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460" w:type="dxa"/>
            <w:vAlign w:val="bottom"/>
          </w:tcPr>
          <w:p>
            <w:pPr>
              <w:ind w:left="200"/>
              <w:spacing w:after="0" w:line="183" w:lineRule="exact"/>
              <w:rPr>
                <w:sz w:val="20"/>
                <w:szCs w:val="20"/>
                <w:color w:val="auto"/>
              </w:rPr>
            </w:pPr>
            <w:r>
              <w:rPr>
                <w:rFonts w:ascii="Arial" w:cs="Arial" w:eastAsia="Arial" w:hAnsi="Arial"/>
                <w:sz w:val="16"/>
                <w:szCs w:val="16"/>
                <w:color w:val="auto"/>
              </w:rPr>
              <w:t>Total</w:t>
            </w:r>
          </w:p>
        </w:tc>
        <w:tc>
          <w:tcPr>
            <w:tcW w:w="1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420" w:type="dxa"/>
            <w:vAlign w:val="bottom"/>
            <w:gridSpan w:val="2"/>
          </w:tcPr>
          <w:p>
            <w:pPr>
              <w:jc w:val="right"/>
              <w:ind w:right="300"/>
              <w:spacing w:after="0" w:line="183" w:lineRule="exact"/>
              <w:rPr>
                <w:sz w:val="20"/>
                <w:szCs w:val="20"/>
                <w:color w:val="auto"/>
              </w:rPr>
            </w:pPr>
            <w:r>
              <w:rPr>
                <w:rFonts w:ascii="Arial" w:cs="Arial" w:eastAsia="Arial" w:hAnsi="Arial"/>
                <w:sz w:val="16"/>
                <w:szCs w:val="16"/>
                <w:color w:val="auto"/>
              </w:rPr>
              <w:t>$</w:t>
            </w:r>
          </w:p>
        </w:tc>
        <w:tc>
          <w:tcPr>
            <w:tcW w:w="1660" w:type="dxa"/>
            <w:vAlign w:val="bottom"/>
          </w:tcPr>
          <w:p>
            <w:pPr>
              <w:jc w:val="right"/>
              <w:ind w:right="101"/>
              <w:spacing w:after="0" w:line="183" w:lineRule="exact"/>
              <w:rPr>
                <w:sz w:val="20"/>
                <w:szCs w:val="20"/>
                <w:color w:val="auto"/>
              </w:rPr>
            </w:pPr>
            <w:r>
              <w:rPr>
                <w:rFonts w:ascii="Arial" w:cs="Arial" w:eastAsia="Arial" w:hAnsi="Arial"/>
                <w:sz w:val="16"/>
                <w:szCs w:val="16"/>
                <w:color w:val="auto"/>
              </w:rPr>
              <w:t>-</w:t>
            </w:r>
          </w:p>
        </w:tc>
        <w:tc>
          <w:tcPr>
            <w:tcW w:w="500" w:type="dxa"/>
            <w:vAlign w:val="bottom"/>
          </w:tcPr>
          <w:p>
            <w:pPr>
              <w:jc w:val="right"/>
              <w:ind w:right="219"/>
              <w:spacing w:after="0" w:line="183" w:lineRule="exact"/>
              <w:rPr>
                <w:sz w:val="20"/>
                <w:szCs w:val="20"/>
                <w:color w:val="auto"/>
              </w:rPr>
            </w:pPr>
            <w:r>
              <w:rPr>
                <w:rFonts w:ascii="Arial" w:cs="Arial" w:eastAsia="Arial" w:hAnsi="Arial"/>
                <w:sz w:val="16"/>
                <w:szCs w:val="16"/>
                <w:color w:val="auto"/>
              </w:rPr>
              <w:t>$</w:t>
            </w:r>
          </w:p>
        </w:tc>
        <w:tc>
          <w:tcPr>
            <w:tcW w:w="1520" w:type="dxa"/>
            <w:vAlign w:val="bottom"/>
          </w:tcPr>
          <w:p>
            <w:pPr>
              <w:jc w:val="right"/>
              <w:spacing w:after="0" w:line="183"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460" w:type="dxa"/>
            <w:vAlign w:val="bottom"/>
            <w:shd w:val="clear" w:color="auto" w:fill="000000"/>
          </w:tcPr>
          <w:p>
            <w:pPr>
              <w:spacing w:after="0"/>
              <w:rPr>
                <w:sz w:val="7"/>
                <w:szCs w:val="7"/>
                <w:color w:val="auto"/>
              </w:rPr>
            </w:pPr>
          </w:p>
        </w:tc>
        <w:tc>
          <w:tcPr>
            <w:tcW w:w="180" w:type="dxa"/>
            <w:vAlign w:val="bottom"/>
            <w:shd w:val="clear" w:color="auto" w:fill="000000"/>
          </w:tcPr>
          <w:p>
            <w:pPr>
              <w:spacing w:after="0"/>
              <w:rPr>
                <w:sz w:val="7"/>
                <w:szCs w:val="7"/>
                <w:color w:val="auto"/>
              </w:rPr>
            </w:pPr>
          </w:p>
        </w:tc>
        <w:tc>
          <w:tcPr>
            <w:tcW w:w="1680" w:type="dxa"/>
            <w:vAlign w:val="bottom"/>
            <w:shd w:val="clear" w:color="auto" w:fill="000000"/>
          </w:tcPr>
          <w:p>
            <w:pPr>
              <w:spacing w:after="0"/>
              <w:rPr>
                <w:sz w:val="7"/>
                <w:szCs w:val="7"/>
                <w:color w:val="auto"/>
              </w:rPr>
            </w:pPr>
          </w:p>
        </w:tc>
        <w:tc>
          <w:tcPr>
            <w:tcW w:w="800" w:type="dxa"/>
            <w:vAlign w:val="bottom"/>
            <w:shd w:val="clear" w:color="auto" w:fill="000000"/>
          </w:tcPr>
          <w:p>
            <w:pPr>
              <w:spacing w:after="0"/>
              <w:rPr>
                <w:sz w:val="7"/>
                <w:szCs w:val="7"/>
                <w:color w:val="auto"/>
              </w:rPr>
            </w:pPr>
          </w:p>
        </w:tc>
        <w:tc>
          <w:tcPr>
            <w:tcW w:w="620" w:type="dxa"/>
            <w:vAlign w:val="bottom"/>
            <w:shd w:val="clear" w:color="auto" w:fill="000000"/>
          </w:tcPr>
          <w:p>
            <w:pPr>
              <w:spacing w:after="0"/>
              <w:rPr>
                <w:sz w:val="7"/>
                <w:szCs w:val="7"/>
                <w:color w:val="auto"/>
              </w:rPr>
            </w:pPr>
          </w:p>
        </w:tc>
        <w:tc>
          <w:tcPr>
            <w:tcW w:w="1660" w:type="dxa"/>
            <w:vAlign w:val="bottom"/>
            <w:shd w:val="clear" w:color="auto" w:fill="000000"/>
          </w:tcPr>
          <w:p>
            <w:pPr>
              <w:spacing w:after="0"/>
              <w:rPr>
                <w:sz w:val="7"/>
                <w:szCs w:val="7"/>
                <w:color w:val="auto"/>
              </w:rPr>
            </w:pPr>
          </w:p>
        </w:tc>
        <w:tc>
          <w:tcPr>
            <w:tcW w:w="500" w:type="dxa"/>
            <w:vAlign w:val="bottom"/>
            <w:shd w:val="clear" w:color="auto" w:fill="000000"/>
          </w:tcPr>
          <w:p>
            <w:pPr>
              <w:spacing w:after="0"/>
              <w:rPr>
                <w:sz w:val="7"/>
                <w:szCs w:val="7"/>
                <w:color w:val="auto"/>
              </w:rPr>
            </w:pPr>
          </w:p>
        </w:tc>
        <w:tc>
          <w:tcPr>
            <w:tcW w:w="15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bl>
    <w:p>
      <w:pPr>
        <w:ind w:left="280" w:right="1899" w:hanging="272"/>
        <w:spacing w:after="0" w:line="265" w:lineRule="auto"/>
        <w:tabs>
          <w:tab w:leader="none" w:pos="256" w:val="left"/>
        </w:tabs>
        <w:numPr>
          <w:ilvl w:val="0"/>
          <w:numId w:val="20"/>
        </w:numPr>
        <w:rPr>
          <w:rFonts w:ascii="Arial" w:cs="Arial" w:eastAsia="Arial" w:hAnsi="Arial"/>
          <w:sz w:val="14"/>
          <w:szCs w:val="14"/>
          <w:i w:val="1"/>
          <w:iCs w:val="1"/>
          <w:color w:val="auto"/>
        </w:rPr>
      </w:pPr>
      <w:r>
        <w:rPr>
          <w:rFonts w:ascii="Arial" w:cs="Arial" w:eastAsia="Arial" w:hAnsi="Arial"/>
          <w:sz w:val="14"/>
          <w:szCs w:val="14"/>
          <w:i w:val="1"/>
          <w:iCs w:val="1"/>
          <w:color w:val="auto"/>
        </w:rPr>
        <w:t>There has been no hedge ineffectiveness on these swaps. Changes in the fair values of the interest rate swap agreements are exactly offset by changes in the fair value of the underlying long-term debt.</w:t>
      </w:r>
    </w:p>
    <w:p>
      <w:pPr>
        <w:sectPr>
          <w:pgSz w:w="11900" w:h="16838" w:orient="portrait"/>
          <w:cols w:equalWidth="0" w:num="1">
            <w:col w:w="10219"/>
          </w:cols>
          <w:pgMar w:left="240" w:top="104" w:right="1440" w:bottom="1440" w:gutter="0" w:footer="0" w:header="0"/>
        </w:sectPr>
      </w:pPr>
    </w:p>
    <w:bookmarkStart w:id="46" w:name="page47"/>
    <w:bookmarkEnd w:id="46"/>
    <w:p>
      <w:pPr>
        <w:spacing w:after="0"/>
        <w:rPr>
          <w:sz w:val="20"/>
          <w:szCs w:val="20"/>
          <w:color w:val="auto"/>
        </w:rPr>
      </w:pPr>
      <w:r>
        <w:rPr>
          <w:rFonts w:ascii="Arial" w:cs="Arial" w:eastAsia="Arial" w:hAnsi="Arial"/>
          <w:sz w:val="16"/>
          <w:szCs w:val="16"/>
          <w:b w:val="1"/>
          <w:bCs w:val="1"/>
          <w:color w:val="auto"/>
        </w:rPr>
        <w:t>CASH FLOW HEDGE IMPACT ON THE CONDENSED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5556885" cy="2317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56885" cy="23177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4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2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2"/>
            <w:vMerge w:val="restart"/>
          </w:tcPr>
          <w:p>
            <w:pPr>
              <w:ind w:left="80"/>
              <w:spacing w:after="0"/>
              <w:rPr>
                <w:sz w:val="20"/>
                <w:szCs w:val="20"/>
                <w:color w:val="auto"/>
              </w:rPr>
            </w:pPr>
            <w:r>
              <w:rPr>
                <w:rFonts w:ascii="Arial" w:cs="Arial" w:eastAsia="Arial" w:hAnsi="Arial"/>
                <w:sz w:val="14"/>
                <w:szCs w:val="14"/>
                <w:color w:val="auto"/>
              </w:rPr>
              <w:t>Three months ended March 31, 2010</w:t>
            </w: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80" w:type="dxa"/>
            <w:vAlign w:val="bottom"/>
            <w:tcBorders>
              <w:bottom w:val="single" w:sz="8" w:color="auto"/>
            </w:tcBorders>
            <w:gridSpan w:val="2"/>
            <w:vMerge w:val="continue"/>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rPr>
              <w:t>Amount of pretax</w:t>
            </w:r>
          </w:p>
        </w:tc>
        <w:tc>
          <w:tcPr>
            <w:tcW w:w="14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rPr>
              <w:t>gain (loss)</w:t>
            </w:r>
          </w:p>
        </w:tc>
        <w:tc>
          <w:tcPr>
            <w:tcW w:w="1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color w:val="auto"/>
              </w:rPr>
              <w:t>on derivative</w:t>
            </w:r>
          </w:p>
        </w:tc>
        <w:tc>
          <w:tcPr>
            <w:tcW w:w="140" w:type="dxa"/>
            <w:vAlign w:val="bottom"/>
          </w:tcPr>
          <w:p>
            <w:pPr>
              <w:spacing w:after="0"/>
              <w:rPr>
                <w:sz w:val="14"/>
                <w:szCs w:val="14"/>
                <w:color w:val="auto"/>
              </w:rPr>
            </w:pPr>
          </w:p>
        </w:tc>
        <w:tc>
          <w:tcPr>
            <w:tcW w:w="3080" w:type="dxa"/>
            <w:vAlign w:val="bottom"/>
            <w:gridSpan w:val="2"/>
          </w:tcPr>
          <w:p>
            <w:pPr>
              <w:jc w:val="center"/>
              <w:ind w:left="742"/>
              <w:spacing w:after="0"/>
              <w:rPr>
                <w:sz w:val="20"/>
                <w:szCs w:val="20"/>
                <w:color w:val="auto"/>
              </w:rPr>
            </w:pPr>
            <w:r>
              <w:rPr>
                <w:rFonts w:ascii="Arial" w:cs="Arial" w:eastAsia="Arial" w:hAnsi="Arial"/>
                <w:sz w:val="14"/>
                <w:szCs w:val="14"/>
                <w:color w:val="auto"/>
              </w:rPr>
              <w:t>Gain (loss) reclassified from AOCI</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00" w:type="dxa"/>
            <w:vAlign w:val="bottom"/>
            <w:gridSpan w:val="2"/>
          </w:tcPr>
          <w:p>
            <w:pPr>
              <w:jc w:val="center"/>
              <w:ind w:right="100"/>
              <w:spacing w:after="0" w:line="157" w:lineRule="exact"/>
              <w:rPr>
                <w:sz w:val="20"/>
                <w:szCs w:val="20"/>
                <w:color w:val="auto"/>
              </w:rPr>
            </w:pPr>
            <w:r>
              <w:rPr>
                <w:rFonts w:ascii="Arial" w:cs="Arial" w:eastAsia="Arial" w:hAnsi="Arial"/>
                <w:sz w:val="14"/>
                <w:szCs w:val="14"/>
                <w:color w:val="auto"/>
              </w:rPr>
              <w:t>recognized in OCI</w:t>
            </w:r>
          </w:p>
        </w:tc>
        <w:tc>
          <w:tcPr>
            <w:tcW w:w="140" w:type="dxa"/>
            <w:vAlign w:val="bottom"/>
          </w:tcPr>
          <w:p>
            <w:pPr>
              <w:spacing w:after="0"/>
              <w:rPr>
                <w:sz w:val="13"/>
                <w:szCs w:val="13"/>
                <w:color w:val="auto"/>
              </w:rPr>
            </w:pPr>
          </w:p>
        </w:tc>
        <w:tc>
          <w:tcPr>
            <w:tcW w:w="3080" w:type="dxa"/>
            <w:vAlign w:val="bottom"/>
            <w:tcBorders>
              <w:bottom w:val="single" w:sz="8" w:color="auto"/>
            </w:tcBorders>
            <w:gridSpan w:val="2"/>
          </w:tcPr>
          <w:p>
            <w:pPr>
              <w:jc w:val="center"/>
              <w:ind w:left="742"/>
              <w:spacing w:after="0" w:line="157" w:lineRule="exact"/>
              <w:rPr>
                <w:sz w:val="20"/>
                <w:szCs w:val="20"/>
                <w:color w:val="auto"/>
              </w:rPr>
            </w:pPr>
            <w:r>
              <w:rPr>
                <w:rFonts w:ascii="Arial" w:cs="Arial" w:eastAsia="Arial" w:hAnsi="Arial"/>
                <w:sz w:val="14"/>
                <w:szCs w:val="14"/>
                <w:color w:val="auto"/>
              </w:rPr>
              <w:t>into earnings (effective portion)</w:t>
            </w:r>
          </w:p>
        </w:tc>
        <w:tc>
          <w:tcPr>
            <w:tcW w:w="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jc w:val="center"/>
              <w:ind w:right="100"/>
              <w:spacing w:after="0" w:line="155" w:lineRule="exact"/>
              <w:rPr>
                <w:sz w:val="20"/>
                <w:szCs w:val="20"/>
                <w:color w:val="auto"/>
              </w:rPr>
            </w:pPr>
            <w:r>
              <w:rPr>
                <w:rFonts w:ascii="Arial" w:cs="Arial" w:eastAsia="Arial" w:hAnsi="Arial"/>
                <w:sz w:val="14"/>
                <w:szCs w:val="14"/>
                <w:color w:val="auto"/>
              </w:rPr>
              <w:t>(effective portion)</w:t>
            </w:r>
          </w:p>
        </w:tc>
        <w:tc>
          <w:tcPr>
            <w:tcW w:w="14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tcPr>
          <w:p>
            <w:pPr>
              <w:ind w:left="1000"/>
              <w:spacing w:after="0" w:line="155" w:lineRule="exact"/>
              <w:rPr>
                <w:sz w:val="20"/>
                <w:szCs w:val="20"/>
                <w:color w:val="auto"/>
              </w:rPr>
            </w:pPr>
            <w:r>
              <w:rPr>
                <w:rFonts w:ascii="Arial" w:cs="Arial" w:eastAsia="Arial" w:hAnsi="Arial"/>
                <w:sz w:val="14"/>
                <w:szCs w:val="14"/>
                <w:color w:val="auto"/>
              </w:rPr>
              <w:t>Location</w:t>
            </w:r>
          </w:p>
        </w:tc>
        <w:tc>
          <w:tcPr>
            <w:tcW w:w="5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20"/>
              <w:spacing w:after="0" w:line="155" w:lineRule="exact"/>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92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2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20" w:type="dxa"/>
            <w:vAlign w:val="bottom"/>
          </w:tcPr>
          <w:p>
            <w:pPr>
              <w:ind w:left="200"/>
              <w:spacing w:after="0"/>
              <w:rPr>
                <w:sz w:val="20"/>
                <w:szCs w:val="20"/>
                <w:color w:val="auto"/>
              </w:rPr>
            </w:pPr>
            <w:r>
              <w:rPr>
                <w:rFonts w:ascii="Arial" w:cs="Arial" w:eastAsia="Arial" w:hAnsi="Arial"/>
                <w:sz w:val="16"/>
                <w:szCs w:val="16"/>
                <w:color w:val="auto"/>
              </w:rPr>
              <w:t>Interest rate instruments</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5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920" w:type="dxa"/>
            <w:vAlign w:val="bottom"/>
          </w:tcPr>
          <w:p>
            <w:pPr>
              <w:ind w:left="200"/>
              <w:spacing w:after="0"/>
              <w:rPr>
                <w:sz w:val="20"/>
                <w:szCs w:val="20"/>
                <w:color w:val="auto"/>
              </w:rPr>
            </w:pPr>
            <w:r>
              <w:rPr>
                <w:rFonts w:ascii="Arial" w:cs="Arial" w:eastAsia="Arial" w:hAnsi="Arial"/>
                <w:sz w:val="16"/>
                <w:szCs w:val="16"/>
                <w:color w:val="auto"/>
              </w:rPr>
              <w:t>Commodity contracts not subject</w:t>
            </w:r>
          </w:p>
        </w:tc>
        <w:tc>
          <w:tcPr>
            <w:tcW w:w="280" w:type="dxa"/>
            <w:vAlign w:val="bottom"/>
          </w:tcPr>
          <w:p>
            <w:pPr>
              <w:spacing w:after="0"/>
              <w:rPr>
                <w:sz w:val="16"/>
                <w:szCs w:val="16"/>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40" w:type="dxa"/>
            <w:vAlign w:val="bottom"/>
          </w:tcPr>
          <w:p>
            <w:pPr>
              <w:ind w:left="20"/>
              <w:spacing w:after="0"/>
              <w:rPr>
                <w:sz w:val="20"/>
                <w:szCs w:val="20"/>
                <w:color w:val="auto"/>
              </w:rPr>
            </w:pPr>
            <w:r>
              <w:rPr>
                <w:rFonts w:ascii="Arial" w:cs="Arial" w:eastAsia="Arial" w:hAnsi="Arial"/>
                <w:sz w:val="16"/>
                <w:szCs w:val="16"/>
                <w:color w:val="auto"/>
              </w:rPr>
              <w:t>Equity Earnings: RBS Sempra</w:t>
            </w:r>
          </w:p>
        </w:tc>
        <w:tc>
          <w:tcPr>
            <w:tcW w:w="54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20" w:type="dxa"/>
            <w:vAlign w:val="bottom"/>
          </w:tcPr>
          <w:p>
            <w:pPr>
              <w:ind w:left="380"/>
              <w:spacing w:after="0" w:line="181" w:lineRule="exact"/>
              <w:rPr>
                <w:sz w:val="20"/>
                <w:szCs w:val="20"/>
                <w:color w:val="auto"/>
              </w:rPr>
            </w:pPr>
            <w:r>
              <w:rPr>
                <w:rFonts w:ascii="Arial" w:cs="Arial" w:eastAsia="Arial" w:hAnsi="Arial"/>
                <w:sz w:val="16"/>
                <w:szCs w:val="16"/>
                <w:color w:val="auto"/>
              </w:rPr>
              <w:t>to rate recovery</w:t>
            </w:r>
          </w:p>
        </w:tc>
        <w:tc>
          <w:tcPr>
            <w:tcW w:w="2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40" w:type="dxa"/>
            <w:vAlign w:val="bottom"/>
          </w:tcPr>
          <w:p>
            <w:pPr>
              <w:ind w:left="200"/>
              <w:spacing w:after="0" w:line="181" w:lineRule="exact"/>
              <w:rPr>
                <w:sz w:val="20"/>
                <w:szCs w:val="20"/>
                <w:color w:val="auto"/>
              </w:rPr>
            </w:pPr>
            <w:r>
              <w:rPr>
                <w:rFonts w:ascii="Arial" w:cs="Arial" w:eastAsia="Arial" w:hAnsi="Arial"/>
                <w:sz w:val="16"/>
                <w:szCs w:val="16"/>
                <w:color w:val="auto"/>
              </w:rPr>
              <w:t>Commodities LLP</w:t>
            </w:r>
          </w:p>
        </w:tc>
        <w:tc>
          <w:tcPr>
            <w:tcW w:w="5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920" w:type="dxa"/>
            <w:vAlign w:val="bottom"/>
          </w:tcPr>
          <w:p>
            <w:pPr>
              <w:ind w:left="200"/>
              <w:spacing w:after="0" w:line="183" w:lineRule="exact"/>
              <w:rPr>
                <w:sz w:val="20"/>
                <w:szCs w:val="20"/>
                <w:color w:val="auto"/>
              </w:rPr>
            </w:pPr>
            <w:r>
              <w:rPr>
                <w:rFonts w:ascii="Arial" w:cs="Arial" w:eastAsia="Arial" w:hAnsi="Arial"/>
                <w:sz w:val="16"/>
                <w:szCs w:val="16"/>
                <w:color w:val="auto"/>
              </w:rPr>
              <w:t>Total</w:t>
            </w:r>
          </w:p>
        </w:tc>
        <w:tc>
          <w:tcPr>
            <w:tcW w:w="28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400" w:type="dxa"/>
            <w:vAlign w:val="bottom"/>
          </w:tcPr>
          <w:p>
            <w:pPr>
              <w:jc w:val="right"/>
              <w:spacing w:after="0" w:line="183" w:lineRule="exact"/>
              <w:rPr>
                <w:sz w:val="20"/>
                <w:szCs w:val="20"/>
                <w:color w:val="auto"/>
              </w:rPr>
            </w:pPr>
            <w:r>
              <w:rPr>
                <w:rFonts w:ascii="Arial" w:cs="Arial" w:eastAsia="Arial" w:hAnsi="Arial"/>
                <w:sz w:val="16"/>
                <w:szCs w:val="16"/>
                <w:color w:val="auto"/>
              </w:rPr>
              <w:t>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540" w:type="dxa"/>
            <w:vAlign w:val="bottom"/>
          </w:tcPr>
          <w:p>
            <w:pPr>
              <w:jc w:val="right"/>
              <w:ind w:right="179"/>
              <w:spacing w:after="0" w:line="183" w:lineRule="exact"/>
              <w:rPr>
                <w:sz w:val="20"/>
                <w:szCs w:val="20"/>
                <w:color w:val="auto"/>
              </w:rPr>
            </w:pPr>
            <w:r>
              <w:rPr>
                <w:rFonts w:ascii="Arial" w:cs="Arial" w:eastAsia="Arial" w:hAnsi="Arial"/>
                <w:sz w:val="16"/>
                <w:szCs w:val="16"/>
                <w:color w:val="auto"/>
              </w:rPr>
              <w:t>$</w:t>
            </w: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2920" w:type="dxa"/>
            <w:vAlign w:val="bottom"/>
            <w:shd w:val="clear" w:color="auto" w:fill="000000"/>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1400" w:type="dxa"/>
            <w:vAlign w:val="bottom"/>
            <w:shd w:val="clear" w:color="auto" w:fill="000000"/>
          </w:tcPr>
          <w:p>
            <w:pPr>
              <w:spacing w:after="0"/>
              <w:rPr>
                <w:sz w:val="7"/>
                <w:szCs w:val="7"/>
                <w:color w:val="auto"/>
              </w:rPr>
            </w:pPr>
          </w:p>
        </w:tc>
        <w:tc>
          <w:tcPr>
            <w:tcW w:w="100" w:type="dxa"/>
            <w:vAlign w:val="bottom"/>
            <w:shd w:val="clear" w:color="auto" w:fill="000000"/>
          </w:tcPr>
          <w:p>
            <w:pPr>
              <w:spacing w:after="0"/>
              <w:rPr>
                <w:sz w:val="7"/>
                <w:szCs w:val="7"/>
                <w:color w:val="auto"/>
              </w:rPr>
            </w:pPr>
          </w:p>
        </w:tc>
        <w:tc>
          <w:tcPr>
            <w:tcW w:w="140" w:type="dxa"/>
            <w:vAlign w:val="bottom"/>
            <w:shd w:val="clear" w:color="auto" w:fill="000000"/>
          </w:tcPr>
          <w:p>
            <w:pPr>
              <w:spacing w:after="0"/>
              <w:rPr>
                <w:sz w:val="7"/>
                <w:szCs w:val="7"/>
                <w:color w:val="auto"/>
              </w:rPr>
            </w:pPr>
          </w:p>
        </w:tc>
        <w:tc>
          <w:tcPr>
            <w:tcW w:w="2540" w:type="dxa"/>
            <w:vAlign w:val="bottom"/>
            <w:shd w:val="clear" w:color="auto" w:fill="000000"/>
          </w:tcPr>
          <w:p>
            <w:pPr>
              <w:spacing w:after="0"/>
              <w:rPr>
                <w:sz w:val="7"/>
                <w:szCs w:val="7"/>
                <w:color w:val="auto"/>
              </w:rPr>
            </w:pPr>
          </w:p>
        </w:tc>
        <w:tc>
          <w:tcPr>
            <w:tcW w:w="540" w:type="dxa"/>
            <w:vAlign w:val="bottom"/>
            <w:shd w:val="clear" w:color="auto" w:fill="000000"/>
          </w:tcPr>
          <w:p>
            <w:pPr>
              <w:spacing w:after="0"/>
              <w:rPr>
                <w:sz w:val="7"/>
                <w:szCs w:val="7"/>
                <w:color w:val="auto"/>
              </w:rPr>
            </w:pPr>
          </w:p>
        </w:tc>
        <w:tc>
          <w:tcPr>
            <w:tcW w:w="8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292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2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920" w:type="dxa"/>
            <w:vAlign w:val="bottom"/>
          </w:tcPr>
          <w:p>
            <w:pPr>
              <w:ind w:left="200"/>
              <w:spacing w:after="0"/>
              <w:rPr>
                <w:sz w:val="20"/>
                <w:szCs w:val="20"/>
                <w:color w:val="auto"/>
              </w:rPr>
            </w:pPr>
            <w:r>
              <w:rPr>
                <w:rFonts w:ascii="Arial" w:cs="Arial" w:eastAsia="Arial" w:hAnsi="Arial"/>
                <w:sz w:val="16"/>
                <w:szCs w:val="16"/>
                <w:color w:val="auto"/>
              </w:rPr>
              <w:t>Interest rate instruments</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5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2920" w:type="dxa"/>
            <w:vAlign w:val="bottom"/>
            <w:shd w:val="clear" w:color="auto" w:fill="DFDFDF"/>
          </w:tcPr>
          <w:p>
            <w:pPr>
              <w:spacing w:after="0"/>
              <w:rPr>
                <w:sz w:val="7"/>
                <w:szCs w:val="7"/>
                <w:color w:val="auto"/>
              </w:rPr>
            </w:pPr>
          </w:p>
        </w:tc>
        <w:tc>
          <w:tcPr>
            <w:tcW w:w="280" w:type="dxa"/>
            <w:vAlign w:val="bottom"/>
            <w:shd w:val="clear" w:color="auto" w:fill="DFDFDF"/>
          </w:tcPr>
          <w:p>
            <w:pPr>
              <w:spacing w:after="0"/>
              <w:rPr>
                <w:sz w:val="7"/>
                <w:szCs w:val="7"/>
                <w:color w:val="auto"/>
              </w:rPr>
            </w:pPr>
          </w:p>
        </w:tc>
        <w:tc>
          <w:tcPr>
            <w:tcW w:w="1400" w:type="dxa"/>
            <w:vAlign w:val="bottom"/>
            <w:shd w:val="clear" w:color="auto" w:fill="DFDFDF"/>
          </w:tcPr>
          <w:p>
            <w:pPr>
              <w:spacing w:after="0"/>
              <w:rPr>
                <w:sz w:val="7"/>
                <w:szCs w:val="7"/>
                <w:color w:val="auto"/>
              </w:rPr>
            </w:pPr>
          </w:p>
        </w:tc>
        <w:tc>
          <w:tcPr>
            <w:tcW w:w="100" w:type="dxa"/>
            <w:vAlign w:val="bottom"/>
            <w:shd w:val="clear" w:color="auto" w:fill="DFDFDF"/>
          </w:tcPr>
          <w:p>
            <w:pPr>
              <w:spacing w:after="0"/>
              <w:rPr>
                <w:sz w:val="7"/>
                <w:szCs w:val="7"/>
                <w:color w:val="auto"/>
              </w:rPr>
            </w:pPr>
          </w:p>
        </w:tc>
        <w:tc>
          <w:tcPr>
            <w:tcW w:w="140" w:type="dxa"/>
            <w:vAlign w:val="bottom"/>
            <w:shd w:val="clear" w:color="auto" w:fill="DFDFDF"/>
          </w:tcPr>
          <w:p>
            <w:pPr>
              <w:spacing w:after="0"/>
              <w:rPr>
                <w:sz w:val="7"/>
                <w:szCs w:val="7"/>
                <w:color w:val="auto"/>
              </w:rPr>
            </w:pPr>
          </w:p>
        </w:tc>
        <w:tc>
          <w:tcPr>
            <w:tcW w:w="2540" w:type="dxa"/>
            <w:vAlign w:val="bottom"/>
            <w:shd w:val="clear" w:color="auto" w:fill="DFDFDF"/>
          </w:tcPr>
          <w:p>
            <w:pPr>
              <w:spacing w:after="0"/>
              <w:rPr>
                <w:sz w:val="7"/>
                <w:szCs w:val="7"/>
                <w:color w:val="auto"/>
              </w:rPr>
            </w:pPr>
          </w:p>
        </w:tc>
        <w:tc>
          <w:tcPr>
            <w:tcW w:w="540" w:type="dxa"/>
            <w:vAlign w:val="bottom"/>
            <w:shd w:val="clear" w:color="auto" w:fill="DFDFDF"/>
          </w:tcPr>
          <w:p>
            <w:pPr>
              <w:spacing w:after="0"/>
              <w:rPr>
                <w:sz w:val="7"/>
                <w:szCs w:val="7"/>
                <w:color w:val="auto"/>
              </w:rPr>
            </w:pPr>
          </w:p>
        </w:tc>
        <w:tc>
          <w:tcPr>
            <w:tcW w:w="820" w:type="dxa"/>
            <w:vAlign w:val="bottom"/>
            <w:shd w:val="clear" w:color="auto" w:fill="DFDFDF"/>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292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2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920" w:type="dxa"/>
            <w:vAlign w:val="bottom"/>
          </w:tcPr>
          <w:p>
            <w:pPr>
              <w:ind w:left="200"/>
              <w:spacing w:after="0"/>
              <w:rPr>
                <w:sz w:val="20"/>
                <w:szCs w:val="20"/>
                <w:color w:val="auto"/>
              </w:rPr>
            </w:pPr>
            <w:r>
              <w:rPr>
                <w:rFonts w:ascii="Arial" w:cs="Arial" w:eastAsia="Arial" w:hAnsi="Arial"/>
                <w:sz w:val="16"/>
                <w:szCs w:val="16"/>
                <w:color w:val="auto"/>
              </w:rPr>
              <w:t>Interest rate instruments</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5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920" w:type="dxa"/>
            <w:vAlign w:val="bottom"/>
            <w:shd w:val="clear" w:color="auto" w:fill="DFDFDF"/>
          </w:tcPr>
          <w:p>
            <w:pPr>
              <w:spacing w:after="0"/>
              <w:rPr>
                <w:sz w:val="7"/>
                <w:szCs w:val="7"/>
                <w:color w:val="auto"/>
              </w:rPr>
            </w:pPr>
          </w:p>
        </w:tc>
        <w:tc>
          <w:tcPr>
            <w:tcW w:w="280" w:type="dxa"/>
            <w:vAlign w:val="bottom"/>
            <w:shd w:val="clear" w:color="auto" w:fill="DFDFDF"/>
          </w:tcPr>
          <w:p>
            <w:pPr>
              <w:spacing w:after="0"/>
              <w:rPr>
                <w:sz w:val="7"/>
                <w:szCs w:val="7"/>
                <w:color w:val="auto"/>
              </w:rPr>
            </w:pPr>
          </w:p>
        </w:tc>
        <w:tc>
          <w:tcPr>
            <w:tcW w:w="1400" w:type="dxa"/>
            <w:vAlign w:val="bottom"/>
            <w:shd w:val="clear" w:color="auto" w:fill="DFDFDF"/>
          </w:tcPr>
          <w:p>
            <w:pPr>
              <w:spacing w:after="0"/>
              <w:rPr>
                <w:sz w:val="7"/>
                <w:szCs w:val="7"/>
                <w:color w:val="auto"/>
              </w:rPr>
            </w:pPr>
          </w:p>
        </w:tc>
        <w:tc>
          <w:tcPr>
            <w:tcW w:w="100" w:type="dxa"/>
            <w:vAlign w:val="bottom"/>
            <w:shd w:val="clear" w:color="auto" w:fill="DFDFDF"/>
          </w:tcPr>
          <w:p>
            <w:pPr>
              <w:spacing w:after="0"/>
              <w:rPr>
                <w:sz w:val="7"/>
                <w:szCs w:val="7"/>
                <w:color w:val="auto"/>
              </w:rPr>
            </w:pPr>
          </w:p>
        </w:tc>
        <w:tc>
          <w:tcPr>
            <w:tcW w:w="2680" w:type="dxa"/>
            <w:vAlign w:val="bottom"/>
            <w:gridSpan w:val="2"/>
            <w:shd w:val="clear" w:color="auto" w:fill="DFDFDF"/>
          </w:tcPr>
          <w:p>
            <w:pPr>
              <w:spacing w:after="0"/>
              <w:rPr>
                <w:sz w:val="7"/>
                <w:szCs w:val="7"/>
                <w:color w:val="auto"/>
              </w:rPr>
            </w:pPr>
          </w:p>
        </w:tc>
        <w:tc>
          <w:tcPr>
            <w:tcW w:w="540" w:type="dxa"/>
            <w:vAlign w:val="bottom"/>
            <w:shd w:val="clear" w:color="auto" w:fill="DFDFDF"/>
          </w:tcPr>
          <w:p>
            <w:pPr>
              <w:spacing w:after="0"/>
              <w:rPr>
                <w:sz w:val="7"/>
                <w:szCs w:val="7"/>
                <w:color w:val="auto"/>
              </w:rPr>
            </w:pPr>
          </w:p>
        </w:tc>
        <w:tc>
          <w:tcPr>
            <w:tcW w:w="820" w:type="dxa"/>
            <w:vAlign w:val="bottom"/>
            <w:shd w:val="clear" w:color="auto" w:fill="DFDFDF"/>
          </w:tcPr>
          <w:p>
            <w:pPr>
              <w:spacing w:after="0"/>
              <w:rPr>
                <w:sz w:val="7"/>
                <w:szCs w:val="7"/>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Three months ended March 31, 2009</w:t>
            </w:r>
          </w:p>
        </w:tc>
        <w:tc>
          <w:tcPr>
            <w:tcW w:w="5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rPr>
              <w:t>Amount of pretax</w:t>
            </w:r>
          </w:p>
        </w:tc>
        <w:tc>
          <w:tcPr>
            <w:tcW w:w="14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rPr>
              <w:t>gain (loss)</w:t>
            </w:r>
          </w:p>
        </w:tc>
        <w:tc>
          <w:tcPr>
            <w:tcW w:w="1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color w:val="auto"/>
              </w:rPr>
              <w:t>on derivative</w:t>
            </w:r>
          </w:p>
        </w:tc>
        <w:tc>
          <w:tcPr>
            <w:tcW w:w="140" w:type="dxa"/>
            <w:vAlign w:val="bottom"/>
          </w:tcPr>
          <w:p>
            <w:pPr>
              <w:spacing w:after="0"/>
              <w:rPr>
                <w:sz w:val="14"/>
                <w:szCs w:val="14"/>
                <w:color w:val="auto"/>
              </w:rPr>
            </w:pPr>
          </w:p>
        </w:tc>
        <w:tc>
          <w:tcPr>
            <w:tcW w:w="3080" w:type="dxa"/>
            <w:vAlign w:val="bottom"/>
            <w:gridSpan w:val="2"/>
          </w:tcPr>
          <w:p>
            <w:pPr>
              <w:jc w:val="center"/>
              <w:ind w:left="742"/>
              <w:spacing w:after="0"/>
              <w:rPr>
                <w:sz w:val="20"/>
                <w:szCs w:val="20"/>
                <w:color w:val="auto"/>
              </w:rPr>
            </w:pPr>
            <w:r>
              <w:rPr>
                <w:rFonts w:ascii="Arial" w:cs="Arial" w:eastAsia="Arial" w:hAnsi="Arial"/>
                <w:sz w:val="14"/>
                <w:szCs w:val="14"/>
                <w:color w:val="auto"/>
              </w:rPr>
              <w:t>Gain (loss) reclassified from AOCI</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00" w:type="dxa"/>
            <w:vAlign w:val="bottom"/>
            <w:gridSpan w:val="2"/>
          </w:tcPr>
          <w:p>
            <w:pPr>
              <w:jc w:val="center"/>
              <w:ind w:right="100"/>
              <w:spacing w:after="0" w:line="157" w:lineRule="exact"/>
              <w:rPr>
                <w:sz w:val="20"/>
                <w:szCs w:val="20"/>
                <w:color w:val="auto"/>
              </w:rPr>
            </w:pPr>
            <w:r>
              <w:rPr>
                <w:rFonts w:ascii="Arial" w:cs="Arial" w:eastAsia="Arial" w:hAnsi="Arial"/>
                <w:sz w:val="14"/>
                <w:szCs w:val="14"/>
                <w:color w:val="auto"/>
              </w:rPr>
              <w:t>recognized in OCI</w:t>
            </w:r>
          </w:p>
        </w:tc>
        <w:tc>
          <w:tcPr>
            <w:tcW w:w="140" w:type="dxa"/>
            <w:vAlign w:val="bottom"/>
          </w:tcPr>
          <w:p>
            <w:pPr>
              <w:spacing w:after="0"/>
              <w:rPr>
                <w:sz w:val="13"/>
                <w:szCs w:val="13"/>
                <w:color w:val="auto"/>
              </w:rPr>
            </w:pPr>
          </w:p>
        </w:tc>
        <w:tc>
          <w:tcPr>
            <w:tcW w:w="3080" w:type="dxa"/>
            <w:vAlign w:val="bottom"/>
            <w:tcBorders>
              <w:bottom w:val="single" w:sz="8" w:color="auto"/>
            </w:tcBorders>
            <w:gridSpan w:val="2"/>
          </w:tcPr>
          <w:p>
            <w:pPr>
              <w:jc w:val="center"/>
              <w:ind w:left="742"/>
              <w:spacing w:after="0" w:line="157" w:lineRule="exact"/>
              <w:rPr>
                <w:sz w:val="20"/>
                <w:szCs w:val="20"/>
                <w:color w:val="auto"/>
              </w:rPr>
            </w:pPr>
            <w:r>
              <w:rPr>
                <w:rFonts w:ascii="Arial" w:cs="Arial" w:eastAsia="Arial" w:hAnsi="Arial"/>
                <w:sz w:val="14"/>
                <w:szCs w:val="14"/>
                <w:color w:val="auto"/>
              </w:rPr>
              <w:t>into earnings (effective portion)</w:t>
            </w:r>
          </w:p>
        </w:tc>
        <w:tc>
          <w:tcPr>
            <w:tcW w:w="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jc w:val="center"/>
              <w:ind w:right="100"/>
              <w:spacing w:after="0" w:line="155" w:lineRule="exact"/>
              <w:rPr>
                <w:sz w:val="20"/>
                <w:szCs w:val="20"/>
                <w:color w:val="auto"/>
              </w:rPr>
            </w:pPr>
            <w:r>
              <w:rPr>
                <w:rFonts w:ascii="Arial" w:cs="Arial" w:eastAsia="Arial" w:hAnsi="Arial"/>
                <w:sz w:val="14"/>
                <w:szCs w:val="14"/>
                <w:color w:val="auto"/>
              </w:rPr>
              <w:t>(effective portion)</w:t>
            </w:r>
          </w:p>
        </w:tc>
        <w:tc>
          <w:tcPr>
            <w:tcW w:w="14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tcPr>
          <w:p>
            <w:pPr>
              <w:ind w:left="1000"/>
              <w:spacing w:after="0" w:line="155" w:lineRule="exact"/>
              <w:rPr>
                <w:sz w:val="20"/>
                <w:szCs w:val="20"/>
                <w:color w:val="auto"/>
              </w:rPr>
            </w:pPr>
            <w:r>
              <w:rPr>
                <w:rFonts w:ascii="Arial" w:cs="Arial" w:eastAsia="Arial" w:hAnsi="Arial"/>
                <w:sz w:val="14"/>
                <w:szCs w:val="14"/>
                <w:color w:val="auto"/>
              </w:rPr>
              <w:t>Location</w:t>
            </w:r>
          </w:p>
        </w:tc>
        <w:tc>
          <w:tcPr>
            <w:tcW w:w="5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20"/>
              <w:spacing w:after="0" w:line="155" w:lineRule="exact"/>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92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2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20" w:type="dxa"/>
            <w:vAlign w:val="bottom"/>
          </w:tcPr>
          <w:p>
            <w:pPr>
              <w:ind w:left="200"/>
              <w:spacing w:after="0"/>
              <w:rPr>
                <w:sz w:val="20"/>
                <w:szCs w:val="20"/>
                <w:color w:val="auto"/>
              </w:rPr>
            </w:pPr>
            <w:r>
              <w:rPr>
                <w:rFonts w:ascii="Arial" w:cs="Arial" w:eastAsia="Arial" w:hAnsi="Arial"/>
                <w:sz w:val="16"/>
                <w:szCs w:val="16"/>
                <w:color w:val="auto"/>
              </w:rPr>
              <w:t>Interest rate instruments</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ind w:right="100"/>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6"/>
                <w:szCs w:val="16"/>
                <w:color w:val="auto"/>
              </w:rPr>
            </w:pPr>
          </w:p>
        </w:tc>
        <w:tc>
          <w:tcPr>
            <w:tcW w:w="25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5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20" w:type="dxa"/>
            <w:vAlign w:val="bottom"/>
          </w:tcPr>
          <w:p>
            <w:pPr>
              <w:ind w:left="200"/>
              <w:spacing w:after="0"/>
              <w:rPr>
                <w:sz w:val="20"/>
                <w:szCs w:val="20"/>
                <w:color w:val="auto"/>
              </w:rPr>
            </w:pPr>
            <w:r>
              <w:rPr>
                <w:rFonts w:ascii="Arial" w:cs="Arial" w:eastAsia="Arial" w:hAnsi="Arial"/>
                <w:sz w:val="16"/>
                <w:szCs w:val="16"/>
                <w:color w:val="auto"/>
              </w:rPr>
              <w:t>Commodity contracts not subject</w:t>
            </w:r>
          </w:p>
        </w:tc>
        <w:tc>
          <w:tcPr>
            <w:tcW w:w="2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40" w:type="dxa"/>
            <w:vAlign w:val="bottom"/>
          </w:tcPr>
          <w:p>
            <w:pPr>
              <w:ind w:left="20"/>
              <w:spacing w:after="0"/>
              <w:rPr>
                <w:sz w:val="20"/>
                <w:szCs w:val="20"/>
                <w:color w:val="auto"/>
              </w:rPr>
            </w:pPr>
            <w:r>
              <w:rPr>
                <w:rFonts w:ascii="Arial" w:cs="Arial" w:eastAsia="Arial" w:hAnsi="Arial"/>
                <w:sz w:val="16"/>
                <w:szCs w:val="16"/>
                <w:color w:val="auto"/>
              </w:rPr>
              <w:t>Revenues: Sempra Global</w:t>
            </w: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20" w:type="dxa"/>
            <w:vAlign w:val="bottom"/>
          </w:tcPr>
          <w:p>
            <w:pPr>
              <w:ind w:left="380"/>
              <w:spacing w:after="0"/>
              <w:rPr>
                <w:sz w:val="20"/>
                <w:szCs w:val="20"/>
                <w:color w:val="auto"/>
              </w:rPr>
            </w:pPr>
            <w:r>
              <w:rPr>
                <w:rFonts w:ascii="Arial" w:cs="Arial" w:eastAsia="Arial" w:hAnsi="Arial"/>
                <w:sz w:val="16"/>
                <w:szCs w:val="16"/>
                <w:color w:val="auto"/>
              </w:rPr>
              <w:t>to rate recovery</w:t>
            </w:r>
          </w:p>
        </w:tc>
        <w:tc>
          <w:tcPr>
            <w:tcW w:w="2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40" w:type="dxa"/>
            <w:vAlign w:val="bottom"/>
          </w:tcPr>
          <w:p>
            <w:pPr>
              <w:ind w:left="200"/>
              <w:spacing w:after="0"/>
              <w:rPr>
                <w:sz w:val="20"/>
                <w:szCs w:val="20"/>
                <w:color w:val="auto"/>
              </w:rPr>
            </w:pPr>
            <w:r>
              <w:rPr>
                <w:rFonts w:ascii="Arial" w:cs="Arial" w:eastAsia="Arial" w:hAnsi="Arial"/>
                <w:sz w:val="16"/>
                <w:szCs w:val="16"/>
                <w:color w:val="auto"/>
              </w:rPr>
              <w:t>and Parent</w:t>
            </w:r>
          </w:p>
        </w:tc>
        <w:tc>
          <w:tcPr>
            <w:tcW w:w="5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20" w:type="dxa"/>
            <w:vAlign w:val="bottom"/>
          </w:tcPr>
          <w:p>
            <w:pPr>
              <w:ind w:left="200"/>
              <w:spacing w:after="0"/>
              <w:rPr>
                <w:sz w:val="20"/>
                <w:szCs w:val="20"/>
                <w:color w:val="auto"/>
              </w:rPr>
            </w:pPr>
            <w:r>
              <w:rPr>
                <w:rFonts w:ascii="Arial" w:cs="Arial" w:eastAsia="Arial" w:hAnsi="Arial"/>
                <w:sz w:val="16"/>
                <w:szCs w:val="16"/>
                <w:color w:val="auto"/>
              </w:rPr>
              <w:t>Commodity contracts not subject</w:t>
            </w:r>
          </w:p>
        </w:tc>
        <w:tc>
          <w:tcPr>
            <w:tcW w:w="2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40" w:type="dxa"/>
            <w:vAlign w:val="bottom"/>
          </w:tcPr>
          <w:p>
            <w:pPr>
              <w:ind w:left="20"/>
              <w:spacing w:after="0"/>
              <w:rPr>
                <w:sz w:val="20"/>
                <w:szCs w:val="20"/>
                <w:color w:val="auto"/>
              </w:rPr>
            </w:pPr>
            <w:r>
              <w:rPr>
                <w:rFonts w:ascii="Arial" w:cs="Arial" w:eastAsia="Arial" w:hAnsi="Arial"/>
                <w:sz w:val="16"/>
                <w:szCs w:val="16"/>
                <w:color w:val="auto"/>
              </w:rPr>
              <w:t>Cost of Natural Gas, Electric</w:t>
            </w: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20" w:type="dxa"/>
            <w:vAlign w:val="bottom"/>
          </w:tcPr>
          <w:p>
            <w:pPr>
              <w:ind w:left="380"/>
              <w:spacing w:after="0"/>
              <w:rPr>
                <w:sz w:val="20"/>
                <w:szCs w:val="20"/>
                <w:color w:val="auto"/>
              </w:rPr>
            </w:pPr>
            <w:r>
              <w:rPr>
                <w:rFonts w:ascii="Arial" w:cs="Arial" w:eastAsia="Arial" w:hAnsi="Arial"/>
                <w:sz w:val="16"/>
                <w:szCs w:val="16"/>
                <w:color w:val="auto"/>
              </w:rPr>
              <w:t>to rate recovery</w:t>
            </w:r>
          </w:p>
        </w:tc>
        <w:tc>
          <w:tcPr>
            <w:tcW w:w="280" w:type="dxa"/>
            <w:vAlign w:val="bottom"/>
          </w:tcPr>
          <w:p>
            <w:pPr>
              <w:spacing w:after="0"/>
              <w:rPr>
                <w:sz w:val="16"/>
                <w:szCs w:val="16"/>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16"/>
                <w:szCs w:val="16"/>
                <w:color w:val="auto"/>
              </w:rPr>
            </w:pPr>
          </w:p>
        </w:tc>
        <w:tc>
          <w:tcPr>
            <w:tcW w:w="2540" w:type="dxa"/>
            <w:vAlign w:val="bottom"/>
          </w:tcPr>
          <w:p>
            <w:pPr>
              <w:ind w:left="200"/>
              <w:spacing w:after="0"/>
              <w:rPr>
                <w:sz w:val="20"/>
                <w:szCs w:val="20"/>
                <w:color w:val="auto"/>
              </w:rPr>
            </w:pPr>
            <w:r>
              <w:rPr>
                <w:rFonts w:ascii="Arial" w:cs="Arial" w:eastAsia="Arial" w:hAnsi="Arial"/>
                <w:sz w:val="16"/>
                <w:szCs w:val="16"/>
                <w:color w:val="auto"/>
              </w:rPr>
              <w:t>Fuel and Purchased Power</w:t>
            </w:r>
          </w:p>
        </w:tc>
        <w:tc>
          <w:tcPr>
            <w:tcW w:w="5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920" w:type="dxa"/>
            <w:vAlign w:val="bottom"/>
          </w:tcPr>
          <w:p>
            <w:pPr>
              <w:ind w:left="200"/>
              <w:spacing w:after="0"/>
              <w:rPr>
                <w:sz w:val="20"/>
                <w:szCs w:val="20"/>
                <w:color w:val="auto"/>
              </w:rPr>
            </w:pPr>
            <w:r>
              <w:rPr>
                <w:rFonts w:ascii="Arial" w:cs="Arial" w:eastAsia="Arial" w:hAnsi="Arial"/>
                <w:sz w:val="16"/>
                <w:szCs w:val="16"/>
                <w:color w:val="auto"/>
              </w:rPr>
              <w:t>Commodity contracts not subject</w:t>
            </w:r>
          </w:p>
        </w:tc>
        <w:tc>
          <w:tcPr>
            <w:tcW w:w="280" w:type="dxa"/>
            <w:vAlign w:val="bottom"/>
          </w:tcPr>
          <w:p>
            <w:pPr>
              <w:spacing w:after="0"/>
              <w:rPr>
                <w:sz w:val="16"/>
                <w:szCs w:val="16"/>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40" w:type="dxa"/>
            <w:vAlign w:val="bottom"/>
          </w:tcPr>
          <w:p>
            <w:pPr>
              <w:ind w:left="20"/>
              <w:spacing w:after="0"/>
              <w:rPr>
                <w:sz w:val="20"/>
                <w:szCs w:val="20"/>
                <w:color w:val="auto"/>
              </w:rPr>
            </w:pPr>
            <w:r>
              <w:rPr>
                <w:rFonts w:ascii="Arial" w:cs="Arial" w:eastAsia="Arial" w:hAnsi="Arial"/>
                <w:sz w:val="16"/>
                <w:szCs w:val="16"/>
                <w:color w:val="auto"/>
              </w:rPr>
              <w:t>Equity Earnings: RBS Sempra</w:t>
            </w:r>
          </w:p>
        </w:tc>
        <w:tc>
          <w:tcPr>
            <w:tcW w:w="54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20" w:type="dxa"/>
            <w:vAlign w:val="bottom"/>
          </w:tcPr>
          <w:p>
            <w:pPr>
              <w:ind w:left="380"/>
              <w:spacing w:after="0" w:line="181" w:lineRule="exact"/>
              <w:rPr>
                <w:sz w:val="20"/>
                <w:szCs w:val="20"/>
                <w:color w:val="auto"/>
              </w:rPr>
            </w:pPr>
            <w:r>
              <w:rPr>
                <w:rFonts w:ascii="Arial" w:cs="Arial" w:eastAsia="Arial" w:hAnsi="Arial"/>
                <w:sz w:val="16"/>
                <w:szCs w:val="16"/>
                <w:color w:val="auto"/>
              </w:rPr>
              <w:t>to rate recovery</w:t>
            </w:r>
          </w:p>
        </w:tc>
        <w:tc>
          <w:tcPr>
            <w:tcW w:w="2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40" w:type="dxa"/>
            <w:vAlign w:val="bottom"/>
          </w:tcPr>
          <w:p>
            <w:pPr>
              <w:ind w:left="200"/>
              <w:spacing w:after="0" w:line="181" w:lineRule="exact"/>
              <w:rPr>
                <w:sz w:val="20"/>
                <w:szCs w:val="20"/>
                <w:color w:val="auto"/>
              </w:rPr>
            </w:pPr>
            <w:r>
              <w:rPr>
                <w:rFonts w:ascii="Arial" w:cs="Arial" w:eastAsia="Arial" w:hAnsi="Arial"/>
                <w:sz w:val="16"/>
                <w:szCs w:val="16"/>
                <w:color w:val="auto"/>
              </w:rPr>
              <w:t>Commodities LLP</w:t>
            </w:r>
          </w:p>
        </w:tc>
        <w:tc>
          <w:tcPr>
            <w:tcW w:w="5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920" w:type="dxa"/>
            <w:vAlign w:val="bottom"/>
          </w:tcPr>
          <w:p>
            <w:pPr>
              <w:ind w:left="200"/>
              <w:spacing w:after="0" w:line="183" w:lineRule="exact"/>
              <w:rPr>
                <w:sz w:val="20"/>
                <w:szCs w:val="20"/>
                <w:color w:val="auto"/>
              </w:rPr>
            </w:pPr>
            <w:r>
              <w:rPr>
                <w:rFonts w:ascii="Arial" w:cs="Arial" w:eastAsia="Arial" w:hAnsi="Arial"/>
                <w:sz w:val="16"/>
                <w:szCs w:val="16"/>
                <w:color w:val="auto"/>
              </w:rPr>
              <w:t>Total</w:t>
            </w:r>
          </w:p>
        </w:tc>
        <w:tc>
          <w:tcPr>
            <w:tcW w:w="28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400" w:type="dxa"/>
            <w:vAlign w:val="bottom"/>
          </w:tcPr>
          <w:p>
            <w:pPr>
              <w:jc w:val="right"/>
              <w:spacing w:after="0" w:line="183" w:lineRule="exact"/>
              <w:rPr>
                <w:sz w:val="20"/>
                <w:szCs w:val="20"/>
                <w:color w:val="auto"/>
              </w:rPr>
            </w:pPr>
            <w:r>
              <w:rPr>
                <w:rFonts w:ascii="Arial" w:cs="Arial" w:eastAsia="Arial" w:hAnsi="Arial"/>
                <w:sz w:val="16"/>
                <w:szCs w:val="16"/>
                <w:color w:val="auto"/>
              </w:rPr>
              <w:t>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540" w:type="dxa"/>
            <w:vAlign w:val="bottom"/>
          </w:tcPr>
          <w:p>
            <w:pPr>
              <w:jc w:val="right"/>
              <w:ind w:right="179"/>
              <w:spacing w:after="0" w:line="183" w:lineRule="exact"/>
              <w:rPr>
                <w:sz w:val="20"/>
                <w:szCs w:val="20"/>
                <w:color w:val="auto"/>
              </w:rPr>
            </w:pPr>
            <w:r>
              <w:rPr>
                <w:rFonts w:ascii="Arial" w:cs="Arial" w:eastAsia="Arial" w:hAnsi="Arial"/>
                <w:sz w:val="16"/>
                <w:szCs w:val="16"/>
                <w:color w:val="auto"/>
              </w:rPr>
              <w:t>$</w:t>
            </w: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2920" w:type="dxa"/>
            <w:vAlign w:val="bottom"/>
            <w:shd w:val="clear" w:color="auto" w:fill="000000"/>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1400" w:type="dxa"/>
            <w:vAlign w:val="bottom"/>
            <w:shd w:val="clear" w:color="auto" w:fill="000000"/>
          </w:tcPr>
          <w:p>
            <w:pPr>
              <w:spacing w:after="0"/>
              <w:rPr>
                <w:sz w:val="7"/>
                <w:szCs w:val="7"/>
                <w:color w:val="auto"/>
              </w:rPr>
            </w:pPr>
          </w:p>
        </w:tc>
        <w:tc>
          <w:tcPr>
            <w:tcW w:w="100" w:type="dxa"/>
            <w:vAlign w:val="bottom"/>
            <w:shd w:val="clear" w:color="auto" w:fill="000000"/>
          </w:tcPr>
          <w:p>
            <w:pPr>
              <w:spacing w:after="0"/>
              <w:rPr>
                <w:sz w:val="7"/>
                <w:szCs w:val="7"/>
                <w:color w:val="auto"/>
              </w:rPr>
            </w:pPr>
          </w:p>
        </w:tc>
        <w:tc>
          <w:tcPr>
            <w:tcW w:w="140" w:type="dxa"/>
            <w:vAlign w:val="bottom"/>
            <w:shd w:val="clear" w:color="auto" w:fill="000000"/>
          </w:tcPr>
          <w:p>
            <w:pPr>
              <w:spacing w:after="0"/>
              <w:rPr>
                <w:sz w:val="7"/>
                <w:szCs w:val="7"/>
                <w:color w:val="auto"/>
              </w:rPr>
            </w:pPr>
          </w:p>
        </w:tc>
        <w:tc>
          <w:tcPr>
            <w:tcW w:w="2540" w:type="dxa"/>
            <w:vAlign w:val="bottom"/>
            <w:shd w:val="clear" w:color="auto" w:fill="000000"/>
          </w:tcPr>
          <w:p>
            <w:pPr>
              <w:spacing w:after="0"/>
              <w:rPr>
                <w:sz w:val="7"/>
                <w:szCs w:val="7"/>
                <w:color w:val="auto"/>
              </w:rPr>
            </w:pPr>
          </w:p>
        </w:tc>
        <w:tc>
          <w:tcPr>
            <w:tcW w:w="540" w:type="dxa"/>
            <w:vAlign w:val="bottom"/>
            <w:shd w:val="clear" w:color="auto" w:fill="000000"/>
          </w:tcPr>
          <w:p>
            <w:pPr>
              <w:spacing w:after="0"/>
              <w:rPr>
                <w:sz w:val="7"/>
                <w:szCs w:val="7"/>
                <w:color w:val="auto"/>
              </w:rPr>
            </w:pPr>
          </w:p>
        </w:tc>
        <w:tc>
          <w:tcPr>
            <w:tcW w:w="8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292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2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920" w:type="dxa"/>
            <w:vAlign w:val="bottom"/>
          </w:tcPr>
          <w:p>
            <w:pPr>
              <w:ind w:left="200"/>
              <w:spacing w:after="0"/>
              <w:rPr>
                <w:sz w:val="20"/>
                <w:szCs w:val="20"/>
                <w:color w:val="auto"/>
              </w:rPr>
            </w:pPr>
            <w:r>
              <w:rPr>
                <w:rFonts w:ascii="Arial" w:cs="Arial" w:eastAsia="Arial" w:hAnsi="Arial"/>
                <w:sz w:val="16"/>
                <w:szCs w:val="16"/>
                <w:color w:val="auto"/>
              </w:rPr>
              <w:t>Interest rate instruments</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5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2920" w:type="dxa"/>
            <w:vAlign w:val="bottom"/>
            <w:shd w:val="clear" w:color="auto" w:fill="DFDFDF"/>
          </w:tcPr>
          <w:p>
            <w:pPr>
              <w:spacing w:after="0"/>
              <w:rPr>
                <w:sz w:val="7"/>
                <w:szCs w:val="7"/>
                <w:color w:val="auto"/>
              </w:rPr>
            </w:pPr>
          </w:p>
        </w:tc>
        <w:tc>
          <w:tcPr>
            <w:tcW w:w="280" w:type="dxa"/>
            <w:vAlign w:val="bottom"/>
            <w:shd w:val="clear" w:color="auto" w:fill="DFDFDF"/>
          </w:tcPr>
          <w:p>
            <w:pPr>
              <w:spacing w:after="0"/>
              <w:rPr>
                <w:sz w:val="7"/>
                <w:szCs w:val="7"/>
                <w:color w:val="auto"/>
              </w:rPr>
            </w:pPr>
          </w:p>
        </w:tc>
        <w:tc>
          <w:tcPr>
            <w:tcW w:w="1400" w:type="dxa"/>
            <w:vAlign w:val="bottom"/>
            <w:shd w:val="clear" w:color="auto" w:fill="DFDFDF"/>
          </w:tcPr>
          <w:p>
            <w:pPr>
              <w:spacing w:after="0"/>
              <w:rPr>
                <w:sz w:val="7"/>
                <w:szCs w:val="7"/>
                <w:color w:val="auto"/>
              </w:rPr>
            </w:pPr>
          </w:p>
        </w:tc>
        <w:tc>
          <w:tcPr>
            <w:tcW w:w="100" w:type="dxa"/>
            <w:vAlign w:val="bottom"/>
            <w:shd w:val="clear" w:color="auto" w:fill="DFDFDF"/>
          </w:tcPr>
          <w:p>
            <w:pPr>
              <w:spacing w:after="0"/>
              <w:rPr>
                <w:sz w:val="7"/>
                <w:szCs w:val="7"/>
                <w:color w:val="auto"/>
              </w:rPr>
            </w:pPr>
          </w:p>
        </w:tc>
        <w:tc>
          <w:tcPr>
            <w:tcW w:w="140" w:type="dxa"/>
            <w:vAlign w:val="bottom"/>
            <w:shd w:val="clear" w:color="auto" w:fill="DFDFDF"/>
          </w:tcPr>
          <w:p>
            <w:pPr>
              <w:spacing w:after="0"/>
              <w:rPr>
                <w:sz w:val="7"/>
                <w:szCs w:val="7"/>
                <w:color w:val="auto"/>
              </w:rPr>
            </w:pPr>
          </w:p>
        </w:tc>
        <w:tc>
          <w:tcPr>
            <w:tcW w:w="2540" w:type="dxa"/>
            <w:vAlign w:val="bottom"/>
            <w:shd w:val="clear" w:color="auto" w:fill="DFDFDF"/>
          </w:tcPr>
          <w:p>
            <w:pPr>
              <w:spacing w:after="0"/>
              <w:rPr>
                <w:sz w:val="7"/>
                <w:szCs w:val="7"/>
                <w:color w:val="auto"/>
              </w:rPr>
            </w:pPr>
          </w:p>
        </w:tc>
        <w:tc>
          <w:tcPr>
            <w:tcW w:w="540" w:type="dxa"/>
            <w:vAlign w:val="bottom"/>
            <w:shd w:val="clear" w:color="auto" w:fill="DFDFDF"/>
          </w:tcPr>
          <w:p>
            <w:pPr>
              <w:spacing w:after="0"/>
              <w:rPr>
                <w:sz w:val="7"/>
                <w:szCs w:val="7"/>
                <w:color w:val="auto"/>
              </w:rPr>
            </w:pPr>
          </w:p>
        </w:tc>
        <w:tc>
          <w:tcPr>
            <w:tcW w:w="820" w:type="dxa"/>
            <w:vAlign w:val="bottom"/>
            <w:shd w:val="clear" w:color="auto" w:fill="DFDFDF"/>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292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2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920" w:type="dxa"/>
            <w:vAlign w:val="bottom"/>
          </w:tcPr>
          <w:p>
            <w:pPr>
              <w:ind w:left="200"/>
              <w:spacing w:after="0"/>
              <w:rPr>
                <w:sz w:val="20"/>
                <w:szCs w:val="20"/>
                <w:color w:val="auto"/>
              </w:rPr>
            </w:pPr>
            <w:r>
              <w:rPr>
                <w:rFonts w:ascii="Arial" w:cs="Arial" w:eastAsia="Arial" w:hAnsi="Arial"/>
                <w:sz w:val="16"/>
                <w:szCs w:val="16"/>
                <w:color w:val="auto"/>
              </w:rPr>
              <w:t>Interest rate instruments</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5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920" w:type="dxa"/>
            <w:vAlign w:val="bottom"/>
            <w:shd w:val="clear" w:color="auto" w:fill="DFDFDF"/>
          </w:tcPr>
          <w:p>
            <w:pPr>
              <w:spacing w:after="0"/>
              <w:rPr>
                <w:sz w:val="7"/>
                <w:szCs w:val="7"/>
                <w:color w:val="auto"/>
              </w:rPr>
            </w:pPr>
          </w:p>
        </w:tc>
        <w:tc>
          <w:tcPr>
            <w:tcW w:w="280" w:type="dxa"/>
            <w:vAlign w:val="bottom"/>
            <w:shd w:val="clear" w:color="auto" w:fill="DFDFDF"/>
          </w:tcPr>
          <w:p>
            <w:pPr>
              <w:spacing w:after="0"/>
              <w:rPr>
                <w:sz w:val="7"/>
                <w:szCs w:val="7"/>
                <w:color w:val="auto"/>
              </w:rPr>
            </w:pPr>
          </w:p>
        </w:tc>
        <w:tc>
          <w:tcPr>
            <w:tcW w:w="1400" w:type="dxa"/>
            <w:vAlign w:val="bottom"/>
            <w:shd w:val="clear" w:color="auto" w:fill="DFDFDF"/>
          </w:tcPr>
          <w:p>
            <w:pPr>
              <w:spacing w:after="0"/>
              <w:rPr>
                <w:sz w:val="7"/>
                <w:szCs w:val="7"/>
                <w:color w:val="auto"/>
              </w:rPr>
            </w:pPr>
          </w:p>
        </w:tc>
        <w:tc>
          <w:tcPr>
            <w:tcW w:w="100" w:type="dxa"/>
            <w:vAlign w:val="bottom"/>
            <w:shd w:val="clear" w:color="auto" w:fill="DFDFDF"/>
          </w:tcPr>
          <w:p>
            <w:pPr>
              <w:spacing w:after="0"/>
              <w:rPr>
                <w:sz w:val="7"/>
                <w:szCs w:val="7"/>
                <w:color w:val="auto"/>
              </w:rPr>
            </w:pPr>
          </w:p>
        </w:tc>
        <w:tc>
          <w:tcPr>
            <w:tcW w:w="140" w:type="dxa"/>
            <w:vAlign w:val="bottom"/>
            <w:shd w:val="clear" w:color="auto" w:fill="DFDFDF"/>
          </w:tcPr>
          <w:p>
            <w:pPr>
              <w:spacing w:after="0"/>
              <w:rPr>
                <w:sz w:val="7"/>
                <w:szCs w:val="7"/>
                <w:color w:val="auto"/>
              </w:rPr>
            </w:pPr>
          </w:p>
        </w:tc>
        <w:tc>
          <w:tcPr>
            <w:tcW w:w="2540" w:type="dxa"/>
            <w:vAlign w:val="bottom"/>
            <w:shd w:val="clear" w:color="auto" w:fill="DFDFDF"/>
          </w:tcPr>
          <w:p>
            <w:pPr>
              <w:spacing w:after="0"/>
              <w:rPr>
                <w:sz w:val="7"/>
                <w:szCs w:val="7"/>
                <w:color w:val="auto"/>
              </w:rPr>
            </w:pPr>
          </w:p>
        </w:tc>
        <w:tc>
          <w:tcPr>
            <w:tcW w:w="540" w:type="dxa"/>
            <w:vAlign w:val="bottom"/>
            <w:shd w:val="clear" w:color="auto" w:fill="DFDFDF"/>
          </w:tcPr>
          <w:p>
            <w:pPr>
              <w:spacing w:after="0"/>
              <w:rPr>
                <w:sz w:val="7"/>
                <w:szCs w:val="7"/>
                <w:color w:val="auto"/>
              </w:rPr>
            </w:pPr>
          </w:p>
        </w:tc>
        <w:tc>
          <w:tcPr>
            <w:tcW w:w="820" w:type="dxa"/>
            <w:vAlign w:val="bottom"/>
            <w:shd w:val="clear" w:color="auto" w:fill="DFDFDF"/>
          </w:tcPr>
          <w:p>
            <w:pPr>
              <w:spacing w:after="0"/>
              <w:rPr>
                <w:sz w:val="7"/>
                <w:szCs w:val="7"/>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679"/>
        <w:spacing w:after="0" w:line="222" w:lineRule="auto"/>
        <w:rPr>
          <w:sz w:val="20"/>
          <w:szCs w:val="20"/>
          <w:color w:val="auto"/>
        </w:rPr>
      </w:pPr>
      <w:r>
        <w:rPr>
          <w:rFonts w:ascii="Arial" w:cs="Arial" w:eastAsia="Arial" w:hAnsi="Arial"/>
          <w:sz w:val="21"/>
          <w:szCs w:val="21"/>
          <w:color w:val="auto"/>
        </w:rPr>
        <w:t>Sempra Energy expects that losses of $1 million, which are net of income tax expense, that are currently recorded in Accumulated Other Comprehensive Income (Loss) related to cash flow hedges will be reclassified into earnings during the next twelve months as the hedged items affect earnings. Actual amounts ultimately reclassified to earnings depend on the commodity prices and interest rates in effect when derivative contracts that are currently outstanding mature. For all forecasted transactions, the maximum term over which we are hedging exposures to the variability of cash flows, excluding interest payments, is 26 months at March 31, 2010. The maximum term over which RBS Sempra Commodities hedges forecasted natural gas purchases and sales is 6 years.</w:t>
      </w:r>
    </w:p>
    <w:p>
      <w:pPr>
        <w:spacing w:after="0" w:line="36" w:lineRule="exact"/>
        <w:rPr>
          <w:sz w:val="20"/>
          <w:szCs w:val="20"/>
          <w:color w:val="auto"/>
        </w:rPr>
      </w:pPr>
    </w:p>
    <w:p>
      <w:pPr>
        <w:jc w:val="both"/>
        <w:ind w:right="799"/>
        <w:spacing w:after="0" w:line="218" w:lineRule="auto"/>
        <w:rPr>
          <w:sz w:val="20"/>
          <w:szCs w:val="20"/>
          <w:color w:val="auto"/>
        </w:rPr>
      </w:pPr>
      <w:r>
        <w:rPr>
          <w:rFonts w:ascii="Arial" w:cs="Arial" w:eastAsia="Arial" w:hAnsi="Arial"/>
          <w:sz w:val="22"/>
          <w:szCs w:val="22"/>
          <w:color w:val="auto"/>
        </w:rPr>
        <w:t>SDG&amp;E and SoCalGas expect that losses of $7 million and $3 million, respectively, which are net of income tax benefit, that are currently recorded in Accumulated Other Comprehensive Income (Loss) related to these cash flow hedges will be reclassified into earnings during the next twelve months as the hedged items affect earnings.</w:t>
      </w:r>
    </w:p>
    <w:p>
      <w:pPr>
        <w:sectPr>
          <w:pgSz w:w="11900" w:h="16838" w:orient="portrait"/>
          <w:cols w:equalWidth="0" w:num="1">
            <w:col w:w="10219"/>
          </w:cols>
          <w:pgMar w:left="240" w:top="378" w:right="1440" w:bottom="1440" w:gutter="0" w:footer="0" w:header="0"/>
        </w:sectPr>
      </w:pPr>
    </w:p>
    <w:bookmarkStart w:id="47" w:name="page48"/>
    <w:bookmarkEnd w:id="47"/>
    <w:p>
      <w:pPr>
        <w:ind w:right="879"/>
        <w:spacing w:after="0" w:line="274" w:lineRule="auto"/>
        <w:rPr>
          <w:sz w:val="20"/>
          <w:szCs w:val="20"/>
          <w:color w:val="auto"/>
        </w:rPr>
      </w:pPr>
      <w:r>
        <w:rPr>
          <w:rFonts w:ascii="Arial" w:cs="Arial" w:eastAsia="Arial" w:hAnsi="Arial"/>
          <w:sz w:val="21"/>
          <w:szCs w:val="21"/>
          <w:color w:val="auto"/>
        </w:rPr>
        <w:t>The effects of derivative instruments not designated as hedging instruments on the Condensed Consolidated Statements of Operations for the three months ended March 31, 2010 and 2009 were:</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UNDESIGNATED DERIVATIVE IMPACT ON THE CONDENSED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6165850" cy="2317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165850" cy="23177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2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240" w:type="dxa"/>
            <w:vAlign w:val="bottom"/>
          </w:tcPr>
          <w:p>
            <w:pPr>
              <w:spacing w:after="0"/>
              <w:rPr>
                <w:sz w:val="16"/>
                <w:szCs w:val="16"/>
                <w:color w:val="auto"/>
              </w:rPr>
            </w:pPr>
          </w:p>
        </w:tc>
        <w:tc>
          <w:tcPr>
            <w:tcW w:w="4980" w:type="dxa"/>
            <w:vAlign w:val="bottom"/>
            <w:gridSpan w:val="3"/>
            <w:vMerge w:val="restart"/>
          </w:tcPr>
          <w:p>
            <w:pPr>
              <w:jc w:val="center"/>
              <w:ind w:left="1582"/>
              <w:spacing w:after="0"/>
              <w:rPr>
                <w:sz w:val="20"/>
                <w:szCs w:val="20"/>
                <w:color w:val="auto"/>
              </w:rPr>
            </w:pPr>
            <w:r>
              <w:rPr>
                <w:rFonts w:ascii="Arial" w:cs="Arial" w:eastAsia="Arial" w:hAnsi="Arial"/>
                <w:sz w:val="14"/>
                <w:szCs w:val="14"/>
                <w:color w:val="auto"/>
              </w:rPr>
              <w:t>Gain (loss) on derivative recognized in earnings</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980" w:type="dxa"/>
            <w:vAlign w:val="bottom"/>
            <w:tcBorders>
              <w:bottom w:val="single" w:sz="8" w:color="auto"/>
            </w:tcBorders>
            <w:gridSpan w:val="3"/>
            <w:vMerge w:val="continue"/>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040" w:type="dxa"/>
            <w:vAlign w:val="bottom"/>
            <w:tcBorders>
              <w:bottom w:val="single" w:sz="8" w:color="auto"/>
            </w:tcBorders>
            <w:gridSpan w:val="3"/>
          </w:tcPr>
          <w:p>
            <w:pPr>
              <w:jc w:val="right"/>
              <w:ind w:right="680"/>
              <w:spacing w:after="0" w:line="155" w:lineRule="exact"/>
              <w:rPr>
                <w:sz w:val="20"/>
                <w:szCs w:val="20"/>
                <w:color w:val="auto"/>
              </w:rPr>
            </w:pPr>
            <w:r>
              <w:rPr>
                <w:rFonts w:ascii="Arial" w:cs="Arial" w:eastAsia="Arial" w:hAnsi="Arial"/>
                <w:sz w:val="14"/>
                <w:szCs w:val="14"/>
                <w:color w:val="auto"/>
              </w:rPr>
              <w:t>Three months ended March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120" w:type="dxa"/>
            <w:vAlign w:val="bottom"/>
            <w:tcBorders>
              <w:bottom w:val="single" w:sz="8" w:color="auto"/>
            </w:tcBorders>
          </w:tcPr>
          <w:p>
            <w:pPr>
              <w:ind w:left="1280"/>
              <w:spacing w:after="0" w:line="155" w:lineRule="exact"/>
              <w:rPr>
                <w:sz w:val="20"/>
                <w:szCs w:val="20"/>
                <w:color w:val="auto"/>
              </w:rPr>
            </w:pPr>
            <w:r>
              <w:rPr>
                <w:rFonts w:ascii="Arial" w:cs="Arial" w:eastAsia="Arial" w:hAnsi="Arial"/>
                <w:sz w:val="14"/>
                <w:szCs w:val="14"/>
                <w:color w:val="auto"/>
              </w:rPr>
              <w:t>Location</w:t>
            </w:r>
          </w:p>
        </w:tc>
        <w:tc>
          <w:tcPr>
            <w:tcW w:w="5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740"/>
              <w:spacing w:after="0" w:line="155" w:lineRule="exact"/>
              <w:rPr>
                <w:sz w:val="20"/>
                <w:szCs w:val="20"/>
                <w:color w:val="auto"/>
              </w:rPr>
            </w:pPr>
            <w:r>
              <w:rPr>
                <w:rFonts w:ascii="Arial" w:cs="Arial" w:eastAsia="Arial" w:hAnsi="Arial"/>
                <w:sz w:val="14"/>
                <w:szCs w:val="14"/>
                <w:color w:val="auto"/>
              </w:rPr>
              <w:t>2010</w:t>
            </w: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40"/>
              <w:spacing w:after="0" w:line="155" w:lineRule="exact"/>
              <w:rPr>
                <w:sz w:val="20"/>
                <w:szCs w:val="20"/>
                <w:color w:val="auto"/>
              </w:rPr>
            </w:pPr>
            <w:r>
              <w:rPr>
                <w:rFonts w:ascii="Arial" w:cs="Arial" w:eastAsia="Arial" w:hAnsi="Arial"/>
                <w:sz w:val="14"/>
                <w:szCs w:val="14"/>
                <w:color w:val="auto"/>
              </w:rPr>
              <w:t>2009</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80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2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00" w:type="dxa"/>
            <w:vAlign w:val="bottom"/>
          </w:tcPr>
          <w:p>
            <w:pPr>
              <w:ind w:left="220"/>
              <w:spacing w:after="0"/>
              <w:rPr>
                <w:sz w:val="20"/>
                <w:szCs w:val="20"/>
                <w:color w:val="auto"/>
              </w:rPr>
            </w:pPr>
            <w:r>
              <w:rPr>
                <w:rFonts w:ascii="Arial" w:cs="Arial" w:eastAsia="Arial" w:hAnsi="Arial"/>
                <w:sz w:val="16"/>
                <w:szCs w:val="16"/>
                <w:color w:val="auto"/>
              </w:rPr>
              <w:t>Interest rate instruments(1)</w:t>
            </w:r>
          </w:p>
        </w:tc>
        <w:tc>
          <w:tcPr>
            <w:tcW w:w="3360" w:type="dxa"/>
            <w:vAlign w:val="bottom"/>
            <w:gridSpan w:val="2"/>
          </w:tcPr>
          <w:p>
            <w:pPr>
              <w:ind w:left="240"/>
              <w:spacing w:after="0"/>
              <w:rPr>
                <w:sz w:val="20"/>
                <w:szCs w:val="20"/>
                <w:color w:val="auto"/>
              </w:rPr>
            </w:pPr>
            <w:r>
              <w:rPr>
                <w:rFonts w:ascii="Arial" w:cs="Arial" w:eastAsia="Arial" w:hAnsi="Arial"/>
                <w:sz w:val="16"/>
                <w:szCs w:val="16"/>
                <w:color w:val="auto"/>
              </w:rPr>
              <w:t>Other Income, Net</w:t>
            </w:r>
          </w:p>
        </w:tc>
        <w:tc>
          <w:tcPr>
            <w:tcW w:w="500" w:type="dxa"/>
            <w:vAlign w:val="bottom"/>
          </w:tcPr>
          <w:p>
            <w:pPr>
              <w:jc w:val="center"/>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(9)</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00" w:type="dxa"/>
            <w:vAlign w:val="bottom"/>
          </w:tcPr>
          <w:p>
            <w:pPr>
              <w:ind w:left="220"/>
              <w:spacing w:after="0"/>
              <w:rPr>
                <w:sz w:val="20"/>
                <w:szCs w:val="20"/>
                <w:color w:val="auto"/>
              </w:rPr>
            </w:pPr>
            <w:r>
              <w:rPr>
                <w:rFonts w:ascii="Arial" w:cs="Arial" w:eastAsia="Arial" w:hAnsi="Arial"/>
                <w:sz w:val="16"/>
                <w:szCs w:val="16"/>
                <w:color w:val="auto"/>
              </w:rPr>
              <w:t>Commodity contracts not subject</w:t>
            </w:r>
          </w:p>
        </w:tc>
        <w:tc>
          <w:tcPr>
            <w:tcW w:w="2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00" w:type="dxa"/>
            <w:vAlign w:val="bottom"/>
          </w:tcPr>
          <w:p>
            <w:pPr>
              <w:ind w:left="400"/>
              <w:spacing w:after="0"/>
              <w:rPr>
                <w:sz w:val="20"/>
                <w:szCs w:val="20"/>
                <w:color w:val="auto"/>
              </w:rPr>
            </w:pPr>
            <w:r>
              <w:rPr>
                <w:rFonts w:ascii="Arial" w:cs="Arial" w:eastAsia="Arial" w:hAnsi="Arial"/>
                <w:sz w:val="16"/>
                <w:szCs w:val="16"/>
                <w:color w:val="auto"/>
              </w:rPr>
              <w:t>to rate recovery</w:t>
            </w:r>
          </w:p>
        </w:tc>
        <w:tc>
          <w:tcPr>
            <w:tcW w:w="3360" w:type="dxa"/>
            <w:vAlign w:val="bottom"/>
            <w:gridSpan w:val="2"/>
          </w:tcPr>
          <w:p>
            <w:pPr>
              <w:ind w:left="240"/>
              <w:spacing w:after="0"/>
              <w:rPr>
                <w:sz w:val="20"/>
                <w:szCs w:val="20"/>
                <w:color w:val="auto"/>
              </w:rPr>
            </w:pPr>
            <w:r>
              <w:rPr>
                <w:rFonts w:ascii="Arial" w:cs="Arial" w:eastAsia="Arial" w:hAnsi="Arial"/>
                <w:sz w:val="16"/>
                <w:szCs w:val="16"/>
                <w:color w:val="auto"/>
              </w:rPr>
              <w:t>Revenues: Sempra Global and Parent</w:t>
            </w:r>
          </w:p>
        </w:tc>
        <w:tc>
          <w:tcPr>
            <w:tcW w:w="500" w:type="dxa"/>
            <w:vAlign w:val="bottom"/>
          </w:tcPr>
          <w:p>
            <w:pPr>
              <w:spacing w:after="0"/>
              <w:rPr>
                <w:sz w:val="16"/>
                <w:szCs w:val="16"/>
                <w:color w:val="auto"/>
              </w:rPr>
            </w:pPr>
          </w:p>
        </w:tc>
        <w:tc>
          <w:tcPr>
            <w:tcW w:w="1360" w:type="dxa"/>
            <w:vAlign w:val="bottom"/>
          </w:tcPr>
          <w:p>
            <w:pPr>
              <w:jc w:val="right"/>
              <w:ind w:right="60"/>
              <w:spacing w:after="0"/>
              <w:rPr>
                <w:sz w:val="20"/>
                <w:szCs w:val="20"/>
                <w:color w:val="auto"/>
              </w:rPr>
            </w:pPr>
            <w:r>
              <w:rPr>
                <w:rFonts w:ascii="Arial" w:cs="Arial" w:eastAsia="Arial" w:hAnsi="Arial"/>
                <w:sz w:val="16"/>
                <w:szCs w:val="16"/>
                <w:color w:val="auto"/>
              </w:rPr>
              <w:t>15</w:t>
            </w: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00" w:type="dxa"/>
            <w:vAlign w:val="bottom"/>
          </w:tcPr>
          <w:p>
            <w:pPr>
              <w:ind w:left="220"/>
              <w:spacing w:after="0"/>
              <w:rPr>
                <w:sz w:val="20"/>
                <w:szCs w:val="20"/>
                <w:color w:val="auto"/>
              </w:rPr>
            </w:pPr>
            <w:r>
              <w:rPr>
                <w:rFonts w:ascii="Arial" w:cs="Arial" w:eastAsia="Arial" w:hAnsi="Arial"/>
                <w:sz w:val="16"/>
                <w:szCs w:val="16"/>
                <w:color w:val="auto"/>
              </w:rPr>
              <w:t>Commodity contracts not subject</w:t>
            </w:r>
          </w:p>
        </w:tc>
        <w:tc>
          <w:tcPr>
            <w:tcW w:w="3360" w:type="dxa"/>
            <w:vAlign w:val="bottom"/>
            <w:gridSpan w:val="2"/>
          </w:tcPr>
          <w:p>
            <w:pPr>
              <w:ind w:left="240"/>
              <w:spacing w:after="0"/>
              <w:rPr>
                <w:sz w:val="20"/>
                <w:szCs w:val="20"/>
                <w:color w:val="auto"/>
              </w:rPr>
            </w:pPr>
            <w:r>
              <w:rPr>
                <w:rFonts w:ascii="Arial" w:cs="Arial" w:eastAsia="Arial" w:hAnsi="Arial"/>
                <w:sz w:val="16"/>
                <w:szCs w:val="16"/>
                <w:color w:val="auto"/>
              </w:rPr>
              <w:t>Cost of Natural Gas, Electric</w:t>
            </w:r>
          </w:p>
        </w:tc>
        <w:tc>
          <w:tcPr>
            <w:tcW w:w="5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00" w:type="dxa"/>
            <w:vAlign w:val="bottom"/>
          </w:tcPr>
          <w:p>
            <w:pPr>
              <w:ind w:left="400"/>
              <w:spacing w:after="0"/>
              <w:rPr>
                <w:sz w:val="20"/>
                <w:szCs w:val="20"/>
                <w:color w:val="auto"/>
              </w:rPr>
            </w:pPr>
            <w:r>
              <w:rPr>
                <w:rFonts w:ascii="Arial" w:cs="Arial" w:eastAsia="Arial" w:hAnsi="Arial"/>
                <w:sz w:val="16"/>
                <w:szCs w:val="16"/>
                <w:color w:val="auto"/>
              </w:rPr>
              <w:t>to rate recovery</w:t>
            </w:r>
          </w:p>
        </w:tc>
        <w:tc>
          <w:tcPr>
            <w:tcW w:w="240" w:type="dxa"/>
            <w:vAlign w:val="bottom"/>
          </w:tcPr>
          <w:p>
            <w:pPr>
              <w:spacing w:after="0"/>
              <w:rPr>
                <w:sz w:val="16"/>
                <w:szCs w:val="16"/>
                <w:color w:val="auto"/>
              </w:rPr>
            </w:pPr>
          </w:p>
        </w:tc>
        <w:tc>
          <w:tcPr>
            <w:tcW w:w="3120" w:type="dxa"/>
            <w:vAlign w:val="bottom"/>
          </w:tcPr>
          <w:p>
            <w:pPr>
              <w:ind w:left="180"/>
              <w:spacing w:after="0"/>
              <w:rPr>
                <w:sz w:val="20"/>
                <w:szCs w:val="20"/>
                <w:color w:val="auto"/>
              </w:rPr>
            </w:pPr>
            <w:r>
              <w:rPr>
                <w:rFonts w:ascii="Arial" w:cs="Arial" w:eastAsia="Arial" w:hAnsi="Arial"/>
                <w:sz w:val="16"/>
                <w:szCs w:val="16"/>
                <w:color w:val="auto"/>
              </w:rPr>
              <w:t>Fuel and Purchased Power</w:t>
            </w:r>
          </w:p>
        </w:tc>
        <w:tc>
          <w:tcPr>
            <w:tcW w:w="500" w:type="dxa"/>
            <w:vAlign w:val="bottom"/>
          </w:tcPr>
          <w:p>
            <w:pPr>
              <w:spacing w:after="0"/>
              <w:rPr>
                <w:sz w:val="16"/>
                <w:szCs w:val="16"/>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(6)</w:t>
            </w: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00" w:type="dxa"/>
            <w:vAlign w:val="bottom"/>
          </w:tcPr>
          <w:p>
            <w:pPr>
              <w:ind w:left="220"/>
              <w:spacing w:after="0"/>
              <w:rPr>
                <w:sz w:val="20"/>
                <w:szCs w:val="20"/>
                <w:color w:val="auto"/>
              </w:rPr>
            </w:pPr>
            <w:r>
              <w:rPr>
                <w:rFonts w:ascii="Arial" w:cs="Arial" w:eastAsia="Arial" w:hAnsi="Arial"/>
                <w:sz w:val="16"/>
                <w:szCs w:val="16"/>
                <w:color w:val="auto"/>
              </w:rPr>
              <w:t>Commodity contracts subject</w:t>
            </w:r>
          </w:p>
        </w:tc>
        <w:tc>
          <w:tcPr>
            <w:tcW w:w="3360" w:type="dxa"/>
            <w:vAlign w:val="bottom"/>
            <w:gridSpan w:val="2"/>
          </w:tcPr>
          <w:p>
            <w:pPr>
              <w:ind w:left="240"/>
              <w:spacing w:after="0"/>
              <w:rPr>
                <w:sz w:val="20"/>
                <w:szCs w:val="20"/>
                <w:color w:val="auto"/>
              </w:rPr>
            </w:pPr>
            <w:r>
              <w:rPr>
                <w:rFonts w:ascii="Arial" w:cs="Arial" w:eastAsia="Arial" w:hAnsi="Arial"/>
                <w:sz w:val="16"/>
                <w:szCs w:val="16"/>
                <w:color w:val="auto"/>
              </w:rPr>
              <w:t>Cost of Electric Fuel</w:t>
            </w:r>
          </w:p>
        </w:tc>
        <w:tc>
          <w:tcPr>
            <w:tcW w:w="5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00" w:type="dxa"/>
            <w:vAlign w:val="bottom"/>
          </w:tcPr>
          <w:p>
            <w:pPr>
              <w:ind w:left="400"/>
              <w:spacing w:after="0"/>
              <w:rPr>
                <w:sz w:val="20"/>
                <w:szCs w:val="20"/>
                <w:color w:val="auto"/>
              </w:rPr>
            </w:pPr>
            <w:r>
              <w:rPr>
                <w:rFonts w:ascii="Arial" w:cs="Arial" w:eastAsia="Arial" w:hAnsi="Arial"/>
                <w:sz w:val="16"/>
                <w:szCs w:val="16"/>
                <w:color w:val="auto"/>
              </w:rPr>
              <w:t>to rate recovery</w:t>
            </w:r>
          </w:p>
        </w:tc>
        <w:tc>
          <w:tcPr>
            <w:tcW w:w="240" w:type="dxa"/>
            <w:vAlign w:val="bottom"/>
          </w:tcPr>
          <w:p>
            <w:pPr>
              <w:spacing w:after="0"/>
              <w:rPr>
                <w:sz w:val="16"/>
                <w:szCs w:val="16"/>
                <w:color w:val="auto"/>
              </w:rPr>
            </w:pPr>
          </w:p>
        </w:tc>
        <w:tc>
          <w:tcPr>
            <w:tcW w:w="3120" w:type="dxa"/>
            <w:vAlign w:val="bottom"/>
          </w:tcPr>
          <w:p>
            <w:pPr>
              <w:ind w:left="180"/>
              <w:spacing w:after="0"/>
              <w:rPr>
                <w:sz w:val="20"/>
                <w:szCs w:val="20"/>
                <w:color w:val="auto"/>
              </w:rPr>
            </w:pPr>
            <w:r>
              <w:rPr>
                <w:rFonts w:ascii="Arial" w:cs="Arial" w:eastAsia="Arial" w:hAnsi="Arial"/>
                <w:sz w:val="16"/>
                <w:szCs w:val="16"/>
                <w:color w:val="auto"/>
              </w:rPr>
              <w:t>and Purchased Power</w:t>
            </w:r>
          </w:p>
        </w:tc>
        <w:tc>
          <w:tcPr>
            <w:tcW w:w="500" w:type="dxa"/>
            <w:vAlign w:val="bottom"/>
          </w:tcPr>
          <w:p>
            <w:pPr>
              <w:spacing w:after="0"/>
              <w:rPr>
                <w:sz w:val="16"/>
                <w:szCs w:val="16"/>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(52)</w:t>
            </w: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00" w:type="dxa"/>
            <w:vAlign w:val="bottom"/>
          </w:tcPr>
          <w:p>
            <w:pPr>
              <w:ind w:left="220"/>
              <w:spacing w:after="0"/>
              <w:rPr>
                <w:sz w:val="20"/>
                <w:szCs w:val="20"/>
                <w:color w:val="auto"/>
              </w:rPr>
            </w:pPr>
            <w:r>
              <w:rPr>
                <w:rFonts w:ascii="Arial" w:cs="Arial" w:eastAsia="Arial" w:hAnsi="Arial"/>
                <w:sz w:val="16"/>
                <w:szCs w:val="16"/>
                <w:color w:val="auto"/>
              </w:rPr>
              <w:t>Commodity contracts subject</w:t>
            </w:r>
          </w:p>
        </w:tc>
        <w:tc>
          <w:tcPr>
            <w:tcW w:w="2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00" w:type="dxa"/>
            <w:vAlign w:val="bottom"/>
          </w:tcPr>
          <w:p>
            <w:pPr>
              <w:ind w:left="400"/>
              <w:spacing w:after="0"/>
              <w:rPr>
                <w:sz w:val="20"/>
                <w:szCs w:val="20"/>
                <w:color w:val="auto"/>
              </w:rPr>
            </w:pPr>
            <w:r>
              <w:rPr>
                <w:rFonts w:ascii="Arial" w:cs="Arial" w:eastAsia="Arial" w:hAnsi="Arial"/>
                <w:sz w:val="16"/>
                <w:szCs w:val="16"/>
                <w:color w:val="auto"/>
              </w:rPr>
              <w:t>to rate recovery</w:t>
            </w:r>
          </w:p>
        </w:tc>
        <w:tc>
          <w:tcPr>
            <w:tcW w:w="3360" w:type="dxa"/>
            <w:vAlign w:val="bottom"/>
            <w:gridSpan w:val="2"/>
          </w:tcPr>
          <w:p>
            <w:pPr>
              <w:ind w:left="240"/>
              <w:spacing w:after="0"/>
              <w:rPr>
                <w:sz w:val="20"/>
                <w:szCs w:val="20"/>
                <w:color w:val="auto"/>
              </w:rPr>
            </w:pPr>
            <w:r>
              <w:rPr>
                <w:rFonts w:ascii="Arial" w:cs="Arial" w:eastAsia="Arial" w:hAnsi="Arial"/>
                <w:sz w:val="16"/>
                <w:szCs w:val="16"/>
                <w:color w:val="auto"/>
              </w:rPr>
              <w:t>Cost of Natural Gas</w:t>
            </w:r>
          </w:p>
        </w:tc>
        <w:tc>
          <w:tcPr>
            <w:tcW w:w="500" w:type="dxa"/>
            <w:vAlign w:val="bottom"/>
          </w:tcPr>
          <w:p>
            <w:pPr>
              <w:spacing w:after="0"/>
              <w:rPr>
                <w:sz w:val="16"/>
                <w:szCs w:val="16"/>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00" w:type="dxa"/>
            <w:vAlign w:val="bottom"/>
          </w:tcPr>
          <w:p>
            <w:pPr>
              <w:ind w:left="220"/>
              <w:spacing w:after="0"/>
              <w:rPr>
                <w:sz w:val="20"/>
                <w:szCs w:val="20"/>
                <w:color w:val="auto"/>
              </w:rPr>
            </w:pPr>
            <w:r>
              <w:rPr>
                <w:rFonts w:ascii="Arial" w:cs="Arial" w:eastAsia="Arial" w:hAnsi="Arial"/>
                <w:sz w:val="16"/>
                <w:szCs w:val="16"/>
                <w:color w:val="auto"/>
              </w:rPr>
              <w:t>Commodity contracts subject</w:t>
            </w:r>
          </w:p>
        </w:tc>
        <w:tc>
          <w:tcPr>
            <w:tcW w:w="3360" w:type="dxa"/>
            <w:vAlign w:val="bottom"/>
            <w:gridSpan w:val="2"/>
          </w:tcPr>
          <w:p>
            <w:pPr>
              <w:ind w:left="240"/>
              <w:spacing w:after="0"/>
              <w:rPr>
                <w:sz w:val="20"/>
                <w:szCs w:val="20"/>
                <w:color w:val="auto"/>
              </w:rPr>
            </w:pPr>
            <w:r>
              <w:rPr>
                <w:rFonts w:ascii="Arial" w:cs="Arial" w:eastAsia="Arial" w:hAnsi="Arial"/>
                <w:sz w:val="16"/>
                <w:szCs w:val="16"/>
                <w:color w:val="auto"/>
              </w:rPr>
              <w:t>Cost of Natural Gas, Electric</w:t>
            </w:r>
          </w:p>
        </w:tc>
        <w:tc>
          <w:tcPr>
            <w:tcW w:w="500" w:type="dxa"/>
            <w:vAlign w:val="bottom"/>
          </w:tcPr>
          <w:p>
            <w:pPr>
              <w:spacing w:after="0"/>
              <w:rPr>
                <w:sz w:val="16"/>
                <w:szCs w:val="16"/>
                <w:color w:val="auto"/>
              </w:rPr>
            </w:pPr>
          </w:p>
        </w:tc>
        <w:tc>
          <w:tcPr>
            <w:tcW w:w="1360" w:type="dxa"/>
            <w:vAlign w:val="bottom"/>
            <w:vMerge w:val="restart"/>
          </w:tcPr>
          <w:p>
            <w:pPr>
              <w:jc w:val="right"/>
              <w:ind w:right="20"/>
              <w:spacing w:after="0"/>
              <w:rPr>
                <w:sz w:val="20"/>
                <w:szCs w:val="20"/>
                <w:color w:val="auto"/>
              </w:rPr>
            </w:pPr>
            <w:r>
              <w:rPr>
                <w:rFonts w:ascii="Arial" w:cs="Arial" w:eastAsia="Arial" w:hAnsi="Arial"/>
                <w:sz w:val="16"/>
                <w:szCs w:val="16"/>
                <w:color w:val="auto"/>
              </w:rPr>
              <w:t>(3)</w:t>
            </w:r>
          </w:p>
        </w:tc>
        <w:tc>
          <w:tcPr>
            <w:tcW w:w="40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800" w:type="dxa"/>
            <w:vAlign w:val="bottom"/>
          </w:tcPr>
          <w:p>
            <w:pPr>
              <w:ind w:left="400"/>
              <w:spacing w:after="0" w:line="181" w:lineRule="exact"/>
              <w:rPr>
                <w:sz w:val="20"/>
                <w:szCs w:val="20"/>
                <w:color w:val="auto"/>
              </w:rPr>
            </w:pPr>
            <w:r>
              <w:rPr>
                <w:rFonts w:ascii="Arial" w:cs="Arial" w:eastAsia="Arial" w:hAnsi="Arial"/>
                <w:sz w:val="16"/>
                <w:szCs w:val="16"/>
                <w:color w:val="auto"/>
              </w:rPr>
              <w:t>to rate recovery</w:t>
            </w:r>
          </w:p>
        </w:tc>
        <w:tc>
          <w:tcPr>
            <w:tcW w:w="240" w:type="dxa"/>
            <w:vAlign w:val="bottom"/>
          </w:tcPr>
          <w:p>
            <w:pPr>
              <w:spacing w:after="0"/>
              <w:rPr>
                <w:sz w:val="15"/>
                <w:szCs w:val="15"/>
                <w:color w:val="auto"/>
              </w:rPr>
            </w:pPr>
          </w:p>
        </w:tc>
        <w:tc>
          <w:tcPr>
            <w:tcW w:w="3120" w:type="dxa"/>
            <w:vAlign w:val="bottom"/>
          </w:tcPr>
          <w:p>
            <w:pPr>
              <w:ind w:left="180"/>
              <w:spacing w:after="0" w:line="181" w:lineRule="exact"/>
              <w:rPr>
                <w:sz w:val="20"/>
                <w:szCs w:val="20"/>
                <w:color w:val="auto"/>
              </w:rPr>
            </w:pPr>
            <w:r>
              <w:rPr>
                <w:rFonts w:ascii="Arial" w:cs="Arial" w:eastAsia="Arial" w:hAnsi="Arial"/>
                <w:sz w:val="16"/>
                <w:szCs w:val="16"/>
                <w:color w:val="auto"/>
              </w:rPr>
              <w:t>Fuel and Purchased Power</w:t>
            </w:r>
          </w:p>
        </w:tc>
        <w:tc>
          <w:tcPr>
            <w:tcW w:w="5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00" w:type="dxa"/>
            <w:vAlign w:val="bottom"/>
          </w:tcPr>
          <w:p>
            <w:pPr>
              <w:ind w:left="220"/>
              <w:spacing w:after="0" w:line="183" w:lineRule="exact"/>
              <w:rPr>
                <w:sz w:val="20"/>
                <w:szCs w:val="20"/>
                <w:color w:val="auto"/>
              </w:rPr>
            </w:pPr>
            <w:r>
              <w:rPr>
                <w:rFonts w:ascii="Arial" w:cs="Arial" w:eastAsia="Arial" w:hAnsi="Arial"/>
                <w:sz w:val="16"/>
                <w:szCs w:val="16"/>
                <w:color w:val="auto"/>
              </w:rPr>
              <w:t>Total</w:t>
            </w:r>
          </w:p>
        </w:tc>
        <w:tc>
          <w:tcPr>
            <w:tcW w:w="2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500" w:type="dxa"/>
            <w:vAlign w:val="bottom"/>
          </w:tcPr>
          <w:p>
            <w:pPr>
              <w:jc w:val="center"/>
              <w:spacing w:after="0" w:line="183" w:lineRule="exact"/>
              <w:rPr>
                <w:sz w:val="20"/>
                <w:szCs w:val="20"/>
                <w:color w:val="auto"/>
              </w:rPr>
            </w:pPr>
            <w:r>
              <w:rPr>
                <w:rFonts w:ascii="Arial" w:cs="Arial" w:eastAsia="Arial" w:hAnsi="Arial"/>
                <w:sz w:val="16"/>
                <w:szCs w:val="16"/>
                <w:color w:val="auto"/>
              </w:rPr>
              <w:t>$</w:t>
            </w:r>
          </w:p>
        </w:tc>
        <w:tc>
          <w:tcPr>
            <w:tcW w:w="1360" w:type="dxa"/>
            <w:vAlign w:val="bottom"/>
          </w:tcPr>
          <w:p>
            <w:pPr>
              <w:jc w:val="right"/>
              <w:ind w:right="20"/>
              <w:spacing w:after="0" w:line="183" w:lineRule="exact"/>
              <w:rPr>
                <w:sz w:val="20"/>
                <w:szCs w:val="20"/>
                <w:color w:val="auto"/>
              </w:rPr>
            </w:pPr>
            <w:r>
              <w:rPr>
                <w:rFonts w:ascii="Arial" w:cs="Arial" w:eastAsia="Arial" w:hAnsi="Arial"/>
                <w:sz w:val="16"/>
                <w:szCs w:val="16"/>
                <w:color w:val="auto"/>
              </w:rPr>
              <w:t>(57)</w:t>
            </w:r>
          </w:p>
        </w:tc>
        <w:tc>
          <w:tcPr>
            <w:tcW w:w="400" w:type="dxa"/>
            <w:vAlign w:val="bottom"/>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1280" w:type="dxa"/>
            <w:vAlign w:val="bottom"/>
          </w:tcPr>
          <w:p>
            <w:pPr>
              <w:jc w:val="right"/>
              <w:spacing w:after="0" w:line="183" w:lineRule="exact"/>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2800" w:type="dxa"/>
            <w:vAlign w:val="bottom"/>
            <w:shd w:val="clear" w:color="auto" w:fill="000000"/>
          </w:tcPr>
          <w:p>
            <w:pPr>
              <w:spacing w:after="0"/>
              <w:rPr>
                <w:sz w:val="7"/>
                <w:szCs w:val="7"/>
                <w:color w:val="auto"/>
              </w:rPr>
            </w:pPr>
          </w:p>
        </w:tc>
        <w:tc>
          <w:tcPr>
            <w:tcW w:w="240" w:type="dxa"/>
            <w:vAlign w:val="bottom"/>
            <w:shd w:val="clear" w:color="auto" w:fill="000000"/>
          </w:tcPr>
          <w:p>
            <w:pPr>
              <w:spacing w:after="0"/>
              <w:rPr>
                <w:sz w:val="7"/>
                <w:szCs w:val="7"/>
                <w:color w:val="auto"/>
              </w:rPr>
            </w:pPr>
          </w:p>
        </w:tc>
        <w:tc>
          <w:tcPr>
            <w:tcW w:w="3120" w:type="dxa"/>
            <w:vAlign w:val="bottom"/>
            <w:shd w:val="clear" w:color="auto" w:fill="000000"/>
          </w:tcPr>
          <w:p>
            <w:pPr>
              <w:spacing w:after="0"/>
              <w:rPr>
                <w:sz w:val="7"/>
                <w:szCs w:val="7"/>
                <w:color w:val="auto"/>
              </w:rPr>
            </w:pPr>
          </w:p>
        </w:tc>
        <w:tc>
          <w:tcPr>
            <w:tcW w:w="500" w:type="dxa"/>
            <w:vAlign w:val="bottom"/>
            <w:shd w:val="clear" w:color="auto" w:fill="000000"/>
          </w:tcPr>
          <w:p>
            <w:pPr>
              <w:spacing w:after="0"/>
              <w:rPr>
                <w:sz w:val="7"/>
                <w:szCs w:val="7"/>
                <w:color w:val="auto"/>
              </w:rPr>
            </w:pPr>
          </w:p>
        </w:tc>
        <w:tc>
          <w:tcPr>
            <w:tcW w:w="1360" w:type="dxa"/>
            <w:vAlign w:val="bottom"/>
            <w:shd w:val="clear" w:color="auto" w:fill="000000"/>
          </w:tcPr>
          <w:p>
            <w:pPr>
              <w:spacing w:after="0"/>
              <w:rPr>
                <w:sz w:val="7"/>
                <w:szCs w:val="7"/>
                <w:color w:val="auto"/>
              </w:rPr>
            </w:pPr>
          </w:p>
        </w:tc>
        <w:tc>
          <w:tcPr>
            <w:tcW w:w="400" w:type="dxa"/>
            <w:vAlign w:val="bottom"/>
            <w:shd w:val="clear" w:color="auto" w:fill="000000"/>
          </w:tcPr>
          <w:p>
            <w:pPr>
              <w:spacing w:after="0"/>
              <w:rPr>
                <w:sz w:val="7"/>
                <w:szCs w:val="7"/>
                <w:color w:val="auto"/>
              </w:rPr>
            </w:pPr>
          </w:p>
        </w:tc>
        <w:tc>
          <w:tcPr>
            <w:tcW w:w="128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280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2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00" w:type="dxa"/>
            <w:vAlign w:val="bottom"/>
          </w:tcPr>
          <w:p>
            <w:pPr>
              <w:ind w:left="220"/>
              <w:spacing w:after="0"/>
              <w:rPr>
                <w:sz w:val="20"/>
                <w:szCs w:val="20"/>
                <w:color w:val="auto"/>
              </w:rPr>
            </w:pPr>
            <w:r>
              <w:rPr>
                <w:rFonts w:ascii="Arial" w:cs="Arial" w:eastAsia="Arial" w:hAnsi="Arial"/>
                <w:sz w:val="16"/>
                <w:szCs w:val="16"/>
                <w:color w:val="auto"/>
              </w:rPr>
              <w:t>Interest rate instruments(1)</w:t>
            </w:r>
          </w:p>
        </w:tc>
        <w:tc>
          <w:tcPr>
            <w:tcW w:w="3360" w:type="dxa"/>
            <w:vAlign w:val="bottom"/>
            <w:gridSpan w:val="2"/>
          </w:tcPr>
          <w:p>
            <w:pPr>
              <w:ind w:left="240"/>
              <w:spacing w:after="0"/>
              <w:rPr>
                <w:sz w:val="20"/>
                <w:szCs w:val="20"/>
                <w:color w:val="auto"/>
              </w:rPr>
            </w:pPr>
            <w:r>
              <w:rPr>
                <w:rFonts w:ascii="Arial" w:cs="Arial" w:eastAsia="Arial" w:hAnsi="Arial"/>
                <w:sz w:val="16"/>
                <w:szCs w:val="16"/>
                <w:color w:val="auto"/>
              </w:rPr>
              <w:t>Other Income, Net</w:t>
            </w:r>
          </w:p>
        </w:tc>
        <w:tc>
          <w:tcPr>
            <w:tcW w:w="500" w:type="dxa"/>
            <w:vAlign w:val="bottom"/>
          </w:tcPr>
          <w:p>
            <w:pPr>
              <w:jc w:val="center"/>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(9)</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00" w:type="dxa"/>
            <w:vAlign w:val="bottom"/>
          </w:tcPr>
          <w:p>
            <w:pPr>
              <w:ind w:left="220"/>
              <w:spacing w:after="0"/>
              <w:rPr>
                <w:sz w:val="20"/>
                <w:szCs w:val="20"/>
                <w:color w:val="auto"/>
              </w:rPr>
            </w:pPr>
            <w:r>
              <w:rPr>
                <w:rFonts w:ascii="Arial" w:cs="Arial" w:eastAsia="Arial" w:hAnsi="Arial"/>
                <w:sz w:val="16"/>
                <w:szCs w:val="16"/>
                <w:color w:val="auto"/>
              </w:rPr>
              <w:t>Commodity contracts subject</w:t>
            </w:r>
          </w:p>
        </w:tc>
        <w:tc>
          <w:tcPr>
            <w:tcW w:w="3360" w:type="dxa"/>
            <w:vAlign w:val="bottom"/>
            <w:gridSpan w:val="2"/>
          </w:tcPr>
          <w:p>
            <w:pPr>
              <w:ind w:left="240"/>
              <w:spacing w:after="0"/>
              <w:rPr>
                <w:sz w:val="20"/>
                <w:szCs w:val="20"/>
                <w:color w:val="auto"/>
              </w:rPr>
            </w:pPr>
            <w:r>
              <w:rPr>
                <w:rFonts w:ascii="Arial" w:cs="Arial" w:eastAsia="Arial" w:hAnsi="Arial"/>
                <w:sz w:val="16"/>
                <w:szCs w:val="16"/>
                <w:color w:val="auto"/>
              </w:rPr>
              <w:t>Cost of Electric Fuel</w:t>
            </w:r>
          </w:p>
        </w:tc>
        <w:tc>
          <w:tcPr>
            <w:tcW w:w="500" w:type="dxa"/>
            <w:vAlign w:val="bottom"/>
          </w:tcPr>
          <w:p>
            <w:pPr>
              <w:spacing w:after="0"/>
              <w:rPr>
                <w:sz w:val="16"/>
                <w:szCs w:val="16"/>
                <w:color w:val="auto"/>
              </w:rPr>
            </w:pPr>
          </w:p>
        </w:tc>
        <w:tc>
          <w:tcPr>
            <w:tcW w:w="1360" w:type="dxa"/>
            <w:vAlign w:val="bottom"/>
            <w:vMerge w:val="restart"/>
          </w:tcPr>
          <w:p>
            <w:pPr>
              <w:jc w:val="right"/>
              <w:ind w:right="20"/>
              <w:spacing w:after="0"/>
              <w:rPr>
                <w:sz w:val="20"/>
                <w:szCs w:val="20"/>
                <w:color w:val="auto"/>
              </w:rPr>
            </w:pPr>
            <w:r>
              <w:rPr>
                <w:rFonts w:ascii="Arial" w:cs="Arial" w:eastAsia="Arial" w:hAnsi="Arial"/>
                <w:sz w:val="16"/>
                <w:szCs w:val="16"/>
                <w:color w:val="auto"/>
              </w:rPr>
              <w:t>(52)</w:t>
            </w:r>
          </w:p>
        </w:tc>
        <w:tc>
          <w:tcPr>
            <w:tcW w:w="40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800" w:type="dxa"/>
            <w:vAlign w:val="bottom"/>
          </w:tcPr>
          <w:p>
            <w:pPr>
              <w:ind w:left="400"/>
              <w:spacing w:after="0" w:line="181" w:lineRule="exact"/>
              <w:rPr>
                <w:sz w:val="20"/>
                <w:szCs w:val="20"/>
                <w:color w:val="auto"/>
              </w:rPr>
            </w:pPr>
            <w:r>
              <w:rPr>
                <w:rFonts w:ascii="Arial" w:cs="Arial" w:eastAsia="Arial" w:hAnsi="Arial"/>
                <w:sz w:val="16"/>
                <w:szCs w:val="16"/>
                <w:color w:val="auto"/>
              </w:rPr>
              <w:t>to rate recovery</w:t>
            </w:r>
          </w:p>
        </w:tc>
        <w:tc>
          <w:tcPr>
            <w:tcW w:w="240" w:type="dxa"/>
            <w:vAlign w:val="bottom"/>
          </w:tcPr>
          <w:p>
            <w:pPr>
              <w:spacing w:after="0"/>
              <w:rPr>
                <w:sz w:val="15"/>
                <w:szCs w:val="15"/>
                <w:color w:val="auto"/>
              </w:rPr>
            </w:pPr>
          </w:p>
        </w:tc>
        <w:tc>
          <w:tcPr>
            <w:tcW w:w="3120" w:type="dxa"/>
            <w:vAlign w:val="bottom"/>
          </w:tcPr>
          <w:p>
            <w:pPr>
              <w:ind w:left="180"/>
              <w:spacing w:after="0" w:line="181" w:lineRule="exact"/>
              <w:rPr>
                <w:sz w:val="20"/>
                <w:szCs w:val="20"/>
                <w:color w:val="auto"/>
              </w:rPr>
            </w:pPr>
            <w:r>
              <w:rPr>
                <w:rFonts w:ascii="Arial" w:cs="Arial" w:eastAsia="Arial" w:hAnsi="Arial"/>
                <w:sz w:val="16"/>
                <w:szCs w:val="16"/>
                <w:color w:val="auto"/>
              </w:rPr>
              <w:t>and Purchased Power</w:t>
            </w:r>
          </w:p>
        </w:tc>
        <w:tc>
          <w:tcPr>
            <w:tcW w:w="5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00" w:type="dxa"/>
            <w:vAlign w:val="bottom"/>
          </w:tcPr>
          <w:p>
            <w:pPr>
              <w:ind w:left="220"/>
              <w:spacing w:after="0" w:line="183" w:lineRule="exact"/>
              <w:rPr>
                <w:sz w:val="20"/>
                <w:szCs w:val="20"/>
                <w:color w:val="auto"/>
              </w:rPr>
            </w:pPr>
            <w:r>
              <w:rPr>
                <w:rFonts w:ascii="Arial" w:cs="Arial" w:eastAsia="Arial" w:hAnsi="Arial"/>
                <w:sz w:val="16"/>
                <w:szCs w:val="16"/>
                <w:color w:val="auto"/>
              </w:rPr>
              <w:t>Total</w:t>
            </w:r>
          </w:p>
        </w:tc>
        <w:tc>
          <w:tcPr>
            <w:tcW w:w="2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500" w:type="dxa"/>
            <w:vAlign w:val="bottom"/>
          </w:tcPr>
          <w:p>
            <w:pPr>
              <w:jc w:val="center"/>
              <w:spacing w:after="0" w:line="183" w:lineRule="exact"/>
              <w:rPr>
                <w:sz w:val="20"/>
                <w:szCs w:val="20"/>
                <w:color w:val="auto"/>
              </w:rPr>
            </w:pPr>
            <w:r>
              <w:rPr>
                <w:rFonts w:ascii="Arial" w:cs="Arial" w:eastAsia="Arial" w:hAnsi="Arial"/>
                <w:sz w:val="16"/>
                <w:szCs w:val="16"/>
                <w:color w:val="auto"/>
              </w:rPr>
              <w:t>$</w:t>
            </w:r>
          </w:p>
        </w:tc>
        <w:tc>
          <w:tcPr>
            <w:tcW w:w="1360" w:type="dxa"/>
            <w:vAlign w:val="bottom"/>
          </w:tcPr>
          <w:p>
            <w:pPr>
              <w:jc w:val="right"/>
              <w:ind w:right="20"/>
              <w:spacing w:after="0" w:line="183" w:lineRule="exact"/>
              <w:rPr>
                <w:sz w:val="20"/>
                <w:szCs w:val="20"/>
                <w:color w:val="auto"/>
              </w:rPr>
            </w:pPr>
            <w:r>
              <w:rPr>
                <w:rFonts w:ascii="Arial" w:cs="Arial" w:eastAsia="Arial" w:hAnsi="Arial"/>
                <w:sz w:val="16"/>
                <w:szCs w:val="16"/>
                <w:color w:val="auto"/>
              </w:rPr>
              <w:t>(61)</w:t>
            </w:r>
          </w:p>
        </w:tc>
        <w:tc>
          <w:tcPr>
            <w:tcW w:w="400" w:type="dxa"/>
            <w:vAlign w:val="bottom"/>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1280" w:type="dxa"/>
            <w:vAlign w:val="bottom"/>
          </w:tcPr>
          <w:p>
            <w:pPr>
              <w:jc w:val="right"/>
              <w:spacing w:after="0" w:line="183" w:lineRule="exact"/>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2800" w:type="dxa"/>
            <w:vAlign w:val="bottom"/>
            <w:shd w:val="clear" w:color="auto" w:fill="000000"/>
          </w:tcPr>
          <w:p>
            <w:pPr>
              <w:spacing w:after="0"/>
              <w:rPr>
                <w:sz w:val="7"/>
                <w:szCs w:val="7"/>
                <w:color w:val="auto"/>
              </w:rPr>
            </w:pPr>
          </w:p>
        </w:tc>
        <w:tc>
          <w:tcPr>
            <w:tcW w:w="240" w:type="dxa"/>
            <w:vAlign w:val="bottom"/>
            <w:shd w:val="clear" w:color="auto" w:fill="000000"/>
          </w:tcPr>
          <w:p>
            <w:pPr>
              <w:spacing w:after="0"/>
              <w:rPr>
                <w:sz w:val="7"/>
                <w:szCs w:val="7"/>
                <w:color w:val="auto"/>
              </w:rPr>
            </w:pPr>
          </w:p>
        </w:tc>
        <w:tc>
          <w:tcPr>
            <w:tcW w:w="3120" w:type="dxa"/>
            <w:vAlign w:val="bottom"/>
            <w:shd w:val="clear" w:color="auto" w:fill="000000"/>
          </w:tcPr>
          <w:p>
            <w:pPr>
              <w:spacing w:after="0"/>
              <w:rPr>
                <w:sz w:val="7"/>
                <w:szCs w:val="7"/>
                <w:color w:val="auto"/>
              </w:rPr>
            </w:pPr>
          </w:p>
        </w:tc>
        <w:tc>
          <w:tcPr>
            <w:tcW w:w="500" w:type="dxa"/>
            <w:vAlign w:val="bottom"/>
            <w:shd w:val="clear" w:color="auto" w:fill="000000"/>
          </w:tcPr>
          <w:p>
            <w:pPr>
              <w:spacing w:after="0"/>
              <w:rPr>
                <w:sz w:val="7"/>
                <w:szCs w:val="7"/>
                <w:color w:val="auto"/>
              </w:rPr>
            </w:pPr>
          </w:p>
        </w:tc>
        <w:tc>
          <w:tcPr>
            <w:tcW w:w="1360" w:type="dxa"/>
            <w:vAlign w:val="bottom"/>
            <w:shd w:val="clear" w:color="auto" w:fill="000000"/>
          </w:tcPr>
          <w:p>
            <w:pPr>
              <w:spacing w:after="0"/>
              <w:rPr>
                <w:sz w:val="7"/>
                <w:szCs w:val="7"/>
                <w:color w:val="auto"/>
              </w:rPr>
            </w:pPr>
          </w:p>
        </w:tc>
        <w:tc>
          <w:tcPr>
            <w:tcW w:w="400" w:type="dxa"/>
            <w:vAlign w:val="bottom"/>
            <w:shd w:val="clear" w:color="auto" w:fill="000000"/>
          </w:tcPr>
          <w:p>
            <w:pPr>
              <w:spacing w:after="0"/>
              <w:rPr>
                <w:sz w:val="7"/>
                <w:szCs w:val="7"/>
                <w:color w:val="auto"/>
              </w:rPr>
            </w:pPr>
          </w:p>
        </w:tc>
        <w:tc>
          <w:tcPr>
            <w:tcW w:w="128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280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24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00" w:type="dxa"/>
            <w:vAlign w:val="bottom"/>
          </w:tcPr>
          <w:p>
            <w:pPr>
              <w:ind w:left="220"/>
              <w:spacing w:after="0"/>
              <w:rPr>
                <w:sz w:val="20"/>
                <w:szCs w:val="20"/>
                <w:color w:val="auto"/>
              </w:rPr>
            </w:pPr>
            <w:r>
              <w:rPr>
                <w:rFonts w:ascii="Arial" w:cs="Arial" w:eastAsia="Arial" w:hAnsi="Arial"/>
                <w:sz w:val="16"/>
                <w:szCs w:val="16"/>
                <w:color w:val="auto"/>
              </w:rPr>
              <w:t>Commodity contracts subject</w:t>
            </w:r>
          </w:p>
        </w:tc>
        <w:tc>
          <w:tcPr>
            <w:tcW w:w="2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800" w:type="dxa"/>
            <w:vAlign w:val="bottom"/>
          </w:tcPr>
          <w:p>
            <w:pPr>
              <w:ind w:left="400"/>
              <w:spacing w:after="0"/>
              <w:rPr>
                <w:sz w:val="20"/>
                <w:szCs w:val="20"/>
                <w:color w:val="auto"/>
              </w:rPr>
            </w:pPr>
            <w:r>
              <w:rPr>
                <w:rFonts w:ascii="Arial" w:cs="Arial" w:eastAsia="Arial" w:hAnsi="Arial"/>
                <w:sz w:val="16"/>
                <w:szCs w:val="16"/>
                <w:color w:val="auto"/>
              </w:rPr>
              <w:t>to rate recovery</w:t>
            </w:r>
          </w:p>
        </w:tc>
        <w:tc>
          <w:tcPr>
            <w:tcW w:w="3360" w:type="dxa"/>
            <w:vAlign w:val="bottom"/>
            <w:gridSpan w:val="2"/>
          </w:tcPr>
          <w:p>
            <w:pPr>
              <w:ind w:left="240"/>
              <w:spacing w:after="0"/>
              <w:rPr>
                <w:sz w:val="20"/>
                <w:szCs w:val="20"/>
                <w:color w:val="auto"/>
              </w:rPr>
            </w:pPr>
            <w:r>
              <w:rPr>
                <w:rFonts w:ascii="Arial" w:cs="Arial" w:eastAsia="Arial" w:hAnsi="Arial"/>
                <w:sz w:val="16"/>
                <w:szCs w:val="16"/>
                <w:color w:val="auto"/>
              </w:rPr>
              <w:t>Cost of Natural Gas</w:t>
            </w:r>
          </w:p>
        </w:tc>
        <w:tc>
          <w:tcPr>
            <w:tcW w:w="500" w:type="dxa"/>
            <w:vAlign w:val="bottom"/>
          </w:tcPr>
          <w:p>
            <w:pPr>
              <w:jc w:val="center"/>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800" w:type="dxa"/>
            <w:vAlign w:val="bottom"/>
            <w:shd w:val="clear" w:color="auto" w:fill="DFDFDF"/>
          </w:tcPr>
          <w:p>
            <w:pPr>
              <w:spacing w:after="0"/>
              <w:rPr>
                <w:sz w:val="7"/>
                <w:szCs w:val="7"/>
                <w:color w:val="auto"/>
              </w:rPr>
            </w:pPr>
          </w:p>
        </w:tc>
        <w:tc>
          <w:tcPr>
            <w:tcW w:w="240" w:type="dxa"/>
            <w:vAlign w:val="bottom"/>
            <w:shd w:val="clear" w:color="auto" w:fill="DFDFDF"/>
          </w:tcPr>
          <w:p>
            <w:pPr>
              <w:spacing w:after="0"/>
              <w:rPr>
                <w:sz w:val="7"/>
                <w:szCs w:val="7"/>
                <w:color w:val="auto"/>
              </w:rPr>
            </w:pPr>
          </w:p>
        </w:tc>
        <w:tc>
          <w:tcPr>
            <w:tcW w:w="3120" w:type="dxa"/>
            <w:vAlign w:val="bottom"/>
            <w:shd w:val="clear" w:color="auto" w:fill="DFDFDF"/>
          </w:tcPr>
          <w:p>
            <w:pPr>
              <w:spacing w:after="0"/>
              <w:rPr>
                <w:sz w:val="7"/>
                <w:szCs w:val="7"/>
                <w:color w:val="auto"/>
              </w:rPr>
            </w:pPr>
          </w:p>
        </w:tc>
        <w:tc>
          <w:tcPr>
            <w:tcW w:w="500" w:type="dxa"/>
            <w:vAlign w:val="bottom"/>
            <w:shd w:val="clear" w:color="auto" w:fill="DFDFDF"/>
          </w:tcPr>
          <w:p>
            <w:pPr>
              <w:spacing w:after="0"/>
              <w:rPr>
                <w:sz w:val="7"/>
                <w:szCs w:val="7"/>
                <w:color w:val="auto"/>
              </w:rPr>
            </w:pPr>
          </w:p>
        </w:tc>
        <w:tc>
          <w:tcPr>
            <w:tcW w:w="1360" w:type="dxa"/>
            <w:vAlign w:val="bottom"/>
            <w:shd w:val="clear" w:color="auto" w:fill="DFDFDF"/>
          </w:tcPr>
          <w:p>
            <w:pPr>
              <w:spacing w:after="0"/>
              <w:rPr>
                <w:sz w:val="7"/>
                <w:szCs w:val="7"/>
                <w:color w:val="auto"/>
              </w:rPr>
            </w:pPr>
          </w:p>
        </w:tc>
        <w:tc>
          <w:tcPr>
            <w:tcW w:w="400" w:type="dxa"/>
            <w:vAlign w:val="bottom"/>
            <w:shd w:val="clear" w:color="auto" w:fill="DFDFDF"/>
          </w:tcPr>
          <w:p>
            <w:pPr>
              <w:spacing w:after="0"/>
              <w:rPr>
                <w:sz w:val="7"/>
                <w:szCs w:val="7"/>
                <w:color w:val="auto"/>
              </w:rPr>
            </w:pPr>
          </w:p>
        </w:tc>
        <w:tc>
          <w:tcPr>
            <w:tcW w:w="1280" w:type="dxa"/>
            <w:vAlign w:val="bottom"/>
            <w:shd w:val="clear" w:color="auto" w:fill="DFDFDF"/>
          </w:tcPr>
          <w:p>
            <w:pPr>
              <w:spacing w:after="0"/>
              <w:rPr>
                <w:sz w:val="7"/>
                <w:szCs w:val="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(1) Related to Otay Mesa VIE. Sempra Energy Consolidated also includes additional instruments.</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CONTINGENT FEATURES</w:t>
      </w:r>
    </w:p>
    <w:p>
      <w:pPr>
        <w:spacing w:after="0" w:line="69" w:lineRule="exact"/>
        <w:rPr>
          <w:sz w:val="20"/>
          <w:szCs w:val="20"/>
          <w:color w:val="auto"/>
        </w:rPr>
      </w:pPr>
    </w:p>
    <w:p>
      <w:pPr>
        <w:ind w:right="579"/>
        <w:spacing w:after="0" w:line="216" w:lineRule="auto"/>
        <w:rPr>
          <w:sz w:val="20"/>
          <w:szCs w:val="20"/>
          <w:color w:val="auto"/>
        </w:rPr>
      </w:pPr>
      <w:r>
        <w:rPr>
          <w:rFonts w:ascii="Arial" w:cs="Arial" w:eastAsia="Arial" w:hAnsi="Arial"/>
          <w:sz w:val="22"/>
          <w:szCs w:val="22"/>
          <w:color w:val="auto"/>
        </w:rPr>
        <w:t>For Sempra Energy and SDG&amp;E, certain of our derivative instruments contain credit limits which vary depending upon our credit rating. Generally, these provisions, if applicable, may reduce our credit limit if a specified credit rating agency reduces our rating. In certain cases, if our credit rating were to fall below investment grade, the counterparty to these derivative liability instruments could request immediate payment or demand immediate and ongoing full collateralization.</w:t>
      </w:r>
    </w:p>
    <w:p>
      <w:pPr>
        <w:spacing w:after="0" w:line="37" w:lineRule="exact"/>
        <w:rPr>
          <w:sz w:val="20"/>
          <w:szCs w:val="20"/>
          <w:color w:val="auto"/>
        </w:rPr>
      </w:pPr>
    </w:p>
    <w:p>
      <w:pPr>
        <w:ind w:right="539"/>
        <w:spacing w:after="0" w:line="218" w:lineRule="auto"/>
        <w:rPr>
          <w:sz w:val="20"/>
          <w:szCs w:val="20"/>
          <w:color w:val="auto"/>
        </w:rPr>
      </w:pPr>
      <w:r>
        <w:rPr>
          <w:rFonts w:ascii="Arial" w:cs="Arial" w:eastAsia="Arial" w:hAnsi="Arial"/>
          <w:sz w:val="22"/>
          <w:szCs w:val="22"/>
          <w:color w:val="auto"/>
        </w:rPr>
        <w:t>For Sempra Energy, the total fair value of this group of derivative instruments in a net liability position at March 31, 2010 is $5 million. As of March 31, 2010, if the credit rating of Sempra Energy were reduced below investment grade, $5 million of additional assets could be required to be posted as collateral for these derivative contracts.</w:t>
      </w:r>
    </w:p>
    <w:p>
      <w:pPr>
        <w:spacing w:after="0" w:line="26" w:lineRule="exact"/>
        <w:rPr>
          <w:sz w:val="20"/>
          <w:szCs w:val="20"/>
          <w:color w:val="auto"/>
        </w:rPr>
      </w:pPr>
    </w:p>
    <w:p>
      <w:pPr>
        <w:jc w:val="both"/>
        <w:ind w:right="1019"/>
        <w:spacing w:after="0" w:line="218" w:lineRule="auto"/>
        <w:rPr>
          <w:sz w:val="20"/>
          <w:szCs w:val="20"/>
          <w:color w:val="auto"/>
        </w:rPr>
      </w:pPr>
      <w:r>
        <w:rPr>
          <w:rFonts w:ascii="Arial" w:cs="Arial" w:eastAsia="Arial" w:hAnsi="Arial"/>
          <w:sz w:val="22"/>
          <w:szCs w:val="22"/>
          <w:color w:val="auto"/>
        </w:rPr>
        <w:t>For Sempra Energy, SDG&amp;E, PE and SoCalGas, some of our derivative contracts contain a provision that would permit the counterparty, in certain circumstances, to request adequate assurance of our performance under the contract. Such additional assurance, if needed, is not material and is not included in the amounts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617474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ectPr>
          <w:pgSz w:w="11900" w:h="16838" w:orient="portrait"/>
          <w:cols w:equalWidth="0" w:num="1">
            <w:col w:w="10219"/>
          </w:cols>
          <w:pgMar w:left="240" w:top="118" w:right="1440" w:bottom="1440" w:gutter="0" w:footer="0" w:header="0"/>
        </w:sectPr>
      </w:pPr>
    </w:p>
    <w:bookmarkStart w:id="48" w:name="page49"/>
    <w:bookmarkEnd w:id="48"/>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617474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174740" cy="8890"/>
                    </a:xfrm>
                    <a:prstGeom prst="rect">
                      <a:avLst/>
                    </a:prstGeom>
                    <a:noFill/>
                  </pic:spPr>
                </pic:pic>
              </a:graphicData>
            </a:graphic>
          </wp:anchor>
        </w:drawing>
        <w:t>NOTE 8. FAIR VALUE MEASUREMENTS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Fair Value of Financial Instruments</w:t>
      </w:r>
    </w:p>
    <w:p>
      <w:pPr>
        <w:spacing w:after="0" w:line="22" w:lineRule="exact"/>
        <w:rPr>
          <w:sz w:val="20"/>
          <w:szCs w:val="20"/>
          <w:color w:val="auto"/>
        </w:rPr>
      </w:pPr>
    </w:p>
    <w:p>
      <w:pPr>
        <w:ind w:right="639"/>
        <w:spacing w:after="0" w:line="218" w:lineRule="auto"/>
        <w:rPr>
          <w:sz w:val="20"/>
          <w:szCs w:val="20"/>
          <w:color w:val="auto"/>
        </w:rPr>
      </w:pPr>
      <w:r>
        <w:rPr>
          <w:rFonts w:ascii="Arial" w:cs="Arial" w:eastAsia="Arial" w:hAnsi="Arial"/>
          <w:sz w:val="22"/>
          <w:szCs w:val="22"/>
          <w:color w:val="auto"/>
        </w:rPr>
        <w:t>The fair values of certain of our financial instruments (cash, temporary investments, accounts and notes receivable, dividends and accounts payable, short-term debt and customer deposits) approximate their carrying amounts. The following table provides the carrying amounts and fair values of the remaining financial instruments at March 31, 2010 and December 31, 2009:</w:t>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OF 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5591175" cy="2317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91175" cy="23177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32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3"/>
          </w:tcPr>
          <w:p>
            <w:pPr>
              <w:jc w:val="right"/>
              <w:ind w:right="620"/>
              <w:spacing w:after="0" w:line="157" w:lineRule="exact"/>
              <w:rPr>
                <w:sz w:val="20"/>
                <w:szCs w:val="20"/>
                <w:color w:val="auto"/>
              </w:rPr>
            </w:pPr>
            <w:r>
              <w:rPr>
                <w:rFonts w:ascii="Arial" w:cs="Arial" w:eastAsia="Arial" w:hAnsi="Arial"/>
                <w:sz w:val="14"/>
                <w:szCs w:val="14"/>
                <w:color w:val="auto"/>
              </w:rPr>
              <w:t>March 31, 2010</w:t>
            </w:r>
          </w:p>
        </w:tc>
        <w:tc>
          <w:tcPr>
            <w:tcW w:w="22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3"/>
          </w:tcPr>
          <w:p>
            <w:pPr>
              <w:jc w:val="right"/>
              <w:ind w:right="420"/>
              <w:spacing w:after="0" w:line="157" w:lineRule="exact"/>
              <w:rPr>
                <w:sz w:val="20"/>
                <w:szCs w:val="20"/>
                <w:color w:val="auto"/>
              </w:rPr>
            </w:pPr>
            <w:r>
              <w:rPr>
                <w:rFonts w:ascii="Arial" w:cs="Arial" w:eastAsia="Arial" w:hAnsi="Arial"/>
                <w:sz w:val="14"/>
                <w:szCs w:val="14"/>
                <w:color w:val="auto"/>
              </w:rPr>
              <w:t>December 31, 2009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4"/>
                <w:szCs w:val="14"/>
                <w:color w:val="auto"/>
              </w:rPr>
              <w:t>Carrying</w:t>
            </w:r>
          </w:p>
        </w:tc>
        <w:tc>
          <w:tcPr>
            <w:tcW w:w="260" w:type="dxa"/>
            <w:vAlign w:val="bottom"/>
          </w:tcPr>
          <w:p>
            <w:pPr>
              <w:spacing w:after="0"/>
              <w:rPr>
                <w:sz w:val="17"/>
                <w:szCs w:val="17"/>
                <w:color w:val="auto"/>
              </w:rPr>
            </w:pPr>
          </w:p>
        </w:tc>
        <w:tc>
          <w:tcPr>
            <w:tcW w:w="860" w:type="dxa"/>
            <w:vAlign w:val="bottom"/>
          </w:tcPr>
          <w:p>
            <w:pPr>
              <w:jc w:val="right"/>
              <w:ind w:right="440"/>
              <w:spacing w:after="0"/>
              <w:rPr>
                <w:sz w:val="20"/>
                <w:szCs w:val="20"/>
                <w:color w:val="auto"/>
              </w:rPr>
            </w:pPr>
            <w:r>
              <w:rPr>
                <w:rFonts w:ascii="Arial" w:cs="Arial" w:eastAsia="Arial" w:hAnsi="Arial"/>
                <w:sz w:val="14"/>
                <w:szCs w:val="14"/>
                <w:color w:val="auto"/>
              </w:rPr>
              <w:t>Fair</w:t>
            </w:r>
          </w:p>
        </w:tc>
        <w:tc>
          <w:tcPr>
            <w:tcW w:w="1120" w:type="dxa"/>
            <w:vAlign w:val="bottom"/>
            <w:gridSpan w:val="2"/>
          </w:tcPr>
          <w:p>
            <w:pPr>
              <w:jc w:val="right"/>
              <w:ind w:right="300"/>
              <w:spacing w:after="0"/>
              <w:rPr>
                <w:sz w:val="20"/>
                <w:szCs w:val="20"/>
                <w:color w:val="auto"/>
              </w:rPr>
            </w:pPr>
            <w:r>
              <w:rPr>
                <w:rFonts w:ascii="Arial" w:cs="Arial" w:eastAsia="Arial" w:hAnsi="Arial"/>
                <w:sz w:val="14"/>
                <w:szCs w:val="14"/>
                <w:color w:val="auto"/>
              </w:rPr>
              <w:t>Carrying</w:t>
            </w:r>
          </w:p>
        </w:tc>
        <w:tc>
          <w:tcPr>
            <w:tcW w:w="260" w:type="dxa"/>
            <w:vAlign w:val="bottom"/>
          </w:tcPr>
          <w:p>
            <w:pPr>
              <w:spacing w:after="0"/>
              <w:rPr>
                <w:sz w:val="17"/>
                <w:szCs w:val="17"/>
                <w:color w:val="auto"/>
              </w:rPr>
            </w:pPr>
          </w:p>
        </w:tc>
        <w:tc>
          <w:tcPr>
            <w:tcW w:w="780" w:type="dxa"/>
            <w:vAlign w:val="bottom"/>
          </w:tcPr>
          <w:p>
            <w:pPr>
              <w:jc w:val="right"/>
              <w:ind w:right="360"/>
              <w:spacing w:after="0"/>
              <w:rPr>
                <w:sz w:val="20"/>
                <w:szCs w:val="20"/>
                <w:color w:val="auto"/>
              </w:rPr>
            </w:pPr>
            <w:r>
              <w:rPr>
                <w:rFonts w:ascii="Arial" w:cs="Arial" w:eastAsia="Arial" w:hAnsi="Arial"/>
                <w:sz w:val="14"/>
                <w:szCs w:val="14"/>
                <w:color w:val="auto"/>
              </w:rPr>
              <w:t>Fair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w w:val="99"/>
              </w:rPr>
              <w:t>Amount</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Value</w:t>
            </w: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w w:val="99"/>
              </w:rPr>
              <w:t>Amount</w:t>
            </w: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30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20" w:type="dxa"/>
            <w:vAlign w:val="bottom"/>
            <w:gridSpan w:val="2"/>
          </w:tcPr>
          <w:p>
            <w:pPr>
              <w:spacing w:after="0"/>
              <w:rPr>
                <w:sz w:val="20"/>
                <w:szCs w:val="20"/>
                <w:color w:val="auto"/>
              </w:rPr>
            </w:pPr>
            <w:r>
              <w:rPr>
                <w:rFonts w:ascii="Arial" w:cs="Arial" w:eastAsia="Arial" w:hAnsi="Arial"/>
                <w:sz w:val="16"/>
                <w:szCs w:val="16"/>
                <w:color w:val="auto"/>
              </w:rPr>
              <w:t>Investments in affordable housing partnerships(1)</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32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61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34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189"/>
        </w:trPr>
        <w:tc>
          <w:tcPr>
            <w:tcW w:w="4320" w:type="dxa"/>
            <w:vAlign w:val="bottom"/>
            <w:gridSpan w:val="2"/>
          </w:tcPr>
          <w:p>
            <w:pPr>
              <w:spacing w:after="0"/>
              <w:rPr>
                <w:sz w:val="20"/>
                <w:szCs w:val="20"/>
                <w:color w:val="auto"/>
              </w:rPr>
            </w:pPr>
            <w:r>
              <w:rPr>
                <w:rFonts w:ascii="Arial" w:cs="Arial" w:eastAsia="Arial" w:hAnsi="Arial"/>
                <w:sz w:val="16"/>
                <w:szCs w:val="16"/>
                <w:color w:val="auto"/>
              </w:rPr>
              <w:t>Total long-term debt(2)</w:t>
            </w:r>
          </w:p>
        </w:tc>
        <w:tc>
          <w:tcPr>
            <w:tcW w:w="320" w:type="dxa"/>
            <w:vAlign w:val="bottom"/>
          </w:tcPr>
          <w:p>
            <w:pPr>
              <w:spacing w:after="0"/>
              <w:rPr>
                <w:sz w:val="16"/>
                <w:szCs w:val="16"/>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7,542</w:t>
            </w:r>
          </w:p>
        </w:tc>
        <w:tc>
          <w:tcPr>
            <w:tcW w:w="260" w:type="dxa"/>
            <w:vAlign w:val="bottom"/>
          </w:tcPr>
          <w:p>
            <w:pPr>
              <w:spacing w:after="0"/>
              <w:rPr>
                <w:sz w:val="16"/>
                <w:szCs w:val="16"/>
                <w:color w:val="auto"/>
              </w:rPr>
            </w:pP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8,128</w:t>
            </w:r>
          </w:p>
        </w:tc>
        <w:tc>
          <w:tcPr>
            <w:tcW w:w="220" w:type="dxa"/>
            <w:vAlign w:val="bottom"/>
          </w:tcPr>
          <w:p>
            <w:pPr>
              <w:spacing w:after="0"/>
              <w:rPr>
                <w:sz w:val="16"/>
                <w:szCs w:val="16"/>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8,050</w:t>
            </w:r>
          </w:p>
        </w:tc>
        <w:tc>
          <w:tcPr>
            <w:tcW w:w="2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8,618</w:t>
            </w:r>
          </w:p>
        </w:tc>
        <w:tc>
          <w:tcPr>
            <w:tcW w:w="0" w:type="dxa"/>
            <w:vAlign w:val="bottom"/>
          </w:tcPr>
          <w:p>
            <w:pPr>
              <w:spacing w:after="0"/>
              <w:rPr>
                <w:sz w:val="1"/>
                <w:szCs w:val="1"/>
                <w:color w:val="auto"/>
              </w:rPr>
            </w:pPr>
          </w:p>
        </w:tc>
      </w:tr>
      <w:tr>
        <w:trPr>
          <w:trHeight w:val="189"/>
        </w:trPr>
        <w:tc>
          <w:tcPr>
            <w:tcW w:w="4320" w:type="dxa"/>
            <w:vAlign w:val="bottom"/>
            <w:gridSpan w:val="2"/>
          </w:tcPr>
          <w:p>
            <w:pPr>
              <w:spacing w:after="0"/>
              <w:rPr>
                <w:sz w:val="20"/>
                <w:szCs w:val="20"/>
                <w:color w:val="auto"/>
              </w:rPr>
            </w:pPr>
            <w:r>
              <w:rPr>
                <w:rFonts w:ascii="Arial" w:cs="Arial" w:eastAsia="Arial" w:hAnsi="Arial"/>
                <w:sz w:val="16"/>
                <w:szCs w:val="16"/>
                <w:color w:val="auto"/>
              </w:rPr>
              <w:t>Due to unconsolidated affiliate</w:t>
            </w:r>
          </w:p>
        </w:tc>
        <w:tc>
          <w:tcPr>
            <w:tcW w:w="320" w:type="dxa"/>
            <w:vAlign w:val="bottom"/>
          </w:tcPr>
          <w:p>
            <w:pPr>
              <w:spacing w:after="0"/>
              <w:rPr>
                <w:sz w:val="16"/>
                <w:szCs w:val="16"/>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16"/>
                <w:szCs w:val="16"/>
                <w:color w:val="auto"/>
              </w:rPr>
            </w:pP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6"/>
                <w:szCs w:val="16"/>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7"/>
        </w:trPr>
        <w:tc>
          <w:tcPr>
            <w:tcW w:w="4320" w:type="dxa"/>
            <w:vAlign w:val="bottom"/>
            <w:gridSpan w:val="2"/>
          </w:tcPr>
          <w:p>
            <w:pPr>
              <w:spacing w:after="0"/>
              <w:rPr>
                <w:sz w:val="20"/>
                <w:szCs w:val="20"/>
                <w:color w:val="auto"/>
              </w:rPr>
            </w:pPr>
            <w:r>
              <w:rPr>
                <w:rFonts w:ascii="Arial" w:cs="Arial" w:eastAsia="Arial" w:hAnsi="Arial"/>
                <w:sz w:val="16"/>
                <w:szCs w:val="16"/>
                <w:color w:val="auto"/>
              </w:rPr>
              <w:t>Preferred stock of subsidiaries</w:t>
            </w:r>
          </w:p>
        </w:tc>
        <w:tc>
          <w:tcPr>
            <w:tcW w:w="320" w:type="dxa"/>
            <w:vAlign w:val="bottom"/>
          </w:tcPr>
          <w:p>
            <w:pPr>
              <w:spacing w:after="0"/>
              <w:rPr>
                <w:sz w:val="16"/>
                <w:szCs w:val="16"/>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179</w:t>
            </w:r>
          </w:p>
        </w:tc>
        <w:tc>
          <w:tcPr>
            <w:tcW w:w="260" w:type="dxa"/>
            <w:vAlign w:val="bottom"/>
          </w:tcPr>
          <w:p>
            <w:pPr>
              <w:spacing w:after="0"/>
              <w:rPr>
                <w:sz w:val="16"/>
                <w:szCs w:val="16"/>
                <w:color w:val="auto"/>
              </w:rPr>
            </w:pP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162</w:t>
            </w:r>
          </w:p>
        </w:tc>
        <w:tc>
          <w:tcPr>
            <w:tcW w:w="220" w:type="dxa"/>
            <w:vAlign w:val="bottom"/>
          </w:tcPr>
          <w:p>
            <w:pPr>
              <w:spacing w:after="0"/>
              <w:rPr>
                <w:sz w:val="16"/>
                <w:szCs w:val="16"/>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179</w:t>
            </w:r>
          </w:p>
        </w:tc>
        <w:tc>
          <w:tcPr>
            <w:tcW w:w="2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81"/>
        </w:trPr>
        <w:tc>
          <w:tcPr>
            <w:tcW w:w="4320" w:type="dxa"/>
            <w:vAlign w:val="bottom"/>
            <w:gridSpan w:val="2"/>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90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90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78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4320" w:type="dxa"/>
            <w:vAlign w:val="bottom"/>
            <w:gridSpan w:val="2"/>
          </w:tcPr>
          <w:p>
            <w:pPr>
              <w:spacing w:after="0"/>
              <w:rPr>
                <w:sz w:val="20"/>
                <w:szCs w:val="20"/>
                <w:color w:val="auto"/>
              </w:rPr>
            </w:pPr>
            <w:r>
              <w:rPr>
                <w:rFonts w:ascii="Arial" w:cs="Arial" w:eastAsia="Arial" w:hAnsi="Arial"/>
                <w:sz w:val="16"/>
                <w:szCs w:val="16"/>
                <w:b w:val="1"/>
                <w:bCs w:val="1"/>
                <w:color w:val="auto"/>
              </w:rPr>
              <w:t>SDG&amp;E:</w:t>
            </w: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20" w:type="dxa"/>
            <w:vAlign w:val="bottom"/>
            <w:gridSpan w:val="2"/>
          </w:tcPr>
          <w:p>
            <w:pPr>
              <w:spacing w:after="0"/>
              <w:rPr>
                <w:sz w:val="20"/>
                <w:szCs w:val="20"/>
                <w:color w:val="auto"/>
              </w:rPr>
            </w:pPr>
            <w:r>
              <w:rPr>
                <w:rFonts w:ascii="Arial" w:cs="Arial" w:eastAsia="Arial" w:hAnsi="Arial"/>
                <w:sz w:val="16"/>
                <w:szCs w:val="16"/>
                <w:color w:val="auto"/>
              </w:rPr>
              <w:t>Total long-term debt(3)</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2,672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2,765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2,672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2,828</w:t>
            </w:r>
          </w:p>
        </w:tc>
        <w:tc>
          <w:tcPr>
            <w:tcW w:w="0" w:type="dxa"/>
            <w:vAlign w:val="bottom"/>
          </w:tcPr>
          <w:p>
            <w:pPr>
              <w:spacing w:after="0"/>
              <w:rPr>
                <w:sz w:val="1"/>
                <w:szCs w:val="1"/>
                <w:color w:val="auto"/>
              </w:rPr>
            </w:pPr>
          </w:p>
        </w:tc>
      </w:tr>
      <w:tr>
        <w:trPr>
          <w:trHeight w:val="187"/>
        </w:trPr>
        <w:tc>
          <w:tcPr>
            <w:tcW w:w="4320" w:type="dxa"/>
            <w:vAlign w:val="bottom"/>
            <w:gridSpan w:val="2"/>
          </w:tcPr>
          <w:p>
            <w:pPr>
              <w:spacing w:after="0"/>
              <w:rPr>
                <w:sz w:val="20"/>
                <w:szCs w:val="20"/>
                <w:color w:val="auto"/>
              </w:rPr>
            </w:pPr>
            <w:r>
              <w:rPr>
                <w:rFonts w:ascii="Arial" w:cs="Arial" w:eastAsia="Arial" w:hAnsi="Arial"/>
                <w:sz w:val="16"/>
                <w:szCs w:val="16"/>
                <w:color w:val="auto"/>
              </w:rPr>
              <w:t>Contingently redeemable preferred stock</w:t>
            </w:r>
          </w:p>
        </w:tc>
        <w:tc>
          <w:tcPr>
            <w:tcW w:w="320" w:type="dxa"/>
            <w:vAlign w:val="bottom"/>
          </w:tcPr>
          <w:p>
            <w:pPr>
              <w:spacing w:after="0"/>
              <w:rPr>
                <w:sz w:val="16"/>
                <w:szCs w:val="16"/>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79</w:t>
            </w:r>
          </w:p>
        </w:tc>
        <w:tc>
          <w:tcPr>
            <w:tcW w:w="260" w:type="dxa"/>
            <w:vAlign w:val="bottom"/>
          </w:tcPr>
          <w:p>
            <w:pPr>
              <w:spacing w:after="0"/>
              <w:rPr>
                <w:sz w:val="16"/>
                <w:szCs w:val="16"/>
                <w:color w:val="auto"/>
              </w:rPr>
            </w:pP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76</w:t>
            </w:r>
          </w:p>
        </w:tc>
        <w:tc>
          <w:tcPr>
            <w:tcW w:w="220" w:type="dxa"/>
            <w:vAlign w:val="bottom"/>
          </w:tcPr>
          <w:p>
            <w:pPr>
              <w:spacing w:after="0"/>
              <w:rPr>
                <w:sz w:val="16"/>
                <w:szCs w:val="16"/>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79</w:t>
            </w:r>
          </w:p>
        </w:tc>
        <w:tc>
          <w:tcPr>
            <w:tcW w:w="2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81"/>
        </w:trPr>
        <w:tc>
          <w:tcPr>
            <w:tcW w:w="4320" w:type="dxa"/>
            <w:vAlign w:val="bottom"/>
            <w:gridSpan w:val="2"/>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90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90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78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4320" w:type="dxa"/>
            <w:vAlign w:val="bottom"/>
            <w:gridSpan w:val="2"/>
          </w:tcPr>
          <w:p>
            <w:pPr>
              <w:spacing w:after="0"/>
              <w:rPr>
                <w:sz w:val="20"/>
                <w:szCs w:val="20"/>
                <w:color w:val="auto"/>
              </w:rPr>
            </w:pPr>
            <w:r>
              <w:rPr>
                <w:rFonts w:ascii="Arial" w:cs="Arial" w:eastAsia="Arial" w:hAnsi="Arial"/>
                <w:sz w:val="16"/>
                <w:szCs w:val="16"/>
                <w:b w:val="1"/>
                <w:bCs w:val="1"/>
                <w:color w:val="auto"/>
              </w:rPr>
              <w:t>PE and SoCalGas:</w:t>
            </w:r>
          </w:p>
        </w:tc>
        <w:tc>
          <w:tcPr>
            <w:tcW w:w="3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ind w:right="60"/>
              <w:spacing w:after="0"/>
              <w:rPr>
                <w:sz w:val="20"/>
                <w:szCs w:val="20"/>
                <w:color w:val="auto"/>
              </w:rPr>
            </w:pPr>
            <w:r>
              <w:rPr>
                <w:rFonts w:ascii="Arial" w:cs="Arial" w:eastAsia="Arial" w:hAnsi="Arial"/>
                <w:sz w:val="16"/>
                <w:szCs w:val="16"/>
                <w:color w:val="auto"/>
              </w:rPr>
              <w:t>1,292</w:t>
            </w: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ind w:right="60"/>
              <w:spacing w:after="0"/>
              <w:rPr>
                <w:sz w:val="20"/>
                <w:szCs w:val="20"/>
                <w:color w:val="auto"/>
              </w:rPr>
            </w:pPr>
            <w:r>
              <w:rPr>
                <w:rFonts w:ascii="Arial" w:cs="Arial" w:eastAsia="Arial" w:hAnsi="Arial"/>
                <w:sz w:val="16"/>
                <w:szCs w:val="16"/>
                <w:color w:val="auto"/>
              </w:rPr>
              <w:t>1,354</w:t>
            </w: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ind w:right="60"/>
              <w:spacing w:after="0"/>
              <w:rPr>
                <w:sz w:val="20"/>
                <w:szCs w:val="20"/>
                <w:color w:val="auto"/>
              </w:rPr>
            </w:pPr>
            <w:r>
              <w:rPr>
                <w:rFonts w:ascii="Arial" w:cs="Arial" w:eastAsia="Arial" w:hAnsi="Arial"/>
                <w:sz w:val="16"/>
                <w:szCs w:val="16"/>
                <w:color w:val="auto"/>
              </w:rPr>
              <w:t>1,296</w:t>
            </w: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1,382</w:t>
            </w:r>
          </w:p>
        </w:tc>
        <w:tc>
          <w:tcPr>
            <w:tcW w:w="0" w:type="dxa"/>
            <w:vAlign w:val="bottom"/>
          </w:tcPr>
          <w:p>
            <w:pPr>
              <w:spacing w:after="0"/>
              <w:rPr>
                <w:sz w:val="1"/>
                <w:szCs w:val="1"/>
                <w:color w:val="auto"/>
              </w:rPr>
            </w:pPr>
          </w:p>
        </w:tc>
      </w:tr>
      <w:tr>
        <w:trPr>
          <w:trHeight w:val="163"/>
        </w:trPr>
        <w:tc>
          <w:tcPr>
            <w:tcW w:w="4320" w:type="dxa"/>
            <w:vAlign w:val="bottom"/>
            <w:gridSpan w:val="2"/>
            <w:vMerge w:val="restart"/>
          </w:tcPr>
          <w:p>
            <w:pPr>
              <w:spacing w:after="0"/>
              <w:rPr>
                <w:sz w:val="20"/>
                <w:szCs w:val="20"/>
                <w:color w:val="auto"/>
              </w:rPr>
            </w:pPr>
            <w:r>
              <w:rPr>
                <w:rFonts w:ascii="Arial" w:cs="Arial" w:eastAsia="Arial" w:hAnsi="Arial"/>
                <w:sz w:val="16"/>
                <w:szCs w:val="16"/>
                <w:color w:val="auto"/>
              </w:rPr>
              <w:t>Total long-term debt(4)</w:t>
            </w:r>
          </w:p>
        </w:tc>
        <w:tc>
          <w:tcPr>
            <w:tcW w:w="3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4320" w:type="dxa"/>
            <w:vAlign w:val="bottom"/>
            <w:gridSpan w:val="2"/>
            <w:vMerge w:val="continue"/>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90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90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78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380"/>
        </w:trPr>
        <w:tc>
          <w:tcPr>
            <w:tcW w:w="4320" w:type="dxa"/>
            <w:vAlign w:val="bottom"/>
            <w:gridSpan w:val="2"/>
          </w:tcPr>
          <w:p>
            <w:pPr>
              <w:spacing w:after="0"/>
              <w:rPr>
                <w:sz w:val="20"/>
                <w:szCs w:val="20"/>
                <w:color w:val="auto"/>
              </w:rPr>
            </w:pPr>
            <w:r>
              <w:rPr>
                <w:rFonts w:ascii="Arial" w:cs="Arial" w:eastAsia="Arial" w:hAnsi="Arial"/>
                <w:sz w:val="16"/>
                <w:szCs w:val="16"/>
                <w:color w:val="auto"/>
              </w:rPr>
              <w:t>PE:</w:t>
            </w: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00" w:type="dxa"/>
            <w:vAlign w:val="bottom"/>
          </w:tcPr>
          <w:p>
            <w:pPr>
              <w:ind w:left="160"/>
              <w:spacing w:after="0"/>
              <w:rPr>
                <w:sz w:val="20"/>
                <w:szCs w:val="20"/>
                <w:color w:val="auto"/>
              </w:rPr>
            </w:pPr>
            <w:r>
              <w:rPr>
                <w:rFonts w:ascii="Arial" w:cs="Arial" w:eastAsia="Arial" w:hAnsi="Arial"/>
                <w:sz w:val="16"/>
                <w:szCs w:val="16"/>
                <w:color w:val="auto"/>
              </w:rPr>
              <w:t>Preferred stock</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80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66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80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300" w:type="dxa"/>
            <w:vAlign w:val="bottom"/>
          </w:tcPr>
          <w:p>
            <w:pPr>
              <w:ind w:left="160"/>
              <w:spacing w:after="0"/>
              <w:rPr>
                <w:sz w:val="20"/>
                <w:szCs w:val="20"/>
                <w:color w:val="auto"/>
              </w:rPr>
            </w:pPr>
            <w:r>
              <w:rPr>
                <w:rFonts w:ascii="Arial" w:cs="Arial" w:eastAsia="Arial" w:hAnsi="Arial"/>
                <w:sz w:val="16"/>
                <w:szCs w:val="16"/>
                <w:color w:val="auto"/>
              </w:rPr>
              <w:t>Preferred stock of subsidiary</w:t>
            </w: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20</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20</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20</w:t>
            </w: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900" w:type="dxa"/>
            <w:vAlign w:val="bottom"/>
          </w:tcPr>
          <w:p>
            <w:pPr>
              <w:jc w:val="right"/>
              <w:ind w:right="60"/>
              <w:spacing w:after="0" w:line="183" w:lineRule="exact"/>
              <w:rPr>
                <w:sz w:val="20"/>
                <w:szCs w:val="20"/>
                <w:color w:val="auto"/>
              </w:rPr>
            </w:pPr>
            <w:r>
              <w:rPr>
                <w:rFonts w:ascii="Arial" w:cs="Arial" w:eastAsia="Arial" w:hAnsi="Arial"/>
                <w:sz w:val="16"/>
                <w:szCs w:val="16"/>
                <w:color w:val="auto"/>
              </w:rPr>
              <w:t>100</w:t>
            </w:r>
          </w:p>
        </w:tc>
        <w:tc>
          <w:tcPr>
            <w:tcW w:w="26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860" w:type="dxa"/>
            <w:vAlign w:val="bottom"/>
          </w:tcPr>
          <w:p>
            <w:pPr>
              <w:jc w:val="right"/>
              <w:ind w:right="60"/>
              <w:spacing w:after="0" w:line="183" w:lineRule="exact"/>
              <w:rPr>
                <w:sz w:val="20"/>
                <w:szCs w:val="20"/>
                <w:color w:val="auto"/>
              </w:rPr>
            </w:pPr>
            <w:r>
              <w:rPr>
                <w:rFonts w:ascii="Arial" w:cs="Arial" w:eastAsia="Arial" w:hAnsi="Arial"/>
                <w:sz w:val="16"/>
                <w:szCs w:val="16"/>
                <w:color w:val="auto"/>
              </w:rPr>
              <w:t>86</w:t>
            </w:r>
          </w:p>
        </w:tc>
        <w:tc>
          <w:tcPr>
            <w:tcW w:w="2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900" w:type="dxa"/>
            <w:vAlign w:val="bottom"/>
          </w:tcPr>
          <w:p>
            <w:pPr>
              <w:jc w:val="right"/>
              <w:ind w:right="60"/>
              <w:spacing w:after="0" w:line="183" w:lineRule="exact"/>
              <w:rPr>
                <w:sz w:val="20"/>
                <w:szCs w:val="20"/>
                <w:color w:val="auto"/>
              </w:rPr>
            </w:pPr>
            <w:r>
              <w:rPr>
                <w:rFonts w:ascii="Arial" w:cs="Arial" w:eastAsia="Arial" w:hAnsi="Arial"/>
                <w:sz w:val="16"/>
                <w:szCs w:val="16"/>
                <w:color w:val="auto"/>
              </w:rPr>
              <w:t>100</w:t>
            </w:r>
          </w:p>
        </w:tc>
        <w:tc>
          <w:tcPr>
            <w:tcW w:w="26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81"/>
        </w:trPr>
        <w:tc>
          <w:tcPr>
            <w:tcW w:w="4320" w:type="dxa"/>
            <w:vAlign w:val="bottom"/>
            <w:gridSpan w:val="2"/>
            <w:vMerge w:val="restart"/>
          </w:tcPr>
          <w:p>
            <w:pPr>
              <w:spacing w:after="0"/>
              <w:rPr>
                <w:sz w:val="20"/>
                <w:szCs w:val="20"/>
                <w:color w:val="auto"/>
              </w:rPr>
            </w:pPr>
            <w:r>
              <w:rPr>
                <w:rFonts w:ascii="Arial" w:cs="Arial" w:eastAsia="Arial" w:hAnsi="Arial"/>
                <w:sz w:val="16"/>
                <w:szCs w:val="16"/>
                <w:color w:val="auto"/>
              </w:rPr>
              <w:t>SoCalGas:</w:t>
            </w:r>
          </w:p>
        </w:tc>
        <w:tc>
          <w:tcPr>
            <w:tcW w:w="320" w:type="dxa"/>
            <w:vAlign w:val="bottom"/>
            <w:shd w:val="clear" w:color="auto" w:fill="000000"/>
          </w:tcPr>
          <w:p>
            <w:pPr>
              <w:spacing w:after="0"/>
              <w:rPr>
                <w:sz w:val="7"/>
                <w:szCs w:val="7"/>
                <w:color w:val="auto"/>
              </w:rPr>
            </w:pPr>
          </w:p>
        </w:tc>
        <w:tc>
          <w:tcPr>
            <w:tcW w:w="90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90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78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43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300" w:type="dxa"/>
            <w:vAlign w:val="bottom"/>
          </w:tcPr>
          <w:p>
            <w:pPr>
              <w:ind w:left="160"/>
              <w:spacing w:after="0"/>
              <w:rPr>
                <w:sz w:val="20"/>
                <w:szCs w:val="20"/>
                <w:color w:val="auto"/>
              </w:rPr>
            </w:pPr>
            <w:r>
              <w:rPr>
                <w:rFonts w:ascii="Arial" w:cs="Arial" w:eastAsia="Arial" w:hAnsi="Arial"/>
                <w:sz w:val="16"/>
                <w:szCs w:val="16"/>
                <w:color w:val="auto"/>
              </w:rPr>
              <w:t>Preferred stock</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22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21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22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300" w:type="dxa"/>
            <w:vAlign w:val="bottom"/>
            <w:shd w:val="clear" w:color="auto" w:fill="DFDFDF"/>
          </w:tcPr>
          <w:p>
            <w:pPr>
              <w:spacing w:after="0"/>
              <w:rPr>
                <w:sz w:val="7"/>
                <w:szCs w:val="7"/>
                <w:color w:val="auto"/>
              </w:rPr>
            </w:pPr>
          </w:p>
        </w:tc>
        <w:tc>
          <w:tcPr>
            <w:tcW w:w="320" w:type="dxa"/>
            <w:vAlign w:val="bottom"/>
            <w:shd w:val="clear" w:color="auto" w:fill="DFDFDF"/>
          </w:tcPr>
          <w:p>
            <w:pPr>
              <w:spacing w:after="0"/>
              <w:rPr>
                <w:sz w:val="7"/>
                <w:szCs w:val="7"/>
                <w:color w:val="auto"/>
              </w:rPr>
            </w:pPr>
          </w:p>
        </w:tc>
        <w:tc>
          <w:tcPr>
            <w:tcW w:w="900" w:type="dxa"/>
            <w:vAlign w:val="bottom"/>
            <w:shd w:val="clear" w:color="auto" w:fill="DFDFDF"/>
          </w:tcPr>
          <w:p>
            <w:pPr>
              <w:spacing w:after="0"/>
              <w:rPr>
                <w:sz w:val="7"/>
                <w:szCs w:val="7"/>
                <w:color w:val="auto"/>
              </w:rPr>
            </w:pPr>
          </w:p>
        </w:tc>
        <w:tc>
          <w:tcPr>
            <w:tcW w:w="260" w:type="dxa"/>
            <w:vAlign w:val="bottom"/>
            <w:shd w:val="clear" w:color="auto" w:fill="DFDFDF"/>
          </w:tcPr>
          <w:p>
            <w:pPr>
              <w:spacing w:after="0"/>
              <w:rPr>
                <w:sz w:val="7"/>
                <w:szCs w:val="7"/>
                <w:color w:val="auto"/>
              </w:rPr>
            </w:pPr>
          </w:p>
        </w:tc>
        <w:tc>
          <w:tcPr>
            <w:tcW w:w="860" w:type="dxa"/>
            <w:vAlign w:val="bottom"/>
            <w:shd w:val="clear" w:color="auto" w:fill="DFDFDF"/>
          </w:tcPr>
          <w:p>
            <w:pPr>
              <w:spacing w:after="0"/>
              <w:rPr>
                <w:sz w:val="7"/>
                <w:szCs w:val="7"/>
                <w:color w:val="auto"/>
              </w:rPr>
            </w:pPr>
          </w:p>
        </w:tc>
        <w:tc>
          <w:tcPr>
            <w:tcW w:w="220" w:type="dxa"/>
            <w:vAlign w:val="bottom"/>
            <w:shd w:val="clear" w:color="auto" w:fill="DFDFDF"/>
          </w:tcPr>
          <w:p>
            <w:pPr>
              <w:spacing w:after="0"/>
              <w:rPr>
                <w:sz w:val="7"/>
                <w:szCs w:val="7"/>
                <w:color w:val="auto"/>
              </w:rPr>
            </w:pPr>
          </w:p>
        </w:tc>
        <w:tc>
          <w:tcPr>
            <w:tcW w:w="900" w:type="dxa"/>
            <w:vAlign w:val="bottom"/>
            <w:shd w:val="clear" w:color="auto" w:fill="DFDFDF"/>
          </w:tcPr>
          <w:p>
            <w:pPr>
              <w:spacing w:after="0"/>
              <w:rPr>
                <w:sz w:val="7"/>
                <w:szCs w:val="7"/>
                <w:color w:val="auto"/>
              </w:rPr>
            </w:pPr>
          </w:p>
        </w:tc>
        <w:tc>
          <w:tcPr>
            <w:tcW w:w="260" w:type="dxa"/>
            <w:vAlign w:val="bottom"/>
            <w:shd w:val="clear" w:color="auto" w:fill="DFDFDF"/>
          </w:tcPr>
          <w:p>
            <w:pPr>
              <w:spacing w:after="0"/>
              <w:rPr>
                <w:sz w:val="7"/>
                <w:szCs w:val="7"/>
                <w:color w:val="auto"/>
              </w:rPr>
            </w:pPr>
          </w:p>
        </w:tc>
        <w:tc>
          <w:tcPr>
            <w:tcW w:w="780" w:type="dxa"/>
            <w:vAlign w:val="bottom"/>
            <w:shd w:val="clear" w:color="auto" w:fill="DFDFDF"/>
          </w:tcPr>
          <w:p>
            <w:pPr>
              <w:spacing w:after="0"/>
              <w:rPr>
                <w:sz w:val="7"/>
                <w:szCs w:val="7"/>
                <w:color w:val="auto"/>
              </w:rPr>
            </w:pPr>
          </w:p>
        </w:tc>
        <w:tc>
          <w:tcPr>
            <w:tcW w:w="0" w:type="dxa"/>
            <w:vAlign w:val="bottom"/>
          </w:tcPr>
          <w:p>
            <w:pPr>
              <w:spacing w:after="0"/>
              <w:rPr>
                <w:sz w:val="1"/>
                <w:szCs w:val="1"/>
                <w:color w:val="auto"/>
              </w:rPr>
            </w:pPr>
          </w:p>
        </w:tc>
      </w:tr>
    </w:tbl>
    <w:p>
      <w:pPr>
        <w:ind w:left="520" w:right="1459" w:hanging="343"/>
        <w:spacing w:after="0" w:line="245" w:lineRule="auto"/>
        <w:tabs>
          <w:tab w:leader="none" w:pos="520" w:val="left"/>
        </w:tabs>
        <w:numPr>
          <w:ilvl w:val="0"/>
          <w:numId w:val="21"/>
        </w:numPr>
        <w:rPr>
          <w:rFonts w:ascii="Arial" w:cs="Arial" w:eastAsia="Arial" w:hAnsi="Arial"/>
          <w:sz w:val="14"/>
          <w:szCs w:val="14"/>
          <w:i w:val="1"/>
          <w:iCs w:val="1"/>
          <w:color w:val="auto"/>
        </w:rPr>
      </w:pPr>
      <w:r>
        <w:rPr>
          <w:rFonts w:ascii="Arial" w:cs="Arial" w:eastAsia="Arial" w:hAnsi="Arial"/>
          <w:sz w:val="14"/>
          <w:szCs w:val="14"/>
          <w:i w:val="1"/>
          <w:iCs w:val="1"/>
          <w:color w:val="auto"/>
        </w:rPr>
        <w:t>We discuss our investments in affordable housing partnerships in Note 4 of the Notes to Consolidated Financial Statements in the Annual Report.</w:t>
      </w:r>
    </w:p>
    <w:p>
      <w:pPr>
        <w:ind w:left="520" w:hanging="343"/>
        <w:spacing w:after="0"/>
        <w:tabs>
          <w:tab w:leader="none" w:pos="520" w:val="left"/>
        </w:tabs>
        <w:numPr>
          <w:ilvl w:val="0"/>
          <w:numId w:val="21"/>
        </w:numPr>
        <w:rPr>
          <w:rFonts w:ascii="Arial" w:cs="Arial" w:eastAsia="Arial" w:hAnsi="Arial"/>
          <w:sz w:val="14"/>
          <w:szCs w:val="14"/>
          <w:i w:val="1"/>
          <w:iCs w:val="1"/>
          <w:color w:val="auto"/>
        </w:rPr>
      </w:pPr>
      <w:r>
        <w:rPr>
          <w:rFonts w:ascii="Arial" w:cs="Arial" w:eastAsia="Arial" w:hAnsi="Arial"/>
          <w:sz w:val="14"/>
          <w:szCs w:val="14"/>
          <w:i w:val="1"/>
          <w:iCs w:val="1"/>
          <w:color w:val="auto"/>
        </w:rPr>
        <w:t>Before reductions for unamortized discount of $17 million at March 31, 2010 and December 31, 2009.</w:t>
      </w:r>
    </w:p>
    <w:p>
      <w:pPr>
        <w:spacing w:after="0" w:line="1" w:lineRule="exact"/>
        <w:rPr>
          <w:rFonts w:ascii="Arial" w:cs="Arial" w:eastAsia="Arial" w:hAnsi="Arial"/>
          <w:sz w:val="14"/>
          <w:szCs w:val="14"/>
          <w:i w:val="1"/>
          <w:iCs w:val="1"/>
          <w:color w:val="auto"/>
        </w:rPr>
      </w:pPr>
    </w:p>
    <w:p>
      <w:pPr>
        <w:ind w:left="520" w:hanging="343"/>
        <w:spacing w:after="0"/>
        <w:tabs>
          <w:tab w:leader="none" w:pos="520" w:val="left"/>
        </w:tabs>
        <w:numPr>
          <w:ilvl w:val="0"/>
          <w:numId w:val="21"/>
        </w:numPr>
        <w:rPr>
          <w:rFonts w:ascii="Arial" w:cs="Arial" w:eastAsia="Arial" w:hAnsi="Arial"/>
          <w:sz w:val="14"/>
          <w:szCs w:val="14"/>
          <w:i w:val="1"/>
          <w:iCs w:val="1"/>
          <w:color w:val="auto"/>
        </w:rPr>
      </w:pPr>
      <w:r>
        <w:rPr>
          <w:rFonts w:ascii="Arial" w:cs="Arial" w:eastAsia="Arial" w:hAnsi="Arial"/>
          <w:sz w:val="14"/>
          <w:szCs w:val="14"/>
          <w:i w:val="1"/>
          <w:iCs w:val="1"/>
          <w:color w:val="auto"/>
        </w:rPr>
        <w:t>Before reductions for unamortized discount of $4 million at March 31, 2010 and December 31, 2009.</w:t>
      </w:r>
    </w:p>
    <w:p>
      <w:pPr>
        <w:spacing w:after="0" w:line="1" w:lineRule="exact"/>
        <w:rPr>
          <w:rFonts w:ascii="Arial" w:cs="Arial" w:eastAsia="Arial" w:hAnsi="Arial"/>
          <w:sz w:val="14"/>
          <w:szCs w:val="14"/>
          <w:i w:val="1"/>
          <w:iCs w:val="1"/>
          <w:color w:val="auto"/>
        </w:rPr>
      </w:pPr>
    </w:p>
    <w:p>
      <w:pPr>
        <w:ind w:left="520" w:hanging="343"/>
        <w:spacing w:after="0"/>
        <w:tabs>
          <w:tab w:leader="none" w:pos="520" w:val="left"/>
        </w:tabs>
        <w:numPr>
          <w:ilvl w:val="0"/>
          <w:numId w:val="21"/>
        </w:numPr>
        <w:rPr>
          <w:rFonts w:ascii="Arial" w:cs="Arial" w:eastAsia="Arial" w:hAnsi="Arial"/>
          <w:sz w:val="14"/>
          <w:szCs w:val="14"/>
          <w:i w:val="1"/>
          <w:iCs w:val="1"/>
          <w:color w:val="auto"/>
        </w:rPr>
      </w:pPr>
      <w:r>
        <w:rPr>
          <w:rFonts w:ascii="Arial" w:cs="Arial" w:eastAsia="Arial" w:hAnsi="Arial"/>
          <w:sz w:val="14"/>
          <w:szCs w:val="14"/>
          <w:i w:val="1"/>
          <w:iCs w:val="1"/>
          <w:color w:val="auto"/>
        </w:rPr>
        <w:t>Before reductions for unamortized discount of $2 million at March 31, 2010 and December 31, 2009.</w:t>
      </w:r>
    </w:p>
    <w:p>
      <w:pPr>
        <w:spacing w:after="0" w:line="204" w:lineRule="exact"/>
        <w:rPr>
          <w:sz w:val="20"/>
          <w:szCs w:val="20"/>
          <w:color w:val="auto"/>
        </w:rPr>
      </w:pPr>
    </w:p>
    <w:p>
      <w:pPr>
        <w:ind w:right="699"/>
        <w:spacing w:after="0" w:line="218" w:lineRule="auto"/>
        <w:rPr>
          <w:sz w:val="20"/>
          <w:szCs w:val="20"/>
          <w:color w:val="auto"/>
        </w:rPr>
      </w:pPr>
      <w:r>
        <w:rPr>
          <w:rFonts w:ascii="Arial" w:cs="Arial" w:eastAsia="Arial" w:hAnsi="Arial"/>
          <w:sz w:val="22"/>
          <w:szCs w:val="22"/>
          <w:color w:val="auto"/>
        </w:rPr>
        <w:t>Sempra Energy based the fair values of investments in affordable housing partnerships on the present value of estimated future cash flows, discounted at rates available for similar investments. All entities based the fair values of the long-term debt and preferred stock on their quoted market prices or quoted market prices for similar securities.</w:t>
      </w:r>
    </w:p>
    <w:p>
      <w:pPr>
        <w:sectPr>
          <w:pgSz w:w="11900" w:h="16838" w:orient="portrait"/>
          <w:cols w:equalWidth="0" w:num="1">
            <w:col w:w="10219"/>
          </w:cols>
          <w:pgMar w:left="240" w:top="595" w:right="1440" w:bottom="1440" w:gutter="0" w:footer="0" w:header="0"/>
        </w:sectPr>
      </w:pPr>
    </w:p>
    <w:bookmarkStart w:id="49" w:name="page50"/>
    <w:bookmarkEnd w:id="49"/>
    <w:p>
      <w:pPr>
        <w:spacing w:after="0"/>
        <w:rPr>
          <w:sz w:val="20"/>
          <w:szCs w:val="20"/>
          <w:color w:val="auto"/>
        </w:rPr>
      </w:pPr>
      <w:r>
        <w:rPr>
          <w:rFonts w:ascii="Arial" w:cs="Arial" w:eastAsia="Arial" w:hAnsi="Arial"/>
          <w:sz w:val="20"/>
          <w:szCs w:val="20"/>
          <w:b w:val="1"/>
          <w:bCs w:val="1"/>
          <w:i w:val="1"/>
          <w:iCs w:val="1"/>
          <w:color w:val="auto"/>
        </w:rPr>
        <w:t>Nuclear Decommissioning Trusts</w:t>
      </w:r>
    </w:p>
    <w:p>
      <w:pPr>
        <w:spacing w:after="0" w:line="20" w:lineRule="exact"/>
        <w:rPr>
          <w:sz w:val="20"/>
          <w:szCs w:val="20"/>
          <w:color w:val="auto"/>
        </w:rPr>
      </w:pPr>
    </w:p>
    <w:p>
      <w:pPr>
        <w:ind w:right="779"/>
        <w:spacing w:after="0" w:line="219" w:lineRule="auto"/>
        <w:rPr>
          <w:sz w:val="20"/>
          <w:szCs w:val="20"/>
          <w:color w:val="auto"/>
        </w:rPr>
      </w:pPr>
      <w:r>
        <w:rPr>
          <w:rFonts w:ascii="Arial" w:cs="Arial" w:eastAsia="Arial" w:hAnsi="Arial"/>
          <w:sz w:val="22"/>
          <w:szCs w:val="22"/>
          <w:color w:val="auto"/>
        </w:rPr>
        <w:t>We discuss SDG&amp;E's investments in nuclear decommissioning trust funds in Note 7 of the Notes to Consolidated Financial Statements in the Annual Report. The following table shows the fair values and gross unrealized gains and losses for the securities held in the trust funds:</w:t>
      </w: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NUCLEAR DECOMMISSIONING TRUSTS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5574030" cy="2317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7403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60"/>
              <w:spacing w:after="0"/>
              <w:rPr>
                <w:sz w:val="20"/>
                <w:szCs w:val="20"/>
                <w:color w:val="auto"/>
              </w:rPr>
            </w:pPr>
            <w:r>
              <w:rPr>
                <w:rFonts w:ascii="Arial" w:cs="Arial" w:eastAsia="Arial" w:hAnsi="Arial"/>
                <w:sz w:val="14"/>
                <w:szCs w:val="14"/>
                <w:color w:val="auto"/>
              </w:rPr>
              <w:t>Gross</w:t>
            </w:r>
          </w:p>
        </w:tc>
        <w:tc>
          <w:tcPr>
            <w:tcW w:w="240" w:type="dxa"/>
            <w:vAlign w:val="bottom"/>
          </w:tcPr>
          <w:p>
            <w:pPr>
              <w:spacing w:after="0"/>
              <w:rPr>
                <w:sz w:val="14"/>
                <w:szCs w:val="14"/>
                <w:color w:val="auto"/>
              </w:rPr>
            </w:pPr>
          </w:p>
        </w:tc>
        <w:tc>
          <w:tcPr>
            <w:tcW w:w="900" w:type="dxa"/>
            <w:vAlign w:val="bottom"/>
          </w:tcPr>
          <w:p>
            <w:pPr>
              <w:jc w:val="right"/>
              <w:ind w:right="380"/>
              <w:spacing w:after="0"/>
              <w:rPr>
                <w:sz w:val="20"/>
                <w:szCs w:val="20"/>
                <w:color w:val="auto"/>
              </w:rPr>
            </w:pPr>
            <w:r>
              <w:rPr>
                <w:rFonts w:ascii="Arial" w:cs="Arial" w:eastAsia="Arial" w:hAnsi="Arial"/>
                <w:sz w:val="14"/>
                <w:szCs w:val="14"/>
                <w:color w:val="auto"/>
              </w:rPr>
              <w:t>Gross</w:t>
            </w:r>
          </w:p>
        </w:tc>
        <w:tc>
          <w:tcPr>
            <w:tcW w:w="1020" w:type="dxa"/>
            <w:vAlign w:val="bottom"/>
            <w:gridSpan w:val="2"/>
          </w:tcPr>
          <w:p>
            <w:pPr>
              <w:jc w:val="center"/>
              <w:ind w:right="20"/>
              <w:spacing w:after="0"/>
              <w:rPr>
                <w:sz w:val="20"/>
                <w:szCs w:val="20"/>
                <w:color w:val="auto"/>
              </w:rPr>
            </w:pPr>
            <w:r>
              <w:rPr>
                <w:rFonts w:ascii="Arial" w:cs="Arial" w:eastAsia="Arial" w:hAnsi="Arial"/>
                <w:sz w:val="14"/>
                <w:szCs w:val="14"/>
                <w:color w:val="auto"/>
              </w:rPr>
              <w:t>Estimated</w:t>
            </w:r>
          </w:p>
        </w:tc>
      </w:tr>
      <w:tr>
        <w:trPr>
          <w:trHeight w:val="189"/>
        </w:trPr>
        <w:tc>
          <w:tcPr>
            <w:tcW w:w="2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color w:val="auto"/>
              </w:rPr>
              <w:t>Unrealized</w:t>
            </w:r>
          </w:p>
        </w:tc>
        <w:tc>
          <w:tcPr>
            <w:tcW w:w="1140" w:type="dxa"/>
            <w:vAlign w:val="bottom"/>
            <w:gridSpan w:val="2"/>
          </w:tcPr>
          <w:p>
            <w:pPr>
              <w:ind w:left="140"/>
              <w:spacing w:after="0"/>
              <w:rPr>
                <w:sz w:val="20"/>
                <w:szCs w:val="20"/>
                <w:color w:val="auto"/>
              </w:rPr>
            </w:pPr>
            <w:r>
              <w:rPr>
                <w:rFonts w:ascii="Arial" w:cs="Arial" w:eastAsia="Arial" w:hAnsi="Arial"/>
                <w:sz w:val="14"/>
                <w:szCs w:val="14"/>
                <w:color w:val="auto"/>
              </w:rPr>
              <w:t>Unrealized</w:t>
            </w:r>
          </w:p>
        </w:tc>
        <w:tc>
          <w:tcPr>
            <w:tcW w:w="240" w:type="dxa"/>
            <w:vAlign w:val="bottom"/>
          </w:tcPr>
          <w:p>
            <w:pPr>
              <w:spacing w:after="0"/>
              <w:rPr>
                <w:sz w:val="16"/>
                <w:szCs w:val="16"/>
                <w:color w:val="auto"/>
              </w:rPr>
            </w:pPr>
          </w:p>
        </w:tc>
        <w:tc>
          <w:tcPr>
            <w:tcW w:w="780" w:type="dxa"/>
            <w:vAlign w:val="bottom"/>
          </w:tcPr>
          <w:p>
            <w:pPr>
              <w:jc w:val="center"/>
              <w:ind w:right="240"/>
              <w:spacing w:after="0"/>
              <w:rPr>
                <w:sz w:val="20"/>
                <w:szCs w:val="20"/>
                <w:color w:val="auto"/>
              </w:rPr>
            </w:pPr>
            <w:r>
              <w:rPr>
                <w:rFonts w:ascii="Arial" w:cs="Arial" w:eastAsia="Arial" w:hAnsi="Arial"/>
                <w:sz w:val="14"/>
                <w:szCs w:val="14"/>
                <w:color w:val="auto"/>
              </w:rPr>
              <w:t>Fair</w:t>
            </w:r>
          </w:p>
        </w:tc>
      </w:tr>
      <w:tr>
        <w:trPr>
          <w:trHeight w:val="174"/>
        </w:trPr>
        <w:tc>
          <w:tcPr>
            <w:tcW w:w="20" w:type="dxa"/>
            <w:vAlign w:val="bottom"/>
          </w:tcPr>
          <w:p>
            <w:pPr>
              <w:spacing w:after="0"/>
              <w:rPr>
                <w:sz w:val="15"/>
                <w:szCs w:val="15"/>
                <w:color w:val="auto"/>
              </w:rPr>
            </w:pPr>
          </w:p>
        </w:tc>
        <w:tc>
          <w:tcPr>
            <w:tcW w:w="4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Cost</w:t>
            </w:r>
          </w:p>
        </w:tc>
        <w:tc>
          <w:tcPr>
            <w:tcW w:w="4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Gains</w:t>
            </w: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Losses</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260"/>
              <w:spacing w:after="0"/>
              <w:rPr>
                <w:sz w:val="20"/>
                <w:szCs w:val="20"/>
                <w:color w:val="auto"/>
              </w:rPr>
            </w:pPr>
            <w:r>
              <w:rPr>
                <w:rFonts w:ascii="Arial" w:cs="Arial" w:eastAsia="Arial" w:hAnsi="Arial"/>
                <w:sz w:val="14"/>
                <w:szCs w:val="14"/>
                <w:color w:val="auto"/>
              </w:rPr>
              <w:t>Value</w:t>
            </w:r>
          </w:p>
        </w:tc>
      </w:tr>
      <w:tr>
        <w:trPr>
          <w:trHeight w:val="184"/>
        </w:trPr>
        <w:tc>
          <w:tcPr>
            <w:tcW w:w="20" w:type="dxa"/>
            <w:vAlign w:val="bottom"/>
          </w:tcPr>
          <w:p>
            <w:pPr>
              <w:spacing w:after="0"/>
              <w:rPr>
                <w:sz w:val="16"/>
                <w:szCs w:val="16"/>
                <w:color w:val="auto"/>
              </w:rPr>
            </w:pPr>
          </w:p>
        </w:tc>
        <w:tc>
          <w:tcPr>
            <w:tcW w:w="4280" w:type="dxa"/>
            <w:vAlign w:val="bottom"/>
          </w:tcPr>
          <w:p>
            <w:pPr>
              <w:spacing w:after="0"/>
              <w:rPr>
                <w:sz w:val="20"/>
                <w:szCs w:val="20"/>
                <w:color w:val="auto"/>
              </w:rPr>
            </w:pPr>
            <w:r>
              <w:rPr>
                <w:rFonts w:ascii="Arial" w:cs="Arial" w:eastAsia="Arial" w:hAnsi="Arial"/>
                <w:sz w:val="16"/>
                <w:szCs w:val="16"/>
                <w:b w:val="1"/>
                <w:bCs w:val="1"/>
                <w:color w:val="auto"/>
              </w:rPr>
              <w:t>As of March 31, 2010:</w:t>
            </w: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9"/>
        </w:trPr>
        <w:tc>
          <w:tcPr>
            <w:tcW w:w="4300" w:type="dxa"/>
            <w:vAlign w:val="bottom"/>
            <w:gridSpan w:val="2"/>
          </w:tcPr>
          <w:p>
            <w:pPr>
              <w:spacing w:after="0"/>
              <w:rPr>
                <w:sz w:val="20"/>
                <w:szCs w:val="20"/>
                <w:color w:val="auto"/>
              </w:rPr>
            </w:pPr>
            <w:r>
              <w:rPr>
                <w:rFonts w:ascii="Arial" w:cs="Arial" w:eastAsia="Arial" w:hAnsi="Arial"/>
                <w:sz w:val="16"/>
                <w:szCs w:val="16"/>
                <w:color w:val="auto"/>
              </w:rPr>
              <w:t>Debt securities</w:t>
            </w: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4280" w:type="dxa"/>
            <w:vAlign w:val="bottom"/>
          </w:tcPr>
          <w:p>
            <w:pPr>
              <w:ind w:left="160"/>
              <w:spacing w:after="0"/>
              <w:rPr>
                <w:sz w:val="20"/>
                <w:szCs w:val="20"/>
                <w:color w:val="auto"/>
              </w:rPr>
            </w:pPr>
            <w:r>
              <w:rPr>
                <w:rFonts w:ascii="Arial" w:cs="Arial" w:eastAsia="Arial" w:hAnsi="Arial"/>
                <w:sz w:val="16"/>
                <w:szCs w:val="16"/>
                <w:color w:val="auto"/>
              </w:rPr>
              <w:t>U.S. government(1)</w:t>
            </w:r>
          </w:p>
        </w:tc>
        <w:tc>
          <w:tcPr>
            <w:tcW w:w="760" w:type="dxa"/>
            <w:vAlign w:val="bottom"/>
          </w:tcPr>
          <w:p>
            <w:pPr>
              <w:jc w:val="right"/>
              <w:ind w:right="381"/>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138</w:t>
            </w:r>
          </w:p>
        </w:tc>
        <w:tc>
          <w:tcPr>
            <w:tcW w:w="260" w:type="dxa"/>
            <w:vAlign w:val="bottom"/>
          </w:tcPr>
          <w:p>
            <w:pPr>
              <w:ind w:left="1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12</w:t>
            </w:r>
          </w:p>
        </w:tc>
        <w:tc>
          <w:tcPr>
            <w:tcW w:w="240" w:type="dxa"/>
            <w:vAlign w:val="bottom"/>
          </w:tcPr>
          <w:p>
            <w:pPr>
              <w:ind w:left="1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148</w:t>
            </w:r>
          </w:p>
        </w:tc>
      </w:tr>
      <w:tr>
        <w:trPr>
          <w:trHeight w:val="189"/>
        </w:trPr>
        <w:tc>
          <w:tcPr>
            <w:tcW w:w="20" w:type="dxa"/>
            <w:vAlign w:val="bottom"/>
          </w:tcPr>
          <w:p>
            <w:pPr>
              <w:spacing w:after="0"/>
              <w:rPr>
                <w:sz w:val="16"/>
                <w:szCs w:val="16"/>
                <w:color w:val="auto"/>
              </w:rPr>
            </w:pPr>
          </w:p>
        </w:tc>
        <w:tc>
          <w:tcPr>
            <w:tcW w:w="4280" w:type="dxa"/>
            <w:vAlign w:val="bottom"/>
          </w:tcPr>
          <w:p>
            <w:pPr>
              <w:ind w:left="160"/>
              <w:spacing w:after="0"/>
              <w:rPr>
                <w:sz w:val="20"/>
                <w:szCs w:val="20"/>
                <w:color w:val="auto"/>
              </w:rPr>
            </w:pPr>
            <w:r>
              <w:rPr>
                <w:rFonts w:ascii="Arial" w:cs="Arial" w:eastAsia="Arial" w:hAnsi="Arial"/>
                <w:sz w:val="16"/>
                <w:szCs w:val="16"/>
                <w:color w:val="auto"/>
              </w:rPr>
              <w:t>Municipal bonds(2)</w:t>
            </w:r>
          </w:p>
        </w:tc>
        <w:tc>
          <w:tcPr>
            <w:tcW w:w="760" w:type="dxa"/>
            <w:vAlign w:val="bottom"/>
          </w:tcPr>
          <w:p>
            <w:pPr>
              <w:spacing w:after="0"/>
              <w:rPr>
                <w:sz w:val="16"/>
                <w:szCs w:val="16"/>
                <w:color w:val="auto"/>
              </w:rPr>
            </w:pP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76</w:t>
            </w:r>
          </w:p>
        </w:tc>
        <w:tc>
          <w:tcPr>
            <w:tcW w:w="260" w:type="dxa"/>
            <w:vAlign w:val="bottom"/>
          </w:tcPr>
          <w:p>
            <w:pPr>
              <w:spacing w:after="0"/>
              <w:rPr>
                <w:sz w:val="16"/>
                <w:szCs w:val="16"/>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16"/>
                <w:szCs w:val="16"/>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187"/>
        </w:trPr>
        <w:tc>
          <w:tcPr>
            <w:tcW w:w="20" w:type="dxa"/>
            <w:vAlign w:val="bottom"/>
          </w:tcPr>
          <w:p>
            <w:pPr>
              <w:spacing w:after="0"/>
              <w:rPr>
                <w:sz w:val="16"/>
                <w:szCs w:val="16"/>
                <w:color w:val="auto"/>
              </w:rPr>
            </w:pPr>
          </w:p>
        </w:tc>
        <w:tc>
          <w:tcPr>
            <w:tcW w:w="4280" w:type="dxa"/>
            <w:vAlign w:val="bottom"/>
          </w:tcPr>
          <w:p>
            <w:pPr>
              <w:ind w:left="160"/>
              <w:spacing w:after="0"/>
              <w:rPr>
                <w:sz w:val="20"/>
                <w:szCs w:val="20"/>
                <w:color w:val="auto"/>
              </w:rPr>
            </w:pPr>
            <w:r>
              <w:rPr>
                <w:rFonts w:ascii="Arial" w:cs="Arial" w:eastAsia="Arial" w:hAnsi="Arial"/>
                <w:sz w:val="16"/>
                <w:szCs w:val="16"/>
                <w:color w:val="auto"/>
              </w:rPr>
              <w:t>Other securities(3)</w:t>
            </w:r>
          </w:p>
        </w:tc>
        <w:tc>
          <w:tcPr>
            <w:tcW w:w="7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r>
      <w:tr>
        <w:trPr>
          <w:trHeight w:val="184"/>
        </w:trPr>
        <w:tc>
          <w:tcPr>
            <w:tcW w:w="4300" w:type="dxa"/>
            <w:vAlign w:val="bottom"/>
            <w:gridSpan w:val="2"/>
          </w:tcPr>
          <w:p>
            <w:pPr>
              <w:spacing w:after="0"/>
              <w:rPr>
                <w:sz w:val="20"/>
                <w:szCs w:val="20"/>
                <w:color w:val="auto"/>
              </w:rPr>
            </w:pPr>
            <w:r>
              <w:rPr>
                <w:rFonts w:ascii="Arial" w:cs="Arial" w:eastAsia="Arial" w:hAnsi="Arial"/>
                <w:sz w:val="16"/>
                <w:szCs w:val="16"/>
                <w:color w:val="auto"/>
              </w:rPr>
              <w:t>Total debt securities</w:t>
            </w:r>
          </w:p>
        </w:tc>
        <w:tc>
          <w:tcPr>
            <w:tcW w:w="760" w:type="dxa"/>
            <w:vAlign w:val="bottom"/>
          </w:tcPr>
          <w:p>
            <w:pPr>
              <w:spacing w:after="0"/>
              <w:rPr>
                <w:sz w:val="16"/>
                <w:szCs w:val="16"/>
                <w:color w:val="auto"/>
              </w:rPr>
            </w:pP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241</w:t>
            </w:r>
          </w:p>
        </w:tc>
        <w:tc>
          <w:tcPr>
            <w:tcW w:w="260" w:type="dxa"/>
            <w:vAlign w:val="bottom"/>
          </w:tcPr>
          <w:p>
            <w:pPr>
              <w:spacing w:after="0"/>
              <w:rPr>
                <w:sz w:val="16"/>
                <w:szCs w:val="16"/>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16</w:t>
            </w:r>
          </w:p>
        </w:tc>
        <w:tc>
          <w:tcPr>
            <w:tcW w:w="240" w:type="dxa"/>
            <w:vAlign w:val="bottom"/>
          </w:tcPr>
          <w:p>
            <w:pPr>
              <w:spacing w:after="0"/>
              <w:rPr>
                <w:sz w:val="16"/>
                <w:szCs w:val="16"/>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253</w:t>
            </w:r>
          </w:p>
        </w:tc>
      </w:tr>
      <w:tr>
        <w:trPr>
          <w:trHeight w:val="189"/>
        </w:trPr>
        <w:tc>
          <w:tcPr>
            <w:tcW w:w="4300" w:type="dxa"/>
            <w:vAlign w:val="bottom"/>
            <w:gridSpan w:val="2"/>
          </w:tcPr>
          <w:p>
            <w:pPr>
              <w:spacing w:after="0"/>
              <w:rPr>
                <w:sz w:val="20"/>
                <w:szCs w:val="20"/>
                <w:color w:val="auto"/>
              </w:rPr>
            </w:pPr>
            <w:r>
              <w:rPr>
                <w:rFonts w:ascii="Arial" w:cs="Arial" w:eastAsia="Arial" w:hAnsi="Arial"/>
                <w:sz w:val="16"/>
                <w:szCs w:val="16"/>
                <w:color w:val="auto"/>
              </w:rPr>
              <w:t>Equity securities</w:t>
            </w:r>
          </w:p>
        </w:tc>
        <w:tc>
          <w:tcPr>
            <w:tcW w:w="760" w:type="dxa"/>
            <w:vAlign w:val="bottom"/>
          </w:tcPr>
          <w:p>
            <w:pPr>
              <w:spacing w:after="0"/>
              <w:rPr>
                <w:sz w:val="16"/>
                <w:szCs w:val="16"/>
                <w:color w:val="auto"/>
              </w:rPr>
            </w:pP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242</w:t>
            </w:r>
          </w:p>
        </w:tc>
        <w:tc>
          <w:tcPr>
            <w:tcW w:w="260" w:type="dxa"/>
            <w:vAlign w:val="bottom"/>
          </w:tcPr>
          <w:p>
            <w:pPr>
              <w:spacing w:after="0"/>
              <w:rPr>
                <w:sz w:val="16"/>
                <w:szCs w:val="16"/>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205</w:t>
            </w:r>
          </w:p>
        </w:tc>
        <w:tc>
          <w:tcPr>
            <w:tcW w:w="240" w:type="dxa"/>
            <w:vAlign w:val="bottom"/>
          </w:tcPr>
          <w:p>
            <w:pPr>
              <w:spacing w:after="0"/>
              <w:rPr>
                <w:sz w:val="16"/>
                <w:szCs w:val="16"/>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443</w:t>
            </w:r>
          </w:p>
        </w:tc>
      </w:tr>
      <w:tr>
        <w:trPr>
          <w:trHeight w:val="187"/>
        </w:trPr>
        <w:tc>
          <w:tcPr>
            <w:tcW w:w="4300" w:type="dxa"/>
            <w:vAlign w:val="bottom"/>
            <w:gridSpan w:val="2"/>
          </w:tcPr>
          <w:p>
            <w:pPr>
              <w:spacing w:after="0"/>
              <w:rPr>
                <w:sz w:val="20"/>
                <w:szCs w:val="20"/>
                <w:color w:val="auto"/>
              </w:rPr>
            </w:pPr>
            <w:r>
              <w:rPr>
                <w:rFonts w:ascii="Arial" w:cs="Arial" w:eastAsia="Arial" w:hAnsi="Arial"/>
                <w:sz w:val="16"/>
                <w:szCs w:val="16"/>
                <w:color w:val="auto"/>
              </w:rPr>
              <w:t>Cash and cash equivalents</w:t>
            </w:r>
          </w:p>
        </w:tc>
        <w:tc>
          <w:tcPr>
            <w:tcW w:w="7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183"/>
        </w:trPr>
        <w:tc>
          <w:tcPr>
            <w:tcW w:w="4300" w:type="dxa"/>
            <w:vAlign w:val="bottom"/>
            <w:gridSpan w:val="2"/>
          </w:tcPr>
          <w:p>
            <w:pPr>
              <w:spacing w:after="0" w:line="183" w:lineRule="exact"/>
              <w:rPr>
                <w:sz w:val="20"/>
                <w:szCs w:val="20"/>
                <w:color w:val="auto"/>
              </w:rPr>
            </w:pPr>
            <w:r>
              <w:rPr>
                <w:rFonts w:ascii="Arial" w:cs="Arial" w:eastAsia="Arial" w:hAnsi="Arial"/>
                <w:sz w:val="16"/>
                <w:szCs w:val="16"/>
                <w:color w:val="auto"/>
              </w:rPr>
              <w:t>Total available-for-sale securities</w:t>
            </w:r>
          </w:p>
        </w:tc>
        <w:tc>
          <w:tcPr>
            <w:tcW w:w="760" w:type="dxa"/>
            <w:vAlign w:val="bottom"/>
          </w:tcPr>
          <w:p>
            <w:pPr>
              <w:jc w:val="right"/>
              <w:ind w:right="381"/>
              <w:spacing w:after="0" w:line="183" w:lineRule="exact"/>
              <w:rPr>
                <w:sz w:val="20"/>
                <w:szCs w:val="20"/>
                <w:color w:val="auto"/>
              </w:rPr>
            </w:pPr>
            <w:r>
              <w:rPr>
                <w:rFonts w:ascii="Arial" w:cs="Arial" w:eastAsia="Arial" w:hAnsi="Arial"/>
                <w:sz w:val="16"/>
                <w:szCs w:val="16"/>
                <w:color w:val="auto"/>
              </w:rPr>
              <w:t>$</w:t>
            </w:r>
          </w:p>
        </w:tc>
        <w:tc>
          <w:tcPr>
            <w:tcW w:w="440" w:type="dxa"/>
            <w:vAlign w:val="bottom"/>
          </w:tcPr>
          <w:p>
            <w:pPr>
              <w:jc w:val="right"/>
              <w:ind w:right="39"/>
              <w:spacing w:after="0" w:line="183" w:lineRule="exact"/>
              <w:rPr>
                <w:sz w:val="20"/>
                <w:szCs w:val="20"/>
                <w:color w:val="auto"/>
              </w:rPr>
            </w:pPr>
            <w:r>
              <w:rPr>
                <w:rFonts w:ascii="Arial" w:cs="Arial" w:eastAsia="Arial" w:hAnsi="Arial"/>
                <w:sz w:val="16"/>
                <w:szCs w:val="16"/>
                <w:color w:val="auto"/>
              </w:rPr>
              <w:t>493</w:t>
            </w:r>
          </w:p>
        </w:tc>
        <w:tc>
          <w:tcPr>
            <w:tcW w:w="260" w:type="dxa"/>
            <w:vAlign w:val="bottom"/>
          </w:tcPr>
          <w:p>
            <w:pPr>
              <w:ind w:left="140"/>
              <w:spacing w:after="0" w:line="183" w:lineRule="exact"/>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line="183" w:lineRule="exact"/>
              <w:rPr>
                <w:sz w:val="20"/>
                <w:szCs w:val="20"/>
                <w:color w:val="auto"/>
              </w:rPr>
            </w:pPr>
            <w:r>
              <w:rPr>
                <w:rFonts w:ascii="Arial" w:cs="Arial" w:eastAsia="Arial" w:hAnsi="Arial"/>
                <w:sz w:val="16"/>
                <w:szCs w:val="16"/>
                <w:color w:val="auto"/>
              </w:rPr>
              <w:t>221</w:t>
            </w:r>
          </w:p>
        </w:tc>
        <w:tc>
          <w:tcPr>
            <w:tcW w:w="240" w:type="dxa"/>
            <w:vAlign w:val="bottom"/>
          </w:tcPr>
          <w:p>
            <w:pPr>
              <w:ind w:left="140"/>
              <w:spacing w:after="0" w:line="183" w:lineRule="exact"/>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line="183" w:lineRule="exact"/>
              <w:rPr>
                <w:sz w:val="20"/>
                <w:szCs w:val="20"/>
                <w:color w:val="auto"/>
              </w:rPr>
            </w:pPr>
            <w:r>
              <w:rPr>
                <w:rFonts w:ascii="Arial" w:cs="Arial" w:eastAsia="Arial" w:hAnsi="Arial"/>
                <w:sz w:val="16"/>
                <w:szCs w:val="16"/>
                <w:color w:val="auto"/>
              </w:rPr>
              <w:t>(8)</w:t>
            </w:r>
          </w:p>
        </w:tc>
        <w:tc>
          <w:tcPr>
            <w:tcW w:w="24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706</w:t>
            </w:r>
          </w:p>
        </w:tc>
      </w:tr>
      <w:tr>
        <w:trPr>
          <w:trHeight w:val="81"/>
        </w:trPr>
        <w:tc>
          <w:tcPr>
            <w:tcW w:w="4300" w:type="dxa"/>
            <w:vAlign w:val="bottom"/>
            <w:gridSpan w:val="2"/>
            <w:shd w:val="clear" w:color="auto" w:fill="000000"/>
          </w:tcPr>
          <w:p>
            <w:pPr>
              <w:spacing w:after="0"/>
              <w:rPr>
                <w:sz w:val="7"/>
                <w:szCs w:val="7"/>
                <w:color w:val="auto"/>
              </w:rPr>
            </w:pPr>
          </w:p>
        </w:tc>
        <w:tc>
          <w:tcPr>
            <w:tcW w:w="760" w:type="dxa"/>
            <w:vAlign w:val="bottom"/>
            <w:shd w:val="clear" w:color="auto" w:fill="000000"/>
          </w:tcPr>
          <w:p>
            <w:pPr>
              <w:spacing w:after="0"/>
              <w:rPr>
                <w:sz w:val="7"/>
                <w:szCs w:val="7"/>
                <w:color w:val="auto"/>
              </w:rPr>
            </w:pPr>
          </w:p>
        </w:tc>
        <w:tc>
          <w:tcPr>
            <w:tcW w:w="44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c>
          <w:tcPr>
            <w:tcW w:w="240" w:type="dxa"/>
            <w:vAlign w:val="bottom"/>
            <w:shd w:val="clear" w:color="auto" w:fill="000000"/>
          </w:tcPr>
          <w:p>
            <w:pPr>
              <w:spacing w:after="0"/>
              <w:rPr>
                <w:sz w:val="7"/>
                <w:szCs w:val="7"/>
                <w:color w:val="auto"/>
              </w:rPr>
            </w:pPr>
          </w:p>
        </w:tc>
        <w:tc>
          <w:tcPr>
            <w:tcW w:w="900" w:type="dxa"/>
            <w:vAlign w:val="bottom"/>
            <w:shd w:val="clear" w:color="auto" w:fill="000000"/>
          </w:tcPr>
          <w:p>
            <w:pPr>
              <w:spacing w:after="0"/>
              <w:rPr>
                <w:sz w:val="7"/>
                <w:szCs w:val="7"/>
                <w:color w:val="auto"/>
              </w:rPr>
            </w:pPr>
          </w:p>
        </w:tc>
        <w:tc>
          <w:tcPr>
            <w:tcW w:w="240" w:type="dxa"/>
            <w:vAlign w:val="bottom"/>
            <w:shd w:val="clear" w:color="auto" w:fill="000000"/>
          </w:tcPr>
          <w:p>
            <w:pPr>
              <w:spacing w:after="0"/>
              <w:rPr>
                <w:sz w:val="7"/>
                <w:szCs w:val="7"/>
                <w:color w:val="auto"/>
              </w:rPr>
            </w:pPr>
          </w:p>
        </w:tc>
        <w:tc>
          <w:tcPr>
            <w:tcW w:w="780" w:type="dxa"/>
            <w:vAlign w:val="bottom"/>
            <w:shd w:val="clear" w:color="auto" w:fill="000000"/>
          </w:tcPr>
          <w:p>
            <w:pPr>
              <w:spacing w:after="0"/>
              <w:rPr>
                <w:sz w:val="7"/>
                <w:szCs w:val="7"/>
                <w:color w:val="auto"/>
              </w:rPr>
            </w:pPr>
          </w:p>
        </w:tc>
      </w:tr>
      <w:tr>
        <w:trPr>
          <w:trHeight w:val="191"/>
        </w:trPr>
        <w:tc>
          <w:tcPr>
            <w:tcW w:w="4300" w:type="dxa"/>
            <w:vAlign w:val="bottom"/>
            <w:gridSpan w:val="2"/>
          </w:tcPr>
          <w:p>
            <w:pPr>
              <w:spacing w:after="0"/>
              <w:rPr>
                <w:sz w:val="20"/>
                <w:szCs w:val="20"/>
                <w:color w:val="auto"/>
              </w:rPr>
            </w:pPr>
            <w:r>
              <w:rPr>
                <w:rFonts w:ascii="Arial" w:cs="Arial" w:eastAsia="Arial" w:hAnsi="Arial"/>
                <w:sz w:val="16"/>
                <w:szCs w:val="16"/>
                <w:b w:val="1"/>
                <w:bCs w:val="1"/>
                <w:color w:val="auto"/>
              </w:rPr>
              <w:t>As of December 31, 2009:</w:t>
            </w: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9"/>
        </w:trPr>
        <w:tc>
          <w:tcPr>
            <w:tcW w:w="4300" w:type="dxa"/>
            <w:vAlign w:val="bottom"/>
            <w:gridSpan w:val="2"/>
          </w:tcPr>
          <w:p>
            <w:pPr>
              <w:spacing w:after="0"/>
              <w:rPr>
                <w:sz w:val="20"/>
                <w:szCs w:val="20"/>
                <w:color w:val="auto"/>
              </w:rPr>
            </w:pPr>
            <w:r>
              <w:rPr>
                <w:rFonts w:ascii="Arial" w:cs="Arial" w:eastAsia="Arial" w:hAnsi="Arial"/>
                <w:sz w:val="16"/>
                <w:szCs w:val="16"/>
                <w:color w:val="auto"/>
              </w:rPr>
              <w:t>Debt securities</w:t>
            </w: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4280" w:type="dxa"/>
            <w:vAlign w:val="bottom"/>
          </w:tcPr>
          <w:p>
            <w:pPr>
              <w:ind w:left="160"/>
              <w:spacing w:after="0"/>
              <w:rPr>
                <w:sz w:val="20"/>
                <w:szCs w:val="20"/>
                <w:color w:val="auto"/>
              </w:rPr>
            </w:pPr>
            <w:r>
              <w:rPr>
                <w:rFonts w:ascii="Arial" w:cs="Arial" w:eastAsia="Arial" w:hAnsi="Arial"/>
                <w:sz w:val="16"/>
                <w:szCs w:val="16"/>
                <w:color w:val="auto"/>
              </w:rPr>
              <w:t>U.S. government</w:t>
            </w:r>
          </w:p>
        </w:tc>
        <w:tc>
          <w:tcPr>
            <w:tcW w:w="760" w:type="dxa"/>
            <w:vAlign w:val="bottom"/>
          </w:tcPr>
          <w:p>
            <w:pPr>
              <w:jc w:val="right"/>
              <w:ind w:right="381"/>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141</w:t>
            </w:r>
          </w:p>
        </w:tc>
        <w:tc>
          <w:tcPr>
            <w:tcW w:w="260" w:type="dxa"/>
            <w:vAlign w:val="bottom"/>
          </w:tcPr>
          <w:p>
            <w:pPr>
              <w:ind w:left="1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12</w:t>
            </w:r>
          </w:p>
        </w:tc>
        <w:tc>
          <w:tcPr>
            <w:tcW w:w="240" w:type="dxa"/>
            <w:vAlign w:val="bottom"/>
          </w:tcPr>
          <w:p>
            <w:pPr>
              <w:ind w:left="1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150</w:t>
            </w:r>
          </w:p>
        </w:tc>
      </w:tr>
      <w:tr>
        <w:trPr>
          <w:trHeight w:val="195"/>
        </w:trPr>
        <w:tc>
          <w:tcPr>
            <w:tcW w:w="20" w:type="dxa"/>
            <w:vAlign w:val="bottom"/>
          </w:tcPr>
          <w:p>
            <w:pPr>
              <w:spacing w:after="0"/>
              <w:rPr>
                <w:sz w:val="16"/>
                <w:szCs w:val="16"/>
                <w:color w:val="auto"/>
              </w:rPr>
            </w:pPr>
          </w:p>
        </w:tc>
        <w:tc>
          <w:tcPr>
            <w:tcW w:w="4280" w:type="dxa"/>
            <w:vAlign w:val="bottom"/>
          </w:tcPr>
          <w:p>
            <w:pPr>
              <w:ind w:left="160"/>
              <w:spacing w:after="0"/>
              <w:rPr>
                <w:sz w:val="20"/>
                <w:szCs w:val="20"/>
                <w:color w:val="auto"/>
              </w:rPr>
            </w:pPr>
            <w:r>
              <w:rPr>
                <w:rFonts w:ascii="Arial" w:cs="Arial" w:eastAsia="Arial" w:hAnsi="Arial"/>
                <w:sz w:val="16"/>
                <w:szCs w:val="16"/>
                <w:color w:val="auto"/>
              </w:rPr>
              <w:t>Municipal bonds</w:t>
            </w:r>
          </w:p>
        </w:tc>
        <w:tc>
          <w:tcPr>
            <w:tcW w:w="760" w:type="dxa"/>
            <w:vAlign w:val="bottom"/>
          </w:tcPr>
          <w:p>
            <w:pPr>
              <w:spacing w:after="0"/>
              <w:rPr>
                <w:sz w:val="16"/>
                <w:szCs w:val="16"/>
                <w:color w:val="auto"/>
              </w:rPr>
            </w:pP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85</w:t>
            </w:r>
          </w:p>
        </w:tc>
        <w:tc>
          <w:tcPr>
            <w:tcW w:w="260" w:type="dxa"/>
            <w:vAlign w:val="bottom"/>
          </w:tcPr>
          <w:p>
            <w:pPr>
              <w:spacing w:after="0"/>
              <w:rPr>
                <w:sz w:val="16"/>
                <w:szCs w:val="16"/>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16"/>
                <w:szCs w:val="16"/>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85</w:t>
            </w:r>
          </w:p>
        </w:tc>
      </w:tr>
      <w:tr>
        <w:trPr>
          <w:trHeight w:val="195"/>
        </w:trPr>
        <w:tc>
          <w:tcPr>
            <w:tcW w:w="20" w:type="dxa"/>
            <w:vAlign w:val="bottom"/>
          </w:tcPr>
          <w:p>
            <w:pPr>
              <w:spacing w:after="0"/>
              <w:rPr>
                <w:sz w:val="16"/>
                <w:szCs w:val="16"/>
                <w:color w:val="auto"/>
              </w:rPr>
            </w:pPr>
          </w:p>
        </w:tc>
        <w:tc>
          <w:tcPr>
            <w:tcW w:w="4280" w:type="dxa"/>
            <w:vAlign w:val="bottom"/>
          </w:tcPr>
          <w:p>
            <w:pPr>
              <w:ind w:left="160"/>
              <w:spacing w:after="0"/>
              <w:rPr>
                <w:sz w:val="20"/>
                <w:szCs w:val="20"/>
                <w:color w:val="auto"/>
              </w:rPr>
            </w:pPr>
            <w:r>
              <w:rPr>
                <w:rFonts w:ascii="Arial" w:cs="Arial" w:eastAsia="Arial" w:hAnsi="Arial"/>
                <w:sz w:val="16"/>
                <w:szCs w:val="16"/>
                <w:color w:val="auto"/>
              </w:rPr>
              <w:t>Other securities</w:t>
            </w:r>
          </w:p>
        </w:tc>
        <w:tc>
          <w:tcPr>
            <w:tcW w:w="7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184"/>
        </w:trPr>
        <w:tc>
          <w:tcPr>
            <w:tcW w:w="4300" w:type="dxa"/>
            <w:vAlign w:val="bottom"/>
            <w:gridSpan w:val="2"/>
          </w:tcPr>
          <w:p>
            <w:pPr>
              <w:spacing w:after="0"/>
              <w:rPr>
                <w:sz w:val="20"/>
                <w:szCs w:val="20"/>
                <w:color w:val="auto"/>
              </w:rPr>
            </w:pPr>
            <w:r>
              <w:rPr>
                <w:rFonts w:ascii="Arial" w:cs="Arial" w:eastAsia="Arial" w:hAnsi="Arial"/>
                <w:sz w:val="16"/>
                <w:szCs w:val="16"/>
                <w:color w:val="auto"/>
              </w:rPr>
              <w:t>Total debt securities</w:t>
            </w:r>
          </w:p>
        </w:tc>
        <w:tc>
          <w:tcPr>
            <w:tcW w:w="760" w:type="dxa"/>
            <w:vAlign w:val="bottom"/>
          </w:tcPr>
          <w:p>
            <w:pPr>
              <w:spacing w:after="0"/>
              <w:rPr>
                <w:sz w:val="16"/>
                <w:szCs w:val="16"/>
                <w:color w:val="auto"/>
              </w:rPr>
            </w:pP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238</w:t>
            </w:r>
          </w:p>
        </w:tc>
        <w:tc>
          <w:tcPr>
            <w:tcW w:w="260" w:type="dxa"/>
            <w:vAlign w:val="bottom"/>
          </w:tcPr>
          <w:p>
            <w:pPr>
              <w:spacing w:after="0"/>
              <w:rPr>
                <w:sz w:val="16"/>
                <w:szCs w:val="16"/>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16</w:t>
            </w:r>
          </w:p>
        </w:tc>
        <w:tc>
          <w:tcPr>
            <w:tcW w:w="240" w:type="dxa"/>
            <w:vAlign w:val="bottom"/>
          </w:tcPr>
          <w:p>
            <w:pPr>
              <w:spacing w:after="0"/>
              <w:rPr>
                <w:sz w:val="16"/>
                <w:szCs w:val="16"/>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248</w:t>
            </w:r>
          </w:p>
        </w:tc>
      </w:tr>
      <w:tr>
        <w:trPr>
          <w:trHeight w:val="189"/>
        </w:trPr>
        <w:tc>
          <w:tcPr>
            <w:tcW w:w="4300" w:type="dxa"/>
            <w:vAlign w:val="bottom"/>
            <w:gridSpan w:val="2"/>
          </w:tcPr>
          <w:p>
            <w:pPr>
              <w:spacing w:after="0"/>
              <w:rPr>
                <w:sz w:val="20"/>
                <w:szCs w:val="20"/>
                <w:color w:val="auto"/>
              </w:rPr>
            </w:pPr>
            <w:r>
              <w:rPr>
                <w:rFonts w:ascii="Arial" w:cs="Arial" w:eastAsia="Arial" w:hAnsi="Arial"/>
                <w:sz w:val="16"/>
                <w:szCs w:val="16"/>
                <w:color w:val="auto"/>
              </w:rPr>
              <w:t>Equity securities</w:t>
            </w:r>
          </w:p>
        </w:tc>
        <w:tc>
          <w:tcPr>
            <w:tcW w:w="760" w:type="dxa"/>
            <w:vAlign w:val="bottom"/>
          </w:tcPr>
          <w:p>
            <w:pPr>
              <w:spacing w:after="0"/>
              <w:rPr>
                <w:sz w:val="16"/>
                <w:szCs w:val="16"/>
                <w:color w:val="auto"/>
              </w:rPr>
            </w:pP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238</w:t>
            </w:r>
          </w:p>
        </w:tc>
        <w:tc>
          <w:tcPr>
            <w:tcW w:w="260" w:type="dxa"/>
            <w:vAlign w:val="bottom"/>
          </w:tcPr>
          <w:p>
            <w:pPr>
              <w:spacing w:after="0"/>
              <w:rPr>
                <w:sz w:val="16"/>
                <w:szCs w:val="16"/>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188</w:t>
            </w:r>
          </w:p>
        </w:tc>
        <w:tc>
          <w:tcPr>
            <w:tcW w:w="240" w:type="dxa"/>
            <w:vAlign w:val="bottom"/>
          </w:tcPr>
          <w:p>
            <w:pPr>
              <w:spacing w:after="0"/>
              <w:rPr>
                <w:sz w:val="16"/>
                <w:szCs w:val="16"/>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421</w:t>
            </w:r>
          </w:p>
        </w:tc>
      </w:tr>
      <w:tr>
        <w:trPr>
          <w:trHeight w:val="187"/>
        </w:trPr>
        <w:tc>
          <w:tcPr>
            <w:tcW w:w="4300" w:type="dxa"/>
            <w:vAlign w:val="bottom"/>
            <w:gridSpan w:val="2"/>
          </w:tcPr>
          <w:p>
            <w:pPr>
              <w:spacing w:after="0"/>
              <w:rPr>
                <w:sz w:val="20"/>
                <w:szCs w:val="20"/>
                <w:color w:val="auto"/>
              </w:rPr>
            </w:pPr>
            <w:r>
              <w:rPr>
                <w:rFonts w:ascii="Arial" w:cs="Arial" w:eastAsia="Arial" w:hAnsi="Arial"/>
                <w:sz w:val="16"/>
                <w:szCs w:val="16"/>
                <w:color w:val="auto"/>
              </w:rPr>
              <w:t>Cash and cash equivalents</w:t>
            </w:r>
          </w:p>
        </w:tc>
        <w:tc>
          <w:tcPr>
            <w:tcW w:w="7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r>
      <w:tr>
        <w:trPr>
          <w:trHeight w:val="183"/>
        </w:trPr>
        <w:tc>
          <w:tcPr>
            <w:tcW w:w="4300" w:type="dxa"/>
            <w:vAlign w:val="bottom"/>
            <w:gridSpan w:val="2"/>
          </w:tcPr>
          <w:p>
            <w:pPr>
              <w:spacing w:after="0" w:line="183" w:lineRule="exact"/>
              <w:rPr>
                <w:sz w:val="20"/>
                <w:szCs w:val="20"/>
                <w:color w:val="auto"/>
              </w:rPr>
            </w:pPr>
            <w:r>
              <w:rPr>
                <w:rFonts w:ascii="Arial" w:cs="Arial" w:eastAsia="Arial" w:hAnsi="Arial"/>
                <w:sz w:val="16"/>
                <w:szCs w:val="16"/>
                <w:color w:val="auto"/>
              </w:rPr>
              <w:t>Total available-for-sale securities</w:t>
            </w:r>
          </w:p>
        </w:tc>
        <w:tc>
          <w:tcPr>
            <w:tcW w:w="760" w:type="dxa"/>
            <w:vAlign w:val="bottom"/>
          </w:tcPr>
          <w:p>
            <w:pPr>
              <w:jc w:val="right"/>
              <w:ind w:right="381"/>
              <w:spacing w:after="0" w:line="183" w:lineRule="exact"/>
              <w:rPr>
                <w:sz w:val="20"/>
                <w:szCs w:val="20"/>
                <w:color w:val="auto"/>
              </w:rPr>
            </w:pPr>
            <w:r>
              <w:rPr>
                <w:rFonts w:ascii="Arial" w:cs="Arial" w:eastAsia="Arial" w:hAnsi="Arial"/>
                <w:sz w:val="16"/>
                <w:szCs w:val="16"/>
                <w:color w:val="auto"/>
              </w:rPr>
              <w:t>$</w:t>
            </w:r>
          </w:p>
        </w:tc>
        <w:tc>
          <w:tcPr>
            <w:tcW w:w="440" w:type="dxa"/>
            <w:vAlign w:val="bottom"/>
          </w:tcPr>
          <w:p>
            <w:pPr>
              <w:jc w:val="right"/>
              <w:ind w:right="39"/>
              <w:spacing w:after="0" w:line="183" w:lineRule="exact"/>
              <w:rPr>
                <w:sz w:val="20"/>
                <w:szCs w:val="20"/>
                <w:color w:val="auto"/>
              </w:rPr>
            </w:pPr>
            <w:r>
              <w:rPr>
                <w:rFonts w:ascii="Arial" w:cs="Arial" w:eastAsia="Arial" w:hAnsi="Arial"/>
                <w:sz w:val="16"/>
                <w:szCs w:val="16"/>
                <w:color w:val="auto"/>
              </w:rPr>
              <w:t>485</w:t>
            </w:r>
          </w:p>
        </w:tc>
        <w:tc>
          <w:tcPr>
            <w:tcW w:w="260" w:type="dxa"/>
            <w:vAlign w:val="bottom"/>
          </w:tcPr>
          <w:p>
            <w:pPr>
              <w:ind w:left="140"/>
              <w:spacing w:after="0" w:line="183" w:lineRule="exact"/>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line="183" w:lineRule="exact"/>
              <w:rPr>
                <w:sz w:val="20"/>
                <w:szCs w:val="20"/>
                <w:color w:val="auto"/>
              </w:rPr>
            </w:pPr>
            <w:r>
              <w:rPr>
                <w:rFonts w:ascii="Arial" w:cs="Arial" w:eastAsia="Arial" w:hAnsi="Arial"/>
                <w:sz w:val="16"/>
                <w:szCs w:val="16"/>
                <w:color w:val="auto"/>
              </w:rPr>
              <w:t>204</w:t>
            </w:r>
          </w:p>
        </w:tc>
        <w:tc>
          <w:tcPr>
            <w:tcW w:w="240" w:type="dxa"/>
            <w:vAlign w:val="bottom"/>
          </w:tcPr>
          <w:p>
            <w:pPr>
              <w:ind w:left="140"/>
              <w:spacing w:after="0" w:line="183" w:lineRule="exact"/>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line="183" w:lineRule="exact"/>
              <w:rPr>
                <w:sz w:val="20"/>
                <w:szCs w:val="20"/>
                <w:color w:val="auto"/>
              </w:rPr>
            </w:pPr>
            <w:r>
              <w:rPr>
                <w:rFonts w:ascii="Arial" w:cs="Arial" w:eastAsia="Arial" w:hAnsi="Arial"/>
                <w:sz w:val="16"/>
                <w:szCs w:val="16"/>
                <w:color w:val="auto"/>
              </w:rPr>
              <w:t>(11)</w:t>
            </w:r>
          </w:p>
        </w:tc>
        <w:tc>
          <w:tcPr>
            <w:tcW w:w="24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678</w:t>
            </w:r>
          </w:p>
        </w:tc>
      </w:tr>
      <w:tr>
        <w:trPr>
          <w:trHeight w:val="81"/>
        </w:trPr>
        <w:tc>
          <w:tcPr>
            <w:tcW w:w="20" w:type="dxa"/>
            <w:vAlign w:val="bottom"/>
            <w:shd w:val="clear" w:color="auto" w:fill="000000"/>
          </w:tcPr>
          <w:p>
            <w:pPr>
              <w:spacing w:after="0"/>
              <w:rPr>
                <w:sz w:val="7"/>
                <w:szCs w:val="7"/>
                <w:color w:val="auto"/>
              </w:rPr>
            </w:pPr>
          </w:p>
        </w:tc>
        <w:tc>
          <w:tcPr>
            <w:tcW w:w="4280" w:type="dxa"/>
            <w:vAlign w:val="bottom"/>
            <w:shd w:val="clear" w:color="auto" w:fill="000000"/>
          </w:tcPr>
          <w:p>
            <w:pPr>
              <w:spacing w:after="0"/>
              <w:rPr>
                <w:sz w:val="7"/>
                <w:szCs w:val="7"/>
                <w:color w:val="auto"/>
              </w:rPr>
            </w:pPr>
          </w:p>
        </w:tc>
        <w:tc>
          <w:tcPr>
            <w:tcW w:w="760" w:type="dxa"/>
            <w:vAlign w:val="bottom"/>
            <w:shd w:val="clear" w:color="auto" w:fill="000000"/>
          </w:tcPr>
          <w:p>
            <w:pPr>
              <w:spacing w:after="0"/>
              <w:rPr>
                <w:sz w:val="7"/>
                <w:szCs w:val="7"/>
                <w:color w:val="auto"/>
              </w:rPr>
            </w:pPr>
          </w:p>
        </w:tc>
        <w:tc>
          <w:tcPr>
            <w:tcW w:w="44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c>
          <w:tcPr>
            <w:tcW w:w="240" w:type="dxa"/>
            <w:vAlign w:val="bottom"/>
            <w:shd w:val="clear" w:color="auto" w:fill="000000"/>
          </w:tcPr>
          <w:p>
            <w:pPr>
              <w:spacing w:after="0"/>
              <w:rPr>
                <w:sz w:val="7"/>
                <w:szCs w:val="7"/>
                <w:color w:val="auto"/>
              </w:rPr>
            </w:pPr>
          </w:p>
        </w:tc>
        <w:tc>
          <w:tcPr>
            <w:tcW w:w="900" w:type="dxa"/>
            <w:vAlign w:val="bottom"/>
            <w:shd w:val="clear" w:color="auto" w:fill="000000"/>
          </w:tcPr>
          <w:p>
            <w:pPr>
              <w:spacing w:after="0"/>
              <w:rPr>
                <w:sz w:val="7"/>
                <w:szCs w:val="7"/>
                <w:color w:val="auto"/>
              </w:rPr>
            </w:pPr>
          </w:p>
        </w:tc>
        <w:tc>
          <w:tcPr>
            <w:tcW w:w="240" w:type="dxa"/>
            <w:vAlign w:val="bottom"/>
            <w:shd w:val="clear" w:color="auto" w:fill="000000"/>
          </w:tcPr>
          <w:p>
            <w:pPr>
              <w:spacing w:after="0"/>
              <w:rPr>
                <w:sz w:val="7"/>
                <w:szCs w:val="7"/>
                <w:color w:val="auto"/>
              </w:rPr>
            </w:pPr>
          </w:p>
        </w:tc>
        <w:tc>
          <w:tcPr>
            <w:tcW w:w="780" w:type="dxa"/>
            <w:vAlign w:val="bottom"/>
            <w:shd w:val="clear" w:color="auto" w:fill="000000"/>
          </w:tcPr>
          <w:p>
            <w:pPr>
              <w:spacing w:after="0"/>
              <w:rPr>
                <w:sz w:val="7"/>
                <w:szCs w:val="7"/>
                <w:color w:val="auto"/>
              </w:rPr>
            </w:pPr>
          </w:p>
        </w:tc>
      </w:tr>
    </w:tbl>
    <w:p>
      <w:pPr>
        <w:ind w:left="280"/>
        <w:spacing w:after="0"/>
        <w:rPr>
          <w:sz w:val="20"/>
          <w:szCs w:val="20"/>
          <w:color w:val="auto"/>
        </w:rPr>
      </w:pPr>
      <w:r>
        <w:rPr>
          <w:rFonts w:ascii="Arial" w:cs="Arial" w:eastAsia="Arial" w:hAnsi="Arial"/>
          <w:sz w:val="14"/>
          <w:szCs w:val="14"/>
          <w:i w:val="1"/>
          <w:iCs w:val="1"/>
          <w:color w:val="auto"/>
        </w:rPr>
        <w:t>(1)Maturity dates are 2011-2039.</w:t>
      </w:r>
    </w:p>
    <w:p>
      <w:pPr>
        <w:spacing w:after="0" w:line="6" w:lineRule="exact"/>
        <w:rPr>
          <w:sz w:val="20"/>
          <w:szCs w:val="20"/>
          <w:color w:val="auto"/>
        </w:rPr>
      </w:pPr>
    </w:p>
    <w:p>
      <w:pPr>
        <w:ind w:left="280"/>
        <w:spacing w:after="0"/>
        <w:rPr>
          <w:sz w:val="20"/>
          <w:szCs w:val="20"/>
          <w:color w:val="auto"/>
        </w:rPr>
      </w:pPr>
      <w:r>
        <w:rPr>
          <w:rFonts w:ascii="Arial" w:cs="Arial" w:eastAsia="Arial" w:hAnsi="Arial"/>
          <w:sz w:val="14"/>
          <w:szCs w:val="14"/>
          <w:i w:val="1"/>
          <w:iCs w:val="1"/>
          <w:color w:val="auto"/>
        </w:rPr>
        <w:t>(2)Maturity dates are 2010-2057.</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4"/>
          <w:szCs w:val="14"/>
          <w:i w:val="1"/>
          <w:iCs w:val="1"/>
          <w:color w:val="auto"/>
        </w:rPr>
        <w:t>(3)Maturity dates are 2010-2049.</w:t>
      </w:r>
    </w:p>
    <w:p>
      <w:pPr>
        <w:spacing w:after="0" w:line="204" w:lineRule="exact"/>
        <w:rPr>
          <w:sz w:val="20"/>
          <w:szCs w:val="20"/>
          <w:color w:val="auto"/>
        </w:rPr>
      </w:pPr>
    </w:p>
    <w:p>
      <w:pPr>
        <w:ind w:right="599"/>
        <w:spacing w:after="0" w:line="232" w:lineRule="auto"/>
        <w:rPr>
          <w:sz w:val="20"/>
          <w:szCs w:val="20"/>
          <w:color w:val="auto"/>
        </w:rPr>
      </w:pPr>
      <w:r>
        <w:rPr>
          <w:rFonts w:ascii="Arial" w:cs="Arial" w:eastAsia="Arial" w:hAnsi="Arial"/>
          <w:sz w:val="22"/>
          <w:szCs w:val="22"/>
          <w:color w:val="auto"/>
        </w:rPr>
        <w:t>The following table shows the proceeds from sales of securities in the trusts and gross realized gains and losses on those sales:</w:t>
      </w: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3790315" cy="2317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790315"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2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Three months ended March 31,</w:t>
            </w:r>
          </w:p>
        </w:tc>
        <w:tc>
          <w:tcPr>
            <w:tcW w:w="300" w:type="dxa"/>
            <w:vAlign w:val="bottom"/>
            <w:tcBorders>
              <w:bottom w:val="single" w:sz="8" w:color="auto"/>
            </w:tcBorders>
          </w:tcPr>
          <w:p>
            <w:pPr>
              <w:spacing w:after="0"/>
              <w:rPr>
                <w:sz w:val="14"/>
                <w:szCs w:val="14"/>
                <w:color w:val="auto"/>
              </w:rPr>
            </w:pPr>
          </w:p>
        </w:tc>
      </w:tr>
      <w:tr>
        <w:trPr>
          <w:trHeight w:val="183"/>
        </w:trPr>
        <w:tc>
          <w:tcPr>
            <w:tcW w:w="3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65"/>
              <w:spacing w:after="0"/>
              <w:rPr>
                <w:sz w:val="20"/>
                <w:szCs w:val="20"/>
                <w:color w:val="auto"/>
              </w:rPr>
            </w:pPr>
            <w:r>
              <w:rPr>
                <w:rFonts w:ascii="Arial" w:cs="Arial" w:eastAsia="Arial" w:hAnsi="Arial"/>
                <w:sz w:val="14"/>
                <w:szCs w:val="14"/>
                <w:color w:val="auto"/>
              </w:rPr>
              <w:t>2010</w:t>
            </w:r>
          </w:p>
        </w:tc>
        <w:tc>
          <w:tcPr>
            <w:tcW w:w="4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color w:val="auto"/>
              </w:rPr>
              <w:t>2009</w:t>
            </w:r>
          </w:p>
        </w:tc>
        <w:tc>
          <w:tcPr>
            <w:tcW w:w="300" w:type="dxa"/>
            <w:vAlign w:val="bottom"/>
            <w:tcBorders>
              <w:bottom w:val="single" w:sz="8" w:color="auto"/>
            </w:tcBorders>
          </w:tcPr>
          <w:p>
            <w:pPr>
              <w:spacing w:after="0"/>
              <w:rPr>
                <w:sz w:val="15"/>
                <w:szCs w:val="15"/>
                <w:color w:val="auto"/>
              </w:rPr>
            </w:pPr>
          </w:p>
        </w:tc>
      </w:tr>
      <w:tr>
        <w:trPr>
          <w:trHeight w:val="184"/>
        </w:trPr>
        <w:tc>
          <w:tcPr>
            <w:tcW w:w="3360" w:type="dxa"/>
            <w:vAlign w:val="bottom"/>
          </w:tcPr>
          <w:p>
            <w:pPr>
              <w:spacing w:after="0"/>
              <w:rPr>
                <w:sz w:val="20"/>
                <w:szCs w:val="20"/>
                <w:color w:val="auto"/>
              </w:rPr>
            </w:pPr>
            <w:r>
              <w:rPr>
                <w:rFonts w:ascii="Arial" w:cs="Arial" w:eastAsia="Arial" w:hAnsi="Arial"/>
                <w:sz w:val="16"/>
                <w:szCs w:val="16"/>
                <w:color w:val="auto"/>
              </w:rPr>
              <w:t>Proceeds from sales</w:t>
            </w:r>
          </w:p>
        </w:tc>
        <w:tc>
          <w:tcPr>
            <w:tcW w:w="940" w:type="dxa"/>
            <w:vAlign w:val="bottom"/>
          </w:tcPr>
          <w:p>
            <w:pPr>
              <w:jc w:val="right"/>
              <w:ind w:right="565"/>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79"/>
              <w:spacing w:after="0"/>
              <w:rPr>
                <w:sz w:val="20"/>
                <w:szCs w:val="20"/>
                <w:color w:val="auto"/>
              </w:rPr>
            </w:pPr>
            <w:r>
              <w:rPr>
                <w:rFonts w:ascii="Arial" w:cs="Arial" w:eastAsia="Arial" w:hAnsi="Arial"/>
                <w:sz w:val="16"/>
                <w:szCs w:val="16"/>
                <w:color w:val="auto"/>
              </w:rPr>
              <w:t>40</w:t>
            </w:r>
          </w:p>
        </w:tc>
        <w:tc>
          <w:tcPr>
            <w:tcW w:w="900" w:type="dxa"/>
            <w:vAlign w:val="bottom"/>
          </w:tcPr>
          <w:p>
            <w:pPr>
              <w:jc w:val="right"/>
              <w:ind w:right="643"/>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189"/>
        </w:trPr>
        <w:tc>
          <w:tcPr>
            <w:tcW w:w="3360" w:type="dxa"/>
            <w:vAlign w:val="bottom"/>
          </w:tcPr>
          <w:p>
            <w:pPr>
              <w:spacing w:after="0"/>
              <w:rPr>
                <w:sz w:val="20"/>
                <w:szCs w:val="20"/>
                <w:color w:val="auto"/>
              </w:rPr>
            </w:pPr>
            <w:r>
              <w:rPr>
                <w:rFonts w:ascii="Arial" w:cs="Arial" w:eastAsia="Arial" w:hAnsi="Arial"/>
                <w:sz w:val="16"/>
                <w:szCs w:val="16"/>
                <w:color w:val="auto"/>
              </w:rPr>
              <w:t>Gross realized gains</w:t>
            </w:r>
          </w:p>
        </w:tc>
        <w:tc>
          <w:tcPr>
            <w:tcW w:w="940" w:type="dxa"/>
            <w:vAlign w:val="bottom"/>
          </w:tcPr>
          <w:p>
            <w:pPr>
              <w:spacing w:after="0"/>
              <w:rPr>
                <w:sz w:val="16"/>
                <w:szCs w:val="16"/>
                <w:color w:val="auto"/>
              </w:rPr>
            </w:pPr>
          </w:p>
        </w:tc>
        <w:tc>
          <w:tcPr>
            <w:tcW w:w="48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9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187"/>
        </w:trPr>
        <w:tc>
          <w:tcPr>
            <w:tcW w:w="3360" w:type="dxa"/>
            <w:vAlign w:val="bottom"/>
          </w:tcPr>
          <w:p>
            <w:pPr>
              <w:spacing w:after="0"/>
              <w:rPr>
                <w:sz w:val="20"/>
                <w:szCs w:val="20"/>
                <w:color w:val="auto"/>
              </w:rPr>
            </w:pPr>
            <w:r>
              <w:rPr>
                <w:rFonts w:ascii="Arial" w:cs="Arial" w:eastAsia="Arial" w:hAnsi="Arial"/>
                <w:sz w:val="16"/>
                <w:szCs w:val="16"/>
                <w:color w:val="auto"/>
              </w:rPr>
              <w:t>Gross realized losses</w:t>
            </w:r>
          </w:p>
        </w:tc>
        <w:tc>
          <w:tcPr>
            <w:tcW w:w="940" w:type="dxa"/>
            <w:vAlign w:val="bottom"/>
          </w:tcPr>
          <w:p>
            <w:pPr>
              <w:spacing w:after="0"/>
              <w:rPr>
                <w:sz w:val="16"/>
                <w:szCs w:val="16"/>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9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w w:val="98"/>
              </w:rPr>
              <w:t>(17)</w:t>
            </w:r>
          </w:p>
        </w:tc>
      </w:tr>
      <w:tr>
        <w:trPr>
          <w:trHeight w:val="81"/>
        </w:trPr>
        <w:tc>
          <w:tcPr>
            <w:tcW w:w="3360" w:type="dxa"/>
            <w:vAlign w:val="bottom"/>
            <w:shd w:val="clear" w:color="auto" w:fill="DFDFDF"/>
          </w:tcPr>
          <w:p>
            <w:pPr>
              <w:spacing w:after="0"/>
              <w:rPr>
                <w:sz w:val="7"/>
                <w:szCs w:val="7"/>
                <w:color w:val="auto"/>
              </w:rPr>
            </w:pPr>
          </w:p>
        </w:tc>
        <w:tc>
          <w:tcPr>
            <w:tcW w:w="940" w:type="dxa"/>
            <w:vAlign w:val="bottom"/>
            <w:shd w:val="clear" w:color="auto" w:fill="DFDFDF"/>
          </w:tcPr>
          <w:p>
            <w:pPr>
              <w:spacing w:after="0"/>
              <w:rPr>
                <w:sz w:val="7"/>
                <w:szCs w:val="7"/>
                <w:color w:val="auto"/>
              </w:rPr>
            </w:pPr>
          </w:p>
        </w:tc>
        <w:tc>
          <w:tcPr>
            <w:tcW w:w="480" w:type="dxa"/>
            <w:vAlign w:val="bottom"/>
            <w:shd w:val="clear" w:color="auto" w:fill="DFDFDF"/>
          </w:tcPr>
          <w:p>
            <w:pPr>
              <w:spacing w:after="0"/>
              <w:rPr>
                <w:sz w:val="7"/>
                <w:szCs w:val="7"/>
                <w:color w:val="auto"/>
              </w:rPr>
            </w:pPr>
          </w:p>
        </w:tc>
        <w:tc>
          <w:tcPr>
            <w:tcW w:w="900" w:type="dxa"/>
            <w:vAlign w:val="bottom"/>
            <w:shd w:val="clear" w:color="auto" w:fill="DFDFDF"/>
          </w:tcPr>
          <w:p>
            <w:pPr>
              <w:spacing w:after="0"/>
              <w:rPr>
                <w:sz w:val="7"/>
                <w:szCs w:val="7"/>
                <w:color w:val="auto"/>
              </w:rPr>
            </w:pPr>
          </w:p>
        </w:tc>
        <w:tc>
          <w:tcPr>
            <w:tcW w:w="300" w:type="dxa"/>
            <w:vAlign w:val="bottom"/>
            <w:shd w:val="clear" w:color="auto" w:fill="DFDFDF"/>
          </w:tcPr>
          <w:p>
            <w:pPr>
              <w:spacing w:after="0"/>
              <w:rPr>
                <w:sz w:val="7"/>
                <w:szCs w:val="7"/>
                <w:color w:val="auto"/>
              </w:rPr>
            </w:pPr>
          </w:p>
        </w:tc>
      </w:tr>
    </w:tbl>
    <w:p>
      <w:pPr>
        <w:spacing w:after="0" w:line="208" w:lineRule="exact"/>
        <w:rPr>
          <w:sz w:val="20"/>
          <w:szCs w:val="20"/>
          <w:color w:val="auto"/>
        </w:rPr>
      </w:pPr>
    </w:p>
    <w:p>
      <w:pPr>
        <w:ind w:right="779"/>
        <w:spacing w:after="0" w:line="223" w:lineRule="auto"/>
        <w:rPr>
          <w:sz w:val="20"/>
          <w:szCs w:val="20"/>
          <w:color w:val="auto"/>
        </w:rPr>
      </w:pPr>
      <w:r>
        <w:rPr>
          <w:rFonts w:ascii="Arial" w:cs="Arial" w:eastAsia="Arial" w:hAnsi="Arial"/>
          <w:sz w:val="22"/>
          <w:szCs w:val="22"/>
          <w:color w:val="auto"/>
        </w:rPr>
        <w:t>Net unrealized gains (losses) are included in Regulatory Liabilities Arising from Removal Obligations on the Condensed Consolidated Balance Sheets. We determine the cost of securities in the trusts on the basis of specific identification.</w:t>
      </w:r>
    </w:p>
    <w:p>
      <w:pPr>
        <w:spacing w:after="0" w:line="24" w:lineRule="exact"/>
        <w:rPr>
          <w:sz w:val="20"/>
          <w:szCs w:val="20"/>
          <w:color w:val="auto"/>
        </w:rPr>
      </w:pPr>
    </w:p>
    <w:p>
      <w:pPr>
        <w:jc w:val="both"/>
        <w:ind w:right="539"/>
        <w:spacing w:after="0" w:line="223" w:lineRule="auto"/>
        <w:rPr>
          <w:sz w:val="20"/>
          <w:szCs w:val="20"/>
          <w:color w:val="auto"/>
        </w:rPr>
      </w:pPr>
      <w:r>
        <w:rPr>
          <w:rFonts w:ascii="Arial" w:cs="Arial" w:eastAsia="Arial" w:hAnsi="Arial"/>
          <w:sz w:val="22"/>
          <w:szCs w:val="22"/>
          <w:color w:val="auto"/>
        </w:rPr>
        <w:t>The fair value of securities in an unrealized loss position as of March 31, 2010 was $99 million. The unrealized losses of $8 million were primarily caused by a negative market environment in 2009. We do not consider these investments to be other than temporarily impaired as of March 31, 2010.</w:t>
      </w:r>
    </w:p>
    <w:p>
      <w:pPr>
        <w:sectPr>
          <w:pgSz w:w="11900" w:h="16838" w:orient="portrait"/>
          <w:cols w:equalWidth="0" w:num="1">
            <w:col w:w="10219"/>
          </w:cols>
          <w:pgMar w:left="240" w:top="325" w:right="1440" w:bottom="1440" w:gutter="0" w:footer="0" w:header="0"/>
        </w:sectPr>
      </w:pPr>
    </w:p>
    <w:bookmarkStart w:id="50" w:name="page51"/>
    <w:bookmarkEnd w:id="50"/>
    <w:p>
      <w:pPr>
        <w:spacing w:after="0"/>
        <w:rPr>
          <w:sz w:val="20"/>
          <w:szCs w:val="20"/>
          <w:color w:val="auto"/>
        </w:rPr>
      </w:pPr>
      <w:r>
        <w:rPr>
          <w:rFonts w:ascii="Arial" w:cs="Arial" w:eastAsia="Arial" w:hAnsi="Arial"/>
          <w:sz w:val="20"/>
          <w:szCs w:val="20"/>
          <w:b w:val="1"/>
          <w:bCs w:val="1"/>
          <w:i w:val="1"/>
          <w:iCs w:val="1"/>
          <w:color w:val="auto"/>
        </w:rPr>
        <w:t>Derivative Positions Net of Cash Collateral</w:t>
      </w:r>
    </w:p>
    <w:p>
      <w:pPr>
        <w:spacing w:after="0" w:line="20" w:lineRule="exact"/>
        <w:rPr>
          <w:sz w:val="20"/>
          <w:szCs w:val="20"/>
          <w:color w:val="auto"/>
        </w:rPr>
      </w:pPr>
    </w:p>
    <w:p>
      <w:pPr>
        <w:ind w:right="579"/>
        <w:spacing w:after="0" w:line="282" w:lineRule="auto"/>
        <w:rPr>
          <w:sz w:val="20"/>
          <w:szCs w:val="20"/>
          <w:color w:val="auto"/>
        </w:rPr>
      </w:pPr>
      <w:r>
        <w:rPr>
          <w:rFonts w:ascii="Arial" w:cs="Arial" w:eastAsia="Arial" w:hAnsi="Arial"/>
          <w:sz w:val="19"/>
          <w:szCs w:val="19"/>
          <w:color w:val="auto"/>
        </w:rPr>
        <w:t>Each Condensed Consolidated Balance Sheet reflects the offsetting of net derivative positions with fair value amounts for cash collateral with the same counterparty when management believes a legal right of offset exists.</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provides the amount of fair value of cash collateral receivables that were not offset in the</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Condensed Consolidated Balance Sheets as of March 31, 2010 and December 31, 2009:</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40" w:type="dxa"/>
            <w:vAlign w:val="bottom"/>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2020" w:type="dxa"/>
            <w:vAlign w:val="bottom"/>
          </w:tcPr>
          <w:p>
            <w:pPr>
              <w:jc w:val="center"/>
              <w:ind w:left="1185"/>
              <w:spacing w:after="0"/>
              <w:rPr>
                <w:sz w:val="20"/>
                <w:szCs w:val="20"/>
                <w:color w:val="auto"/>
              </w:rPr>
            </w:pPr>
            <w:r>
              <w:rPr>
                <w:rFonts w:ascii="Arial" w:cs="Arial" w:eastAsia="Arial" w:hAnsi="Arial"/>
                <w:sz w:val="14"/>
                <w:szCs w:val="14"/>
                <w:color w:val="auto"/>
              </w:rPr>
              <w:t>March 31,</w:t>
            </w:r>
          </w:p>
        </w:tc>
        <w:tc>
          <w:tcPr>
            <w:tcW w:w="36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57"/>
        </w:trPr>
        <w:tc>
          <w:tcPr>
            <w:tcW w:w="3340" w:type="dxa"/>
            <w:vAlign w:val="bottom"/>
            <w:tcBorders>
              <w:bottom w:val="single" w:sz="8" w:color="auto"/>
            </w:tcBorders>
            <w:vMerge w:val="continue"/>
          </w:tcPr>
          <w:p>
            <w:pPr>
              <w:spacing w:after="0"/>
              <w:rPr>
                <w:sz w:val="13"/>
                <w:szCs w:val="13"/>
                <w:color w:val="auto"/>
              </w:rPr>
            </w:pPr>
          </w:p>
        </w:tc>
        <w:tc>
          <w:tcPr>
            <w:tcW w:w="2020" w:type="dxa"/>
            <w:vAlign w:val="bottom"/>
            <w:tcBorders>
              <w:bottom w:val="single" w:sz="8" w:color="auto"/>
            </w:tcBorders>
          </w:tcPr>
          <w:p>
            <w:pPr>
              <w:jc w:val="right"/>
              <w:ind w:right="165"/>
              <w:spacing w:after="0" w:line="157" w:lineRule="exact"/>
              <w:rPr>
                <w:sz w:val="20"/>
                <w:szCs w:val="20"/>
                <w:color w:val="auto"/>
              </w:rPr>
            </w:pPr>
            <w:r>
              <w:rPr>
                <w:rFonts w:ascii="Arial" w:cs="Arial" w:eastAsia="Arial" w:hAnsi="Arial"/>
                <w:sz w:val="14"/>
                <w:szCs w:val="14"/>
                <w:color w:val="auto"/>
              </w:rPr>
              <w:t>2010</w:t>
            </w:r>
          </w:p>
        </w:tc>
        <w:tc>
          <w:tcPr>
            <w:tcW w:w="3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21"/>
              <w:spacing w:after="0" w:line="157" w:lineRule="exact"/>
              <w:rPr>
                <w:sz w:val="20"/>
                <w:szCs w:val="20"/>
                <w:color w:val="auto"/>
              </w:rPr>
            </w:pPr>
            <w:r>
              <w:rPr>
                <w:rFonts w:ascii="Arial" w:cs="Arial" w:eastAsia="Arial" w:hAnsi="Arial"/>
                <w:sz w:val="14"/>
                <w:szCs w:val="14"/>
                <w:color w:val="auto"/>
              </w:rPr>
              <w:t>2009</w:t>
            </w:r>
          </w:p>
        </w:tc>
        <w:tc>
          <w:tcPr>
            <w:tcW w:w="0" w:type="dxa"/>
            <w:vAlign w:val="bottom"/>
          </w:tcPr>
          <w:p>
            <w:pPr>
              <w:spacing w:after="0"/>
              <w:rPr>
                <w:sz w:val="1"/>
                <w:szCs w:val="1"/>
                <w:color w:val="auto"/>
              </w:rPr>
            </w:pPr>
          </w:p>
        </w:tc>
      </w:tr>
      <w:tr>
        <w:trPr>
          <w:trHeight w:val="184"/>
        </w:trPr>
        <w:tc>
          <w:tcPr>
            <w:tcW w:w="3340" w:type="dxa"/>
            <w:vAlign w:val="bottom"/>
          </w:tcPr>
          <w:p>
            <w:pPr>
              <w:spacing w:after="0"/>
              <w:rPr>
                <w:sz w:val="20"/>
                <w:szCs w:val="20"/>
                <w:color w:val="auto"/>
              </w:rPr>
            </w:pPr>
            <w:r>
              <w:rPr>
                <w:rFonts w:ascii="Arial" w:cs="Arial" w:eastAsia="Arial" w:hAnsi="Arial"/>
                <w:sz w:val="16"/>
                <w:szCs w:val="16"/>
                <w:color w:val="auto"/>
              </w:rPr>
              <w:t>Sempra Energy Consolidated</w:t>
            </w:r>
          </w:p>
        </w:tc>
        <w:tc>
          <w:tcPr>
            <w:tcW w:w="2020" w:type="dxa"/>
            <w:vAlign w:val="bottom"/>
          </w:tcPr>
          <w:p>
            <w:pPr>
              <w:jc w:val="right"/>
              <w:ind w:right="665"/>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300" w:type="dxa"/>
            <w:vAlign w:val="bottom"/>
          </w:tcPr>
          <w:p>
            <w:pPr>
              <w:ind w:left="1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89"/>
        </w:trPr>
        <w:tc>
          <w:tcPr>
            <w:tcW w:w="3340" w:type="dxa"/>
            <w:vAlign w:val="bottom"/>
          </w:tcPr>
          <w:p>
            <w:pPr>
              <w:spacing w:after="0"/>
              <w:rPr>
                <w:sz w:val="20"/>
                <w:szCs w:val="20"/>
                <w:color w:val="auto"/>
              </w:rPr>
            </w:pPr>
            <w:r>
              <w:rPr>
                <w:rFonts w:ascii="Arial" w:cs="Arial" w:eastAsia="Arial" w:hAnsi="Arial"/>
                <w:sz w:val="16"/>
                <w:szCs w:val="16"/>
                <w:color w:val="auto"/>
              </w:rPr>
              <w:t>SDG&amp;E</w:t>
            </w:r>
          </w:p>
        </w:tc>
        <w:tc>
          <w:tcPr>
            <w:tcW w:w="2020" w:type="dxa"/>
            <w:vAlign w:val="bottom"/>
          </w:tcPr>
          <w:p>
            <w:pPr>
              <w:spacing w:after="0"/>
              <w:rPr>
                <w:sz w:val="16"/>
                <w:szCs w:val="16"/>
                <w:color w:val="auto"/>
              </w:rPr>
            </w:pP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26</w:t>
            </w: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87"/>
        </w:trPr>
        <w:tc>
          <w:tcPr>
            <w:tcW w:w="3340" w:type="dxa"/>
            <w:vAlign w:val="bottom"/>
          </w:tcPr>
          <w:p>
            <w:pPr>
              <w:spacing w:after="0"/>
              <w:rPr>
                <w:sz w:val="20"/>
                <w:szCs w:val="20"/>
                <w:color w:val="auto"/>
              </w:rPr>
            </w:pPr>
            <w:r>
              <w:rPr>
                <w:rFonts w:ascii="Arial" w:cs="Arial" w:eastAsia="Arial" w:hAnsi="Arial"/>
                <w:sz w:val="16"/>
                <w:szCs w:val="16"/>
                <w:color w:val="auto"/>
              </w:rPr>
              <w:t>SoCalGas</w:t>
            </w:r>
          </w:p>
        </w:tc>
        <w:tc>
          <w:tcPr>
            <w:tcW w:w="2020" w:type="dxa"/>
            <w:vAlign w:val="bottom"/>
          </w:tcPr>
          <w:p>
            <w:pPr>
              <w:spacing w:after="0"/>
              <w:rPr>
                <w:sz w:val="16"/>
                <w:szCs w:val="16"/>
                <w:color w:val="auto"/>
              </w:rPr>
            </w:pP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81"/>
        </w:trPr>
        <w:tc>
          <w:tcPr>
            <w:tcW w:w="3340" w:type="dxa"/>
            <w:vAlign w:val="bottom"/>
            <w:shd w:val="clear" w:color="auto" w:fill="DFDFDF"/>
          </w:tcPr>
          <w:p>
            <w:pPr>
              <w:spacing w:after="0"/>
              <w:rPr>
                <w:sz w:val="7"/>
                <w:szCs w:val="7"/>
                <w:color w:val="auto"/>
              </w:rPr>
            </w:pPr>
          </w:p>
        </w:tc>
        <w:tc>
          <w:tcPr>
            <w:tcW w:w="2020" w:type="dxa"/>
            <w:vAlign w:val="bottom"/>
            <w:shd w:val="clear" w:color="auto" w:fill="DFDFDF"/>
          </w:tcPr>
          <w:p>
            <w:pPr>
              <w:spacing w:after="0"/>
              <w:rPr>
                <w:sz w:val="7"/>
                <w:szCs w:val="7"/>
                <w:color w:val="auto"/>
              </w:rPr>
            </w:pPr>
          </w:p>
        </w:tc>
        <w:tc>
          <w:tcPr>
            <w:tcW w:w="360" w:type="dxa"/>
            <w:vAlign w:val="bottom"/>
            <w:shd w:val="clear" w:color="auto" w:fill="DFDFDF"/>
          </w:tcPr>
          <w:p>
            <w:pPr>
              <w:spacing w:after="0"/>
              <w:rPr>
                <w:sz w:val="7"/>
                <w:szCs w:val="7"/>
                <w:color w:val="auto"/>
              </w:rPr>
            </w:pPr>
          </w:p>
        </w:tc>
        <w:tc>
          <w:tcPr>
            <w:tcW w:w="300" w:type="dxa"/>
            <w:vAlign w:val="bottom"/>
            <w:shd w:val="clear" w:color="auto" w:fill="DFDFDF"/>
          </w:tcPr>
          <w:p>
            <w:pPr>
              <w:spacing w:after="0"/>
              <w:rPr>
                <w:sz w:val="7"/>
                <w:szCs w:val="7"/>
                <w:color w:val="auto"/>
              </w:rPr>
            </w:pPr>
          </w:p>
        </w:tc>
        <w:tc>
          <w:tcPr>
            <w:tcW w:w="920" w:type="dxa"/>
            <w:vAlign w:val="bottom"/>
            <w:shd w:val="clear" w:color="auto" w:fill="DFDFDF"/>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Fair Value Hierarchy</w:t>
      </w:r>
    </w:p>
    <w:p>
      <w:pPr>
        <w:spacing w:after="0" w:line="22" w:lineRule="exact"/>
        <w:rPr>
          <w:sz w:val="20"/>
          <w:szCs w:val="20"/>
          <w:color w:val="auto"/>
        </w:rPr>
      </w:pPr>
    </w:p>
    <w:p>
      <w:pPr>
        <w:ind w:right="539"/>
        <w:spacing w:after="0" w:line="218" w:lineRule="auto"/>
        <w:rPr>
          <w:sz w:val="20"/>
          <w:szCs w:val="20"/>
          <w:color w:val="auto"/>
        </w:rPr>
      </w:pPr>
      <w:r>
        <w:rPr>
          <w:rFonts w:ascii="Arial" w:cs="Arial" w:eastAsia="Arial" w:hAnsi="Arial"/>
          <w:sz w:val="22"/>
          <w:szCs w:val="22"/>
          <w:color w:val="auto"/>
        </w:rPr>
        <w:t>We discuss the valuation techniques and inputs we use to measure fair value and the definition of the three levels of the fair value hierarchy in Notes 1 and 2 of the Notes to Consolidated Financial Statements in the Annual Report. We have not changed the valuation techniques or inputs we use to measure fair value during the three months ended March 31, 2010.</w:t>
      </w:r>
    </w:p>
    <w:p>
      <w:pPr>
        <w:spacing w:after="0" w:line="40" w:lineRule="exact"/>
        <w:rPr>
          <w:sz w:val="20"/>
          <w:szCs w:val="20"/>
          <w:color w:val="auto"/>
        </w:rPr>
      </w:pPr>
    </w:p>
    <w:p>
      <w:pPr>
        <w:ind w:right="599"/>
        <w:spacing w:after="0" w:line="214" w:lineRule="auto"/>
        <w:rPr>
          <w:sz w:val="20"/>
          <w:szCs w:val="20"/>
          <w:color w:val="auto"/>
        </w:rPr>
      </w:pPr>
      <w:r>
        <w:rPr>
          <w:rFonts w:ascii="Arial" w:cs="Arial" w:eastAsia="Arial" w:hAnsi="Arial"/>
          <w:sz w:val="22"/>
          <w:szCs w:val="22"/>
          <w:color w:val="auto"/>
        </w:rPr>
        <w:t>The three tables below, by level within the fair value hierarchy, set forth our financial assets and liabilities that were accounted for at fair value on a recurring basis as of March 31, 2010 and December 31, 2009. We classify financial assets and liabilities in their entirety based on the lowest level of input that is significant to the fair value measurement. Our assessment of the significance of a particular input to the fair value measurement requires judgment, and may affect the valuation of fair value assets and liabilities, and their placement within the fair value hierarchy levels.</w:t>
      </w:r>
    </w:p>
    <w:p>
      <w:pPr>
        <w:spacing w:after="0" w:line="24" w:lineRule="exact"/>
        <w:rPr>
          <w:sz w:val="20"/>
          <w:szCs w:val="20"/>
          <w:color w:val="auto"/>
        </w:rPr>
      </w:pPr>
    </w:p>
    <w:p>
      <w:pPr>
        <w:ind w:right="1119"/>
        <w:spacing w:after="0" w:line="232" w:lineRule="auto"/>
        <w:rPr>
          <w:sz w:val="20"/>
          <w:szCs w:val="20"/>
          <w:color w:val="auto"/>
        </w:rPr>
      </w:pPr>
      <w:r>
        <w:rPr>
          <w:rFonts w:ascii="Arial" w:cs="Arial" w:eastAsia="Arial" w:hAnsi="Arial"/>
          <w:sz w:val="22"/>
          <w:szCs w:val="22"/>
          <w:color w:val="auto"/>
        </w:rPr>
        <w:t>The fair value of commodity derivative assets and liabilities is determined in accordance with our netting policy, as discussed above under "Derivative Positions Net of Cash Collateral."</w:t>
      </w:r>
    </w:p>
    <w:p>
      <w:pPr>
        <w:spacing w:after="0" w:line="38" w:lineRule="exact"/>
        <w:rPr>
          <w:sz w:val="20"/>
          <w:szCs w:val="20"/>
          <w:color w:val="auto"/>
        </w:rPr>
      </w:pPr>
    </w:p>
    <w:p>
      <w:pPr>
        <w:jc w:val="both"/>
        <w:ind w:right="899"/>
        <w:spacing w:after="0" w:line="223" w:lineRule="auto"/>
        <w:rPr>
          <w:sz w:val="20"/>
          <w:szCs w:val="20"/>
          <w:color w:val="auto"/>
        </w:rPr>
      </w:pPr>
      <w:r>
        <w:rPr>
          <w:rFonts w:ascii="Arial" w:cs="Arial" w:eastAsia="Arial" w:hAnsi="Arial"/>
          <w:sz w:val="22"/>
          <w:szCs w:val="22"/>
          <w:color w:val="auto"/>
        </w:rPr>
        <w:t>The determination of fair values, shown in the tables below, incorporates various factors, including but not limited to, the credit standing of the counterparties involved and the impact of credit enhancements (such as cash deposits, letters of credit and priority interests).</w:t>
      </w:r>
    </w:p>
    <w:p>
      <w:pPr>
        <w:spacing w:after="0" w:line="38" w:lineRule="exact"/>
        <w:rPr>
          <w:sz w:val="20"/>
          <w:szCs w:val="20"/>
          <w:color w:val="auto"/>
        </w:rPr>
      </w:pPr>
    </w:p>
    <w:p>
      <w:pPr>
        <w:ind w:right="519"/>
        <w:spacing w:after="0" w:line="232" w:lineRule="auto"/>
        <w:rPr>
          <w:sz w:val="20"/>
          <w:szCs w:val="20"/>
          <w:color w:val="auto"/>
        </w:rPr>
      </w:pPr>
      <w:r>
        <w:rPr>
          <w:rFonts w:ascii="Arial" w:cs="Arial" w:eastAsia="Arial" w:hAnsi="Arial"/>
          <w:sz w:val="22"/>
          <w:szCs w:val="22"/>
          <w:color w:val="auto"/>
        </w:rPr>
        <w:t>We discuss our financial assets and liabilities that were accounted for at fair value on a recurring basis further in Note 12 of the Notes to Consolidated Financial Statements in the Annual Report.</w:t>
      </w:r>
    </w:p>
    <w:p>
      <w:pPr>
        <w:sectPr>
          <w:pgSz w:w="11900" w:h="16838" w:orient="portrait"/>
          <w:cols w:equalWidth="0" w:num="1">
            <w:col w:w="10219"/>
          </w:cols>
          <w:pgMar w:left="240" w:top="325" w:right="1440" w:bottom="1440" w:gutter="0" w:footer="0" w:header="0"/>
        </w:sectPr>
      </w:pPr>
    </w:p>
    <w:bookmarkStart w:id="51" w:name="page52"/>
    <w:bookmarkEnd w:id="51"/>
    <w:p>
      <w:pPr>
        <w:spacing w:after="0"/>
        <w:rPr>
          <w:sz w:val="20"/>
          <w:szCs w:val="20"/>
          <w:color w:val="auto"/>
        </w:rPr>
      </w:pPr>
      <w:r>
        <w:rPr>
          <w:rFonts w:ascii="Arial" w:cs="Arial" w:eastAsia="Arial" w:hAnsi="Arial"/>
          <w:sz w:val="16"/>
          <w:szCs w:val="16"/>
          <w:b w:val="1"/>
          <w:bCs w:val="1"/>
          <w:color w:val="auto"/>
        </w:rPr>
        <w:t>RECURRING FAIR VALUE MEASURES -- SEMPRA ENERGY CONSOLIDATED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6260465" cy="2317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60465"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15" w:lineRule="exact"/>
        <w:rPr>
          <w:sz w:val="20"/>
          <w:szCs w:val="20"/>
          <w:color w:val="auto"/>
        </w:rPr>
      </w:pPr>
    </w:p>
    <w:p>
      <w:pPr>
        <w:jc w:val="right"/>
        <w:ind w:right="2239"/>
        <w:spacing w:after="0"/>
        <w:rPr>
          <w:sz w:val="20"/>
          <w:szCs w:val="20"/>
          <w:color w:val="auto"/>
        </w:rPr>
      </w:pPr>
      <w:r>
        <w:rPr>
          <w:rFonts w:ascii="Arial" w:cs="Arial" w:eastAsia="Arial" w:hAnsi="Arial"/>
          <w:sz w:val="14"/>
          <w:szCs w:val="14"/>
          <w:color w:val="auto"/>
        </w:rPr>
        <w:t>At fair value as of March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-1905</wp:posOffset>
            </wp:positionV>
            <wp:extent cx="37731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ectPr>
          <w:pgSz w:w="11900" w:h="16838" w:orient="portrait"/>
          <w:cols w:equalWidth="0" w:num="1">
            <w:col w:w="10219"/>
          </w:cols>
          <w:pgMar w:left="240" w:top="378" w:right="1440" w:bottom="1440" w:gutter="0" w:footer="0" w:header="0"/>
        </w:sect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color w:val="auto"/>
        </w:rPr>
        <w:t>Assets:</w:t>
      </w:r>
    </w:p>
    <w:p>
      <w:pPr>
        <w:spacing w:after="0" w:line="1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Nuclear decommissioning trusts(1)</w:t>
      </w:r>
    </w:p>
    <w:p>
      <w:pPr>
        <w:spacing w:after="0" w:line="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Equity securities</w:t>
      </w:r>
    </w:p>
    <w:p>
      <w:pPr>
        <w:spacing w:after="0" w:line="1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Debt securities</w:t>
      </w:r>
    </w:p>
    <w:p>
      <w:pPr>
        <w:spacing w:after="0" w:line="1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nuclear decommissioning trusts(1)</w:t>
      </w:r>
    </w:p>
    <w:p>
      <w:pPr>
        <w:spacing w:after="0" w:line="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Interest rate instruments</w:t>
      </w:r>
    </w:p>
    <w:p>
      <w:pPr>
        <w:spacing w:after="0" w:line="5" w:lineRule="exact"/>
        <w:rPr>
          <w:sz w:val="20"/>
          <w:szCs w:val="20"/>
          <w:color w:val="auto"/>
        </w:rPr>
      </w:pPr>
    </w:p>
    <w:p>
      <w:pPr>
        <w:ind w:left="180"/>
        <w:spacing w:after="0" w:line="262" w:lineRule="auto"/>
        <w:rPr>
          <w:sz w:val="20"/>
          <w:szCs w:val="20"/>
          <w:color w:val="auto"/>
        </w:rPr>
      </w:pPr>
      <w:r>
        <w:rPr>
          <w:rFonts w:ascii="Arial" w:cs="Arial" w:eastAsia="Arial" w:hAnsi="Arial"/>
          <w:sz w:val="16"/>
          <w:szCs w:val="16"/>
          <w:color w:val="auto"/>
        </w:rPr>
        <w:t>Commodity contracts subject to rate recovery Commodity contracts not subject to rate recovery Investments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Total</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Liabilities:</w:t>
      </w:r>
    </w:p>
    <w:p>
      <w:pPr>
        <w:spacing w:after="0" w:line="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Interest rate instruments</w:t>
      </w:r>
    </w:p>
    <w:p>
      <w:pPr>
        <w:spacing w:after="0" w:line="5" w:lineRule="exact"/>
        <w:rPr>
          <w:sz w:val="20"/>
          <w:szCs w:val="20"/>
          <w:color w:val="auto"/>
        </w:rPr>
      </w:pPr>
    </w:p>
    <w:p>
      <w:pPr>
        <w:ind w:left="180"/>
        <w:spacing w:after="0" w:line="255" w:lineRule="auto"/>
        <w:rPr>
          <w:sz w:val="20"/>
          <w:szCs w:val="20"/>
          <w:color w:val="auto"/>
        </w:rPr>
      </w:pPr>
      <w:r>
        <w:rPr>
          <w:rFonts w:ascii="Arial" w:cs="Arial" w:eastAsia="Arial" w:hAnsi="Arial"/>
          <w:sz w:val="16"/>
          <w:szCs w:val="16"/>
          <w:color w:val="auto"/>
        </w:rPr>
        <w:t>Commodity contracts subject to rate recovery Commodity contracts not subject to rate recovery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160"/>
              <w:spacing w:after="0"/>
              <w:rPr>
                <w:sz w:val="20"/>
                <w:szCs w:val="20"/>
                <w:color w:val="auto"/>
              </w:rPr>
            </w:pPr>
            <w:r>
              <w:rPr>
                <w:rFonts w:ascii="Arial" w:cs="Arial" w:eastAsia="Arial" w:hAnsi="Arial"/>
                <w:sz w:val="14"/>
                <w:szCs w:val="14"/>
                <w:color w:val="auto"/>
              </w:rPr>
              <w:t>Collateral</w:t>
            </w: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1"/>
        </w:trPr>
        <w:tc>
          <w:tcPr>
            <w:tcW w:w="4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Level 1</w:t>
            </w:r>
          </w:p>
        </w:tc>
        <w:tc>
          <w:tcPr>
            <w:tcW w:w="3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color w:val="auto"/>
              </w:rPr>
              <w:t>Level 2</w:t>
            </w:r>
          </w:p>
        </w:tc>
        <w:tc>
          <w:tcPr>
            <w:tcW w:w="3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Level 3</w:t>
            </w: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Netted</w:t>
            </w:r>
          </w:p>
        </w:tc>
        <w:tc>
          <w:tcPr>
            <w:tcW w:w="3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color w:val="auto"/>
              </w:rPr>
              <w:t>Total</w:t>
            </w:r>
          </w:p>
        </w:tc>
      </w:tr>
      <w:tr>
        <w:trPr>
          <w:trHeight w:val="576"/>
        </w:trPr>
        <w:tc>
          <w:tcPr>
            <w:tcW w:w="4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443</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443</w:t>
            </w:r>
          </w:p>
        </w:tc>
      </w:tr>
      <w:tr>
        <w:trPr>
          <w:trHeight w:val="187"/>
        </w:trPr>
        <w:tc>
          <w:tcPr>
            <w:tcW w:w="4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112</w:t>
            </w: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141</w:t>
            </w: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w:t>
            </w:r>
          </w:p>
        </w:tc>
      </w:tr>
      <w:tr>
        <w:trPr>
          <w:trHeight w:val="183"/>
        </w:trPr>
        <w:tc>
          <w:tcPr>
            <w:tcW w:w="4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60"/>
              <w:spacing w:after="0" w:line="183" w:lineRule="exact"/>
              <w:rPr>
                <w:sz w:val="20"/>
                <w:szCs w:val="20"/>
                <w:color w:val="auto"/>
              </w:rPr>
            </w:pPr>
            <w:r>
              <w:rPr>
                <w:rFonts w:ascii="Arial" w:cs="Arial" w:eastAsia="Arial" w:hAnsi="Arial"/>
                <w:sz w:val="16"/>
                <w:szCs w:val="16"/>
                <w:color w:val="auto"/>
              </w:rPr>
              <w:t>555</w:t>
            </w: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141</w:t>
            </w: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696</w:t>
            </w:r>
          </w:p>
        </w:tc>
      </w:tr>
      <w:tr>
        <w:trPr>
          <w:trHeight w:val="184"/>
        </w:trPr>
        <w:tc>
          <w:tcPr>
            <w:tcW w:w="420" w:type="dxa"/>
            <w:vAlign w:val="bottom"/>
          </w:tcPr>
          <w:p>
            <w:pPr>
              <w:spacing w:after="0"/>
              <w:rPr>
                <w:sz w:val="16"/>
                <w:szCs w:val="16"/>
                <w:color w:val="auto"/>
              </w:rPr>
            </w:pP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31</w:t>
            </w:r>
          </w:p>
        </w:tc>
        <w:tc>
          <w:tcPr>
            <w:tcW w:w="340" w:type="dxa"/>
            <w:vAlign w:val="bottom"/>
          </w:tcPr>
          <w:p>
            <w:pPr>
              <w:spacing w:after="0"/>
              <w:rPr>
                <w:sz w:val="16"/>
                <w:szCs w:val="16"/>
                <w:color w:val="auto"/>
              </w:rPr>
            </w:pP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189"/>
        </w:trPr>
        <w:tc>
          <w:tcPr>
            <w:tcW w:w="420" w:type="dxa"/>
            <w:vAlign w:val="bottom"/>
          </w:tcPr>
          <w:p>
            <w:pPr>
              <w:spacing w:after="0"/>
              <w:rPr>
                <w:sz w:val="16"/>
                <w:szCs w:val="16"/>
                <w:color w:val="auto"/>
              </w:rPr>
            </w:pP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27</w:t>
            </w:r>
          </w:p>
        </w:tc>
        <w:tc>
          <w:tcPr>
            <w:tcW w:w="320" w:type="dxa"/>
            <w:vAlign w:val="bottom"/>
          </w:tcPr>
          <w:p>
            <w:pPr>
              <w:spacing w:after="0"/>
              <w:rPr>
                <w:sz w:val="16"/>
                <w:szCs w:val="16"/>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340" w:type="dxa"/>
            <w:vAlign w:val="bottom"/>
          </w:tcPr>
          <w:p>
            <w:pPr>
              <w:spacing w:after="0"/>
              <w:rPr>
                <w:sz w:val="16"/>
                <w:szCs w:val="16"/>
                <w:color w:val="auto"/>
              </w:rPr>
            </w:pP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9</w:t>
            </w:r>
          </w:p>
        </w:tc>
        <w:tc>
          <w:tcPr>
            <w:tcW w:w="280" w:type="dxa"/>
            <w:vAlign w:val="bottom"/>
          </w:tcPr>
          <w:p>
            <w:pPr>
              <w:spacing w:after="0"/>
              <w:rPr>
                <w:sz w:val="16"/>
                <w:szCs w:val="16"/>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189"/>
        </w:trPr>
        <w:tc>
          <w:tcPr>
            <w:tcW w:w="420" w:type="dxa"/>
            <w:vAlign w:val="bottom"/>
          </w:tcPr>
          <w:p>
            <w:pPr>
              <w:spacing w:after="0"/>
              <w:rPr>
                <w:sz w:val="16"/>
                <w:szCs w:val="16"/>
                <w:color w:val="auto"/>
              </w:rPr>
            </w:pP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7</w:t>
            </w:r>
          </w:p>
        </w:tc>
        <w:tc>
          <w:tcPr>
            <w:tcW w:w="320" w:type="dxa"/>
            <w:vAlign w:val="bottom"/>
          </w:tcPr>
          <w:p>
            <w:pPr>
              <w:spacing w:after="0"/>
              <w:rPr>
                <w:sz w:val="16"/>
                <w:szCs w:val="16"/>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80</w:t>
            </w:r>
          </w:p>
        </w:tc>
        <w:tc>
          <w:tcPr>
            <w:tcW w:w="340" w:type="dxa"/>
            <w:vAlign w:val="bottom"/>
          </w:tcPr>
          <w:p>
            <w:pPr>
              <w:spacing w:after="0"/>
              <w:rPr>
                <w:sz w:val="16"/>
                <w:szCs w:val="16"/>
                <w:color w:val="auto"/>
              </w:rPr>
            </w:pP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(26)</w:t>
            </w: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187"/>
        </w:trPr>
        <w:tc>
          <w:tcPr>
            <w:tcW w:w="4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16</w:t>
            </w: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183"/>
        </w:trPr>
        <w:tc>
          <w:tcPr>
            <w:tcW w:w="420" w:type="dxa"/>
            <w:vAlign w:val="bottom"/>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60" w:type="dxa"/>
            <w:vAlign w:val="bottom"/>
          </w:tcPr>
          <w:p>
            <w:pPr>
              <w:jc w:val="right"/>
              <w:ind w:right="60"/>
              <w:spacing w:after="0" w:line="183" w:lineRule="exact"/>
              <w:rPr>
                <w:sz w:val="20"/>
                <w:szCs w:val="20"/>
                <w:color w:val="auto"/>
              </w:rPr>
            </w:pPr>
            <w:r>
              <w:rPr>
                <w:rFonts w:ascii="Arial" w:cs="Arial" w:eastAsia="Arial" w:hAnsi="Arial"/>
                <w:sz w:val="16"/>
                <w:szCs w:val="16"/>
                <w:color w:val="auto"/>
              </w:rPr>
              <w:t>605</w:t>
            </w:r>
          </w:p>
        </w:tc>
        <w:tc>
          <w:tcPr>
            <w:tcW w:w="320" w:type="dxa"/>
            <w:vAlign w:val="bottom"/>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line="183" w:lineRule="exact"/>
              <w:rPr>
                <w:sz w:val="20"/>
                <w:szCs w:val="20"/>
                <w:color w:val="auto"/>
              </w:rPr>
            </w:pPr>
            <w:r>
              <w:rPr>
                <w:rFonts w:ascii="Arial" w:cs="Arial" w:eastAsia="Arial" w:hAnsi="Arial"/>
                <w:sz w:val="16"/>
                <w:szCs w:val="16"/>
                <w:color w:val="auto"/>
              </w:rPr>
              <w:t>255</w:t>
            </w:r>
          </w:p>
        </w:tc>
        <w:tc>
          <w:tcPr>
            <w:tcW w:w="340" w:type="dxa"/>
            <w:vAlign w:val="bottom"/>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60" w:type="dxa"/>
            <w:vAlign w:val="bottom"/>
          </w:tcPr>
          <w:p>
            <w:pPr>
              <w:jc w:val="right"/>
              <w:ind w:right="60"/>
              <w:spacing w:after="0" w:line="183" w:lineRule="exact"/>
              <w:rPr>
                <w:sz w:val="20"/>
                <w:szCs w:val="20"/>
                <w:color w:val="auto"/>
              </w:rPr>
            </w:pPr>
            <w:r>
              <w:rPr>
                <w:rFonts w:ascii="Arial" w:cs="Arial" w:eastAsia="Arial" w:hAnsi="Arial"/>
                <w:sz w:val="16"/>
                <w:szCs w:val="16"/>
                <w:color w:val="auto"/>
              </w:rPr>
              <w:t>9</w:t>
            </w:r>
          </w:p>
        </w:tc>
        <w:tc>
          <w:tcPr>
            <w:tcW w:w="28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line="183" w:lineRule="exact"/>
              <w:rPr>
                <w:sz w:val="20"/>
                <w:szCs w:val="20"/>
                <w:color w:val="auto"/>
              </w:rPr>
            </w:pPr>
            <w:r>
              <w:rPr>
                <w:rFonts w:ascii="Arial" w:cs="Arial" w:eastAsia="Arial" w:hAnsi="Arial"/>
                <w:sz w:val="16"/>
                <w:szCs w:val="16"/>
                <w:color w:val="auto"/>
              </w:rPr>
              <w:t>(26)</w:t>
            </w:r>
          </w:p>
        </w:tc>
        <w:tc>
          <w:tcPr>
            <w:tcW w:w="360" w:type="dxa"/>
            <w:vAlign w:val="bottom"/>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auto"/>
              </w:rPr>
              <w:t>843</w:t>
            </w:r>
          </w:p>
        </w:tc>
      </w:tr>
      <w:tr>
        <w:trPr>
          <w:trHeight w:val="81"/>
        </w:trPr>
        <w:tc>
          <w:tcPr>
            <w:tcW w:w="42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920" w:type="dxa"/>
            <w:vAlign w:val="bottom"/>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720" w:type="dxa"/>
            <w:vAlign w:val="bottom"/>
            <w:shd w:val="clear" w:color="auto" w:fill="000000"/>
          </w:tcPr>
          <w:p>
            <w:pPr>
              <w:spacing w:after="0"/>
              <w:rPr>
                <w:sz w:val="7"/>
                <w:szCs w:val="7"/>
                <w:color w:val="auto"/>
              </w:rPr>
            </w:pPr>
          </w:p>
        </w:tc>
      </w:tr>
      <w:tr>
        <w:trPr>
          <w:trHeight w:val="569"/>
        </w:trPr>
        <w:tc>
          <w:tcPr>
            <w:tcW w:w="4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65</w:t>
            </w:r>
          </w:p>
        </w:tc>
        <w:tc>
          <w:tcPr>
            <w:tcW w:w="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189"/>
        </w:trPr>
        <w:tc>
          <w:tcPr>
            <w:tcW w:w="420" w:type="dxa"/>
            <w:vAlign w:val="bottom"/>
          </w:tcPr>
          <w:p>
            <w:pPr>
              <w:spacing w:after="0"/>
              <w:rPr>
                <w:sz w:val="16"/>
                <w:szCs w:val="16"/>
                <w:color w:val="auto"/>
              </w:rPr>
            </w:pP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57</w:t>
            </w:r>
          </w:p>
        </w:tc>
        <w:tc>
          <w:tcPr>
            <w:tcW w:w="320" w:type="dxa"/>
            <w:vAlign w:val="bottom"/>
          </w:tcPr>
          <w:p>
            <w:pPr>
              <w:spacing w:after="0"/>
              <w:rPr>
                <w:sz w:val="16"/>
                <w:szCs w:val="16"/>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11</w:t>
            </w:r>
          </w:p>
        </w:tc>
        <w:tc>
          <w:tcPr>
            <w:tcW w:w="340" w:type="dxa"/>
            <w:vAlign w:val="bottom"/>
          </w:tcPr>
          <w:p>
            <w:pPr>
              <w:spacing w:after="0"/>
              <w:rPr>
                <w:sz w:val="16"/>
                <w:szCs w:val="16"/>
                <w:color w:val="auto"/>
              </w:rPr>
            </w:pP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(57)</w:t>
            </w: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187"/>
        </w:trPr>
        <w:tc>
          <w:tcPr>
            <w:tcW w:w="4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74</w:t>
            </w: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r>
      <w:tr>
        <w:trPr>
          <w:trHeight w:val="190"/>
        </w:trPr>
        <w:tc>
          <w:tcPr>
            <w:tcW w:w="4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57</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150</w:t>
            </w:r>
          </w:p>
        </w:tc>
        <w:tc>
          <w:tcPr>
            <w:tcW w:w="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(57)</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-3810</wp:posOffset>
            </wp:positionV>
            <wp:extent cx="6260465" cy="514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60465" cy="514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00" w:space="220"/>
            <w:col w:w="6299"/>
          </w:cols>
          <w:pgMar w:left="240" w:top="378" w:right="1440" w:bottom="1440" w:gutter="0" w:footer="0" w:header="0"/>
          <w:type w:val="continuous"/>
        </w:sectPr>
      </w:pPr>
    </w:p>
    <w:p>
      <w:pPr>
        <w:spacing w:after="0" w:line="81"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At fair value as of 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-1905</wp:posOffset>
            </wp:positionV>
            <wp:extent cx="37731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2" w:lineRule="exact"/>
        <w:rPr>
          <w:sz w:val="20"/>
          <w:szCs w:val="20"/>
          <w:color w:val="auto"/>
        </w:rPr>
      </w:pPr>
    </w:p>
    <w:p>
      <w:pPr>
        <w:ind w:left="7940"/>
        <w:spacing w:after="0"/>
        <w:rPr>
          <w:sz w:val="20"/>
          <w:szCs w:val="20"/>
          <w:color w:val="auto"/>
        </w:rPr>
      </w:pPr>
      <w:r>
        <w:rPr>
          <w:rFonts w:ascii="Arial" w:cs="Arial" w:eastAsia="Arial" w:hAnsi="Arial"/>
          <w:sz w:val="14"/>
          <w:szCs w:val="14"/>
          <w:color w:val="auto"/>
        </w:rPr>
        <w:t>Collateral</w:t>
      </w:r>
    </w:p>
    <w:p>
      <w:pPr>
        <w:spacing w:after="0" w:line="15" w:lineRule="exact"/>
        <w:rPr>
          <w:sz w:val="20"/>
          <w:szCs w:val="20"/>
          <w:color w:val="auto"/>
        </w:rPr>
      </w:pPr>
    </w:p>
    <w:p>
      <w:pPr>
        <w:ind w:left="4440"/>
        <w:spacing w:after="0"/>
        <w:tabs>
          <w:tab w:leader="none" w:pos="5620" w:val="left"/>
          <w:tab w:leader="none" w:pos="6800" w:val="left"/>
          <w:tab w:leader="none" w:pos="8000" w:val="left"/>
          <w:tab w:leader="none" w:pos="926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4"/>
          <w:szCs w:val="14"/>
          <w:color w:val="auto"/>
        </w:rPr>
        <w:t>Level 2</w:t>
      </w:r>
      <w:r>
        <w:rPr>
          <w:sz w:val="20"/>
          <w:szCs w:val="20"/>
          <w:color w:val="auto"/>
        </w:rPr>
        <w:tab/>
      </w:r>
      <w:r>
        <w:rPr>
          <w:rFonts w:ascii="Arial" w:cs="Arial" w:eastAsia="Arial" w:hAnsi="Arial"/>
          <w:sz w:val="14"/>
          <w:szCs w:val="14"/>
          <w:color w:val="auto"/>
        </w:rPr>
        <w:t>Level 3</w:t>
      </w:r>
      <w:r>
        <w:rPr>
          <w:sz w:val="20"/>
          <w:szCs w:val="20"/>
          <w:color w:val="auto"/>
        </w:rPr>
        <w:tab/>
      </w:r>
      <w:r>
        <w:rPr>
          <w:rFonts w:ascii="Arial" w:cs="Arial" w:eastAsia="Arial" w:hAnsi="Arial"/>
          <w:sz w:val="14"/>
          <w:szCs w:val="14"/>
          <w:color w:val="auto"/>
        </w:rPr>
        <w:t>Netted</w:t>
      </w:r>
      <w:r>
        <w:rPr>
          <w:sz w:val="20"/>
          <w:szCs w:val="20"/>
          <w:color w:val="auto"/>
        </w:rPr>
        <w:tab/>
      </w:r>
      <w:r>
        <w:rPr>
          <w:rFonts w:ascii="Arial" w:cs="Arial" w:eastAsia="Arial" w:hAnsi="Arial"/>
          <w:sz w:val="13"/>
          <w:szCs w:val="13"/>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-1905</wp:posOffset>
            </wp:positionV>
            <wp:extent cx="37731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ectPr>
          <w:pgSz w:w="11900" w:h="16838" w:orient="portrait"/>
          <w:cols w:equalWidth="0" w:num="1">
            <w:col w:w="10219"/>
          </w:cols>
          <w:pgMar w:left="240" w:top="378" w:right="1440"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Assets:</w:t>
      </w:r>
    </w:p>
    <w:p>
      <w:pPr>
        <w:spacing w:after="0" w:line="1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Nuclear decommissioning trusts(1)</w:t>
      </w:r>
    </w:p>
    <w:p>
      <w:pPr>
        <w:spacing w:after="0" w:line="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Equity securities</w:t>
      </w:r>
    </w:p>
    <w:p>
      <w:pPr>
        <w:spacing w:after="0" w:line="1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Debt securities</w:t>
      </w:r>
    </w:p>
    <w:p>
      <w:pPr>
        <w:spacing w:after="0" w:line="1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nuclear decommissioning trusts(1)</w:t>
      </w:r>
    </w:p>
    <w:p>
      <w:pPr>
        <w:spacing w:after="0" w:line="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Interest rate instruments</w:t>
      </w:r>
    </w:p>
    <w:p>
      <w:pPr>
        <w:spacing w:after="0" w:line="5" w:lineRule="exact"/>
        <w:rPr>
          <w:sz w:val="20"/>
          <w:szCs w:val="20"/>
          <w:color w:val="auto"/>
        </w:rPr>
      </w:pPr>
    </w:p>
    <w:p>
      <w:pPr>
        <w:ind w:left="180"/>
        <w:spacing w:after="0" w:line="262" w:lineRule="auto"/>
        <w:rPr>
          <w:sz w:val="20"/>
          <w:szCs w:val="20"/>
          <w:color w:val="auto"/>
        </w:rPr>
      </w:pPr>
      <w:r>
        <w:rPr>
          <w:rFonts w:ascii="Arial" w:cs="Arial" w:eastAsia="Arial" w:hAnsi="Arial"/>
          <w:sz w:val="16"/>
          <w:szCs w:val="16"/>
          <w:color w:val="auto"/>
        </w:rPr>
        <w:t>Commodity contracts subject to rate recovery Commodity contracts not subject to rate recovery Investments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Total</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Liabilities:</w:t>
      </w:r>
    </w:p>
    <w:p>
      <w:pPr>
        <w:spacing w:after="0" w:line="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Interest rate instruments</w:t>
      </w:r>
    </w:p>
    <w:p>
      <w:pPr>
        <w:spacing w:after="0" w:line="5" w:lineRule="exact"/>
        <w:rPr>
          <w:sz w:val="20"/>
          <w:szCs w:val="20"/>
          <w:color w:val="auto"/>
        </w:rPr>
      </w:pPr>
    </w:p>
    <w:p>
      <w:pPr>
        <w:ind w:left="180"/>
        <w:spacing w:after="0" w:line="255" w:lineRule="auto"/>
        <w:rPr>
          <w:sz w:val="20"/>
          <w:szCs w:val="20"/>
          <w:color w:val="auto"/>
        </w:rPr>
      </w:pPr>
      <w:r>
        <w:rPr>
          <w:rFonts w:ascii="Arial" w:cs="Arial" w:eastAsia="Arial" w:hAnsi="Arial"/>
          <w:sz w:val="16"/>
          <w:szCs w:val="16"/>
          <w:color w:val="auto"/>
        </w:rPr>
        <w:t>Commodity contracts subject to rate recovery Commodity contracts not subject to rate recovery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6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421</w:t>
            </w:r>
          </w:p>
        </w:tc>
        <w:tc>
          <w:tcPr>
            <w:tcW w:w="5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421</w:t>
            </w:r>
          </w:p>
        </w:tc>
      </w:tr>
      <w:tr>
        <w:trPr>
          <w:trHeight w:val="187"/>
        </w:trPr>
        <w:tc>
          <w:tcPr>
            <w:tcW w:w="6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111</w:t>
            </w:r>
          </w:p>
        </w:tc>
        <w:tc>
          <w:tcPr>
            <w:tcW w:w="5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137</w:t>
            </w:r>
          </w:p>
        </w:tc>
        <w:tc>
          <w:tcPr>
            <w:tcW w:w="5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w:t>
            </w:r>
          </w:p>
        </w:tc>
      </w:tr>
      <w:tr>
        <w:trPr>
          <w:trHeight w:val="183"/>
        </w:trPr>
        <w:tc>
          <w:tcPr>
            <w:tcW w:w="6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532</w:t>
            </w:r>
          </w:p>
        </w:tc>
        <w:tc>
          <w:tcPr>
            <w:tcW w:w="5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137</w:t>
            </w:r>
          </w:p>
        </w:tc>
        <w:tc>
          <w:tcPr>
            <w:tcW w:w="5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669</w:t>
            </w:r>
          </w:p>
        </w:tc>
      </w:tr>
      <w:tr>
        <w:trPr>
          <w:trHeight w:val="184"/>
        </w:trPr>
        <w:tc>
          <w:tcPr>
            <w:tcW w:w="600" w:type="dxa"/>
            <w:vAlign w:val="bottom"/>
          </w:tcPr>
          <w:p>
            <w:pPr>
              <w:spacing w:after="0"/>
              <w:rPr>
                <w:sz w:val="16"/>
                <w:szCs w:val="16"/>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6"/>
                <w:szCs w:val="16"/>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38</w:t>
            </w:r>
          </w:p>
        </w:tc>
        <w:tc>
          <w:tcPr>
            <w:tcW w:w="560" w:type="dxa"/>
            <w:vAlign w:val="bottom"/>
          </w:tcPr>
          <w:p>
            <w:pPr>
              <w:spacing w:after="0"/>
              <w:rPr>
                <w:sz w:val="16"/>
                <w:szCs w:val="16"/>
                <w:color w:val="auto"/>
              </w:rPr>
            </w:pP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6"/>
                <w:szCs w:val="16"/>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189"/>
        </w:trPr>
        <w:tc>
          <w:tcPr>
            <w:tcW w:w="600" w:type="dxa"/>
            <w:vAlign w:val="bottom"/>
          </w:tcPr>
          <w:p>
            <w:pPr>
              <w:spacing w:after="0"/>
              <w:rPr>
                <w:sz w:val="16"/>
                <w:szCs w:val="16"/>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32</w:t>
            </w:r>
          </w:p>
        </w:tc>
        <w:tc>
          <w:tcPr>
            <w:tcW w:w="500" w:type="dxa"/>
            <w:vAlign w:val="bottom"/>
          </w:tcPr>
          <w:p>
            <w:pPr>
              <w:spacing w:after="0"/>
              <w:rPr>
                <w:sz w:val="16"/>
                <w:szCs w:val="16"/>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560" w:type="dxa"/>
            <w:vAlign w:val="bottom"/>
          </w:tcPr>
          <w:p>
            <w:pPr>
              <w:spacing w:after="0"/>
              <w:rPr>
                <w:sz w:val="16"/>
                <w:szCs w:val="16"/>
                <w:color w:val="auto"/>
              </w:rPr>
            </w:pP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10</w:t>
            </w:r>
          </w:p>
        </w:tc>
        <w:tc>
          <w:tcPr>
            <w:tcW w:w="520" w:type="dxa"/>
            <w:vAlign w:val="bottom"/>
          </w:tcPr>
          <w:p>
            <w:pPr>
              <w:spacing w:after="0"/>
              <w:rPr>
                <w:sz w:val="16"/>
                <w:szCs w:val="16"/>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189"/>
        </w:trPr>
        <w:tc>
          <w:tcPr>
            <w:tcW w:w="600" w:type="dxa"/>
            <w:vAlign w:val="bottom"/>
          </w:tcPr>
          <w:p>
            <w:pPr>
              <w:spacing w:after="0"/>
              <w:rPr>
                <w:sz w:val="16"/>
                <w:szCs w:val="16"/>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7</w:t>
            </w:r>
          </w:p>
        </w:tc>
        <w:tc>
          <w:tcPr>
            <w:tcW w:w="500" w:type="dxa"/>
            <w:vAlign w:val="bottom"/>
          </w:tcPr>
          <w:p>
            <w:pPr>
              <w:spacing w:after="0"/>
              <w:rPr>
                <w:sz w:val="16"/>
                <w:szCs w:val="16"/>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62</w:t>
            </w:r>
          </w:p>
        </w:tc>
        <w:tc>
          <w:tcPr>
            <w:tcW w:w="560" w:type="dxa"/>
            <w:vAlign w:val="bottom"/>
          </w:tcPr>
          <w:p>
            <w:pPr>
              <w:spacing w:after="0"/>
              <w:rPr>
                <w:sz w:val="16"/>
                <w:szCs w:val="16"/>
                <w:color w:val="auto"/>
              </w:rPr>
            </w:pP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5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187"/>
        </w:trPr>
        <w:tc>
          <w:tcPr>
            <w:tcW w:w="6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w:t>
            </w:r>
          </w:p>
        </w:tc>
        <w:tc>
          <w:tcPr>
            <w:tcW w:w="5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183"/>
        </w:trPr>
        <w:tc>
          <w:tcPr>
            <w:tcW w:w="600" w:type="dxa"/>
            <w:vAlign w:val="bottom"/>
          </w:tcPr>
          <w:p>
            <w:pPr>
              <w:jc w:val="right"/>
              <w:ind w:right="199"/>
              <w:spacing w:after="0" w:line="183" w:lineRule="exact"/>
              <w:rPr>
                <w:sz w:val="20"/>
                <w:szCs w:val="20"/>
                <w:color w:val="auto"/>
              </w:rPr>
            </w:pPr>
            <w:r>
              <w:rPr>
                <w:rFonts w:ascii="Arial" w:cs="Arial" w:eastAsia="Arial" w:hAnsi="Arial"/>
                <w:sz w:val="16"/>
                <w:szCs w:val="16"/>
                <w:color w:val="auto"/>
              </w:rPr>
              <w:t>$</w:t>
            </w:r>
          </w:p>
        </w:tc>
        <w:tc>
          <w:tcPr>
            <w:tcW w:w="680" w:type="dxa"/>
            <w:vAlign w:val="bottom"/>
          </w:tcPr>
          <w:p>
            <w:pPr>
              <w:jc w:val="right"/>
              <w:ind w:right="59"/>
              <w:spacing w:after="0" w:line="183" w:lineRule="exact"/>
              <w:rPr>
                <w:sz w:val="20"/>
                <w:szCs w:val="20"/>
                <w:color w:val="auto"/>
              </w:rPr>
            </w:pPr>
            <w:r>
              <w:rPr>
                <w:rFonts w:ascii="Arial" w:cs="Arial" w:eastAsia="Arial" w:hAnsi="Arial"/>
                <w:sz w:val="16"/>
                <w:szCs w:val="16"/>
                <w:color w:val="auto"/>
              </w:rPr>
              <w:t>572</w:t>
            </w:r>
          </w:p>
        </w:tc>
        <w:tc>
          <w:tcPr>
            <w:tcW w:w="500" w:type="dxa"/>
            <w:vAlign w:val="bottom"/>
          </w:tcPr>
          <w:p>
            <w:pPr>
              <w:jc w:val="right"/>
              <w:ind w:right="199"/>
              <w:spacing w:after="0" w:line="183" w:lineRule="exact"/>
              <w:rPr>
                <w:sz w:val="20"/>
                <w:szCs w:val="20"/>
                <w:color w:val="auto"/>
              </w:rPr>
            </w:pPr>
            <w:r>
              <w:rPr>
                <w:rFonts w:ascii="Arial" w:cs="Arial" w:eastAsia="Arial" w:hAnsi="Arial"/>
                <w:sz w:val="16"/>
                <w:szCs w:val="16"/>
                <w:color w:val="auto"/>
              </w:rPr>
              <w:t>$</w:t>
            </w:r>
          </w:p>
        </w:tc>
        <w:tc>
          <w:tcPr>
            <w:tcW w:w="680" w:type="dxa"/>
            <w:vAlign w:val="bottom"/>
          </w:tcPr>
          <w:p>
            <w:pPr>
              <w:jc w:val="right"/>
              <w:ind w:right="39"/>
              <w:spacing w:after="0" w:line="183" w:lineRule="exact"/>
              <w:rPr>
                <w:sz w:val="20"/>
                <w:szCs w:val="20"/>
                <w:color w:val="auto"/>
              </w:rPr>
            </w:pPr>
            <w:r>
              <w:rPr>
                <w:rFonts w:ascii="Arial" w:cs="Arial" w:eastAsia="Arial" w:hAnsi="Arial"/>
                <w:sz w:val="16"/>
                <w:szCs w:val="16"/>
                <w:color w:val="auto"/>
              </w:rPr>
              <w:t>240</w:t>
            </w:r>
          </w:p>
        </w:tc>
        <w:tc>
          <w:tcPr>
            <w:tcW w:w="560" w:type="dxa"/>
            <w:vAlign w:val="bottom"/>
          </w:tcPr>
          <w:p>
            <w:pPr>
              <w:jc w:val="right"/>
              <w:ind w:right="239"/>
              <w:spacing w:after="0" w:line="183" w:lineRule="exact"/>
              <w:rPr>
                <w:sz w:val="20"/>
                <w:szCs w:val="20"/>
                <w:color w:val="auto"/>
              </w:rPr>
            </w:pPr>
            <w:r>
              <w:rPr>
                <w:rFonts w:ascii="Arial" w:cs="Arial" w:eastAsia="Arial" w:hAnsi="Arial"/>
                <w:sz w:val="16"/>
                <w:szCs w:val="16"/>
                <w:color w:val="auto"/>
              </w:rPr>
              <w:t>$</w:t>
            </w:r>
          </w:p>
        </w:tc>
        <w:tc>
          <w:tcPr>
            <w:tcW w:w="640" w:type="dxa"/>
            <w:vAlign w:val="bottom"/>
          </w:tcPr>
          <w:p>
            <w:pPr>
              <w:jc w:val="right"/>
              <w:ind w:right="59"/>
              <w:spacing w:after="0" w:line="183" w:lineRule="exact"/>
              <w:rPr>
                <w:sz w:val="20"/>
                <w:szCs w:val="20"/>
                <w:color w:val="auto"/>
              </w:rPr>
            </w:pPr>
            <w:r>
              <w:rPr>
                <w:rFonts w:ascii="Arial" w:cs="Arial" w:eastAsia="Arial" w:hAnsi="Arial"/>
                <w:sz w:val="16"/>
                <w:szCs w:val="16"/>
                <w:color w:val="auto"/>
              </w:rPr>
              <w:t>10</w:t>
            </w:r>
          </w:p>
        </w:tc>
        <w:tc>
          <w:tcPr>
            <w:tcW w:w="520" w:type="dxa"/>
            <w:vAlign w:val="bottom"/>
          </w:tcPr>
          <w:p>
            <w:pPr>
              <w:jc w:val="right"/>
              <w:ind w:right="219"/>
              <w:spacing w:after="0" w:line="183" w:lineRule="exact"/>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line="183" w:lineRule="exact"/>
              <w:rPr>
                <w:sz w:val="20"/>
                <w:szCs w:val="20"/>
                <w:color w:val="auto"/>
              </w:rPr>
            </w:pPr>
            <w:r>
              <w:rPr>
                <w:rFonts w:ascii="Arial" w:cs="Arial" w:eastAsia="Arial" w:hAnsi="Arial"/>
                <w:sz w:val="16"/>
                <w:szCs w:val="16"/>
                <w:color w:val="auto"/>
              </w:rPr>
              <w:t>(40)</w:t>
            </w:r>
          </w:p>
        </w:tc>
        <w:tc>
          <w:tcPr>
            <w:tcW w:w="500" w:type="dxa"/>
            <w:vAlign w:val="bottom"/>
          </w:tcPr>
          <w:p>
            <w:pPr>
              <w:jc w:val="right"/>
              <w:ind w:right="219"/>
              <w:spacing w:after="0" w:line="183" w:lineRule="exact"/>
              <w:rPr>
                <w:sz w:val="20"/>
                <w:szCs w:val="20"/>
                <w:color w:val="auto"/>
              </w:rPr>
            </w:pPr>
            <w:r>
              <w:rPr>
                <w:rFonts w:ascii="Arial" w:cs="Arial" w:eastAsia="Arial" w:hAnsi="Arial"/>
                <w:sz w:val="16"/>
                <w:szCs w:val="16"/>
                <w:color w:val="auto"/>
              </w:rPr>
              <w:t>$</w:t>
            </w:r>
          </w:p>
        </w:tc>
        <w:tc>
          <w:tcPr>
            <w:tcW w:w="580" w:type="dxa"/>
            <w:vAlign w:val="bottom"/>
          </w:tcPr>
          <w:p>
            <w:pPr>
              <w:jc w:val="right"/>
              <w:spacing w:after="0" w:line="183" w:lineRule="exact"/>
              <w:rPr>
                <w:sz w:val="20"/>
                <w:szCs w:val="20"/>
                <w:color w:val="auto"/>
              </w:rPr>
            </w:pPr>
            <w:r>
              <w:rPr>
                <w:rFonts w:ascii="Arial" w:cs="Arial" w:eastAsia="Arial" w:hAnsi="Arial"/>
                <w:sz w:val="16"/>
                <w:szCs w:val="16"/>
                <w:color w:val="auto"/>
              </w:rPr>
              <w:t>782</w:t>
            </w:r>
          </w:p>
        </w:tc>
      </w:tr>
      <w:tr>
        <w:trPr>
          <w:trHeight w:val="81"/>
        </w:trPr>
        <w:tc>
          <w:tcPr>
            <w:tcW w:w="600" w:type="dxa"/>
            <w:vAlign w:val="bottom"/>
            <w:shd w:val="clear" w:color="auto" w:fill="000000"/>
          </w:tcPr>
          <w:p>
            <w:pPr>
              <w:spacing w:after="0"/>
              <w:rPr>
                <w:sz w:val="7"/>
                <w:szCs w:val="7"/>
                <w:color w:val="auto"/>
              </w:rPr>
            </w:pPr>
          </w:p>
        </w:tc>
        <w:tc>
          <w:tcPr>
            <w:tcW w:w="680" w:type="dxa"/>
            <w:vAlign w:val="bottom"/>
            <w:shd w:val="clear" w:color="auto" w:fill="000000"/>
          </w:tcPr>
          <w:p>
            <w:pPr>
              <w:spacing w:after="0"/>
              <w:rPr>
                <w:sz w:val="7"/>
                <w:szCs w:val="7"/>
                <w:color w:val="auto"/>
              </w:rPr>
            </w:pPr>
          </w:p>
        </w:tc>
        <w:tc>
          <w:tcPr>
            <w:tcW w:w="500" w:type="dxa"/>
            <w:vAlign w:val="bottom"/>
            <w:shd w:val="clear" w:color="auto" w:fill="000000"/>
          </w:tcPr>
          <w:p>
            <w:pPr>
              <w:spacing w:after="0"/>
              <w:rPr>
                <w:sz w:val="7"/>
                <w:szCs w:val="7"/>
                <w:color w:val="auto"/>
              </w:rPr>
            </w:pPr>
          </w:p>
        </w:tc>
        <w:tc>
          <w:tcPr>
            <w:tcW w:w="680" w:type="dxa"/>
            <w:vAlign w:val="bottom"/>
            <w:shd w:val="clear" w:color="auto" w:fill="000000"/>
          </w:tcPr>
          <w:p>
            <w:pPr>
              <w:spacing w:after="0"/>
              <w:rPr>
                <w:sz w:val="7"/>
                <w:szCs w:val="7"/>
                <w:color w:val="auto"/>
              </w:rPr>
            </w:pPr>
          </w:p>
        </w:tc>
        <w:tc>
          <w:tcPr>
            <w:tcW w:w="560" w:type="dxa"/>
            <w:vAlign w:val="bottom"/>
            <w:shd w:val="clear" w:color="auto" w:fill="000000"/>
          </w:tcPr>
          <w:p>
            <w:pPr>
              <w:spacing w:after="0"/>
              <w:rPr>
                <w:sz w:val="7"/>
                <w:szCs w:val="7"/>
                <w:color w:val="auto"/>
              </w:rPr>
            </w:pPr>
          </w:p>
        </w:tc>
        <w:tc>
          <w:tcPr>
            <w:tcW w:w="640" w:type="dxa"/>
            <w:vAlign w:val="bottom"/>
            <w:shd w:val="clear" w:color="auto" w:fill="000000"/>
          </w:tcPr>
          <w:p>
            <w:pPr>
              <w:spacing w:after="0"/>
              <w:rPr>
                <w:sz w:val="7"/>
                <w:szCs w:val="7"/>
                <w:color w:val="auto"/>
              </w:rPr>
            </w:pPr>
          </w:p>
        </w:tc>
        <w:tc>
          <w:tcPr>
            <w:tcW w:w="520" w:type="dxa"/>
            <w:vAlign w:val="bottom"/>
            <w:shd w:val="clear" w:color="auto" w:fill="000000"/>
          </w:tcPr>
          <w:p>
            <w:pPr>
              <w:spacing w:after="0"/>
              <w:rPr>
                <w:sz w:val="7"/>
                <w:szCs w:val="7"/>
                <w:color w:val="auto"/>
              </w:rPr>
            </w:pPr>
          </w:p>
        </w:tc>
        <w:tc>
          <w:tcPr>
            <w:tcW w:w="680" w:type="dxa"/>
            <w:vAlign w:val="bottom"/>
            <w:shd w:val="clear" w:color="auto" w:fill="000000"/>
          </w:tcPr>
          <w:p>
            <w:pPr>
              <w:spacing w:after="0"/>
              <w:rPr>
                <w:sz w:val="7"/>
                <w:szCs w:val="7"/>
                <w:color w:val="auto"/>
              </w:rPr>
            </w:pPr>
          </w:p>
        </w:tc>
        <w:tc>
          <w:tcPr>
            <w:tcW w:w="500" w:type="dxa"/>
            <w:vAlign w:val="bottom"/>
            <w:shd w:val="clear" w:color="auto" w:fill="000000"/>
          </w:tcPr>
          <w:p>
            <w:pPr>
              <w:spacing w:after="0"/>
              <w:rPr>
                <w:sz w:val="7"/>
                <w:szCs w:val="7"/>
                <w:color w:val="auto"/>
              </w:rPr>
            </w:pPr>
          </w:p>
        </w:tc>
        <w:tc>
          <w:tcPr>
            <w:tcW w:w="580" w:type="dxa"/>
            <w:vAlign w:val="bottom"/>
            <w:shd w:val="clear" w:color="auto" w:fill="000000"/>
          </w:tcPr>
          <w:p>
            <w:pPr>
              <w:spacing w:after="0"/>
              <w:rPr>
                <w:sz w:val="7"/>
                <w:szCs w:val="7"/>
                <w:color w:val="auto"/>
              </w:rPr>
            </w:pPr>
          </w:p>
        </w:tc>
      </w:tr>
      <w:tr>
        <w:trPr>
          <w:trHeight w:val="569"/>
        </w:trPr>
        <w:tc>
          <w:tcPr>
            <w:tcW w:w="6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59</w:t>
            </w:r>
          </w:p>
        </w:tc>
        <w:tc>
          <w:tcPr>
            <w:tcW w:w="5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189"/>
        </w:trPr>
        <w:tc>
          <w:tcPr>
            <w:tcW w:w="600" w:type="dxa"/>
            <w:vAlign w:val="bottom"/>
          </w:tcPr>
          <w:p>
            <w:pPr>
              <w:spacing w:after="0"/>
              <w:rPr>
                <w:sz w:val="16"/>
                <w:szCs w:val="16"/>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9</w:t>
            </w:r>
          </w:p>
        </w:tc>
        <w:tc>
          <w:tcPr>
            <w:tcW w:w="500" w:type="dxa"/>
            <w:vAlign w:val="bottom"/>
          </w:tcPr>
          <w:p>
            <w:pPr>
              <w:spacing w:after="0"/>
              <w:rPr>
                <w:sz w:val="16"/>
                <w:szCs w:val="16"/>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560" w:type="dxa"/>
            <w:vAlign w:val="bottom"/>
          </w:tcPr>
          <w:p>
            <w:pPr>
              <w:spacing w:after="0"/>
              <w:rPr>
                <w:sz w:val="16"/>
                <w:szCs w:val="16"/>
                <w:color w:val="auto"/>
              </w:rPr>
            </w:pP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5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187"/>
        </w:trPr>
        <w:tc>
          <w:tcPr>
            <w:tcW w:w="6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65</w:t>
            </w:r>
          </w:p>
        </w:tc>
        <w:tc>
          <w:tcPr>
            <w:tcW w:w="5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r>
      <w:tr>
        <w:trPr>
          <w:trHeight w:val="190"/>
        </w:trPr>
        <w:tc>
          <w:tcPr>
            <w:tcW w:w="6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9</w:t>
            </w:r>
          </w:p>
        </w:tc>
        <w:tc>
          <w:tcPr>
            <w:tcW w:w="5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133</w:t>
            </w:r>
          </w:p>
        </w:tc>
        <w:tc>
          <w:tcPr>
            <w:tcW w:w="5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5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-3810</wp:posOffset>
            </wp:positionV>
            <wp:extent cx="6260465" cy="514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60465" cy="51435"/>
                    </a:xfrm>
                    <a:prstGeom prst="rect">
                      <a:avLst/>
                    </a:prstGeom>
                    <a:noFill/>
                  </pic:spPr>
                </pic:pic>
              </a:graphicData>
            </a:graphic>
          </wp:anchor>
        </w:drawing>
      </w:r>
    </w:p>
    <w:p>
      <w:pPr>
        <w:spacing w:after="0" w:line="105" w:lineRule="exact"/>
        <w:rPr>
          <w:sz w:val="20"/>
          <w:szCs w:val="20"/>
          <w:color w:val="auto"/>
        </w:rPr>
      </w:pPr>
    </w:p>
    <w:p>
      <w:pPr>
        <w:sectPr>
          <w:pgSz w:w="11900" w:h="16838" w:orient="portrait"/>
          <w:cols w:equalWidth="0" w:num="2">
            <w:col w:w="3700" w:space="220"/>
            <w:col w:w="6299"/>
          </w:cols>
          <w:pgMar w:left="240" w:top="378" w:right="1440" w:bottom="1440" w:gutter="0" w:footer="0" w:header="0"/>
          <w:type w:val="continuous"/>
        </w:sectPr>
      </w:pPr>
    </w:p>
    <w:p>
      <w:pPr>
        <w:spacing w:after="0"/>
        <w:rPr>
          <w:sz w:val="20"/>
          <w:szCs w:val="20"/>
          <w:color w:val="auto"/>
        </w:rPr>
      </w:pPr>
      <w:r>
        <w:rPr>
          <w:rFonts w:ascii="Arial" w:cs="Arial" w:eastAsia="Arial" w:hAnsi="Arial"/>
          <w:sz w:val="14"/>
          <w:szCs w:val="14"/>
          <w:i w:val="1"/>
          <w:iCs w:val="1"/>
          <w:color w:val="auto"/>
        </w:rPr>
        <w:t>(1) Excludes cash balances and cash equivalents.</w:t>
      </w:r>
    </w:p>
    <w:p>
      <w:pPr>
        <w:sectPr>
          <w:pgSz w:w="11900" w:h="16838" w:orient="portrait"/>
          <w:cols w:equalWidth="0" w:num="1">
            <w:col w:w="10219"/>
          </w:cols>
          <w:pgMar w:left="240" w:top="378" w:right="1440"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6"/>
          <w:szCs w:val="16"/>
          <w:b w:val="1"/>
          <w:bCs w:val="1"/>
          <w:color w:val="auto"/>
        </w:rPr>
        <w:t>RECURRING FAIR VALUE MEASURES -- SDG&amp;E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6405880" cy="2317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40588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5"/>
          </w:tcPr>
          <w:p>
            <w:pPr>
              <w:jc w:val="right"/>
              <w:ind w:right="741"/>
              <w:spacing w:after="0"/>
              <w:rPr>
                <w:sz w:val="20"/>
                <w:szCs w:val="20"/>
                <w:color w:val="auto"/>
              </w:rPr>
            </w:pPr>
            <w:r>
              <w:rPr>
                <w:rFonts w:ascii="Arial" w:cs="Arial" w:eastAsia="Arial" w:hAnsi="Arial"/>
                <w:sz w:val="14"/>
                <w:szCs w:val="14"/>
                <w:color w:val="auto"/>
              </w:rPr>
              <w:t>At fair value as of March 31, 2010</w:t>
            </w: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4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center"/>
              <w:ind w:right="101"/>
              <w:spacing w:after="0"/>
              <w:rPr>
                <w:sz w:val="20"/>
                <w:szCs w:val="20"/>
                <w:color w:val="auto"/>
              </w:rPr>
            </w:pPr>
            <w:r>
              <w:rPr>
                <w:rFonts w:ascii="Arial" w:cs="Arial" w:eastAsia="Arial" w:hAnsi="Arial"/>
                <w:sz w:val="14"/>
                <w:szCs w:val="14"/>
                <w:color w:val="auto"/>
              </w:rPr>
              <w:t>Collateral</w:t>
            </w: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416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Level 1</w:t>
            </w:r>
          </w:p>
        </w:tc>
        <w:tc>
          <w:tcPr>
            <w:tcW w:w="3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color w:val="auto"/>
              </w:rPr>
              <w:t>Level 2</w:t>
            </w:r>
          </w:p>
        </w:tc>
        <w:tc>
          <w:tcPr>
            <w:tcW w:w="3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color w:val="auto"/>
              </w:rPr>
              <w:t>Level 3</w:t>
            </w:r>
          </w:p>
        </w:tc>
        <w:tc>
          <w:tcPr>
            <w:tcW w:w="3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color w:val="auto"/>
              </w:rPr>
              <w:t>Netted</w:t>
            </w:r>
          </w:p>
        </w:tc>
        <w:tc>
          <w:tcPr>
            <w:tcW w:w="3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0"/>
        </w:trPr>
        <w:tc>
          <w:tcPr>
            <w:tcW w:w="4160" w:type="dxa"/>
            <w:vAlign w:val="bottom"/>
          </w:tcPr>
          <w:p>
            <w:pPr>
              <w:spacing w:after="0"/>
              <w:rPr>
                <w:sz w:val="20"/>
                <w:szCs w:val="20"/>
                <w:color w:val="auto"/>
              </w:rPr>
            </w:pPr>
            <w:r>
              <w:rPr>
                <w:rFonts w:ascii="Arial" w:cs="Arial" w:eastAsia="Arial" w:hAnsi="Arial"/>
                <w:sz w:val="16"/>
                <w:szCs w:val="16"/>
                <w:color w:val="auto"/>
              </w:rPr>
              <w:t>Assets:</w:t>
            </w: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160" w:type="dxa"/>
            <w:vAlign w:val="bottom"/>
          </w:tcPr>
          <w:p>
            <w:pPr>
              <w:ind w:left="180"/>
              <w:spacing w:after="0"/>
              <w:rPr>
                <w:sz w:val="20"/>
                <w:szCs w:val="20"/>
                <w:color w:val="auto"/>
              </w:rPr>
            </w:pPr>
            <w:r>
              <w:rPr>
                <w:rFonts w:ascii="Arial" w:cs="Arial" w:eastAsia="Arial" w:hAnsi="Arial"/>
                <w:sz w:val="16"/>
                <w:szCs w:val="16"/>
                <w:color w:val="auto"/>
              </w:rPr>
              <w:t>Nuclear decommissioning trusts(1)</w:t>
            </w: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160" w:type="dxa"/>
            <w:vAlign w:val="bottom"/>
          </w:tcPr>
          <w:p>
            <w:pPr>
              <w:ind w:left="460"/>
              <w:spacing w:after="0"/>
              <w:rPr>
                <w:sz w:val="20"/>
                <w:szCs w:val="20"/>
                <w:color w:val="auto"/>
              </w:rPr>
            </w:pPr>
            <w:r>
              <w:rPr>
                <w:rFonts w:ascii="Arial" w:cs="Arial" w:eastAsia="Arial" w:hAnsi="Arial"/>
                <w:sz w:val="16"/>
                <w:szCs w:val="16"/>
                <w:color w:val="auto"/>
              </w:rPr>
              <w:t>Equity securities</w:t>
            </w: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443</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443</w:t>
            </w:r>
          </w:p>
        </w:tc>
        <w:tc>
          <w:tcPr>
            <w:tcW w:w="0" w:type="dxa"/>
            <w:vAlign w:val="bottom"/>
          </w:tcPr>
          <w:p>
            <w:pPr>
              <w:spacing w:after="0"/>
              <w:rPr>
                <w:sz w:val="1"/>
                <w:szCs w:val="1"/>
                <w:color w:val="auto"/>
              </w:rPr>
            </w:pPr>
          </w:p>
        </w:tc>
      </w:tr>
      <w:tr>
        <w:trPr>
          <w:trHeight w:val="187"/>
        </w:trPr>
        <w:tc>
          <w:tcPr>
            <w:tcW w:w="4160" w:type="dxa"/>
            <w:vAlign w:val="bottom"/>
          </w:tcPr>
          <w:p>
            <w:pPr>
              <w:ind w:left="460"/>
              <w:spacing w:after="0"/>
              <w:rPr>
                <w:sz w:val="20"/>
                <w:szCs w:val="20"/>
                <w:color w:val="auto"/>
              </w:rPr>
            </w:pPr>
            <w:r>
              <w:rPr>
                <w:rFonts w:ascii="Arial" w:cs="Arial" w:eastAsia="Arial" w:hAnsi="Arial"/>
                <w:sz w:val="16"/>
                <w:szCs w:val="16"/>
                <w:color w:val="auto"/>
              </w:rPr>
              <w:t>Debt securities</w:t>
            </w: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112</w:t>
            </w: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141</w:t>
            </w: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183"/>
        </w:trPr>
        <w:tc>
          <w:tcPr>
            <w:tcW w:w="4160" w:type="dxa"/>
            <w:vAlign w:val="bottom"/>
          </w:tcPr>
          <w:p>
            <w:pPr>
              <w:ind w:left="180"/>
              <w:spacing w:after="0" w:line="183" w:lineRule="exact"/>
              <w:rPr>
                <w:sz w:val="20"/>
                <w:szCs w:val="20"/>
                <w:color w:val="auto"/>
              </w:rPr>
            </w:pPr>
            <w:r>
              <w:rPr>
                <w:rFonts w:ascii="Arial" w:cs="Arial" w:eastAsia="Arial" w:hAnsi="Arial"/>
                <w:sz w:val="16"/>
                <w:szCs w:val="16"/>
                <w:color w:val="auto"/>
              </w:rPr>
              <w:t>Total nuclear decommissioning trusts(1)</w:t>
            </w:r>
          </w:p>
        </w:tc>
        <w:tc>
          <w:tcPr>
            <w:tcW w:w="4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60"/>
              <w:spacing w:after="0" w:line="183" w:lineRule="exact"/>
              <w:rPr>
                <w:sz w:val="20"/>
                <w:szCs w:val="20"/>
                <w:color w:val="auto"/>
              </w:rPr>
            </w:pPr>
            <w:r>
              <w:rPr>
                <w:rFonts w:ascii="Arial" w:cs="Arial" w:eastAsia="Arial" w:hAnsi="Arial"/>
                <w:sz w:val="16"/>
                <w:szCs w:val="16"/>
                <w:color w:val="auto"/>
              </w:rPr>
              <w:t>555</w:t>
            </w: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61"/>
              <w:spacing w:after="0" w:line="183" w:lineRule="exact"/>
              <w:rPr>
                <w:sz w:val="20"/>
                <w:szCs w:val="20"/>
                <w:color w:val="auto"/>
              </w:rPr>
            </w:pPr>
            <w:r>
              <w:rPr>
                <w:rFonts w:ascii="Arial" w:cs="Arial" w:eastAsia="Arial" w:hAnsi="Arial"/>
                <w:sz w:val="16"/>
                <w:szCs w:val="16"/>
                <w:color w:val="auto"/>
              </w:rPr>
              <w:t>141</w:t>
            </w: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81"/>
              <w:spacing w:after="0" w:line="183" w:lineRule="exact"/>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696</w:t>
            </w:r>
          </w:p>
        </w:tc>
        <w:tc>
          <w:tcPr>
            <w:tcW w:w="0" w:type="dxa"/>
            <w:vAlign w:val="bottom"/>
          </w:tcPr>
          <w:p>
            <w:pPr>
              <w:spacing w:after="0"/>
              <w:rPr>
                <w:sz w:val="1"/>
                <w:szCs w:val="1"/>
                <w:color w:val="auto"/>
              </w:rPr>
            </w:pPr>
          </w:p>
        </w:tc>
      </w:tr>
      <w:tr>
        <w:trPr>
          <w:trHeight w:val="184"/>
        </w:trPr>
        <w:tc>
          <w:tcPr>
            <w:tcW w:w="4160" w:type="dxa"/>
            <w:vAlign w:val="bottom"/>
          </w:tcPr>
          <w:p>
            <w:pPr>
              <w:ind w:left="180"/>
              <w:spacing w:after="0"/>
              <w:rPr>
                <w:sz w:val="20"/>
                <w:szCs w:val="20"/>
                <w:color w:val="auto"/>
              </w:rPr>
            </w:pPr>
            <w:r>
              <w:rPr>
                <w:rFonts w:ascii="Arial" w:cs="Arial" w:eastAsia="Arial" w:hAnsi="Arial"/>
                <w:sz w:val="16"/>
                <w:szCs w:val="16"/>
                <w:color w:val="auto"/>
              </w:rPr>
              <w:t>Commodity contracts subject to rate recovery</w:t>
            </w:r>
          </w:p>
        </w:tc>
        <w:tc>
          <w:tcPr>
            <w:tcW w:w="400" w:type="dxa"/>
            <w:vAlign w:val="bottom"/>
          </w:tcPr>
          <w:p>
            <w:pPr>
              <w:spacing w:after="0"/>
              <w:rPr>
                <w:sz w:val="16"/>
                <w:szCs w:val="16"/>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24</w:t>
            </w:r>
          </w:p>
        </w:tc>
        <w:tc>
          <w:tcPr>
            <w:tcW w:w="320" w:type="dxa"/>
            <w:vAlign w:val="bottom"/>
          </w:tcPr>
          <w:p>
            <w:pPr>
              <w:spacing w:after="0"/>
              <w:rPr>
                <w:sz w:val="16"/>
                <w:szCs w:val="16"/>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2</w:t>
            </w:r>
          </w:p>
        </w:tc>
        <w:tc>
          <w:tcPr>
            <w:tcW w:w="320" w:type="dxa"/>
            <w:vAlign w:val="bottom"/>
          </w:tcPr>
          <w:p>
            <w:pPr>
              <w:spacing w:after="0"/>
              <w:rPr>
                <w:sz w:val="16"/>
                <w:szCs w:val="16"/>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9</w:t>
            </w:r>
          </w:p>
        </w:tc>
        <w:tc>
          <w:tcPr>
            <w:tcW w:w="300" w:type="dxa"/>
            <w:vAlign w:val="bottom"/>
          </w:tcPr>
          <w:p>
            <w:pPr>
              <w:spacing w:after="0"/>
              <w:rPr>
                <w:sz w:val="16"/>
                <w:szCs w:val="16"/>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187"/>
        </w:trPr>
        <w:tc>
          <w:tcPr>
            <w:tcW w:w="4160" w:type="dxa"/>
            <w:vAlign w:val="bottom"/>
          </w:tcPr>
          <w:p>
            <w:pPr>
              <w:ind w:left="180"/>
              <w:spacing w:after="0"/>
              <w:rPr>
                <w:sz w:val="20"/>
                <w:szCs w:val="20"/>
                <w:color w:val="auto"/>
              </w:rPr>
            </w:pPr>
            <w:r>
              <w:rPr>
                <w:rFonts w:ascii="Arial" w:cs="Arial" w:eastAsia="Arial" w:hAnsi="Arial"/>
                <w:sz w:val="16"/>
                <w:szCs w:val="16"/>
                <w:color w:val="auto"/>
              </w:rPr>
              <w:t>Commodity contracts not subject to rate recovery</w:t>
            </w: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w:t>
            </w: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3"/>
        </w:trPr>
        <w:tc>
          <w:tcPr>
            <w:tcW w:w="4160" w:type="dxa"/>
            <w:vAlign w:val="bottom"/>
            <w:vMerge w:val="restart"/>
          </w:tcPr>
          <w:p>
            <w:pPr>
              <w:spacing w:after="0"/>
              <w:rPr>
                <w:sz w:val="20"/>
                <w:szCs w:val="20"/>
                <w:color w:val="auto"/>
              </w:rPr>
            </w:pPr>
            <w:r>
              <w:rPr>
                <w:rFonts w:ascii="Arial" w:cs="Arial" w:eastAsia="Arial" w:hAnsi="Arial"/>
                <w:sz w:val="16"/>
                <w:szCs w:val="16"/>
                <w:color w:val="auto"/>
              </w:rPr>
              <w:t>Total</w:t>
            </w:r>
          </w:p>
        </w:tc>
        <w:tc>
          <w:tcPr>
            <w:tcW w:w="400" w:type="dxa"/>
            <w:vAlign w:val="bottom"/>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80" w:type="dxa"/>
            <w:vAlign w:val="bottom"/>
          </w:tcPr>
          <w:p>
            <w:pPr>
              <w:jc w:val="right"/>
              <w:ind w:right="60"/>
              <w:spacing w:after="0" w:line="183" w:lineRule="exact"/>
              <w:rPr>
                <w:sz w:val="20"/>
                <w:szCs w:val="20"/>
                <w:color w:val="auto"/>
              </w:rPr>
            </w:pPr>
            <w:r>
              <w:rPr>
                <w:rFonts w:ascii="Arial" w:cs="Arial" w:eastAsia="Arial" w:hAnsi="Arial"/>
                <w:sz w:val="16"/>
                <w:szCs w:val="16"/>
                <w:color w:val="auto"/>
              </w:rPr>
              <w:t>581</w:t>
            </w:r>
          </w:p>
        </w:tc>
        <w:tc>
          <w:tcPr>
            <w:tcW w:w="320" w:type="dxa"/>
            <w:vAlign w:val="bottom"/>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60" w:type="dxa"/>
            <w:vAlign w:val="bottom"/>
          </w:tcPr>
          <w:p>
            <w:pPr>
              <w:jc w:val="right"/>
              <w:ind w:right="61"/>
              <w:spacing w:after="0" w:line="183" w:lineRule="exact"/>
              <w:rPr>
                <w:sz w:val="20"/>
                <w:szCs w:val="20"/>
                <w:color w:val="auto"/>
              </w:rPr>
            </w:pPr>
            <w:r>
              <w:rPr>
                <w:rFonts w:ascii="Arial" w:cs="Arial" w:eastAsia="Arial" w:hAnsi="Arial"/>
                <w:sz w:val="16"/>
                <w:szCs w:val="16"/>
                <w:color w:val="auto"/>
              </w:rPr>
              <w:t>143</w:t>
            </w:r>
          </w:p>
        </w:tc>
        <w:tc>
          <w:tcPr>
            <w:tcW w:w="320" w:type="dxa"/>
            <w:vAlign w:val="bottom"/>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line="183" w:lineRule="exact"/>
              <w:rPr>
                <w:sz w:val="20"/>
                <w:szCs w:val="20"/>
                <w:color w:val="auto"/>
              </w:rPr>
            </w:pPr>
            <w:r>
              <w:rPr>
                <w:rFonts w:ascii="Arial" w:cs="Arial" w:eastAsia="Arial" w:hAnsi="Arial"/>
                <w:sz w:val="16"/>
                <w:szCs w:val="16"/>
                <w:color w:val="auto"/>
              </w:rPr>
              <w:t>9</w:t>
            </w:r>
          </w:p>
        </w:tc>
        <w:tc>
          <w:tcPr>
            <w:tcW w:w="3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920" w:type="dxa"/>
            <w:vAlign w:val="bottom"/>
          </w:tcPr>
          <w:p>
            <w:pPr>
              <w:jc w:val="right"/>
              <w:ind w:right="81"/>
              <w:spacing w:after="0" w:line="183" w:lineRule="exact"/>
              <w:rPr>
                <w:sz w:val="20"/>
                <w:szCs w:val="20"/>
                <w:color w:val="auto"/>
              </w:rPr>
            </w:pPr>
            <w:r>
              <w:rPr>
                <w:rFonts w:ascii="Arial" w:cs="Arial" w:eastAsia="Arial" w:hAnsi="Arial"/>
                <w:sz w:val="16"/>
                <w:szCs w:val="16"/>
                <w:color w:val="auto"/>
              </w:rPr>
              <w:t>-</w:t>
            </w:r>
          </w:p>
        </w:tc>
        <w:tc>
          <w:tcPr>
            <w:tcW w:w="340" w:type="dxa"/>
            <w:vAlign w:val="bottom"/>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733</w:t>
            </w:r>
          </w:p>
        </w:tc>
        <w:tc>
          <w:tcPr>
            <w:tcW w:w="0" w:type="dxa"/>
            <w:vAlign w:val="bottom"/>
          </w:tcPr>
          <w:p>
            <w:pPr>
              <w:spacing w:after="0"/>
              <w:rPr>
                <w:sz w:val="1"/>
                <w:szCs w:val="1"/>
                <w:color w:val="auto"/>
              </w:rPr>
            </w:pPr>
          </w:p>
        </w:tc>
      </w:tr>
      <w:tr>
        <w:trPr>
          <w:trHeight w:val="81"/>
        </w:trPr>
        <w:tc>
          <w:tcPr>
            <w:tcW w:w="4160" w:type="dxa"/>
            <w:vAlign w:val="bottom"/>
            <w:vMerge w:val="continue"/>
          </w:tcPr>
          <w:p>
            <w:pPr>
              <w:spacing w:after="0"/>
              <w:rPr>
                <w:sz w:val="7"/>
                <w:szCs w:val="7"/>
                <w:color w:val="auto"/>
              </w:rPr>
            </w:pPr>
          </w:p>
        </w:tc>
        <w:tc>
          <w:tcPr>
            <w:tcW w:w="40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c>
          <w:tcPr>
            <w:tcW w:w="300" w:type="dxa"/>
            <w:vAlign w:val="bottom"/>
            <w:shd w:val="clear" w:color="auto" w:fill="000000"/>
          </w:tcPr>
          <w:p>
            <w:pPr>
              <w:spacing w:after="0"/>
              <w:rPr>
                <w:sz w:val="7"/>
                <w:szCs w:val="7"/>
                <w:color w:val="auto"/>
              </w:rPr>
            </w:pPr>
          </w:p>
        </w:tc>
        <w:tc>
          <w:tcPr>
            <w:tcW w:w="92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74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380"/>
        </w:trPr>
        <w:tc>
          <w:tcPr>
            <w:tcW w:w="4160" w:type="dxa"/>
            <w:vAlign w:val="bottom"/>
          </w:tcPr>
          <w:p>
            <w:pPr>
              <w:spacing w:after="0"/>
              <w:rPr>
                <w:sz w:val="20"/>
                <w:szCs w:val="20"/>
                <w:color w:val="auto"/>
              </w:rPr>
            </w:pPr>
            <w:r>
              <w:rPr>
                <w:rFonts w:ascii="Arial" w:cs="Arial" w:eastAsia="Arial" w:hAnsi="Arial"/>
                <w:sz w:val="16"/>
                <w:szCs w:val="16"/>
                <w:color w:val="auto"/>
              </w:rPr>
              <w:t>Liabilities:</w:t>
            </w: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160" w:type="dxa"/>
            <w:vAlign w:val="bottom"/>
          </w:tcPr>
          <w:p>
            <w:pPr>
              <w:ind w:left="180"/>
              <w:spacing w:after="0"/>
              <w:rPr>
                <w:sz w:val="20"/>
                <w:szCs w:val="20"/>
                <w:color w:val="auto"/>
              </w:rPr>
            </w:pPr>
            <w:r>
              <w:rPr>
                <w:rFonts w:ascii="Arial" w:cs="Arial" w:eastAsia="Arial" w:hAnsi="Arial"/>
                <w:sz w:val="16"/>
                <w:szCs w:val="16"/>
                <w:color w:val="auto"/>
              </w:rPr>
              <w:t>Interest rate instruments</w:t>
            </w: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47</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87"/>
        </w:trPr>
        <w:tc>
          <w:tcPr>
            <w:tcW w:w="4160" w:type="dxa"/>
            <w:vAlign w:val="bottom"/>
          </w:tcPr>
          <w:p>
            <w:pPr>
              <w:ind w:left="180"/>
              <w:spacing w:after="0"/>
              <w:rPr>
                <w:sz w:val="20"/>
                <w:szCs w:val="20"/>
                <w:color w:val="auto"/>
              </w:rPr>
            </w:pPr>
            <w:r>
              <w:rPr>
                <w:rFonts w:ascii="Arial" w:cs="Arial" w:eastAsia="Arial" w:hAnsi="Arial"/>
                <w:sz w:val="16"/>
                <w:szCs w:val="16"/>
                <w:color w:val="auto"/>
              </w:rPr>
              <w:t>Commodity contracts subject to rate recovery</w:t>
            </w: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57</w:t>
            </w: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w:t>
            </w: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(57)</w:t>
            </w:r>
          </w:p>
        </w:tc>
        <w:tc>
          <w:tcPr>
            <w:tcW w:w="3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3"/>
        </w:trPr>
        <w:tc>
          <w:tcPr>
            <w:tcW w:w="4160" w:type="dxa"/>
            <w:vAlign w:val="bottom"/>
          </w:tcPr>
          <w:p>
            <w:pPr>
              <w:spacing w:after="0" w:line="183" w:lineRule="exact"/>
              <w:rPr>
                <w:sz w:val="20"/>
                <w:szCs w:val="20"/>
                <w:color w:val="auto"/>
              </w:rPr>
            </w:pPr>
            <w:r>
              <w:rPr>
                <w:rFonts w:ascii="Arial" w:cs="Arial" w:eastAsia="Arial" w:hAnsi="Arial"/>
                <w:sz w:val="16"/>
                <w:szCs w:val="16"/>
                <w:color w:val="auto"/>
              </w:rPr>
              <w:t>Total</w:t>
            </w:r>
          </w:p>
        </w:tc>
        <w:tc>
          <w:tcPr>
            <w:tcW w:w="400" w:type="dxa"/>
            <w:vAlign w:val="bottom"/>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80" w:type="dxa"/>
            <w:vAlign w:val="bottom"/>
          </w:tcPr>
          <w:p>
            <w:pPr>
              <w:jc w:val="right"/>
              <w:ind w:right="60"/>
              <w:spacing w:after="0" w:line="183" w:lineRule="exact"/>
              <w:rPr>
                <w:sz w:val="20"/>
                <w:szCs w:val="20"/>
                <w:color w:val="auto"/>
              </w:rPr>
            </w:pPr>
            <w:r>
              <w:rPr>
                <w:rFonts w:ascii="Arial" w:cs="Arial" w:eastAsia="Arial" w:hAnsi="Arial"/>
                <w:sz w:val="16"/>
                <w:szCs w:val="16"/>
                <w:color w:val="auto"/>
              </w:rPr>
              <w:t>57</w:t>
            </w:r>
          </w:p>
        </w:tc>
        <w:tc>
          <w:tcPr>
            <w:tcW w:w="320" w:type="dxa"/>
            <w:vAlign w:val="bottom"/>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60" w:type="dxa"/>
            <w:vAlign w:val="bottom"/>
          </w:tcPr>
          <w:p>
            <w:pPr>
              <w:jc w:val="right"/>
              <w:ind w:right="61"/>
              <w:spacing w:after="0" w:line="183" w:lineRule="exact"/>
              <w:rPr>
                <w:sz w:val="20"/>
                <w:szCs w:val="20"/>
                <w:color w:val="auto"/>
              </w:rPr>
            </w:pPr>
            <w:r>
              <w:rPr>
                <w:rFonts w:ascii="Arial" w:cs="Arial" w:eastAsia="Arial" w:hAnsi="Arial"/>
                <w:sz w:val="16"/>
                <w:szCs w:val="16"/>
                <w:color w:val="auto"/>
              </w:rPr>
              <w:t>48</w:t>
            </w:r>
          </w:p>
        </w:tc>
        <w:tc>
          <w:tcPr>
            <w:tcW w:w="320" w:type="dxa"/>
            <w:vAlign w:val="bottom"/>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3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920" w:type="dxa"/>
            <w:vAlign w:val="bottom"/>
          </w:tcPr>
          <w:p>
            <w:pPr>
              <w:jc w:val="right"/>
              <w:ind w:right="41"/>
              <w:spacing w:after="0" w:line="183" w:lineRule="exact"/>
              <w:rPr>
                <w:sz w:val="20"/>
                <w:szCs w:val="20"/>
                <w:color w:val="auto"/>
              </w:rPr>
            </w:pPr>
            <w:r>
              <w:rPr>
                <w:rFonts w:ascii="Arial" w:cs="Arial" w:eastAsia="Arial" w:hAnsi="Arial"/>
                <w:sz w:val="16"/>
                <w:szCs w:val="16"/>
                <w:color w:val="auto"/>
              </w:rPr>
              <w:t>(57)</w:t>
            </w:r>
          </w:p>
        </w:tc>
        <w:tc>
          <w:tcPr>
            <w:tcW w:w="340" w:type="dxa"/>
            <w:vAlign w:val="bottom"/>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81"/>
        </w:trPr>
        <w:tc>
          <w:tcPr>
            <w:tcW w:w="4160" w:type="dxa"/>
            <w:vAlign w:val="bottom"/>
            <w:shd w:val="clear" w:color="auto" w:fill="000000"/>
          </w:tcPr>
          <w:p>
            <w:pPr>
              <w:spacing w:after="0"/>
              <w:rPr>
                <w:sz w:val="7"/>
                <w:szCs w:val="7"/>
                <w:color w:val="auto"/>
              </w:rPr>
            </w:pPr>
          </w:p>
        </w:tc>
        <w:tc>
          <w:tcPr>
            <w:tcW w:w="40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3260" w:type="dxa"/>
            <w:vAlign w:val="bottom"/>
            <w:gridSpan w:val="5"/>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74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365"/>
        </w:trPr>
        <w:tc>
          <w:tcPr>
            <w:tcW w:w="41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5"/>
          </w:tcPr>
          <w:p>
            <w:pPr>
              <w:jc w:val="right"/>
              <w:ind w:right="601"/>
              <w:spacing w:after="0"/>
              <w:rPr>
                <w:sz w:val="20"/>
                <w:szCs w:val="20"/>
                <w:color w:val="auto"/>
              </w:rPr>
            </w:pPr>
            <w:r>
              <w:rPr>
                <w:rFonts w:ascii="Arial" w:cs="Arial" w:eastAsia="Arial" w:hAnsi="Arial"/>
                <w:sz w:val="14"/>
                <w:szCs w:val="14"/>
                <w:color w:val="auto"/>
              </w:rPr>
              <w:t>At fair value as of December 31, 2009</w:t>
            </w: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center"/>
              <w:ind w:right="101"/>
              <w:spacing w:after="0"/>
              <w:rPr>
                <w:sz w:val="20"/>
                <w:szCs w:val="20"/>
                <w:color w:val="auto"/>
              </w:rPr>
            </w:pPr>
            <w:r>
              <w:rPr>
                <w:rFonts w:ascii="Arial" w:cs="Arial" w:eastAsia="Arial" w:hAnsi="Arial"/>
                <w:sz w:val="14"/>
                <w:szCs w:val="14"/>
                <w:color w:val="auto"/>
              </w:rPr>
              <w:t>Collateral</w:t>
            </w: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416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Level 1</w:t>
            </w:r>
          </w:p>
        </w:tc>
        <w:tc>
          <w:tcPr>
            <w:tcW w:w="3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color w:val="auto"/>
              </w:rPr>
              <w:t>Level 2</w:t>
            </w:r>
          </w:p>
        </w:tc>
        <w:tc>
          <w:tcPr>
            <w:tcW w:w="3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color w:val="auto"/>
              </w:rPr>
              <w:t>Level 3</w:t>
            </w:r>
          </w:p>
        </w:tc>
        <w:tc>
          <w:tcPr>
            <w:tcW w:w="3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color w:val="auto"/>
              </w:rPr>
              <w:t>Netted</w:t>
            </w:r>
          </w:p>
        </w:tc>
        <w:tc>
          <w:tcPr>
            <w:tcW w:w="3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0"/>
        </w:trPr>
        <w:tc>
          <w:tcPr>
            <w:tcW w:w="4160" w:type="dxa"/>
            <w:vAlign w:val="bottom"/>
          </w:tcPr>
          <w:p>
            <w:pPr>
              <w:spacing w:after="0"/>
              <w:rPr>
                <w:sz w:val="20"/>
                <w:szCs w:val="20"/>
                <w:color w:val="auto"/>
              </w:rPr>
            </w:pPr>
            <w:r>
              <w:rPr>
                <w:rFonts w:ascii="Arial" w:cs="Arial" w:eastAsia="Arial" w:hAnsi="Arial"/>
                <w:sz w:val="16"/>
                <w:szCs w:val="16"/>
                <w:color w:val="auto"/>
              </w:rPr>
              <w:t>Assets:</w:t>
            </w: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160" w:type="dxa"/>
            <w:vAlign w:val="bottom"/>
          </w:tcPr>
          <w:p>
            <w:pPr>
              <w:ind w:left="180"/>
              <w:spacing w:after="0"/>
              <w:rPr>
                <w:sz w:val="20"/>
                <w:szCs w:val="20"/>
                <w:color w:val="auto"/>
              </w:rPr>
            </w:pPr>
            <w:r>
              <w:rPr>
                <w:rFonts w:ascii="Arial" w:cs="Arial" w:eastAsia="Arial" w:hAnsi="Arial"/>
                <w:sz w:val="16"/>
                <w:szCs w:val="16"/>
                <w:color w:val="auto"/>
              </w:rPr>
              <w:t>Nuclear decommissioning trusts(1)</w:t>
            </w: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160" w:type="dxa"/>
            <w:vAlign w:val="bottom"/>
          </w:tcPr>
          <w:p>
            <w:pPr>
              <w:ind w:left="460"/>
              <w:spacing w:after="0"/>
              <w:rPr>
                <w:sz w:val="20"/>
                <w:szCs w:val="20"/>
                <w:color w:val="auto"/>
              </w:rPr>
            </w:pPr>
            <w:r>
              <w:rPr>
                <w:rFonts w:ascii="Arial" w:cs="Arial" w:eastAsia="Arial" w:hAnsi="Arial"/>
                <w:sz w:val="16"/>
                <w:szCs w:val="16"/>
                <w:color w:val="auto"/>
              </w:rPr>
              <w:t>Equity securities</w:t>
            </w: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421</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421</w:t>
            </w:r>
          </w:p>
        </w:tc>
        <w:tc>
          <w:tcPr>
            <w:tcW w:w="0" w:type="dxa"/>
            <w:vAlign w:val="bottom"/>
          </w:tcPr>
          <w:p>
            <w:pPr>
              <w:spacing w:after="0"/>
              <w:rPr>
                <w:sz w:val="1"/>
                <w:szCs w:val="1"/>
                <w:color w:val="auto"/>
              </w:rPr>
            </w:pPr>
          </w:p>
        </w:tc>
      </w:tr>
      <w:tr>
        <w:trPr>
          <w:trHeight w:val="187"/>
        </w:trPr>
        <w:tc>
          <w:tcPr>
            <w:tcW w:w="4160" w:type="dxa"/>
            <w:vAlign w:val="bottom"/>
          </w:tcPr>
          <w:p>
            <w:pPr>
              <w:ind w:left="460"/>
              <w:spacing w:after="0"/>
              <w:rPr>
                <w:sz w:val="20"/>
                <w:szCs w:val="20"/>
                <w:color w:val="auto"/>
              </w:rPr>
            </w:pPr>
            <w:r>
              <w:rPr>
                <w:rFonts w:ascii="Arial" w:cs="Arial" w:eastAsia="Arial" w:hAnsi="Arial"/>
                <w:sz w:val="16"/>
                <w:szCs w:val="16"/>
                <w:color w:val="auto"/>
              </w:rPr>
              <w:t>Debt securities</w:t>
            </w: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111</w:t>
            </w: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137</w:t>
            </w: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183"/>
        </w:trPr>
        <w:tc>
          <w:tcPr>
            <w:tcW w:w="4160" w:type="dxa"/>
            <w:vAlign w:val="bottom"/>
          </w:tcPr>
          <w:p>
            <w:pPr>
              <w:ind w:left="180"/>
              <w:spacing w:after="0" w:line="183" w:lineRule="exact"/>
              <w:rPr>
                <w:sz w:val="20"/>
                <w:szCs w:val="20"/>
                <w:color w:val="auto"/>
              </w:rPr>
            </w:pPr>
            <w:r>
              <w:rPr>
                <w:rFonts w:ascii="Arial" w:cs="Arial" w:eastAsia="Arial" w:hAnsi="Arial"/>
                <w:sz w:val="16"/>
                <w:szCs w:val="16"/>
                <w:color w:val="auto"/>
              </w:rPr>
              <w:t>Total nuclear decommissioning trusts(1)</w:t>
            </w:r>
          </w:p>
        </w:tc>
        <w:tc>
          <w:tcPr>
            <w:tcW w:w="4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60"/>
              <w:spacing w:after="0" w:line="183" w:lineRule="exact"/>
              <w:rPr>
                <w:sz w:val="20"/>
                <w:szCs w:val="20"/>
                <w:color w:val="auto"/>
              </w:rPr>
            </w:pPr>
            <w:r>
              <w:rPr>
                <w:rFonts w:ascii="Arial" w:cs="Arial" w:eastAsia="Arial" w:hAnsi="Arial"/>
                <w:sz w:val="16"/>
                <w:szCs w:val="16"/>
                <w:color w:val="auto"/>
              </w:rPr>
              <w:t>532</w:t>
            </w: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61"/>
              <w:spacing w:after="0" w:line="183" w:lineRule="exact"/>
              <w:rPr>
                <w:sz w:val="20"/>
                <w:szCs w:val="20"/>
                <w:color w:val="auto"/>
              </w:rPr>
            </w:pPr>
            <w:r>
              <w:rPr>
                <w:rFonts w:ascii="Arial" w:cs="Arial" w:eastAsia="Arial" w:hAnsi="Arial"/>
                <w:sz w:val="16"/>
                <w:szCs w:val="16"/>
                <w:color w:val="auto"/>
              </w:rPr>
              <w:t>137</w:t>
            </w: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81"/>
              <w:spacing w:after="0" w:line="183" w:lineRule="exact"/>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669</w:t>
            </w:r>
          </w:p>
        </w:tc>
        <w:tc>
          <w:tcPr>
            <w:tcW w:w="0" w:type="dxa"/>
            <w:vAlign w:val="bottom"/>
          </w:tcPr>
          <w:p>
            <w:pPr>
              <w:spacing w:after="0"/>
              <w:rPr>
                <w:sz w:val="1"/>
                <w:szCs w:val="1"/>
                <w:color w:val="auto"/>
              </w:rPr>
            </w:pPr>
          </w:p>
        </w:tc>
      </w:tr>
      <w:tr>
        <w:trPr>
          <w:trHeight w:val="184"/>
        </w:trPr>
        <w:tc>
          <w:tcPr>
            <w:tcW w:w="4160" w:type="dxa"/>
            <w:vAlign w:val="bottom"/>
          </w:tcPr>
          <w:p>
            <w:pPr>
              <w:ind w:left="180"/>
              <w:spacing w:after="0"/>
              <w:rPr>
                <w:sz w:val="20"/>
                <w:szCs w:val="20"/>
                <w:color w:val="auto"/>
              </w:rPr>
            </w:pPr>
            <w:r>
              <w:rPr>
                <w:rFonts w:ascii="Arial" w:cs="Arial" w:eastAsia="Arial" w:hAnsi="Arial"/>
                <w:sz w:val="16"/>
                <w:szCs w:val="16"/>
                <w:color w:val="auto"/>
              </w:rPr>
              <w:t>Commodity contracts subject to rate recovery</w:t>
            </w:r>
          </w:p>
        </w:tc>
        <w:tc>
          <w:tcPr>
            <w:tcW w:w="400" w:type="dxa"/>
            <w:vAlign w:val="bottom"/>
          </w:tcPr>
          <w:p>
            <w:pPr>
              <w:spacing w:after="0"/>
              <w:rPr>
                <w:sz w:val="16"/>
                <w:szCs w:val="16"/>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29</w:t>
            </w:r>
          </w:p>
        </w:tc>
        <w:tc>
          <w:tcPr>
            <w:tcW w:w="320" w:type="dxa"/>
            <w:vAlign w:val="bottom"/>
          </w:tcPr>
          <w:p>
            <w:pPr>
              <w:spacing w:after="0"/>
              <w:rPr>
                <w:sz w:val="16"/>
                <w:szCs w:val="16"/>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2</w:t>
            </w:r>
          </w:p>
        </w:tc>
        <w:tc>
          <w:tcPr>
            <w:tcW w:w="320" w:type="dxa"/>
            <w:vAlign w:val="bottom"/>
          </w:tcPr>
          <w:p>
            <w:pPr>
              <w:spacing w:after="0"/>
              <w:rPr>
                <w:sz w:val="16"/>
                <w:szCs w:val="16"/>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10</w:t>
            </w:r>
          </w:p>
        </w:tc>
        <w:tc>
          <w:tcPr>
            <w:tcW w:w="300" w:type="dxa"/>
            <w:vAlign w:val="bottom"/>
          </w:tcPr>
          <w:p>
            <w:pPr>
              <w:spacing w:after="0"/>
              <w:rPr>
                <w:sz w:val="16"/>
                <w:szCs w:val="16"/>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187"/>
        </w:trPr>
        <w:tc>
          <w:tcPr>
            <w:tcW w:w="4160" w:type="dxa"/>
            <w:vAlign w:val="bottom"/>
          </w:tcPr>
          <w:p>
            <w:pPr>
              <w:ind w:left="180"/>
              <w:spacing w:after="0"/>
              <w:rPr>
                <w:sz w:val="20"/>
                <w:szCs w:val="20"/>
                <w:color w:val="auto"/>
              </w:rPr>
            </w:pPr>
            <w:r>
              <w:rPr>
                <w:rFonts w:ascii="Arial" w:cs="Arial" w:eastAsia="Arial" w:hAnsi="Arial"/>
                <w:sz w:val="16"/>
                <w:szCs w:val="16"/>
                <w:color w:val="auto"/>
              </w:rPr>
              <w:t>Commodity contracts not subject to rate recovery</w:t>
            </w: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w:t>
            </w: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3"/>
        </w:trPr>
        <w:tc>
          <w:tcPr>
            <w:tcW w:w="4160" w:type="dxa"/>
            <w:vAlign w:val="bottom"/>
            <w:vMerge w:val="restart"/>
          </w:tcPr>
          <w:p>
            <w:pPr>
              <w:spacing w:after="0"/>
              <w:rPr>
                <w:sz w:val="20"/>
                <w:szCs w:val="20"/>
                <w:color w:val="auto"/>
              </w:rPr>
            </w:pPr>
            <w:r>
              <w:rPr>
                <w:rFonts w:ascii="Arial" w:cs="Arial" w:eastAsia="Arial" w:hAnsi="Arial"/>
                <w:sz w:val="16"/>
                <w:szCs w:val="16"/>
                <w:color w:val="auto"/>
              </w:rPr>
              <w:t>Total</w:t>
            </w:r>
          </w:p>
        </w:tc>
        <w:tc>
          <w:tcPr>
            <w:tcW w:w="400" w:type="dxa"/>
            <w:vAlign w:val="bottom"/>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80" w:type="dxa"/>
            <w:vAlign w:val="bottom"/>
          </w:tcPr>
          <w:p>
            <w:pPr>
              <w:jc w:val="right"/>
              <w:ind w:right="60"/>
              <w:spacing w:after="0" w:line="183" w:lineRule="exact"/>
              <w:rPr>
                <w:sz w:val="20"/>
                <w:szCs w:val="20"/>
                <w:color w:val="auto"/>
              </w:rPr>
            </w:pPr>
            <w:r>
              <w:rPr>
                <w:rFonts w:ascii="Arial" w:cs="Arial" w:eastAsia="Arial" w:hAnsi="Arial"/>
                <w:sz w:val="16"/>
                <w:szCs w:val="16"/>
                <w:color w:val="auto"/>
              </w:rPr>
              <w:t>562</w:t>
            </w:r>
          </w:p>
        </w:tc>
        <w:tc>
          <w:tcPr>
            <w:tcW w:w="320" w:type="dxa"/>
            <w:vAlign w:val="bottom"/>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60" w:type="dxa"/>
            <w:vAlign w:val="bottom"/>
          </w:tcPr>
          <w:p>
            <w:pPr>
              <w:jc w:val="right"/>
              <w:ind w:right="61"/>
              <w:spacing w:after="0" w:line="183" w:lineRule="exact"/>
              <w:rPr>
                <w:sz w:val="20"/>
                <w:szCs w:val="20"/>
                <w:color w:val="auto"/>
              </w:rPr>
            </w:pPr>
            <w:r>
              <w:rPr>
                <w:rFonts w:ascii="Arial" w:cs="Arial" w:eastAsia="Arial" w:hAnsi="Arial"/>
                <w:sz w:val="16"/>
                <w:szCs w:val="16"/>
                <w:color w:val="auto"/>
              </w:rPr>
              <w:t>139</w:t>
            </w:r>
          </w:p>
        </w:tc>
        <w:tc>
          <w:tcPr>
            <w:tcW w:w="320" w:type="dxa"/>
            <w:vAlign w:val="bottom"/>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line="183" w:lineRule="exact"/>
              <w:rPr>
                <w:sz w:val="20"/>
                <w:szCs w:val="20"/>
                <w:color w:val="auto"/>
              </w:rPr>
            </w:pPr>
            <w:r>
              <w:rPr>
                <w:rFonts w:ascii="Arial" w:cs="Arial" w:eastAsia="Arial" w:hAnsi="Arial"/>
                <w:sz w:val="16"/>
                <w:szCs w:val="16"/>
                <w:color w:val="auto"/>
              </w:rPr>
              <w:t>10</w:t>
            </w:r>
          </w:p>
        </w:tc>
        <w:tc>
          <w:tcPr>
            <w:tcW w:w="3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920" w:type="dxa"/>
            <w:vAlign w:val="bottom"/>
          </w:tcPr>
          <w:p>
            <w:pPr>
              <w:jc w:val="right"/>
              <w:ind w:right="81"/>
              <w:spacing w:after="0" w:line="183" w:lineRule="exact"/>
              <w:rPr>
                <w:sz w:val="20"/>
                <w:szCs w:val="20"/>
                <w:color w:val="auto"/>
              </w:rPr>
            </w:pPr>
            <w:r>
              <w:rPr>
                <w:rFonts w:ascii="Arial" w:cs="Arial" w:eastAsia="Arial" w:hAnsi="Arial"/>
                <w:sz w:val="16"/>
                <w:szCs w:val="16"/>
                <w:color w:val="auto"/>
              </w:rPr>
              <w:t>-</w:t>
            </w:r>
          </w:p>
        </w:tc>
        <w:tc>
          <w:tcPr>
            <w:tcW w:w="340" w:type="dxa"/>
            <w:vAlign w:val="bottom"/>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711</w:t>
            </w:r>
          </w:p>
        </w:tc>
        <w:tc>
          <w:tcPr>
            <w:tcW w:w="0" w:type="dxa"/>
            <w:vAlign w:val="bottom"/>
          </w:tcPr>
          <w:p>
            <w:pPr>
              <w:spacing w:after="0"/>
              <w:rPr>
                <w:sz w:val="1"/>
                <w:szCs w:val="1"/>
                <w:color w:val="auto"/>
              </w:rPr>
            </w:pPr>
          </w:p>
        </w:tc>
      </w:tr>
      <w:tr>
        <w:trPr>
          <w:trHeight w:val="81"/>
        </w:trPr>
        <w:tc>
          <w:tcPr>
            <w:tcW w:w="4160" w:type="dxa"/>
            <w:vAlign w:val="bottom"/>
            <w:vMerge w:val="continue"/>
          </w:tcPr>
          <w:p>
            <w:pPr>
              <w:spacing w:after="0"/>
              <w:rPr>
                <w:sz w:val="7"/>
                <w:szCs w:val="7"/>
                <w:color w:val="auto"/>
              </w:rPr>
            </w:pPr>
          </w:p>
        </w:tc>
        <w:tc>
          <w:tcPr>
            <w:tcW w:w="40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c>
          <w:tcPr>
            <w:tcW w:w="300" w:type="dxa"/>
            <w:vAlign w:val="bottom"/>
            <w:shd w:val="clear" w:color="auto" w:fill="000000"/>
          </w:tcPr>
          <w:p>
            <w:pPr>
              <w:spacing w:after="0"/>
              <w:rPr>
                <w:sz w:val="7"/>
                <w:szCs w:val="7"/>
                <w:color w:val="auto"/>
              </w:rPr>
            </w:pPr>
          </w:p>
        </w:tc>
        <w:tc>
          <w:tcPr>
            <w:tcW w:w="92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74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380"/>
        </w:trPr>
        <w:tc>
          <w:tcPr>
            <w:tcW w:w="4160" w:type="dxa"/>
            <w:vAlign w:val="bottom"/>
          </w:tcPr>
          <w:p>
            <w:pPr>
              <w:spacing w:after="0"/>
              <w:rPr>
                <w:sz w:val="20"/>
                <w:szCs w:val="20"/>
                <w:color w:val="auto"/>
              </w:rPr>
            </w:pPr>
            <w:r>
              <w:rPr>
                <w:rFonts w:ascii="Arial" w:cs="Arial" w:eastAsia="Arial" w:hAnsi="Arial"/>
                <w:sz w:val="16"/>
                <w:szCs w:val="16"/>
                <w:color w:val="auto"/>
              </w:rPr>
              <w:t>Liabilities:</w:t>
            </w: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160" w:type="dxa"/>
            <w:vAlign w:val="bottom"/>
          </w:tcPr>
          <w:p>
            <w:pPr>
              <w:ind w:left="180"/>
              <w:spacing w:after="0"/>
              <w:rPr>
                <w:sz w:val="20"/>
                <w:szCs w:val="20"/>
                <w:color w:val="auto"/>
              </w:rPr>
            </w:pPr>
            <w:r>
              <w:rPr>
                <w:rFonts w:ascii="Arial" w:cs="Arial" w:eastAsia="Arial" w:hAnsi="Arial"/>
                <w:sz w:val="16"/>
                <w:szCs w:val="16"/>
                <w:color w:val="auto"/>
              </w:rPr>
              <w:t>Interest rate instruments</w:t>
            </w: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43</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187"/>
        </w:trPr>
        <w:tc>
          <w:tcPr>
            <w:tcW w:w="4160" w:type="dxa"/>
            <w:vAlign w:val="bottom"/>
          </w:tcPr>
          <w:p>
            <w:pPr>
              <w:ind w:left="180"/>
              <w:spacing w:after="0"/>
              <w:rPr>
                <w:sz w:val="20"/>
                <w:szCs w:val="20"/>
                <w:color w:val="auto"/>
              </w:rPr>
            </w:pPr>
            <w:r>
              <w:rPr>
                <w:rFonts w:ascii="Arial" w:cs="Arial" w:eastAsia="Arial" w:hAnsi="Arial"/>
                <w:sz w:val="16"/>
                <w:szCs w:val="16"/>
                <w:color w:val="auto"/>
              </w:rPr>
              <w:t>Commodity contracts subject to rate recovery</w:t>
            </w: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9</w:t>
            </w: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(9)</w:t>
            </w:r>
          </w:p>
        </w:tc>
        <w:tc>
          <w:tcPr>
            <w:tcW w:w="3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160" w:type="dxa"/>
            <w:vAlign w:val="bottom"/>
          </w:tcPr>
          <w:p>
            <w:pPr>
              <w:spacing w:after="0" w:line="183" w:lineRule="exact"/>
              <w:rPr>
                <w:sz w:val="20"/>
                <w:szCs w:val="20"/>
                <w:color w:val="auto"/>
              </w:rPr>
            </w:pPr>
            <w:r>
              <w:rPr>
                <w:rFonts w:ascii="Arial" w:cs="Arial" w:eastAsia="Arial" w:hAnsi="Arial"/>
                <w:sz w:val="16"/>
                <w:szCs w:val="16"/>
                <w:color w:val="auto"/>
              </w:rPr>
              <w:t>Total</w:t>
            </w:r>
          </w:p>
        </w:tc>
        <w:tc>
          <w:tcPr>
            <w:tcW w:w="400" w:type="dxa"/>
            <w:vAlign w:val="bottom"/>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80" w:type="dxa"/>
            <w:vAlign w:val="bottom"/>
          </w:tcPr>
          <w:p>
            <w:pPr>
              <w:jc w:val="right"/>
              <w:ind w:right="60"/>
              <w:spacing w:after="0" w:line="183" w:lineRule="exact"/>
              <w:rPr>
                <w:sz w:val="20"/>
                <w:szCs w:val="20"/>
                <w:color w:val="auto"/>
              </w:rPr>
            </w:pPr>
            <w:r>
              <w:rPr>
                <w:rFonts w:ascii="Arial" w:cs="Arial" w:eastAsia="Arial" w:hAnsi="Arial"/>
                <w:sz w:val="16"/>
                <w:szCs w:val="16"/>
                <w:color w:val="auto"/>
              </w:rPr>
              <w:t>9</w:t>
            </w:r>
          </w:p>
        </w:tc>
        <w:tc>
          <w:tcPr>
            <w:tcW w:w="320" w:type="dxa"/>
            <w:vAlign w:val="bottom"/>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60" w:type="dxa"/>
            <w:vAlign w:val="bottom"/>
          </w:tcPr>
          <w:p>
            <w:pPr>
              <w:jc w:val="right"/>
              <w:ind w:right="61"/>
              <w:spacing w:after="0" w:line="183" w:lineRule="exact"/>
              <w:rPr>
                <w:sz w:val="20"/>
                <w:szCs w:val="20"/>
                <w:color w:val="auto"/>
              </w:rPr>
            </w:pPr>
            <w:r>
              <w:rPr>
                <w:rFonts w:ascii="Arial" w:cs="Arial" w:eastAsia="Arial" w:hAnsi="Arial"/>
                <w:sz w:val="16"/>
                <w:szCs w:val="16"/>
                <w:color w:val="auto"/>
              </w:rPr>
              <w:t>43</w:t>
            </w:r>
          </w:p>
        </w:tc>
        <w:tc>
          <w:tcPr>
            <w:tcW w:w="320" w:type="dxa"/>
            <w:vAlign w:val="bottom"/>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3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920" w:type="dxa"/>
            <w:vAlign w:val="bottom"/>
          </w:tcPr>
          <w:p>
            <w:pPr>
              <w:jc w:val="right"/>
              <w:ind w:right="41"/>
              <w:spacing w:after="0" w:line="183" w:lineRule="exact"/>
              <w:rPr>
                <w:sz w:val="20"/>
                <w:szCs w:val="20"/>
                <w:color w:val="auto"/>
              </w:rPr>
            </w:pPr>
            <w:r>
              <w:rPr>
                <w:rFonts w:ascii="Arial" w:cs="Arial" w:eastAsia="Arial" w:hAnsi="Arial"/>
                <w:sz w:val="16"/>
                <w:szCs w:val="16"/>
                <w:color w:val="auto"/>
              </w:rPr>
              <w:t>(9)</w:t>
            </w:r>
          </w:p>
        </w:tc>
        <w:tc>
          <w:tcPr>
            <w:tcW w:w="340" w:type="dxa"/>
            <w:vAlign w:val="bottom"/>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81"/>
        </w:trPr>
        <w:tc>
          <w:tcPr>
            <w:tcW w:w="4160" w:type="dxa"/>
            <w:vAlign w:val="bottom"/>
            <w:shd w:val="clear" w:color="auto" w:fill="000000"/>
          </w:tcPr>
          <w:p>
            <w:pPr>
              <w:spacing w:after="0"/>
              <w:rPr>
                <w:sz w:val="7"/>
                <w:szCs w:val="7"/>
                <w:color w:val="auto"/>
              </w:rPr>
            </w:pPr>
          </w:p>
        </w:tc>
        <w:tc>
          <w:tcPr>
            <w:tcW w:w="40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c>
          <w:tcPr>
            <w:tcW w:w="300" w:type="dxa"/>
            <w:vAlign w:val="bottom"/>
            <w:shd w:val="clear" w:color="auto" w:fill="000000"/>
          </w:tcPr>
          <w:p>
            <w:pPr>
              <w:spacing w:after="0"/>
              <w:rPr>
                <w:sz w:val="7"/>
                <w:szCs w:val="7"/>
                <w:color w:val="auto"/>
              </w:rPr>
            </w:pPr>
          </w:p>
        </w:tc>
        <w:tc>
          <w:tcPr>
            <w:tcW w:w="92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74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(1) Excludes cash balances and cash equivalents.</w:t>
      </w:r>
    </w:p>
    <w:p>
      <w:pPr>
        <w:sectPr>
          <w:pgSz w:w="11900" w:h="16838" w:orient="portrait"/>
          <w:cols w:equalWidth="0" w:num="1">
            <w:col w:w="10219"/>
          </w:cols>
          <w:pgMar w:left="240" w:top="378" w:right="1440" w:bottom="1440" w:gutter="0" w:footer="0" w:header="0"/>
        </w:sectPr>
      </w:pPr>
    </w:p>
    <w:bookmarkStart w:id="53" w:name="page54"/>
    <w:bookmarkEnd w:id="53"/>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RECURRING FAIR VALUE MEASURES -- 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6260465" cy="2317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60465"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5"/>
          </w:tcPr>
          <w:p>
            <w:pPr>
              <w:jc w:val="right"/>
              <w:ind w:right="702"/>
              <w:spacing w:after="0"/>
              <w:rPr>
                <w:sz w:val="20"/>
                <w:szCs w:val="20"/>
                <w:color w:val="auto"/>
              </w:rPr>
            </w:pPr>
            <w:r>
              <w:rPr>
                <w:rFonts w:ascii="Arial" w:cs="Arial" w:eastAsia="Arial" w:hAnsi="Arial"/>
                <w:sz w:val="14"/>
                <w:szCs w:val="14"/>
                <w:color w:val="auto"/>
              </w:rPr>
              <w:t>At fair value as of March 31, 2010</w:t>
            </w:r>
          </w:p>
        </w:tc>
        <w:tc>
          <w:tcPr>
            <w:tcW w:w="3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center"/>
              <w:ind w:right="62"/>
              <w:spacing w:after="0"/>
              <w:rPr>
                <w:sz w:val="20"/>
                <w:szCs w:val="20"/>
                <w:color w:val="auto"/>
              </w:rPr>
            </w:pPr>
            <w:r>
              <w:rPr>
                <w:rFonts w:ascii="Arial" w:cs="Arial" w:eastAsia="Arial" w:hAnsi="Arial"/>
                <w:sz w:val="14"/>
                <w:szCs w:val="14"/>
                <w:color w:val="auto"/>
              </w:rPr>
              <w:t>Collateral</w:t>
            </w: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3920" w:type="dxa"/>
            <w:vAlign w:val="bottom"/>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Level 1</w:t>
            </w:r>
          </w:p>
        </w:tc>
        <w:tc>
          <w:tcPr>
            <w:tcW w:w="2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color w:val="auto"/>
              </w:rPr>
              <w:t>Level 2</w:t>
            </w:r>
          </w:p>
        </w:tc>
        <w:tc>
          <w:tcPr>
            <w:tcW w:w="3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color w:val="auto"/>
              </w:rPr>
              <w:t>Level 3</w:t>
            </w: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color w:val="auto"/>
              </w:rPr>
              <w:t>Netted</w:t>
            </w:r>
          </w:p>
        </w:tc>
        <w:tc>
          <w:tcPr>
            <w:tcW w:w="3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4"/>
        </w:trPr>
        <w:tc>
          <w:tcPr>
            <w:tcW w:w="3920" w:type="dxa"/>
            <w:vAlign w:val="bottom"/>
          </w:tcPr>
          <w:p>
            <w:pPr>
              <w:spacing w:after="0"/>
              <w:rPr>
                <w:sz w:val="20"/>
                <w:szCs w:val="20"/>
                <w:color w:val="auto"/>
              </w:rPr>
            </w:pPr>
            <w:r>
              <w:rPr>
                <w:rFonts w:ascii="Arial" w:cs="Arial" w:eastAsia="Arial" w:hAnsi="Arial"/>
                <w:sz w:val="16"/>
                <w:szCs w:val="16"/>
                <w:color w:val="auto"/>
              </w:rPr>
              <w:t>Assets:</w:t>
            </w: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20" w:type="dxa"/>
            <w:vAlign w:val="bottom"/>
          </w:tcPr>
          <w:p>
            <w:pPr>
              <w:ind w:left="180"/>
              <w:spacing w:after="0"/>
              <w:rPr>
                <w:sz w:val="20"/>
                <w:szCs w:val="20"/>
                <w:color w:val="auto"/>
              </w:rPr>
            </w:pPr>
            <w:r>
              <w:rPr>
                <w:rFonts w:ascii="Arial" w:cs="Arial" w:eastAsia="Arial" w:hAnsi="Arial"/>
                <w:sz w:val="16"/>
                <w:szCs w:val="16"/>
                <w:color w:val="auto"/>
              </w:rPr>
              <w:t>Interest rate instruments</w:t>
            </w:r>
          </w:p>
        </w:tc>
        <w:tc>
          <w:tcPr>
            <w:tcW w:w="1020" w:type="dxa"/>
            <w:vAlign w:val="bottom"/>
          </w:tcPr>
          <w:p>
            <w:pPr>
              <w:jc w:val="right"/>
              <w:ind w:right="622"/>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5</w:t>
            </w:r>
          </w:p>
        </w:tc>
        <w:tc>
          <w:tcPr>
            <w:tcW w:w="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95"/>
        </w:trPr>
        <w:tc>
          <w:tcPr>
            <w:tcW w:w="3920" w:type="dxa"/>
            <w:vAlign w:val="bottom"/>
          </w:tcPr>
          <w:p>
            <w:pPr>
              <w:ind w:left="180"/>
              <w:spacing w:after="0"/>
              <w:rPr>
                <w:sz w:val="20"/>
                <w:szCs w:val="20"/>
                <w:color w:val="auto"/>
              </w:rPr>
            </w:pPr>
            <w:r>
              <w:rPr>
                <w:rFonts w:ascii="Arial" w:cs="Arial" w:eastAsia="Arial" w:hAnsi="Arial"/>
                <w:sz w:val="16"/>
                <w:szCs w:val="16"/>
                <w:color w:val="auto"/>
              </w:rPr>
              <w:t>Commodity contracts subject to rate recovery</w:t>
            </w:r>
          </w:p>
        </w:tc>
        <w:tc>
          <w:tcPr>
            <w:tcW w:w="1020" w:type="dxa"/>
            <w:vAlign w:val="bottom"/>
          </w:tcPr>
          <w:p>
            <w:pPr>
              <w:spacing w:after="0"/>
              <w:rPr>
                <w:sz w:val="16"/>
                <w:szCs w:val="16"/>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3</w:t>
            </w:r>
          </w:p>
        </w:tc>
        <w:tc>
          <w:tcPr>
            <w:tcW w:w="320" w:type="dxa"/>
            <w:vAlign w:val="bottom"/>
          </w:tcPr>
          <w:p>
            <w:pPr>
              <w:spacing w:after="0"/>
              <w:rPr>
                <w:sz w:val="16"/>
                <w:szCs w:val="16"/>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1</w:t>
            </w:r>
          </w:p>
        </w:tc>
        <w:tc>
          <w:tcPr>
            <w:tcW w:w="340" w:type="dxa"/>
            <w:vAlign w:val="bottom"/>
          </w:tcPr>
          <w:p>
            <w:pPr>
              <w:spacing w:after="0"/>
              <w:rPr>
                <w:sz w:val="16"/>
                <w:szCs w:val="16"/>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95"/>
        </w:trPr>
        <w:tc>
          <w:tcPr>
            <w:tcW w:w="3920" w:type="dxa"/>
            <w:vAlign w:val="bottom"/>
          </w:tcPr>
          <w:p>
            <w:pPr>
              <w:ind w:left="180"/>
              <w:spacing w:after="0"/>
              <w:rPr>
                <w:sz w:val="20"/>
                <w:szCs w:val="20"/>
                <w:color w:val="auto"/>
              </w:rPr>
            </w:pPr>
            <w:r>
              <w:rPr>
                <w:rFonts w:ascii="Arial" w:cs="Arial" w:eastAsia="Arial" w:hAnsi="Arial"/>
                <w:sz w:val="16"/>
                <w:szCs w:val="16"/>
                <w:color w:val="auto"/>
              </w:rPr>
              <w:t>Commodity contracts not subject to rate recovery</w:t>
            </w:r>
          </w:p>
        </w:tc>
        <w:tc>
          <w:tcPr>
            <w:tcW w:w="10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w:t>
            </w: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3"/>
        </w:trPr>
        <w:tc>
          <w:tcPr>
            <w:tcW w:w="3920" w:type="dxa"/>
            <w:vAlign w:val="bottom"/>
            <w:vMerge w:val="restart"/>
          </w:tcPr>
          <w:p>
            <w:pPr>
              <w:spacing w:after="0"/>
              <w:rPr>
                <w:sz w:val="20"/>
                <w:szCs w:val="20"/>
                <w:color w:val="auto"/>
              </w:rPr>
            </w:pPr>
            <w:r>
              <w:rPr>
                <w:rFonts w:ascii="Arial" w:cs="Arial" w:eastAsia="Arial" w:hAnsi="Arial"/>
                <w:sz w:val="16"/>
                <w:szCs w:val="16"/>
                <w:color w:val="auto"/>
              </w:rPr>
              <w:t>Total</w:t>
            </w:r>
          </w:p>
        </w:tc>
        <w:tc>
          <w:tcPr>
            <w:tcW w:w="1020" w:type="dxa"/>
            <w:vAlign w:val="bottom"/>
          </w:tcPr>
          <w:p>
            <w:pPr>
              <w:jc w:val="right"/>
              <w:ind w:right="622"/>
              <w:spacing w:after="0" w:line="183" w:lineRule="exact"/>
              <w:rPr>
                <w:sz w:val="20"/>
                <w:szCs w:val="20"/>
                <w:color w:val="auto"/>
              </w:rPr>
            </w:pPr>
            <w:r>
              <w:rPr>
                <w:rFonts w:ascii="Arial" w:cs="Arial" w:eastAsia="Arial" w:hAnsi="Arial"/>
                <w:sz w:val="16"/>
                <w:szCs w:val="16"/>
                <w:color w:val="auto"/>
              </w:rPr>
              <w:t>$</w:t>
            </w:r>
          </w:p>
        </w:tc>
        <w:tc>
          <w:tcPr>
            <w:tcW w:w="260" w:type="dxa"/>
            <w:vAlign w:val="bottom"/>
          </w:tcPr>
          <w:p>
            <w:pPr>
              <w:jc w:val="right"/>
              <w:ind w:right="59"/>
              <w:spacing w:after="0" w:line="183" w:lineRule="exact"/>
              <w:rPr>
                <w:sz w:val="20"/>
                <w:szCs w:val="20"/>
                <w:color w:val="auto"/>
              </w:rPr>
            </w:pPr>
            <w:r>
              <w:rPr>
                <w:rFonts w:ascii="Arial" w:cs="Arial" w:eastAsia="Arial" w:hAnsi="Arial"/>
                <w:sz w:val="16"/>
                <w:szCs w:val="16"/>
                <w:color w:val="auto"/>
              </w:rPr>
              <w:t>6</w:t>
            </w:r>
          </w:p>
        </w:tc>
        <w:tc>
          <w:tcPr>
            <w:tcW w:w="320" w:type="dxa"/>
            <w:vAlign w:val="bottom"/>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60" w:type="dxa"/>
            <w:vAlign w:val="bottom"/>
          </w:tcPr>
          <w:p>
            <w:pPr>
              <w:jc w:val="right"/>
              <w:ind w:right="42"/>
              <w:spacing w:after="0" w:line="183" w:lineRule="exact"/>
              <w:rPr>
                <w:sz w:val="20"/>
                <w:szCs w:val="20"/>
                <w:color w:val="auto"/>
              </w:rPr>
            </w:pPr>
            <w:r>
              <w:rPr>
                <w:rFonts w:ascii="Arial" w:cs="Arial" w:eastAsia="Arial" w:hAnsi="Arial"/>
                <w:sz w:val="16"/>
                <w:szCs w:val="16"/>
                <w:color w:val="auto"/>
              </w:rPr>
              <w:t>6</w:t>
            </w:r>
          </w:p>
        </w:tc>
        <w:tc>
          <w:tcPr>
            <w:tcW w:w="340" w:type="dxa"/>
            <w:vAlign w:val="bottom"/>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60" w:type="dxa"/>
            <w:vAlign w:val="bottom"/>
          </w:tcPr>
          <w:p>
            <w:pPr>
              <w:jc w:val="right"/>
              <w:ind w:right="61"/>
              <w:spacing w:after="0" w:line="183" w:lineRule="exact"/>
              <w:rPr>
                <w:sz w:val="20"/>
                <w:szCs w:val="20"/>
                <w:color w:val="auto"/>
              </w:rPr>
            </w:pPr>
            <w:r>
              <w:rPr>
                <w:rFonts w:ascii="Arial" w:cs="Arial" w:eastAsia="Arial" w:hAnsi="Arial"/>
                <w:sz w:val="16"/>
                <w:szCs w:val="16"/>
                <w:color w:val="auto"/>
              </w:rPr>
              <w:t>-</w:t>
            </w:r>
          </w:p>
        </w:tc>
        <w:tc>
          <w:tcPr>
            <w:tcW w:w="28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900" w:type="dxa"/>
            <w:vAlign w:val="bottom"/>
          </w:tcPr>
          <w:p>
            <w:pPr>
              <w:jc w:val="right"/>
              <w:ind w:right="42"/>
              <w:spacing w:after="0" w:line="183" w:lineRule="exact"/>
              <w:rPr>
                <w:sz w:val="20"/>
                <w:szCs w:val="20"/>
                <w:color w:val="auto"/>
              </w:rPr>
            </w:pPr>
            <w:r>
              <w:rPr>
                <w:rFonts w:ascii="Arial" w:cs="Arial" w:eastAsia="Arial" w:hAnsi="Arial"/>
                <w:sz w:val="16"/>
                <w:szCs w:val="16"/>
                <w:color w:val="auto"/>
              </w:rPr>
              <w:t>-</w:t>
            </w:r>
          </w:p>
        </w:tc>
        <w:tc>
          <w:tcPr>
            <w:tcW w:w="380" w:type="dxa"/>
            <w:vAlign w:val="bottom"/>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81"/>
        </w:trPr>
        <w:tc>
          <w:tcPr>
            <w:tcW w:w="3920" w:type="dxa"/>
            <w:vAlign w:val="bottom"/>
            <w:vMerge w:val="continue"/>
          </w:tcPr>
          <w:p>
            <w:pPr>
              <w:spacing w:after="0"/>
              <w:rPr>
                <w:sz w:val="7"/>
                <w:szCs w:val="7"/>
                <w:color w:val="auto"/>
              </w:rPr>
            </w:pPr>
          </w:p>
        </w:tc>
        <w:tc>
          <w:tcPr>
            <w:tcW w:w="102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900" w:type="dxa"/>
            <w:vAlign w:val="bottom"/>
            <w:shd w:val="clear" w:color="auto" w:fill="000000"/>
          </w:tcPr>
          <w:p>
            <w:pPr>
              <w:spacing w:after="0"/>
              <w:rPr>
                <w:sz w:val="7"/>
                <w:szCs w:val="7"/>
                <w:color w:val="auto"/>
              </w:rPr>
            </w:pPr>
          </w:p>
        </w:tc>
        <w:tc>
          <w:tcPr>
            <w:tcW w:w="380" w:type="dxa"/>
            <w:vAlign w:val="bottom"/>
            <w:shd w:val="clear" w:color="auto" w:fill="000000"/>
          </w:tcPr>
          <w:p>
            <w:pPr>
              <w:spacing w:after="0"/>
              <w:rPr>
                <w:sz w:val="7"/>
                <w:szCs w:val="7"/>
                <w:color w:val="auto"/>
              </w:rPr>
            </w:pPr>
          </w:p>
        </w:tc>
        <w:tc>
          <w:tcPr>
            <w:tcW w:w="7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3920" w:type="dxa"/>
            <w:vAlign w:val="bottom"/>
          </w:tcPr>
          <w:p>
            <w:pPr>
              <w:spacing w:after="0"/>
              <w:rPr>
                <w:sz w:val="20"/>
                <w:szCs w:val="20"/>
                <w:color w:val="auto"/>
              </w:rPr>
            </w:pPr>
            <w:r>
              <w:rPr>
                <w:rFonts w:ascii="Arial" w:cs="Arial" w:eastAsia="Arial" w:hAnsi="Arial"/>
                <w:sz w:val="16"/>
                <w:szCs w:val="16"/>
                <w:color w:val="auto"/>
              </w:rPr>
              <w:t>Liabilities:</w:t>
            </w: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920" w:type="dxa"/>
            <w:vAlign w:val="bottom"/>
          </w:tcPr>
          <w:p>
            <w:pPr>
              <w:ind w:left="180"/>
              <w:spacing w:after="0"/>
              <w:rPr>
                <w:sz w:val="20"/>
                <w:szCs w:val="20"/>
                <w:color w:val="auto"/>
              </w:rPr>
            </w:pPr>
            <w:r>
              <w:rPr>
                <w:rFonts w:ascii="Arial" w:cs="Arial" w:eastAsia="Arial" w:hAnsi="Arial"/>
                <w:sz w:val="16"/>
                <w:szCs w:val="16"/>
                <w:color w:val="auto"/>
              </w:rPr>
              <w:t>Commodity contracts subject to rate recovery</w:t>
            </w:r>
          </w:p>
        </w:tc>
        <w:tc>
          <w:tcPr>
            <w:tcW w:w="1020" w:type="dxa"/>
            <w:vAlign w:val="bottom"/>
          </w:tcPr>
          <w:p>
            <w:pPr>
              <w:jc w:val="right"/>
              <w:ind w:right="622"/>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1</w:t>
            </w:r>
          </w:p>
        </w:tc>
        <w:tc>
          <w:tcPr>
            <w:tcW w:w="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81"/>
        </w:trPr>
        <w:tc>
          <w:tcPr>
            <w:tcW w:w="3920" w:type="dxa"/>
            <w:vAlign w:val="bottom"/>
            <w:shd w:val="clear" w:color="auto" w:fill="DFDFDF"/>
          </w:tcPr>
          <w:p>
            <w:pPr>
              <w:spacing w:after="0"/>
              <w:rPr>
                <w:sz w:val="7"/>
                <w:szCs w:val="7"/>
                <w:color w:val="auto"/>
              </w:rPr>
            </w:pPr>
          </w:p>
        </w:tc>
        <w:tc>
          <w:tcPr>
            <w:tcW w:w="1020" w:type="dxa"/>
            <w:vAlign w:val="bottom"/>
            <w:shd w:val="clear" w:color="auto" w:fill="DFDFDF"/>
          </w:tcPr>
          <w:p>
            <w:pPr>
              <w:spacing w:after="0"/>
              <w:rPr>
                <w:sz w:val="7"/>
                <w:szCs w:val="7"/>
                <w:color w:val="auto"/>
              </w:rPr>
            </w:pPr>
          </w:p>
        </w:tc>
        <w:tc>
          <w:tcPr>
            <w:tcW w:w="260" w:type="dxa"/>
            <w:vAlign w:val="bottom"/>
            <w:shd w:val="clear" w:color="auto" w:fill="DFDFDF"/>
          </w:tcPr>
          <w:p>
            <w:pPr>
              <w:spacing w:after="0"/>
              <w:rPr>
                <w:sz w:val="7"/>
                <w:szCs w:val="7"/>
                <w:color w:val="auto"/>
              </w:rPr>
            </w:pPr>
          </w:p>
        </w:tc>
        <w:tc>
          <w:tcPr>
            <w:tcW w:w="320" w:type="dxa"/>
            <w:vAlign w:val="bottom"/>
            <w:shd w:val="clear" w:color="auto" w:fill="DFDFDF"/>
          </w:tcPr>
          <w:p>
            <w:pPr>
              <w:spacing w:after="0"/>
              <w:rPr>
                <w:sz w:val="7"/>
                <w:szCs w:val="7"/>
                <w:color w:val="auto"/>
              </w:rPr>
            </w:pPr>
          </w:p>
        </w:tc>
        <w:tc>
          <w:tcPr>
            <w:tcW w:w="3240" w:type="dxa"/>
            <w:vAlign w:val="bottom"/>
            <w:gridSpan w:val="5"/>
            <w:shd w:val="clear" w:color="auto" w:fill="DFDFDF"/>
          </w:tcPr>
          <w:p>
            <w:pPr>
              <w:spacing w:after="0"/>
              <w:rPr>
                <w:sz w:val="7"/>
                <w:szCs w:val="7"/>
                <w:color w:val="auto"/>
              </w:rPr>
            </w:pPr>
          </w:p>
        </w:tc>
        <w:tc>
          <w:tcPr>
            <w:tcW w:w="380" w:type="dxa"/>
            <w:vAlign w:val="bottom"/>
            <w:shd w:val="clear" w:color="auto" w:fill="DFDFDF"/>
          </w:tcPr>
          <w:p>
            <w:pPr>
              <w:spacing w:after="0"/>
              <w:rPr>
                <w:sz w:val="7"/>
                <w:szCs w:val="7"/>
                <w:color w:val="auto"/>
              </w:rPr>
            </w:pPr>
          </w:p>
        </w:tc>
        <w:tc>
          <w:tcPr>
            <w:tcW w:w="720" w:type="dxa"/>
            <w:vAlign w:val="bottom"/>
            <w:shd w:val="clear" w:color="auto" w:fill="DFDFDF"/>
          </w:tcPr>
          <w:p>
            <w:pPr>
              <w:spacing w:after="0"/>
              <w:rPr>
                <w:sz w:val="7"/>
                <w:szCs w:val="7"/>
                <w:color w:val="auto"/>
              </w:rPr>
            </w:pPr>
          </w:p>
        </w:tc>
        <w:tc>
          <w:tcPr>
            <w:tcW w:w="0" w:type="dxa"/>
            <w:vAlign w:val="bottom"/>
          </w:tcPr>
          <w:p>
            <w:pPr>
              <w:spacing w:after="0"/>
              <w:rPr>
                <w:sz w:val="1"/>
                <w:szCs w:val="1"/>
                <w:color w:val="auto"/>
              </w:rPr>
            </w:pPr>
          </w:p>
        </w:tc>
      </w:tr>
      <w:tr>
        <w:trPr>
          <w:trHeight w:val="365"/>
        </w:trPr>
        <w:tc>
          <w:tcPr>
            <w:tcW w:w="39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5"/>
          </w:tcPr>
          <w:p>
            <w:pPr>
              <w:jc w:val="right"/>
              <w:ind w:right="582"/>
              <w:spacing w:after="0"/>
              <w:rPr>
                <w:sz w:val="20"/>
                <w:szCs w:val="20"/>
                <w:color w:val="auto"/>
              </w:rPr>
            </w:pPr>
            <w:r>
              <w:rPr>
                <w:rFonts w:ascii="Arial" w:cs="Arial" w:eastAsia="Arial" w:hAnsi="Arial"/>
                <w:sz w:val="14"/>
                <w:szCs w:val="14"/>
                <w:color w:val="auto"/>
              </w:rPr>
              <w:t>At fair value as of December 31, 2009</w:t>
            </w: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center"/>
              <w:ind w:right="62"/>
              <w:spacing w:after="0"/>
              <w:rPr>
                <w:sz w:val="20"/>
                <w:szCs w:val="20"/>
                <w:color w:val="auto"/>
              </w:rPr>
            </w:pPr>
            <w:r>
              <w:rPr>
                <w:rFonts w:ascii="Arial" w:cs="Arial" w:eastAsia="Arial" w:hAnsi="Arial"/>
                <w:sz w:val="14"/>
                <w:szCs w:val="14"/>
                <w:color w:val="auto"/>
              </w:rPr>
              <w:t>Collateral</w:t>
            </w: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3920" w:type="dxa"/>
            <w:vAlign w:val="bottom"/>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Level 1</w:t>
            </w:r>
          </w:p>
        </w:tc>
        <w:tc>
          <w:tcPr>
            <w:tcW w:w="2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color w:val="auto"/>
              </w:rPr>
              <w:t>Level 2</w:t>
            </w:r>
          </w:p>
        </w:tc>
        <w:tc>
          <w:tcPr>
            <w:tcW w:w="3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color w:val="auto"/>
              </w:rPr>
              <w:t>Level 3</w:t>
            </w: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color w:val="auto"/>
              </w:rPr>
              <w:t>Netted</w:t>
            </w:r>
          </w:p>
        </w:tc>
        <w:tc>
          <w:tcPr>
            <w:tcW w:w="3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4"/>
        </w:trPr>
        <w:tc>
          <w:tcPr>
            <w:tcW w:w="3920" w:type="dxa"/>
            <w:vAlign w:val="bottom"/>
          </w:tcPr>
          <w:p>
            <w:pPr>
              <w:spacing w:after="0"/>
              <w:rPr>
                <w:sz w:val="20"/>
                <w:szCs w:val="20"/>
                <w:color w:val="auto"/>
              </w:rPr>
            </w:pPr>
            <w:r>
              <w:rPr>
                <w:rFonts w:ascii="Arial" w:cs="Arial" w:eastAsia="Arial" w:hAnsi="Arial"/>
                <w:sz w:val="16"/>
                <w:szCs w:val="16"/>
                <w:color w:val="auto"/>
              </w:rPr>
              <w:t>Assets:</w:t>
            </w: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20" w:type="dxa"/>
            <w:vAlign w:val="bottom"/>
          </w:tcPr>
          <w:p>
            <w:pPr>
              <w:ind w:left="180"/>
              <w:spacing w:after="0"/>
              <w:rPr>
                <w:sz w:val="20"/>
                <w:szCs w:val="20"/>
                <w:color w:val="auto"/>
              </w:rPr>
            </w:pPr>
            <w:r>
              <w:rPr>
                <w:rFonts w:ascii="Arial" w:cs="Arial" w:eastAsia="Arial" w:hAnsi="Arial"/>
                <w:sz w:val="16"/>
                <w:szCs w:val="16"/>
                <w:color w:val="auto"/>
              </w:rPr>
              <w:t>Interest rate instruments</w:t>
            </w:r>
          </w:p>
        </w:tc>
        <w:tc>
          <w:tcPr>
            <w:tcW w:w="1020" w:type="dxa"/>
            <w:vAlign w:val="bottom"/>
          </w:tcPr>
          <w:p>
            <w:pPr>
              <w:jc w:val="right"/>
              <w:ind w:right="622"/>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8</w:t>
            </w:r>
          </w:p>
        </w:tc>
        <w:tc>
          <w:tcPr>
            <w:tcW w:w="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89"/>
        </w:trPr>
        <w:tc>
          <w:tcPr>
            <w:tcW w:w="3920" w:type="dxa"/>
            <w:vAlign w:val="bottom"/>
          </w:tcPr>
          <w:p>
            <w:pPr>
              <w:ind w:left="180"/>
              <w:spacing w:after="0"/>
              <w:rPr>
                <w:sz w:val="20"/>
                <w:szCs w:val="20"/>
                <w:color w:val="auto"/>
              </w:rPr>
            </w:pPr>
            <w:r>
              <w:rPr>
                <w:rFonts w:ascii="Arial" w:cs="Arial" w:eastAsia="Arial" w:hAnsi="Arial"/>
                <w:sz w:val="16"/>
                <w:szCs w:val="16"/>
                <w:color w:val="auto"/>
              </w:rPr>
              <w:t>Commodity contracts subject to rate recovery</w:t>
            </w:r>
          </w:p>
        </w:tc>
        <w:tc>
          <w:tcPr>
            <w:tcW w:w="1020" w:type="dxa"/>
            <w:vAlign w:val="bottom"/>
          </w:tcPr>
          <w:p>
            <w:pPr>
              <w:spacing w:after="0"/>
              <w:rPr>
                <w:sz w:val="16"/>
                <w:szCs w:val="16"/>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3</w:t>
            </w:r>
          </w:p>
        </w:tc>
        <w:tc>
          <w:tcPr>
            <w:tcW w:w="320" w:type="dxa"/>
            <w:vAlign w:val="bottom"/>
          </w:tcPr>
          <w:p>
            <w:pPr>
              <w:spacing w:after="0"/>
              <w:rPr>
                <w:sz w:val="16"/>
                <w:szCs w:val="16"/>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1</w:t>
            </w:r>
          </w:p>
        </w:tc>
        <w:tc>
          <w:tcPr>
            <w:tcW w:w="340" w:type="dxa"/>
            <w:vAlign w:val="bottom"/>
          </w:tcPr>
          <w:p>
            <w:pPr>
              <w:spacing w:after="0"/>
              <w:rPr>
                <w:sz w:val="16"/>
                <w:szCs w:val="16"/>
                <w:color w:val="auto"/>
              </w:rPr>
            </w:pP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87"/>
        </w:trPr>
        <w:tc>
          <w:tcPr>
            <w:tcW w:w="3920" w:type="dxa"/>
            <w:vAlign w:val="bottom"/>
          </w:tcPr>
          <w:p>
            <w:pPr>
              <w:ind w:left="180"/>
              <w:spacing w:after="0"/>
              <w:rPr>
                <w:sz w:val="20"/>
                <w:szCs w:val="20"/>
                <w:color w:val="auto"/>
              </w:rPr>
            </w:pPr>
            <w:r>
              <w:rPr>
                <w:rFonts w:ascii="Arial" w:cs="Arial" w:eastAsia="Arial" w:hAnsi="Arial"/>
                <w:sz w:val="16"/>
                <w:szCs w:val="16"/>
                <w:color w:val="auto"/>
              </w:rPr>
              <w:t>Commodity contracts not subject to rate recovery</w:t>
            </w:r>
          </w:p>
        </w:tc>
        <w:tc>
          <w:tcPr>
            <w:tcW w:w="10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w:t>
            </w: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3"/>
        </w:trPr>
        <w:tc>
          <w:tcPr>
            <w:tcW w:w="3920" w:type="dxa"/>
            <w:vAlign w:val="bottom"/>
          </w:tcPr>
          <w:p>
            <w:pPr>
              <w:spacing w:after="0" w:line="183" w:lineRule="exact"/>
              <w:rPr>
                <w:sz w:val="20"/>
                <w:szCs w:val="20"/>
                <w:color w:val="auto"/>
              </w:rPr>
            </w:pPr>
            <w:r>
              <w:rPr>
                <w:rFonts w:ascii="Arial" w:cs="Arial" w:eastAsia="Arial" w:hAnsi="Arial"/>
                <w:sz w:val="16"/>
                <w:szCs w:val="16"/>
                <w:color w:val="auto"/>
              </w:rPr>
              <w:t>Total</w:t>
            </w:r>
          </w:p>
        </w:tc>
        <w:tc>
          <w:tcPr>
            <w:tcW w:w="1020" w:type="dxa"/>
            <w:vAlign w:val="bottom"/>
          </w:tcPr>
          <w:p>
            <w:pPr>
              <w:jc w:val="right"/>
              <w:ind w:right="622"/>
              <w:spacing w:after="0" w:line="183" w:lineRule="exact"/>
              <w:rPr>
                <w:sz w:val="20"/>
                <w:szCs w:val="20"/>
                <w:color w:val="auto"/>
              </w:rPr>
            </w:pPr>
            <w:r>
              <w:rPr>
                <w:rFonts w:ascii="Arial" w:cs="Arial" w:eastAsia="Arial" w:hAnsi="Arial"/>
                <w:sz w:val="16"/>
                <w:szCs w:val="16"/>
                <w:color w:val="auto"/>
              </w:rPr>
              <w:t>$</w:t>
            </w:r>
          </w:p>
        </w:tc>
        <w:tc>
          <w:tcPr>
            <w:tcW w:w="260" w:type="dxa"/>
            <w:vAlign w:val="bottom"/>
          </w:tcPr>
          <w:p>
            <w:pPr>
              <w:jc w:val="right"/>
              <w:ind w:right="59"/>
              <w:spacing w:after="0" w:line="183" w:lineRule="exact"/>
              <w:rPr>
                <w:sz w:val="20"/>
                <w:szCs w:val="20"/>
                <w:color w:val="auto"/>
              </w:rPr>
            </w:pPr>
            <w:r>
              <w:rPr>
                <w:rFonts w:ascii="Arial" w:cs="Arial" w:eastAsia="Arial" w:hAnsi="Arial"/>
                <w:sz w:val="16"/>
                <w:szCs w:val="16"/>
                <w:color w:val="auto"/>
              </w:rPr>
              <w:t>6</w:t>
            </w:r>
          </w:p>
        </w:tc>
        <w:tc>
          <w:tcPr>
            <w:tcW w:w="320" w:type="dxa"/>
            <w:vAlign w:val="bottom"/>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60" w:type="dxa"/>
            <w:vAlign w:val="bottom"/>
          </w:tcPr>
          <w:p>
            <w:pPr>
              <w:jc w:val="right"/>
              <w:ind w:right="42"/>
              <w:spacing w:after="0" w:line="183" w:lineRule="exact"/>
              <w:rPr>
                <w:sz w:val="20"/>
                <w:szCs w:val="20"/>
                <w:color w:val="auto"/>
              </w:rPr>
            </w:pPr>
            <w:r>
              <w:rPr>
                <w:rFonts w:ascii="Arial" w:cs="Arial" w:eastAsia="Arial" w:hAnsi="Arial"/>
                <w:sz w:val="16"/>
                <w:szCs w:val="16"/>
                <w:color w:val="auto"/>
              </w:rPr>
              <w:t>9</w:t>
            </w:r>
          </w:p>
        </w:tc>
        <w:tc>
          <w:tcPr>
            <w:tcW w:w="340" w:type="dxa"/>
            <w:vAlign w:val="bottom"/>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60" w:type="dxa"/>
            <w:vAlign w:val="bottom"/>
          </w:tcPr>
          <w:p>
            <w:pPr>
              <w:jc w:val="right"/>
              <w:ind w:right="61"/>
              <w:spacing w:after="0" w:line="183" w:lineRule="exact"/>
              <w:rPr>
                <w:sz w:val="20"/>
                <w:szCs w:val="20"/>
                <w:color w:val="auto"/>
              </w:rPr>
            </w:pPr>
            <w:r>
              <w:rPr>
                <w:rFonts w:ascii="Arial" w:cs="Arial" w:eastAsia="Arial" w:hAnsi="Arial"/>
                <w:sz w:val="16"/>
                <w:szCs w:val="16"/>
                <w:color w:val="auto"/>
              </w:rPr>
              <w:t>-</w:t>
            </w:r>
          </w:p>
        </w:tc>
        <w:tc>
          <w:tcPr>
            <w:tcW w:w="28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900" w:type="dxa"/>
            <w:vAlign w:val="bottom"/>
          </w:tcPr>
          <w:p>
            <w:pPr>
              <w:jc w:val="right"/>
              <w:ind w:right="42"/>
              <w:spacing w:after="0" w:line="183" w:lineRule="exact"/>
              <w:rPr>
                <w:sz w:val="20"/>
                <w:szCs w:val="20"/>
                <w:color w:val="auto"/>
              </w:rPr>
            </w:pPr>
            <w:r>
              <w:rPr>
                <w:rFonts w:ascii="Arial" w:cs="Arial" w:eastAsia="Arial" w:hAnsi="Arial"/>
                <w:sz w:val="16"/>
                <w:szCs w:val="16"/>
                <w:color w:val="auto"/>
              </w:rPr>
              <w:t>-</w:t>
            </w:r>
          </w:p>
        </w:tc>
        <w:tc>
          <w:tcPr>
            <w:tcW w:w="380" w:type="dxa"/>
            <w:vAlign w:val="bottom"/>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81"/>
        </w:trPr>
        <w:tc>
          <w:tcPr>
            <w:tcW w:w="3920" w:type="dxa"/>
            <w:vAlign w:val="bottom"/>
            <w:shd w:val="clear" w:color="auto" w:fill="000000"/>
          </w:tcPr>
          <w:p>
            <w:pPr>
              <w:spacing w:after="0"/>
              <w:rPr>
                <w:sz w:val="7"/>
                <w:szCs w:val="7"/>
                <w:color w:val="auto"/>
              </w:rPr>
            </w:pPr>
          </w:p>
        </w:tc>
        <w:tc>
          <w:tcPr>
            <w:tcW w:w="102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900" w:type="dxa"/>
            <w:vAlign w:val="bottom"/>
            <w:shd w:val="clear" w:color="auto" w:fill="000000"/>
          </w:tcPr>
          <w:p>
            <w:pPr>
              <w:spacing w:after="0"/>
              <w:rPr>
                <w:sz w:val="7"/>
                <w:szCs w:val="7"/>
                <w:color w:val="auto"/>
              </w:rPr>
            </w:pPr>
          </w:p>
        </w:tc>
        <w:tc>
          <w:tcPr>
            <w:tcW w:w="380" w:type="dxa"/>
            <w:vAlign w:val="bottom"/>
            <w:shd w:val="clear" w:color="auto" w:fill="000000"/>
          </w:tcPr>
          <w:p>
            <w:pPr>
              <w:spacing w:after="0"/>
              <w:rPr>
                <w:sz w:val="7"/>
                <w:szCs w:val="7"/>
                <w:color w:val="auto"/>
              </w:rPr>
            </w:pPr>
          </w:p>
        </w:tc>
        <w:tc>
          <w:tcPr>
            <w:tcW w:w="7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There were no transfers in or out of Level 1 or Level 2 during the periods presented.</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Level 3 Information</w:t>
      </w:r>
    </w:p>
    <w:p>
      <w:pPr>
        <w:spacing w:after="0" w:line="20" w:lineRule="exact"/>
        <w:rPr>
          <w:sz w:val="20"/>
          <w:szCs w:val="20"/>
          <w:color w:val="auto"/>
        </w:rPr>
      </w:pPr>
    </w:p>
    <w:p>
      <w:pPr>
        <w:ind w:right="839"/>
        <w:spacing w:after="0" w:line="285" w:lineRule="auto"/>
        <w:rPr>
          <w:sz w:val="20"/>
          <w:szCs w:val="20"/>
          <w:color w:val="auto"/>
        </w:rPr>
      </w:pPr>
      <w:r>
        <w:rPr>
          <w:rFonts w:ascii="Arial" w:cs="Arial" w:eastAsia="Arial" w:hAnsi="Arial"/>
          <w:sz w:val="19"/>
          <w:szCs w:val="19"/>
          <w:color w:val="auto"/>
        </w:rPr>
        <w:t>The following table sets forth reconciliations of changes in the fair value of net trading and other derivatives classified as Level 3 in the fair value hierarchy for Sempra Energy Consolidated and SDG&amp;E:</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2540" w:type="dxa"/>
            <w:vAlign w:val="bottom"/>
            <w:tcBorders>
              <w:bottom w:val="single" w:sz="8" w:color="auto"/>
            </w:tcBorders>
            <w:gridSpan w:val="2"/>
          </w:tcPr>
          <w:p>
            <w:pPr>
              <w:jc w:val="right"/>
              <w:ind w:right="188"/>
              <w:spacing w:after="0"/>
              <w:rPr>
                <w:sz w:val="20"/>
                <w:szCs w:val="20"/>
                <w:color w:val="auto"/>
              </w:rPr>
            </w:pPr>
            <w:r>
              <w:rPr>
                <w:rFonts w:ascii="Arial" w:cs="Arial" w:eastAsia="Arial" w:hAnsi="Arial"/>
                <w:sz w:val="14"/>
                <w:szCs w:val="14"/>
                <w:color w:val="auto"/>
              </w:rPr>
              <w:t>Three months ended March 31,</w:t>
            </w:r>
          </w:p>
        </w:tc>
        <w:tc>
          <w:tcPr>
            <w:tcW w:w="0" w:type="dxa"/>
            <w:vAlign w:val="bottom"/>
          </w:tcPr>
          <w:p>
            <w:pPr>
              <w:spacing w:after="0"/>
              <w:rPr>
                <w:sz w:val="1"/>
                <w:szCs w:val="1"/>
                <w:color w:val="auto"/>
              </w:rPr>
            </w:pPr>
          </w:p>
        </w:tc>
      </w:tr>
      <w:tr>
        <w:trPr>
          <w:trHeight w:val="171"/>
        </w:trPr>
        <w:tc>
          <w:tcPr>
            <w:tcW w:w="3860" w:type="dxa"/>
            <w:vAlign w:val="bottom"/>
            <w:vMerge w:val="continue"/>
          </w:tcPr>
          <w:p>
            <w:pPr>
              <w:spacing w:after="0"/>
              <w:rPr>
                <w:sz w:val="14"/>
                <w:szCs w:val="14"/>
                <w:color w:val="auto"/>
              </w:rPr>
            </w:pPr>
          </w:p>
        </w:tc>
        <w:tc>
          <w:tcPr>
            <w:tcW w:w="1240" w:type="dxa"/>
            <w:vAlign w:val="bottom"/>
          </w:tcPr>
          <w:p>
            <w:pPr>
              <w:jc w:val="right"/>
              <w:ind w:right="388"/>
              <w:spacing w:after="0"/>
              <w:rPr>
                <w:sz w:val="20"/>
                <w:szCs w:val="20"/>
                <w:color w:val="auto"/>
              </w:rPr>
            </w:pPr>
            <w:r>
              <w:rPr>
                <w:rFonts w:ascii="Arial" w:cs="Arial" w:eastAsia="Arial" w:hAnsi="Arial"/>
                <w:sz w:val="14"/>
                <w:szCs w:val="14"/>
                <w:color w:val="auto"/>
              </w:rPr>
              <w:t>2010</w:t>
            </w:r>
          </w:p>
        </w:tc>
        <w:tc>
          <w:tcPr>
            <w:tcW w:w="1300" w:type="dxa"/>
            <w:vAlign w:val="bottom"/>
          </w:tcPr>
          <w:p>
            <w:pPr>
              <w:jc w:val="right"/>
              <w:ind w:right="428"/>
              <w:spacing w:after="0"/>
              <w:rPr>
                <w:sz w:val="20"/>
                <w:szCs w:val="20"/>
                <w:color w:val="auto"/>
              </w:rPr>
            </w:pPr>
            <w:r>
              <w:rPr>
                <w:rFonts w:ascii="Arial" w:cs="Arial" w:eastAsia="Arial" w:hAnsi="Arial"/>
                <w:sz w:val="14"/>
                <w:szCs w:val="14"/>
                <w:color w:val="auto"/>
              </w:rPr>
              <w:t>2009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420243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ectPr>
          <w:pgSz w:w="11900" w:h="16946" w:orient="portrait"/>
          <w:cols w:equalWidth="0" w:num="1">
            <w:col w:w="10219"/>
          </w:cols>
          <w:pgMar w:left="240" w:top="378" w:right="1440" w:bottom="0" w:gutter="0" w:footer="0" w:header="0"/>
        </w:sectPr>
      </w:pPr>
    </w:p>
    <w:p>
      <w:pPr>
        <w:ind w:left="180" w:right="700" w:hanging="179"/>
        <w:spacing w:after="0" w:line="246" w:lineRule="auto"/>
        <w:rPr>
          <w:sz w:val="20"/>
          <w:szCs w:val="20"/>
          <w:color w:val="auto"/>
        </w:rPr>
      </w:pPr>
      <w:r>
        <w:rPr>
          <w:rFonts w:ascii="Arial" w:cs="Arial" w:eastAsia="Arial" w:hAnsi="Arial"/>
          <w:sz w:val="16"/>
          <w:szCs w:val="16"/>
          <w:color w:val="auto"/>
        </w:rPr>
        <w:t>Balance as of January 1 Realized and unrealized losses Purchases</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Issuances</w:t>
      </w:r>
    </w:p>
    <w:p>
      <w:pPr>
        <w:spacing w:after="0" w:line="1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Settlements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Balance as of March 31</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Change in unrealized gains relating to</w:t>
      </w:r>
    </w:p>
    <w:p>
      <w:pPr>
        <w:spacing w:after="0" w:line="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instruments still held at March 31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70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10</w:t>
            </w:r>
          </w:p>
        </w:tc>
        <w:tc>
          <w:tcPr>
            <w:tcW w:w="5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79"/>
              <w:spacing w:after="0"/>
              <w:rPr>
                <w:sz w:val="20"/>
                <w:szCs w:val="20"/>
                <w:color w:val="auto"/>
              </w:rPr>
            </w:pPr>
            <w:r>
              <w:rPr>
                <w:rFonts w:ascii="Arial" w:cs="Arial" w:eastAsia="Arial" w:hAnsi="Arial"/>
                <w:sz w:val="16"/>
                <w:szCs w:val="16"/>
                <w:color w:val="auto"/>
              </w:rPr>
              <w:t>27</w:t>
            </w:r>
          </w:p>
        </w:tc>
      </w:tr>
      <w:tr>
        <w:trPr>
          <w:trHeight w:val="189"/>
        </w:trPr>
        <w:tc>
          <w:tcPr>
            <w:tcW w:w="700" w:type="dxa"/>
            <w:vAlign w:val="bottom"/>
          </w:tcPr>
          <w:p>
            <w:pPr>
              <w:spacing w:after="0"/>
              <w:rPr>
                <w:sz w:val="16"/>
                <w:szCs w:val="16"/>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(2)</w:t>
            </w:r>
          </w:p>
        </w:tc>
        <w:tc>
          <w:tcPr>
            <w:tcW w:w="560" w:type="dxa"/>
            <w:vAlign w:val="bottom"/>
          </w:tcPr>
          <w:p>
            <w:pPr>
              <w:spacing w:after="0"/>
              <w:rPr>
                <w:sz w:val="16"/>
                <w:szCs w:val="16"/>
                <w:color w:val="auto"/>
              </w:rPr>
            </w:pPr>
          </w:p>
        </w:tc>
        <w:tc>
          <w:tcPr>
            <w:tcW w:w="800" w:type="dxa"/>
            <w:vAlign w:val="bottom"/>
          </w:tcPr>
          <w:p>
            <w:pPr>
              <w:jc w:val="right"/>
              <w:ind w:right="179"/>
              <w:spacing w:after="0"/>
              <w:rPr>
                <w:sz w:val="20"/>
                <w:szCs w:val="20"/>
                <w:color w:val="auto"/>
              </w:rPr>
            </w:pPr>
            <w:r>
              <w:rPr>
                <w:rFonts w:ascii="Arial" w:cs="Arial" w:eastAsia="Arial" w:hAnsi="Arial"/>
                <w:sz w:val="16"/>
                <w:szCs w:val="16"/>
                <w:color w:val="auto"/>
              </w:rPr>
              <w:t>-</w:t>
            </w:r>
          </w:p>
        </w:tc>
      </w:tr>
      <w:tr>
        <w:trPr>
          <w:trHeight w:val="189"/>
        </w:trPr>
        <w:tc>
          <w:tcPr>
            <w:tcW w:w="700" w:type="dxa"/>
            <w:vAlign w:val="bottom"/>
          </w:tcPr>
          <w:p>
            <w:pPr>
              <w:spacing w:after="0"/>
              <w:rPr>
                <w:sz w:val="16"/>
                <w:szCs w:val="16"/>
                <w:color w:val="auto"/>
              </w:rPr>
            </w:pP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6"/>
                <w:szCs w:val="16"/>
                <w:color w:val="auto"/>
              </w:rPr>
            </w:pPr>
          </w:p>
        </w:tc>
        <w:tc>
          <w:tcPr>
            <w:tcW w:w="800" w:type="dxa"/>
            <w:vAlign w:val="bottom"/>
          </w:tcPr>
          <w:p>
            <w:pPr>
              <w:jc w:val="right"/>
              <w:ind w:right="179"/>
              <w:spacing w:after="0"/>
              <w:rPr>
                <w:sz w:val="20"/>
                <w:szCs w:val="20"/>
                <w:color w:val="auto"/>
              </w:rPr>
            </w:pPr>
            <w:r>
              <w:rPr>
                <w:rFonts w:ascii="Arial" w:cs="Arial" w:eastAsia="Arial" w:hAnsi="Arial"/>
                <w:sz w:val="16"/>
                <w:szCs w:val="16"/>
                <w:color w:val="auto"/>
              </w:rPr>
              <w:t>-</w:t>
            </w:r>
          </w:p>
        </w:tc>
      </w:tr>
      <w:tr>
        <w:trPr>
          <w:trHeight w:val="189"/>
        </w:trPr>
        <w:tc>
          <w:tcPr>
            <w:tcW w:w="700" w:type="dxa"/>
            <w:vAlign w:val="bottom"/>
          </w:tcPr>
          <w:p>
            <w:pPr>
              <w:spacing w:after="0"/>
              <w:rPr>
                <w:sz w:val="16"/>
                <w:szCs w:val="16"/>
                <w:color w:val="auto"/>
              </w:rPr>
            </w:pP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6"/>
                <w:szCs w:val="16"/>
                <w:color w:val="auto"/>
              </w:rPr>
            </w:pPr>
          </w:p>
        </w:tc>
        <w:tc>
          <w:tcPr>
            <w:tcW w:w="800" w:type="dxa"/>
            <w:vAlign w:val="bottom"/>
          </w:tcPr>
          <w:p>
            <w:pPr>
              <w:jc w:val="right"/>
              <w:ind w:right="179"/>
              <w:spacing w:after="0"/>
              <w:rPr>
                <w:sz w:val="20"/>
                <w:szCs w:val="20"/>
                <w:color w:val="auto"/>
              </w:rPr>
            </w:pPr>
            <w:r>
              <w:rPr>
                <w:rFonts w:ascii="Arial" w:cs="Arial" w:eastAsia="Arial" w:hAnsi="Arial"/>
                <w:sz w:val="16"/>
                <w:szCs w:val="16"/>
                <w:color w:val="auto"/>
              </w:rPr>
              <w:t>-</w:t>
            </w:r>
          </w:p>
        </w:tc>
      </w:tr>
      <w:tr>
        <w:trPr>
          <w:trHeight w:val="187"/>
        </w:trPr>
        <w:tc>
          <w:tcPr>
            <w:tcW w:w="7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w:t>
            </w:r>
          </w:p>
        </w:tc>
        <w:tc>
          <w:tcPr>
            <w:tcW w:w="5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r>
      <w:tr>
        <w:trPr>
          <w:trHeight w:val="183"/>
        </w:trPr>
        <w:tc>
          <w:tcPr>
            <w:tcW w:w="700" w:type="dxa"/>
            <w:vAlign w:val="bottom"/>
          </w:tcPr>
          <w:p>
            <w:pPr>
              <w:jc w:val="right"/>
              <w:ind w:right="279"/>
              <w:spacing w:after="0" w:line="183" w:lineRule="exact"/>
              <w:rPr>
                <w:sz w:val="20"/>
                <w:szCs w:val="20"/>
                <w:color w:val="auto"/>
              </w:rPr>
            </w:pPr>
            <w:r>
              <w:rPr>
                <w:rFonts w:ascii="Arial" w:cs="Arial" w:eastAsia="Arial" w:hAnsi="Arial"/>
                <w:sz w:val="16"/>
                <w:szCs w:val="16"/>
                <w:color w:val="auto"/>
              </w:rPr>
              <w:t>$</w:t>
            </w:r>
          </w:p>
        </w:tc>
        <w:tc>
          <w:tcPr>
            <w:tcW w:w="700" w:type="dxa"/>
            <w:vAlign w:val="bottom"/>
          </w:tcPr>
          <w:p>
            <w:pPr>
              <w:jc w:val="right"/>
              <w:ind w:right="99"/>
              <w:spacing w:after="0" w:line="183" w:lineRule="exact"/>
              <w:rPr>
                <w:sz w:val="20"/>
                <w:szCs w:val="20"/>
                <w:color w:val="auto"/>
              </w:rPr>
            </w:pPr>
            <w:r>
              <w:rPr>
                <w:rFonts w:ascii="Arial" w:cs="Arial" w:eastAsia="Arial" w:hAnsi="Arial"/>
                <w:sz w:val="16"/>
                <w:szCs w:val="16"/>
                <w:color w:val="auto"/>
              </w:rPr>
              <w:t>9</w:t>
            </w:r>
          </w:p>
        </w:tc>
        <w:tc>
          <w:tcPr>
            <w:tcW w:w="560" w:type="dxa"/>
            <w:vAlign w:val="bottom"/>
          </w:tcPr>
          <w:p>
            <w:pPr>
              <w:jc w:val="right"/>
              <w:ind w:right="259"/>
              <w:spacing w:after="0" w:line="183" w:lineRule="exact"/>
              <w:rPr>
                <w:sz w:val="20"/>
                <w:szCs w:val="20"/>
                <w:color w:val="auto"/>
              </w:rPr>
            </w:pPr>
            <w:r>
              <w:rPr>
                <w:rFonts w:ascii="Arial" w:cs="Arial" w:eastAsia="Arial" w:hAnsi="Arial"/>
                <w:sz w:val="16"/>
                <w:szCs w:val="16"/>
                <w:color w:val="auto"/>
              </w:rPr>
              <w:t>$</w:t>
            </w:r>
          </w:p>
        </w:tc>
        <w:tc>
          <w:tcPr>
            <w:tcW w:w="800" w:type="dxa"/>
            <w:vAlign w:val="bottom"/>
          </w:tcPr>
          <w:p>
            <w:pPr>
              <w:jc w:val="right"/>
              <w:ind w:right="179"/>
              <w:spacing w:after="0" w:line="183" w:lineRule="exact"/>
              <w:rPr>
                <w:sz w:val="20"/>
                <w:szCs w:val="20"/>
                <w:color w:val="auto"/>
              </w:rPr>
            </w:pPr>
            <w:r>
              <w:rPr>
                <w:rFonts w:ascii="Arial" w:cs="Arial" w:eastAsia="Arial" w:hAnsi="Arial"/>
                <w:sz w:val="16"/>
                <w:szCs w:val="16"/>
                <w:color w:val="auto"/>
              </w:rPr>
              <w:t>27</w:t>
            </w:r>
          </w:p>
        </w:tc>
      </w:tr>
      <w:tr>
        <w:trPr>
          <w:trHeight w:val="81"/>
        </w:trPr>
        <w:tc>
          <w:tcPr>
            <w:tcW w:w="700" w:type="dxa"/>
            <w:vAlign w:val="bottom"/>
            <w:shd w:val="clear" w:color="auto" w:fill="000000"/>
          </w:tcPr>
          <w:p>
            <w:pPr>
              <w:spacing w:after="0"/>
              <w:rPr>
                <w:sz w:val="7"/>
                <w:szCs w:val="7"/>
                <w:color w:val="auto"/>
              </w:rPr>
            </w:pPr>
          </w:p>
        </w:tc>
        <w:tc>
          <w:tcPr>
            <w:tcW w:w="700" w:type="dxa"/>
            <w:vAlign w:val="bottom"/>
            <w:shd w:val="clear" w:color="auto" w:fill="000000"/>
          </w:tcPr>
          <w:p>
            <w:pPr>
              <w:spacing w:after="0"/>
              <w:rPr>
                <w:sz w:val="7"/>
                <w:szCs w:val="7"/>
                <w:color w:val="auto"/>
              </w:rPr>
            </w:pPr>
          </w:p>
        </w:tc>
        <w:tc>
          <w:tcPr>
            <w:tcW w:w="560" w:type="dxa"/>
            <w:vAlign w:val="bottom"/>
            <w:shd w:val="clear" w:color="auto" w:fill="000000"/>
          </w:tcPr>
          <w:p>
            <w:pPr>
              <w:spacing w:after="0"/>
              <w:rPr>
                <w:sz w:val="7"/>
                <w:szCs w:val="7"/>
                <w:color w:val="auto"/>
              </w:rPr>
            </w:pPr>
          </w:p>
        </w:tc>
        <w:tc>
          <w:tcPr>
            <w:tcW w:w="800" w:type="dxa"/>
            <w:vAlign w:val="bottom"/>
            <w:shd w:val="clear" w:color="auto" w:fill="000000"/>
          </w:tcPr>
          <w:p>
            <w:pPr>
              <w:spacing w:after="0"/>
              <w:rPr>
                <w:sz w:val="7"/>
                <w:szCs w:val="7"/>
                <w:color w:val="auto"/>
              </w:rPr>
            </w:pPr>
          </w:p>
        </w:tc>
      </w:tr>
      <w:tr>
        <w:trPr>
          <w:trHeight w:val="386"/>
        </w:trPr>
        <w:tc>
          <w:tcPr>
            <w:tcW w:w="70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79"/>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-3810</wp:posOffset>
            </wp:positionV>
            <wp:extent cx="4202430" cy="514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202430" cy="51435"/>
                    </a:xfrm>
                    <a:prstGeom prst="rect">
                      <a:avLst/>
                    </a:prstGeom>
                    <a:noFill/>
                  </pic:spPr>
                </pic:pic>
              </a:graphicData>
            </a:graphic>
          </wp:anchor>
        </w:drawing>
      </w:r>
    </w:p>
    <w:p>
      <w:pPr>
        <w:spacing w:after="0" w:line="200" w:lineRule="exact"/>
        <w:rPr>
          <w:sz w:val="20"/>
          <w:szCs w:val="20"/>
          <w:color w:val="auto"/>
        </w:rPr>
      </w:pPr>
    </w:p>
    <w:p>
      <w:pPr>
        <w:sectPr>
          <w:pgSz w:w="11900" w:h="16946" w:orient="portrait"/>
          <w:cols w:equalWidth="0" w:num="2">
            <w:col w:w="3140" w:space="720"/>
            <w:col w:w="6359"/>
          </w:cols>
          <w:pgMar w:left="240" w:top="378" w:right="1440" w:bottom="0" w:gutter="0" w:footer="0" w:header="0"/>
          <w:type w:val="continuous"/>
        </w:sectPr>
      </w:pPr>
    </w:p>
    <w:p>
      <w:pPr>
        <w:spacing w:after="0" w:line="82" w:lineRule="exact"/>
        <w:rPr>
          <w:sz w:val="20"/>
          <w:szCs w:val="20"/>
          <w:color w:val="auto"/>
        </w:rPr>
      </w:pPr>
    </w:p>
    <w:p>
      <w:pPr>
        <w:spacing w:after="0"/>
        <w:rPr>
          <w:sz w:val="20"/>
          <w:szCs w:val="20"/>
          <w:color w:val="auto"/>
        </w:rPr>
      </w:pPr>
      <w:r>
        <w:rPr>
          <w:rFonts w:ascii="Arial" w:cs="Arial" w:eastAsia="Arial" w:hAnsi="Arial"/>
          <w:sz w:val="22"/>
          <w:szCs w:val="22"/>
          <w:color w:val="auto"/>
        </w:rPr>
        <w:t>There were no transfers in or out of Level 3 during the periods presented.</w:t>
      </w:r>
    </w:p>
    <w:p>
      <w:pPr>
        <w:spacing w:after="0" w:line="58" w:lineRule="exact"/>
        <w:rPr>
          <w:sz w:val="20"/>
          <w:szCs w:val="20"/>
          <w:color w:val="auto"/>
        </w:rPr>
      </w:pPr>
    </w:p>
    <w:p>
      <w:pPr>
        <w:ind w:right="759"/>
        <w:spacing w:after="0" w:line="268" w:lineRule="auto"/>
        <w:rPr>
          <w:sz w:val="20"/>
          <w:szCs w:val="20"/>
          <w:color w:val="auto"/>
        </w:rPr>
      </w:pPr>
      <w:r>
        <w:rPr>
          <w:rFonts w:ascii="Arial" w:cs="Arial" w:eastAsia="Arial" w:hAnsi="Arial"/>
          <w:sz w:val="19"/>
          <w:szCs w:val="19"/>
          <w:color w:val="auto"/>
        </w:rPr>
        <w:t>Gains and losses (realized and unrealized) for Level 3 recurring items are primarily related to SDG&amp;E's congestion revenue rights and were included in Cost of Electric Fuel and Purchased Power on the Condensed Consolidated Statements of Operations for the three months ended March 31, 2010 and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617474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387" w:lineRule="exact"/>
        <w:rPr>
          <w:sz w:val="20"/>
          <w:szCs w:val="20"/>
          <w:color w:val="auto"/>
        </w:rPr>
      </w:pPr>
    </w:p>
    <w:p>
      <w:pPr>
        <w:spacing w:after="0"/>
        <w:rPr>
          <w:sz w:val="20"/>
          <w:szCs w:val="20"/>
          <w:color w:val="auto"/>
        </w:rPr>
      </w:pPr>
      <w:r>
        <w:rPr>
          <w:rFonts w:ascii="Arial" w:cs="Arial" w:eastAsia="Arial" w:hAnsi="Arial"/>
          <w:sz w:val="20"/>
          <w:szCs w:val="20"/>
          <w:color w:val="auto"/>
        </w:rPr>
        <w:t>NOTE 9. SEMPRA UTILITIES' REGULATORY MATTERS</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POWER PROCUREMENT AND RESOURCE PLANNING</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Sunrise Powerlink Electric Transmission Line</w:t>
      </w:r>
    </w:p>
    <w:p>
      <w:pPr>
        <w:spacing w:after="0" w:line="22" w:lineRule="exact"/>
        <w:rPr>
          <w:sz w:val="20"/>
          <w:szCs w:val="20"/>
          <w:color w:val="auto"/>
        </w:rPr>
      </w:pPr>
    </w:p>
    <w:p>
      <w:pPr>
        <w:ind w:right="579"/>
        <w:spacing w:after="0" w:line="246" w:lineRule="auto"/>
        <w:rPr>
          <w:sz w:val="20"/>
          <w:szCs w:val="20"/>
          <w:color w:val="auto"/>
        </w:rPr>
      </w:pPr>
      <w:r>
        <w:rPr>
          <w:rFonts w:ascii="Arial" w:cs="Arial" w:eastAsia="Arial" w:hAnsi="Arial"/>
          <w:sz w:val="19"/>
          <w:szCs w:val="19"/>
          <w:color w:val="auto"/>
        </w:rPr>
        <w:t>In December 2008, the CPUC issued a final decision authorizing SDG&amp;E to construct a 500-kilovolt (kV) electric transmission line between the Imperial Valley and the San Diego region (Sunrise Powerlink). This line is designed to provide 1,000 MW of increased import capability into the San Diego area. The decision allows SDG&amp;E to construct the Sunrise Powerlink along a route that would generally run south of the Anza-Borrego Desert State Park. The decision also approves the environmental impact review conducted jointly by the CPUC and the Bureau of Land Management (BLM) and establishes a total project cost cap of $1.9 billion, including approximately $190 million for environmental mitigation costs. In January 2009, the BLM issued its decision approving the project, route and environmental review.</w:t>
      </w:r>
    </w:p>
    <w:p>
      <w:pPr>
        <w:spacing w:after="0" w:line="18" w:lineRule="exact"/>
        <w:rPr>
          <w:sz w:val="20"/>
          <w:szCs w:val="20"/>
          <w:color w:val="auto"/>
        </w:rPr>
      </w:pPr>
    </w:p>
    <w:p>
      <w:pPr>
        <w:ind w:right="619"/>
        <w:spacing w:after="0" w:line="222" w:lineRule="auto"/>
        <w:rPr>
          <w:sz w:val="20"/>
          <w:szCs w:val="20"/>
          <w:color w:val="auto"/>
        </w:rPr>
      </w:pPr>
      <w:r>
        <w:rPr>
          <w:rFonts w:ascii="Arial" w:cs="Arial" w:eastAsia="Arial" w:hAnsi="Arial"/>
          <w:sz w:val="21"/>
          <w:szCs w:val="21"/>
          <w:color w:val="auto"/>
        </w:rPr>
        <w:t>After the issuance of the CPUC final decision, applications for rehearing before the CPUC were filed by the Utility Consumers Action Network (UCAN) and the Center for Biological Diversity/Sierra Club (CBD). The CPUC issued a final decision in July 2009 denying the requests for rehearing. UCAN and CBD jointly filed a petition with the California Supreme Court in August 2009 challenging the CPUC's decision with regard to implementation of the California Environmental Quality Act (CEQA). UCAN also filed a petition with the California Court of Appeal (Court of Appeal) challenging the decision on other legal grounds, which the Court of Appeal procedurally granted in March 2010. The UCAN/CBD appeal will be addressed by the California Supreme Court after the Court of Appeal rules on the first petition.</w:t>
      </w:r>
    </w:p>
    <w:p>
      <w:pPr>
        <w:spacing w:after="0" w:line="36" w:lineRule="exact"/>
        <w:rPr>
          <w:sz w:val="20"/>
          <w:szCs w:val="20"/>
          <w:color w:val="auto"/>
        </w:rPr>
      </w:pPr>
    </w:p>
    <w:p>
      <w:pPr>
        <w:ind w:right="759"/>
        <w:spacing w:after="0" w:line="252" w:lineRule="auto"/>
        <w:rPr>
          <w:sz w:val="20"/>
          <w:szCs w:val="20"/>
          <w:color w:val="auto"/>
        </w:rPr>
      </w:pPr>
      <w:r>
        <w:rPr>
          <w:rFonts w:ascii="Arial" w:cs="Arial" w:eastAsia="Arial" w:hAnsi="Arial"/>
          <w:sz w:val="19"/>
          <w:szCs w:val="19"/>
          <w:color w:val="auto"/>
        </w:rPr>
        <w:t>Three appeals of the BLM decision approving the segment of the route within its jurisdiction were filed by individuals, a community organization, and the Viejas Indian tribe in March 2009. A request to stay the BLM decision was also filed. The Interior Board of Land Appeals (IBLA) dismissed the appeal filed by the individuals and issued a ruling in July 2009 denying the request for a stay. In addition, the Viejas Indian tribe withdrew its appeal in July 2009. The IBLA is still reviewing the one remaining appeal.</w:t>
      </w:r>
    </w:p>
    <w:p>
      <w:pPr>
        <w:spacing w:after="0" w:line="28" w:lineRule="exact"/>
        <w:rPr>
          <w:sz w:val="20"/>
          <w:szCs w:val="20"/>
          <w:color w:val="auto"/>
        </w:rPr>
      </w:pPr>
    </w:p>
    <w:p>
      <w:pPr>
        <w:ind w:right="859"/>
        <w:spacing w:after="0" w:line="268" w:lineRule="auto"/>
        <w:rPr>
          <w:sz w:val="20"/>
          <w:szCs w:val="20"/>
          <w:color w:val="auto"/>
        </w:rPr>
      </w:pPr>
      <w:r>
        <w:rPr>
          <w:rFonts w:ascii="Arial" w:cs="Arial" w:eastAsia="Arial" w:hAnsi="Arial"/>
          <w:sz w:val="19"/>
          <w:szCs w:val="19"/>
          <w:color w:val="auto"/>
        </w:rPr>
        <w:t>The same project opponents who filed the BLM appeal also filed a lawsuit in Federal District Court in Sacramento, California, for Declaratory and Injunctive Relief regarding Sunrise Powerlink. The complaint alleges that the BLM failed to properly assess the environmental impacts of the approved Sunrise Powerlink</w:t>
      </w:r>
    </w:p>
    <w:p>
      <w:pPr>
        <w:sectPr>
          <w:pgSz w:w="11900" w:h="16946" w:orient="portrait"/>
          <w:cols w:equalWidth="0" w:num="1">
            <w:col w:w="10219"/>
          </w:cols>
          <w:pgMar w:left="240" w:top="378" w:right="1440" w:bottom="0" w:gutter="0" w:footer="0" w:header="0"/>
          <w:type w:val="continuous"/>
        </w:sectPr>
      </w:pPr>
    </w:p>
    <w:bookmarkStart w:id="54" w:name="page55"/>
    <w:bookmarkEnd w:id="54"/>
    <w:p>
      <w:pPr>
        <w:ind w:right="999"/>
        <w:spacing w:after="0" w:line="223" w:lineRule="auto"/>
        <w:rPr>
          <w:sz w:val="20"/>
          <w:szCs w:val="20"/>
          <w:color w:val="auto"/>
        </w:rPr>
      </w:pPr>
      <w:r>
        <w:rPr>
          <w:rFonts w:ascii="Arial" w:cs="Arial" w:eastAsia="Arial" w:hAnsi="Arial"/>
          <w:sz w:val="22"/>
          <w:szCs w:val="22"/>
          <w:color w:val="auto"/>
        </w:rPr>
        <w:t>route and the related potential development of renewable resources in east San Diego County and Imperial County. The complaint requests a declaration that the BLM violated Federal law in approving Sunrise Powerlink and an injunction against any construction activities.</w:t>
      </w:r>
    </w:p>
    <w:p>
      <w:pPr>
        <w:spacing w:after="0" w:line="39" w:lineRule="exact"/>
        <w:rPr>
          <w:sz w:val="20"/>
          <w:szCs w:val="20"/>
          <w:color w:val="auto"/>
        </w:rPr>
      </w:pPr>
    </w:p>
    <w:p>
      <w:pPr>
        <w:jc w:val="both"/>
        <w:ind w:right="619"/>
        <w:spacing w:after="0" w:line="267" w:lineRule="auto"/>
        <w:rPr>
          <w:sz w:val="20"/>
          <w:szCs w:val="20"/>
          <w:color w:val="auto"/>
        </w:rPr>
      </w:pPr>
      <w:r>
        <w:rPr>
          <w:rFonts w:ascii="Arial" w:cs="Arial" w:eastAsia="Arial" w:hAnsi="Arial"/>
          <w:sz w:val="19"/>
          <w:szCs w:val="19"/>
          <w:color w:val="auto"/>
        </w:rPr>
        <w:t>The Sunrise Powerlink also requires approval from the United States Forest Service (USFS). SDG&amp;E expects the USFS to issue a Record of Decision (ROD) approving the segment of the route within its jurisdiction in the first half of 2010. The USFS decision is also subject to administrative and judicial review.</w:t>
      </w:r>
    </w:p>
    <w:p>
      <w:pPr>
        <w:ind w:right="859"/>
        <w:spacing w:after="0" w:line="223" w:lineRule="auto"/>
        <w:rPr>
          <w:sz w:val="20"/>
          <w:szCs w:val="20"/>
          <w:color w:val="auto"/>
        </w:rPr>
      </w:pPr>
      <w:r>
        <w:rPr>
          <w:rFonts w:ascii="Arial" w:cs="Arial" w:eastAsia="Arial" w:hAnsi="Arial"/>
          <w:sz w:val="22"/>
          <w:szCs w:val="22"/>
          <w:color w:val="auto"/>
        </w:rPr>
        <w:t>Sunrise Powerlink costs will be recovered in SDG&amp;E's Electric Transmission Formula Rate, where SDG&amp;E must demonstrate to the Federal Energy Regulatory Commission (FERC) that such costs were prudently incurred.</w:t>
      </w:r>
    </w:p>
    <w:p>
      <w:pPr>
        <w:spacing w:after="0" w:line="38" w:lineRule="exact"/>
        <w:rPr>
          <w:sz w:val="20"/>
          <w:szCs w:val="20"/>
          <w:color w:val="auto"/>
        </w:rPr>
      </w:pPr>
    </w:p>
    <w:p>
      <w:pPr>
        <w:ind w:right="599"/>
        <w:spacing w:after="0" w:line="232" w:lineRule="auto"/>
        <w:rPr>
          <w:sz w:val="20"/>
          <w:szCs w:val="20"/>
          <w:color w:val="auto"/>
        </w:rPr>
      </w:pPr>
      <w:r>
        <w:rPr>
          <w:rFonts w:ascii="Arial" w:cs="Arial" w:eastAsia="Arial" w:hAnsi="Arial"/>
          <w:sz w:val="22"/>
          <w:szCs w:val="22"/>
          <w:color w:val="auto"/>
        </w:rPr>
        <w:t>The CPUC decision requires SDG&amp;E to adhere to certain commitments it made during the application process, as follows:</w:t>
      </w:r>
    </w:p>
    <w:p>
      <w:pPr>
        <w:spacing w:after="0" w:line="2" w:lineRule="exact"/>
        <w:rPr>
          <w:sz w:val="20"/>
          <w:szCs w:val="20"/>
          <w:color w:val="auto"/>
        </w:rPr>
      </w:pPr>
    </w:p>
    <w:p>
      <w:pPr>
        <w:ind w:left="180" w:right="1999" w:hanging="172"/>
        <w:spacing w:after="0" w:line="224" w:lineRule="auto"/>
        <w:tabs>
          <w:tab w:leader="none" w:pos="153" w:val="left"/>
        </w:tabs>
        <w:numPr>
          <w:ilvl w:val="0"/>
          <w:numId w:val="22"/>
        </w:numPr>
        <w:rPr>
          <w:rFonts w:ascii="Arial" w:cs="Arial" w:eastAsia="Arial" w:hAnsi="Arial"/>
          <w:sz w:val="22"/>
          <w:szCs w:val="22"/>
          <w:color w:val="auto"/>
        </w:rPr>
      </w:pPr>
      <w:r>
        <w:rPr>
          <w:rFonts w:ascii="Arial" w:cs="Arial" w:eastAsia="Arial" w:hAnsi="Arial"/>
          <w:sz w:val="22"/>
          <w:szCs w:val="22"/>
          <w:color w:val="auto"/>
        </w:rPr>
        <w:t>not to contract, for any length of term, with conventional coal generators to deliver power via the Sunrise Powerlink;</w:t>
      </w:r>
    </w:p>
    <w:p>
      <w:pPr>
        <w:ind w:left="180" w:right="2059" w:hanging="172"/>
        <w:spacing w:after="0" w:line="222" w:lineRule="auto"/>
        <w:tabs>
          <w:tab w:leader="none" w:pos="153" w:val="left"/>
        </w:tabs>
        <w:numPr>
          <w:ilvl w:val="0"/>
          <w:numId w:val="22"/>
        </w:numPr>
        <w:rPr>
          <w:rFonts w:ascii="Arial" w:cs="Arial" w:eastAsia="Arial" w:hAnsi="Arial"/>
          <w:sz w:val="22"/>
          <w:szCs w:val="22"/>
          <w:color w:val="auto"/>
        </w:rPr>
      </w:pPr>
      <w:r>
        <w:rPr>
          <w:rFonts w:ascii="Arial" w:cs="Arial" w:eastAsia="Arial" w:hAnsi="Arial"/>
          <w:sz w:val="22"/>
          <w:szCs w:val="22"/>
          <w:color w:val="auto"/>
        </w:rPr>
        <w:t>if any currently approved renewable energy contract that is deliverable via the Sunrise Powerlink fails, to replace it with a viable contract with a renewable generator located in the Imperial Valley region; and</w:t>
      </w:r>
    </w:p>
    <w:p>
      <w:pPr>
        <w:ind w:left="180" w:right="2239" w:hanging="172"/>
        <w:spacing w:after="0" w:line="224" w:lineRule="auto"/>
        <w:tabs>
          <w:tab w:leader="none" w:pos="153" w:val="left"/>
        </w:tabs>
        <w:numPr>
          <w:ilvl w:val="0"/>
          <w:numId w:val="22"/>
        </w:numPr>
        <w:rPr>
          <w:rFonts w:ascii="Arial" w:cs="Arial" w:eastAsia="Arial" w:hAnsi="Arial"/>
          <w:sz w:val="22"/>
          <w:szCs w:val="22"/>
          <w:color w:val="auto"/>
        </w:rPr>
      </w:pPr>
      <w:r>
        <w:rPr>
          <w:rFonts w:ascii="Arial" w:cs="Arial" w:eastAsia="Arial" w:hAnsi="Arial"/>
          <w:sz w:val="22"/>
          <w:szCs w:val="22"/>
          <w:color w:val="auto"/>
        </w:rPr>
        <w:t>voluntarily raise SDG&amp;E's Renewables Portfolio Standard Program goal (discussed below under "Renewable Energy") to 33 percent by 2020.</w:t>
      </w:r>
    </w:p>
    <w:p>
      <w:pPr>
        <w:spacing w:after="0" w:line="77" w:lineRule="exact"/>
        <w:rPr>
          <w:sz w:val="20"/>
          <w:szCs w:val="20"/>
          <w:color w:val="auto"/>
        </w:rPr>
      </w:pPr>
    </w:p>
    <w:p>
      <w:pPr>
        <w:ind w:right="679"/>
        <w:spacing w:after="0" w:line="226" w:lineRule="auto"/>
        <w:rPr>
          <w:sz w:val="20"/>
          <w:szCs w:val="20"/>
          <w:color w:val="auto"/>
        </w:rPr>
      </w:pPr>
      <w:r>
        <w:rPr>
          <w:rFonts w:ascii="Arial" w:cs="Arial" w:eastAsia="Arial" w:hAnsi="Arial"/>
          <w:sz w:val="21"/>
          <w:szCs w:val="21"/>
          <w:color w:val="auto"/>
        </w:rPr>
        <w:t>SDG&amp;E commenced procurement activities for the project in 2009, but before construction can begin, additional agency permits, including the ROD, must be obtained. The total amount invested by SDG&amp;E in the Sunrise Powerlink project as of March 31, 2010 was $289 million, which is included in Property, Plant and Equipment on the Condensed Consolidated Balance Sheets of Sempra Energy and SDG&amp;E. SDG&amp;E expects the Sunrise Powerlink to be in commercial operation in 2012.</w:t>
      </w:r>
    </w:p>
    <w:p>
      <w:pPr>
        <w:spacing w:after="0" w:line="38" w:lineRule="exact"/>
        <w:rPr>
          <w:sz w:val="20"/>
          <w:szCs w:val="20"/>
          <w:color w:val="auto"/>
        </w:rPr>
      </w:pPr>
    </w:p>
    <w:p>
      <w:pPr>
        <w:ind w:right="1079"/>
        <w:spacing w:after="0" w:line="232" w:lineRule="auto"/>
        <w:rPr>
          <w:sz w:val="20"/>
          <w:szCs w:val="20"/>
          <w:color w:val="auto"/>
        </w:rPr>
      </w:pPr>
      <w:r>
        <w:rPr>
          <w:rFonts w:ascii="Arial" w:cs="Arial" w:eastAsia="Arial" w:hAnsi="Arial"/>
          <w:sz w:val="22"/>
          <w:szCs w:val="22"/>
          <w:color w:val="auto"/>
        </w:rPr>
        <w:t>We provide additional information concerning Sunrise Powerlink in Note 15 of the Notes to Consolidated Financial Statements in the Annual Report.</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Renewable Energy</w:t>
      </w:r>
    </w:p>
    <w:p>
      <w:pPr>
        <w:spacing w:after="0" w:line="22" w:lineRule="exact"/>
        <w:rPr>
          <w:sz w:val="20"/>
          <w:szCs w:val="20"/>
          <w:color w:val="auto"/>
        </w:rPr>
      </w:pPr>
    </w:p>
    <w:p>
      <w:pPr>
        <w:ind w:right="979"/>
        <w:spacing w:after="0" w:line="222" w:lineRule="auto"/>
        <w:rPr>
          <w:sz w:val="20"/>
          <w:szCs w:val="20"/>
          <w:color w:val="auto"/>
        </w:rPr>
      </w:pPr>
      <w:r>
        <w:rPr>
          <w:rFonts w:ascii="Arial" w:cs="Arial" w:eastAsia="Arial" w:hAnsi="Arial"/>
          <w:sz w:val="21"/>
          <w:szCs w:val="21"/>
          <w:color w:val="auto"/>
        </w:rPr>
        <w:t>Certain California electric retail sellers, including SDG&amp;E, are required to deliver 20 percent of their retail energy sales from renewable energy sources beginning in 2010. The rules governing this requirement, administered by both the CPUC and the California Energy Commission (CEC), are generally known as the Renewables Portfolio Standard (RPS) Program. In September 2009, the Governor of California issued an Executive Order which set a target for each California utility to procure 33 percent of their annual electric energy requirements from renewable energy sources starting no later than 2020. This Executive Order designates the California Air Resources Board (CARB) as the agency responsible for establishing the compliance rules and regulations.</w:t>
      </w:r>
    </w:p>
    <w:p>
      <w:pPr>
        <w:spacing w:after="0" w:line="36" w:lineRule="exact"/>
        <w:rPr>
          <w:sz w:val="20"/>
          <w:szCs w:val="20"/>
          <w:color w:val="auto"/>
        </w:rPr>
      </w:pPr>
    </w:p>
    <w:p>
      <w:pPr>
        <w:ind w:right="939"/>
        <w:spacing w:after="0" w:line="214" w:lineRule="auto"/>
        <w:rPr>
          <w:sz w:val="20"/>
          <w:szCs w:val="20"/>
          <w:color w:val="auto"/>
        </w:rPr>
      </w:pPr>
      <w:r>
        <w:rPr>
          <w:rFonts w:ascii="Arial" w:cs="Arial" w:eastAsia="Arial" w:hAnsi="Arial"/>
          <w:sz w:val="22"/>
          <w:szCs w:val="22"/>
          <w:color w:val="auto"/>
        </w:rPr>
        <w:t>In 2008, the CPUC issued a decision defining flexible compliance mechanisms that can be used to defer compliance with or meet the RPS Program mandates in 2010 and beyond. The decision established that a finding by the CPUC of insufficient transmission is a permissible reason to defer compliance with the RPS Program mandates. This decision also confirmed that any renewable energy procured in excess of the established targets for prior years, currently and in the future, could be applied to any shortfalls in the years 2010 and beyond.</w:t>
      </w:r>
    </w:p>
    <w:p>
      <w:pPr>
        <w:spacing w:after="0" w:line="24" w:lineRule="exact"/>
        <w:rPr>
          <w:sz w:val="20"/>
          <w:szCs w:val="20"/>
          <w:color w:val="auto"/>
        </w:rPr>
      </w:pPr>
    </w:p>
    <w:p>
      <w:pPr>
        <w:ind w:right="1019"/>
        <w:spacing w:after="0" w:line="269" w:lineRule="auto"/>
        <w:rPr>
          <w:sz w:val="20"/>
          <w:szCs w:val="20"/>
          <w:color w:val="auto"/>
        </w:rPr>
      </w:pPr>
      <w:r>
        <w:rPr>
          <w:rFonts w:ascii="Arial" w:cs="Arial" w:eastAsia="Arial" w:hAnsi="Arial"/>
          <w:sz w:val="19"/>
          <w:szCs w:val="19"/>
          <w:color w:val="auto"/>
        </w:rPr>
        <w:t>SDG&amp;E continues to aggressively secure renewable energy supplies to achieve the RPS Program goals. A substantial number of these supply contracts, however, are contingent upon many factors, including:</w:t>
      </w:r>
    </w:p>
    <w:p>
      <w:pPr>
        <w:spacing w:after="0" w:line="1" w:lineRule="exact"/>
        <w:rPr>
          <w:sz w:val="20"/>
          <w:szCs w:val="20"/>
          <w:color w:val="auto"/>
        </w:rPr>
      </w:pPr>
    </w:p>
    <w:p>
      <w:pPr>
        <w:ind w:left="180" w:right="2739" w:hanging="172"/>
        <w:spacing w:after="0" w:line="230" w:lineRule="auto"/>
        <w:tabs>
          <w:tab w:leader="none" w:pos="153" w:val="left"/>
        </w:tabs>
        <w:numPr>
          <w:ilvl w:val="0"/>
          <w:numId w:val="23"/>
        </w:numPr>
        <w:rPr>
          <w:rFonts w:ascii="Arial" w:cs="Arial" w:eastAsia="Arial" w:hAnsi="Arial"/>
          <w:sz w:val="22"/>
          <w:szCs w:val="22"/>
          <w:color w:val="auto"/>
        </w:rPr>
      </w:pPr>
      <w:r>
        <w:rPr>
          <w:rFonts w:ascii="Arial" w:cs="Arial" w:eastAsia="Arial" w:hAnsi="Arial"/>
          <w:sz w:val="22"/>
          <w:szCs w:val="22"/>
          <w:color w:val="auto"/>
        </w:rPr>
        <w:t>access to electric transmission infrastructure (including SDG&amp;E's Sunrise Powerlink transmission line);</w:t>
      </w:r>
    </w:p>
    <w:p>
      <w:pPr>
        <w:spacing w:after="0" w:line="1" w:lineRule="exact"/>
        <w:rPr>
          <w:rFonts w:ascii="Arial" w:cs="Arial" w:eastAsia="Arial" w:hAnsi="Arial"/>
          <w:sz w:val="22"/>
          <w:szCs w:val="22"/>
          <w:color w:val="auto"/>
        </w:rPr>
      </w:pPr>
    </w:p>
    <w:p>
      <w:pPr>
        <w:ind w:left="140" w:hanging="132"/>
        <w:spacing w:after="0"/>
        <w:tabs>
          <w:tab w:leader="none" w:pos="140" w:val="left"/>
        </w:tabs>
        <w:numPr>
          <w:ilvl w:val="0"/>
          <w:numId w:val="23"/>
        </w:numPr>
        <w:rPr>
          <w:rFonts w:ascii="Arial" w:cs="Arial" w:eastAsia="Arial" w:hAnsi="Arial"/>
          <w:sz w:val="22"/>
          <w:szCs w:val="22"/>
          <w:color w:val="auto"/>
        </w:rPr>
      </w:pPr>
      <w:r>
        <w:rPr>
          <w:rFonts w:ascii="Arial" w:cs="Arial" w:eastAsia="Arial" w:hAnsi="Arial"/>
          <w:sz w:val="22"/>
          <w:szCs w:val="22"/>
          <w:color w:val="auto"/>
        </w:rPr>
        <w:t>timely regulatory approval of contracted renewable energy projects;</w:t>
      </w:r>
    </w:p>
    <w:p>
      <w:pPr>
        <w:spacing w:after="0" w:line="3" w:lineRule="exact"/>
        <w:rPr>
          <w:rFonts w:ascii="Arial" w:cs="Arial" w:eastAsia="Arial" w:hAnsi="Arial"/>
          <w:sz w:val="22"/>
          <w:szCs w:val="22"/>
          <w:color w:val="auto"/>
        </w:rPr>
      </w:pPr>
    </w:p>
    <w:p>
      <w:pPr>
        <w:ind w:left="140" w:hanging="132"/>
        <w:spacing w:after="0"/>
        <w:tabs>
          <w:tab w:leader="none" w:pos="140"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renewable energy project developers' ability to obtain project financing and permitting; and</w:t>
      </w:r>
    </w:p>
    <w:p>
      <w:pPr>
        <w:spacing w:after="0" w:line="3" w:lineRule="exact"/>
        <w:rPr>
          <w:rFonts w:ascii="Arial" w:cs="Arial" w:eastAsia="Arial" w:hAnsi="Arial"/>
          <w:sz w:val="22"/>
          <w:szCs w:val="22"/>
          <w:color w:val="auto"/>
        </w:rPr>
      </w:pPr>
    </w:p>
    <w:p>
      <w:pPr>
        <w:ind w:left="140" w:hanging="132"/>
        <w:spacing w:after="0"/>
        <w:tabs>
          <w:tab w:leader="none" w:pos="140" w:val="left"/>
        </w:tabs>
        <w:numPr>
          <w:ilvl w:val="0"/>
          <w:numId w:val="23"/>
        </w:numPr>
        <w:rPr>
          <w:rFonts w:ascii="Arial" w:cs="Arial" w:eastAsia="Arial" w:hAnsi="Arial"/>
          <w:sz w:val="22"/>
          <w:szCs w:val="22"/>
          <w:color w:val="auto"/>
        </w:rPr>
      </w:pPr>
      <w:r>
        <w:rPr>
          <w:rFonts w:ascii="Arial" w:cs="Arial" w:eastAsia="Arial" w:hAnsi="Arial"/>
          <w:sz w:val="22"/>
          <w:szCs w:val="22"/>
          <w:color w:val="auto"/>
        </w:rPr>
        <w:t>successful development and implementation of the renewable energy technologies.</w:t>
      </w:r>
    </w:p>
    <w:p>
      <w:pPr>
        <w:spacing w:after="0" w:line="94" w:lineRule="exact"/>
        <w:rPr>
          <w:sz w:val="20"/>
          <w:szCs w:val="20"/>
          <w:color w:val="auto"/>
        </w:rPr>
      </w:pPr>
    </w:p>
    <w:p>
      <w:pPr>
        <w:ind w:right="579"/>
        <w:spacing w:after="0" w:line="257" w:lineRule="auto"/>
        <w:rPr>
          <w:sz w:val="20"/>
          <w:szCs w:val="20"/>
          <w:color w:val="auto"/>
        </w:rPr>
      </w:pPr>
      <w:r>
        <w:rPr>
          <w:rFonts w:ascii="Arial" w:cs="Arial" w:eastAsia="Arial" w:hAnsi="Arial"/>
          <w:sz w:val="19"/>
          <w:szCs w:val="19"/>
          <w:color w:val="auto"/>
        </w:rPr>
        <w:t>SDG&amp;E believes it will be able to comply with the RPS Program requirements based on its contracting activity and application of the flexible compliance mechanisms. SDG&amp;E's failure to comply with the RPS Program requirements in 2010, or in any subsequent years, could subject it to a CPUC-imposed penalty of 5 cents per kilowatt hour of renewable energy under-delivery up to a maximum penalty of $25 million per year.</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 RATE CASE (GRC)</w:t>
      </w:r>
    </w:p>
    <w:p>
      <w:pPr>
        <w:spacing w:after="0" w:line="69" w:lineRule="exact"/>
        <w:rPr>
          <w:sz w:val="20"/>
          <w:szCs w:val="20"/>
          <w:color w:val="auto"/>
        </w:rPr>
      </w:pPr>
    </w:p>
    <w:p>
      <w:pPr>
        <w:ind w:right="579"/>
        <w:spacing w:after="0" w:line="218" w:lineRule="auto"/>
        <w:rPr>
          <w:sz w:val="20"/>
          <w:szCs w:val="20"/>
          <w:color w:val="auto"/>
        </w:rPr>
      </w:pPr>
      <w:r>
        <w:rPr>
          <w:rFonts w:ascii="Arial" w:cs="Arial" w:eastAsia="Arial" w:hAnsi="Arial"/>
          <w:sz w:val="22"/>
          <w:szCs w:val="22"/>
          <w:color w:val="auto"/>
        </w:rPr>
        <w:t>The CPUC uses a general rate case proceeding to prospectively set rates sufficient to allow the Sempra Utilities to recover their reasonable cost of operations and to provide the opportunity to realize an acceptable rate of return on their investment. The Sempra Utilities are scheduled to file their next rate case with the CPUC with a 2012 test year in the third quarter of 2010.</w:t>
      </w:r>
    </w:p>
    <w:p>
      <w:pPr>
        <w:spacing w:after="0" w:line="26" w:lineRule="exact"/>
        <w:rPr>
          <w:sz w:val="20"/>
          <w:szCs w:val="20"/>
          <w:color w:val="auto"/>
        </w:rPr>
      </w:pPr>
    </w:p>
    <w:p>
      <w:pPr>
        <w:ind w:right="479"/>
        <w:spacing w:after="0" w:line="257" w:lineRule="auto"/>
        <w:rPr>
          <w:sz w:val="20"/>
          <w:szCs w:val="20"/>
          <w:color w:val="auto"/>
        </w:rPr>
      </w:pPr>
      <w:r>
        <w:rPr>
          <w:rFonts w:ascii="Arial" w:cs="Arial" w:eastAsia="Arial" w:hAnsi="Arial"/>
          <w:sz w:val="19"/>
          <w:szCs w:val="19"/>
          <w:color w:val="auto"/>
        </w:rPr>
        <w:t>In November 2009, SDG&amp;E and SoCalGas, jointly with the Division of Ratepayer Advocates (DRA), a division of the CPUC representing the interests of customers, filed a petition with the CPUC to delay the filing of SDG&amp;E's and SoCalGas' next GRC applications by one year. In April 2010, the CPUC issued a decision denying the joint petition and directing SDG&amp;E and SoCalGas to follow their original GRC schedules.</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UTILITY INCENTIVE MECHANISMS</w:t>
      </w:r>
    </w:p>
    <w:p>
      <w:pPr>
        <w:spacing w:after="0" w:line="55" w:lineRule="exact"/>
        <w:rPr>
          <w:sz w:val="20"/>
          <w:szCs w:val="20"/>
          <w:color w:val="auto"/>
        </w:rPr>
      </w:pPr>
    </w:p>
    <w:p>
      <w:pPr>
        <w:jc w:val="both"/>
        <w:ind w:right="899"/>
        <w:spacing w:after="0" w:line="223" w:lineRule="auto"/>
        <w:rPr>
          <w:sz w:val="20"/>
          <w:szCs w:val="20"/>
          <w:color w:val="auto"/>
        </w:rPr>
      </w:pPr>
      <w:r>
        <w:rPr>
          <w:rFonts w:ascii="Arial" w:cs="Arial" w:eastAsia="Arial" w:hAnsi="Arial"/>
          <w:sz w:val="22"/>
          <w:szCs w:val="22"/>
          <w:color w:val="auto"/>
        </w:rPr>
        <w:t>The CPUC applies performance-based measures and incentive mechanisms to all California utilities, under which the Sempra Utilities have earnings potential above authorized base margins if they achieve or exceed specific performance and operating goals.</w:t>
      </w:r>
    </w:p>
    <w:p>
      <w:pPr>
        <w:sectPr>
          <w:pgSz w:w="11900" w:h="16838" w:orient="portrait"/>
          <w:cols w:equalWidth="0" w:num="1">
            <w:col w:w="10219"/>
          </w:cols>
          <w:pgMar w:left="240" w:top="104" w:right="1440" w:bottom="14" w:gutter="0" w:footer="0" w:header="0"/>
        </w:sectPr>
      </w:pPr>
    </w:p>
    <w:bookmarkStart w:id="55" w:name="page56"/>
    <w:bookmarkEnd w:id="55"/>
    <w:p>
      <w:pPr>
        <w:ind w:right="1579"/>
        <w:spacing w:after="0" w:line="248" w:lineRule="auto"/>
        <w:rPr>
          <w:sz w:val="20"/>
          <w:szCs w:val="20"/>
          <w:color w:val="auto"/>
        </w:rPr>
      </w:pPr>
      <w:r>
        <w:rPr>
          <w:rFonts w:ascii="Arial" w:cs="Arial" w:eastAsia="Arial" w:hAnsi="Arial"/>
          <w:sz w:val="21"/>
          <w:szCs w:val="21"/>
          <w:color w:val="auto"/>
        </w:rPr>
        <w:t>We provide additional information regarding these incentive mechanisms in Note 15 of the Notes to Consolidated Financial Statements in the Annual Report, and updates below.</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Energy Efficiency</w:t>
      </w:r>
    </w:p>
    <w:p>
      <w:pPr>
        <w:spacing w:after="0" w:line="20" w:lineRule="exact"/>
        <w:rPr>
          <w:sz w:val="20"/>
          <w:szCs w:val="20"/>
          <w:color w:val="auto"/>
        </w:rPr>
      </w:pPr>
    </w:p>
    <w:p>
      <w:pPr>
        <w:ind w:right="519"/>
        <w:spacing w:after="0" w:line="224" w:lineRule="auto"/>
        <w:rPr>
          <w:sz w:val="20"/>
          <w:szCs w:val="20"/>
          <w:color w:val="auto"/>
        </w:rPr>
      </w:pPr>
      <w:r>
        <w:rPr>
          <w:rFonts w:ascii="Arial" w:cs="Arial" w:eastAsia="Arial" w:hAnsi="Arial"/>
          <w:sz w:val="21"/>
          <w:szCs w:val="21"/>
          <w:color w:val="auto"/>
        </w:rPr>
        <w:t>In December 2009, the CPUC awarded $0.3 million and $2.1 million to SDG&amp;E and SoCalGas, respectively, for their performance during the 2006 – 2008 program period, and held back 35 percent of the awards pending a final true-up in 2010. In February 2010, the Sempra Utilities filed a petition with the CPUC to correct errors in the computation of the awards. If adopted, the changes would increase the awards by $426,000 for SDG&amp;E and $1.3 million for SoCalGas, net of the 35% holdback.</w:t>
      </w:r>
    </w:p>
    <w:p>
      <w:pPr>
        <w:spacing w:after="0" w:line="36" w:lineRule="exact"/>
        <w:rPr>
          <w:sz w:val="20"/>
          <w:szCs w:val="20"/>
          <w:color w:val="auto"/>
        </w:rPr>
      </w:pPr>
    </w:p>
    <w:p>
      <w:pPr>
        <w:ind w:right="619"/>
        <w:spacing w:after="0" w:line="298" w:lineRule="auto"/>
        <w:rPr>
          <w:sz w:val="20"/>
          <w:szCs w:val="20"/>
          <w:color w:val="auto"/>
        </w:rPr>
      </w:pPr>
      <w:r>
        <w:rPr>
          <w:rFonts w:ascii="Arial" w:cs="Arial" w:eastAsia="Arial" w:hAnsi="Arial"/>
          <w:sz w:val="19"/>
          <w:szCs w:val="19"/>
          <w:color w:val="auto"/>
        </w:rPr>
        <w:t>The December 2009 decision also established a schedule for the 2010 incentive true-up. The schedule provides for the issuance of a draft verification report in second quarter 2010 and a final decision in third quarter 2010.</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Natural Gas Procurement</w:t>
      </w:r>
    </w:p>
    <w:p>
      <w:pPr>
        <w:spacing w:after="0" w:line="20" w:lineRule="exact"/>
        <w:rPr>
          <w:sz w:val="20"/>
          <w:szCs w:val="20"/>
          <w:color w:val="auto"/>
        </w:rPr>
      </w:pPr>
    </w:p>
    <w:p>
      <w:pPr>
        <w:ind w:right="899"/>
        <w:spacing w:after="0" w:line="227" w:lineRule="auto"/>
        <w:rPr>
          <w:sz w:val="20"/>
          <w:szCs w:val="20"/>
          <w:color w:val="auto"/>
        </w:rPr>
      </w:pPr>
      <w:r>
        <w:rPr>
          <w:rFonts w:ascii="Arial" w:cs="Arial" w:eastAsia="Arial" w:hAnsi="Arial"/>
          <w:sz w:val="22"/>
          <w:szCs w:val="22"/>
          <w:color w:val="auto"/>
        </w:rPr>
        <w:t>In January 2010, the CPUC approved a Gas Cost Incentive Mechanism award of $12 million for SoCalGas’ procurement activities during the 12-month period ending March 31, 2009.</w:t>
      </w: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COST OF CAPITAL</w:t>
      </w:r>
    </w:p>
    <w:p>
      <w:pPr>
        <w:spacing w:after="0" w:line="55" w:lineRule="exact"/>
        <w:rPr>
          <w:sz w:val="20"/>
          <w:szCs w:val="20"/>
          <w:color w:val="auto"/>
        </w:rPr>
      </w:pPr>
    </w:p>
    <w:p>
      <w:pPr>
        <w:jc w:val="both"/>
        <w:ind w:right="519"/>
        <w:spacing w:after="0" w:line="223" w:lineRule="auto"/>
        <w:rPr>
          <w:sz w:val="20"/>
          <w:szCs w:val="20"/>
          <w:color w:val="auto"/>
        </w:rPr>
      </w:pPr>
      <w:r>
        <w:rPr>
          <w:rFonts w:ascii="Arial" w:cs="Arial" w:eastAsia="Arial" w:hAnsi="Arial"/>
          <w:sz w:val="22"/>
          <w:szCs w:val="22"/>
          <w:color w:val="auto"/>
        </w:rPr>
        <w:t>A cost of capital proceeding determines the Sempra Utilities' authorized capital structure and the authorized rate of return that the Sempra Utilities may earn on their electric and natural gas distribution and electric generation assets.</w:t>
      </w:r>
    </w:p>
    <w:p>
      <w:pPr>
        <w:spacing w:after="0" w:line="38" w:lineRule="exact"/>
        <w:rPr>
          <w:sz w:val="20"/>
          <w:szCs w:val="20"/>
          <w:color w:val="auto"/>
        </w:rPr>
      </w:pPr>
    </w:p>
    <w:p>
      <w:pPr>
        <w:ind w:right="579"/>
        <w:spacing w:after="0" w:line="257" w:lineRule="auto"/>
        <w:rPr>
          <w:sz w:val="20"/>
          <w:szCs w:val="20"/>
          <w:color w:val="auto"/>
        </w:rPr>
      </w:pPr>
      <w:r>
        <w:rPr>
          <w:rFonts w:ascii="Arial" w:cs="Arial" w:eastAsia="Arial" w:hAnsi="Arial"/>
          <w:sz w:val="19"/>
          <w:szCs w:val="19"/>
          <w:color w:val="auto"/>
        </w:rPr>
        <w:t>In January 2010, the CPUC approved SDG&amp;E's and the DRA's joint petition to delay SDG&amp;E's next scheduled cost of capital application for two years. With this approval, SDG&amp;E's next cost of capital application is scheduled to be filed in April 2012 for a 2013 test year, consistent with the schedule for cost of capital applications for each of Southern California Edison (Edison) and Pacific Gas and Electric (PG&amp;E).</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ADVANCED METERING INFRASTRUCTURE</w:t>
      </w:r>
    </w:p>
    <w:p>
      <w:pPr>
        <w:spacing w:after="0" w:line="69" w:lineRule="exact"/>
        <w:rPr>
          <w:sz w:val="20"/>
          <w:szCs w:val="20"/>
          <w:color w:val="auto"/>
        </w:rPr>
      </w:pPr>
    </w:p>
    <w:p>
      <w:pPr>
        <w:ind w:right="539"/>
        <w:spacing w:after="0" w:line="214" w:lineRule="auto"/>
        <w:rPr>
          <w:sz w:val="20"/>
          <w:szCs w:val="20"/>
          <w:color w:val="auto"/>
        </w:rPr>
      </w:pPr>
      <w:r>
        <w:rPr>
          <w:rFonts w:ascii="Arial" w:cs="Arial" w:eastAsia="Arial" w:hAnsi="Arial"/>
          <w:sz w:val="22"/>
          <w:szCs w:val="22"/>
          <w:color w:val="auto"/>
        </w:rPr>
        <w:t>In April 2010, the CPUC issued a decision approving SoCalGas' application to upgrade approximately six million natural gas meters with an advanced metering infrastructure (AMI), subject to certain safeguards to better ensure its cost effectiveness for ratepayers. With these safeguards, the approved cost of the project is $1.05 billion (including approximately $900 million in capital investment), and SoCalGas will be subject to risk/reward sharing for costs above or below this amount. Installation of the meters is expected to begin in 2012 and continue through 2017.</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2007 WILDFIRES COST RECOVERY</w:t>
      </w:r>
    </w:p>
    <w:p>
      <w:pPr>
        <w:spacing w:after="0" w:line="69" w:lineRule="exact"/>
        <w:rPr>
          <w:sz w:val="20"/>
          <w:szCs w:val="20"/>
          <w:color w:val="auto"/>
        </w:rPr>
      </w:pPr>
    </w:p>
    <w:p>
      <w:pPr>
        <w:ind w:right="559"/>
        <w:spacing w:after="0" w:line="246" w:lineRule="auto"/>
        <w:rPr>
          <w:sz w:val="20"/>
          <w:szCs w:val="20"/>
          <w:color w:val="auto"/>
        </w:rPr>
      </w:pPr>
      <w:r>
        <w:rPr>
          <w:rFonts w:ascii="Arial" w:cs="Arial" w:eastAsia="Arial" w:hAnsi="Arial"/>
          <w:sz w:val="19"/>
          <w:szCs w:val="19"/>
          <w:color w:val="auto"/>
        </w:rPr>
        <w:t>SDG&amp;E filed an application with the CPUC in March 2009 seeking to recover the incremental cost incurred to replace and repair company facilities under CPUC jurisdiction damaged by the October 2007 wildfires. This application was filed in accordance with the CPUC rules governing incremental costs incurred as a result of a declared emergency or catastrophic event. The DRA filed a protest to SDG&amp;E's request for recovery of the incremental costs, requesting that the CPUC stay the proceeding until completion of the fire investigations, which we describe in Note 10. SDG&amp;E and the DRA have reached an agreement in principle regarding the cost recovery request which, if approved by the CPUC, would result in SDG&amp;E recovering $43 million. A formal settlement agreement is being finalized, but no specific filing date has been established.</w:t>
      </w:r>
    </w:p>
    <w:p>
      <w:pPr>
        <w:spacing w:after="0" w:line="32" w:lineRule="exact"/>
        <w:rPr>
          <w:sz w:val="20"/>
          <w:szCs w:val="20"/>
          <w:color w:val="auto"/>
        </w:rPr>
      </w:pPr>
    </w:p>
    <w:p>
      <w:pPr>
        <w:ind w:right="759"/>
        <w:spacing w:after="0" w:line="281" w:lineRule="auto"/>
        <w:rPr>
          <w:sz w:val="20"/>
          <w:szCs w:val="20"/>
          <w:color w:val="auto"/>
        </w:rPr>
      </w:pPr>
      <w:r>
        <w:rPr>
          <w:rFonts w:ascii="Arial" w:cs="Arial" w:eastAsia="Arial" w:hAnsi="Arial"/>
          <w:sz w:val="19"/>
          <w:szCs w:val="19"/>
          <w:color w:val="auto"/>
        </w:rPr>
        <w:t>SDG&amp;E also incurred $30.1 million of incremental costs for the replacement and repair of company facilities under FERC jurisdiction, which are currently being recovered in SDG&amp;E's electric transmission rates.</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We discuss recovery of 2007 wildfire litigation costs in Note 10.</w:t>
      </w: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INSURANCE COST RECOVERY</w:t>
      </w:r>
    </w:p>
    <w:p>
      <w:pPr>
        <w:spacing w:after="0" w:line="55" w:lineRule="exact"/>
        <w:rPr>
          <w:sz w:val="20"/>
          <w:szCs w:val="20"/>
          <w:color w:val="auto"/>
        </w:rPr>
      </w:pPr>
    </w:p>
    <w:p>
      <w:pPr>
        <w:ind w:right="499"/>
        <w:spacing w:after="0" w:line="220" w:lineRule="auto"/>
        <w:rPr>
          <w:sz w:val="20"/>
          <w:szCs w:val="20"/>
          <w:color w:val="auto"/>
        </w:rPr>
      </w:pPr>
      <w:r>
        <w:rPr>
          <w:rFonts w:ascii="Arial" w:cs="Arial" w:eastAsia="Arial" w:hAnsi="Arial"/>
          <w:sz w:val="21"/>
          <w:szCs w:val="21"/>
          <w:color w:val="auto"/>
        </w:rPr>
        <w:t>SDG&amp;E filed an application with the CPUC in August 2009 seeking authorization to recover higher liability insurance premiums and losses due to higher deductibles which SDG&amp;E began incurring on July 1, 2009. Evidentiary hearings were held in April 2010 and a final CPUC decision is expected by the end of 2010. SDG&amp;E made the filing under the CPUC’s rules allowing utilities to seek recovery of significant cost increases incurred between GRC filings resulting from unforeseen circumstances. SDG&amp;E is requesting a $29 million revenue requirement for the 2009/2010 policy period for the incremental increase in its liability and wildfire insurance premium costs above what is currently authorized in rates. The CPUC's rules allow a utility to recover costs that meet certain criteria, subject to a $5 million deductible per event. In the three months ended March 31, 2010, SDG&amp;E has expensed $8 million (pretax) of incremental insura nce premiums associated with its wildfire coverage.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617474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NOTE 10. COMMITMENTS AND CONTINGENCIES</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LEGAL PROCEEDINGS</w:t>
      </w:r>
    </w:p>
    <w:p>
      <w:pPr>
        <w:spacing w:after="0" w:line="69" w:lineRule="exact"/>
        <w:rPr>
          <w:sz w:val="20"/>
          <w:szCs w:val="20"/>
          <w:color w:val="auto"/>
        </w:rPr>
      </w:pPr>
    </w:p>
    <w:p>
      <w:pPr>
        <w:ind w:right="499"/>
        <w:spacing w:after="0" w:line="252" w:lineRule="auto"/>
        <w:rPr>
          <w:sz w:val="20"/>
          <w:szCs w:val="20"/>
          <w:color w:val="auto"/>
        </w:rPr>
      </w:pPr>
      <w:r>
        <w:rPr>
          <w:rFonts w:ascii="Arial" w:cs="Arial" w:eastAsia="Arial" w:hAnsi="Arial"/>
          <w:sz w:val="19"/>
          <w:szCs w:val="19"/>
          <w:color w:val="auto"/>
        </w:rPr>
        <w:t>We record loss reserves for legal proceedings when it is probable that a loss has been incurred and the amounts of the loss can be reasonably estimated. However, the uncertainties inherent in legal proceedings make it difficult to estimate with reasonable certainty the costs and effects of resolving these matters. Accordingly, actual costs incurred may differ materially from reserved amounts or exceed applicable insurance coverages and could materially adversely affect our business, cash flows, results of operations, and financial condition.</w:t>
      </w:r>
    </w:p>
    <w:p>
      <w:pPr>
        <w:spacing w:after="0" w:line="14" w:lineRule="exact"/>
        <w:rPr>
          <w:sz w:val="20"/>
          <w:szCs w:val="20"/>
          <w:color w:val="auto"/>
        </w:rPr>
      </w:pPr>
    </w:p>
    <w:p>
      <w:pPr>
        <w:ind w:right="479"/>
        <w:spacing w:after="0" w:line="298" w:lineRule="auto"/>
        <w:rPr>
          <w:sz w:val="20"/>
          <w:szCs w:val="20"/>
          <w:color w:val="auto"/>
        </w:rPr>
      </w:pPr>
      <w:r>
        <w:rPr>
          <w:rFonts w:ascii="Arial" w:cs="Arial" w:eastAsia="Arial" w:hAnsi="Arial"/>
          <w:sz w:val="19"/>
          <w:szCs w:val="19"/>
          <w:color w:val="auto"/>
        </w:rPr>
        <w:t>At March 31, 2010, Sempra Energy’s reserves for legal proceedings, on a consolidated basis, were $636 million, of which $194 million is offset by an insurance receivable for wildfire litigation and $139 million is for</w:t>
      </w:r>
    </w:p>
    <w:p>
      <w:pPr>
        <w:sectPr>
          <w:pgSz w:w="11900" w:h="16838" w:orient="portrait"/>
          <w:cols w:equalWidth="0" w:num="1">
            <w:col w:w="10219"/>
          </w:cols>
          <w:pgMar w:left="240" w:top="104" w:right="1440" w:bottom="0" w:gutter="0" w:footer="0" w:header="0"/>
        </w:sectPr>
      </w:pPr>
    </w:p>
    <w:bookmarkStart w:id="56" w:name="page57"/>
    <w:bookmarkEnd w:id="56"/>
    <w:p>
      <w:pPr>
        <w:ind w:right="539"/>
        <w:spacing w:after="0" w:line="268" w:lineRule="auto"/>
        <w:rPr>
          <w:sz w:val="20"/>
          <w:szCs w:val="20"/>
          <w:color w:val="auto"/>
        </w:rPr>
      </w:pPr>
      <w:r>
        <w:rPr>
          <w:rFonts w:ascii="Arial" w:cs="Arial" w:eastAsia="Arial" w:hAnsi="Arial"/>
          <w:sz w:val="19"/>
          <w:szCs w:val="19"/>
          <w:color w:val="auto"/>
        </w:rPr>
        <w:t>previously resolved matters. At March 31, 2010, SDG&amp;E and SoCalGas had reserves of $322 million (including the $194 million offset) and $12 million, respectively. We provide additional information about previously resolved matters in Note 17 of the Notes to Consolidated Financial Statements in the Annual Report.</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 2007 Wildfire Litigation</w:t>
      </w:r>
    </w:p>
    <w:p>
      <w:pPr>
        <w:spacing w:after="0" w:line="20" w:lineRule="exact"/>
        <w:rPr>
          <w:sz w:val="20"/>
          <w:szCs w:val="20"/>
          <w:color w:val="auto"/>
        </w:rPr>
      </w:pPr>
    </w:p>
    <w:p>
      <w:pPr>
        <w:ind w:right="519"/>
        <w:spacing w:after="0" w:line="210" w:lineRule="auto"/>
        <w:rPr>
          <w:sz w:val="20"/>
          <w:szCs w:val="20"/>
          <w:color w:val="auto"/>
        </w:rPr>
      </w:pPr>
      <w:r>
        <w:rPr>
          <w:rFonts w:ascii="Arial" w:cs="Arial" w:eastAsia="Arial" w:hAnsi="Arial"/>
          <w:sz w:val="22"/>
          <w:szCs w:val="22"/>
          <w:color w:val="auto"/>
        </w:rPr>
        <w:t>In October 2007, San Diego County experienced several catastrophic wildfires. Reports issued by the California Department of Forestry and Fire Protection (Cal Fire) concluded that two of these fires (the Witch and Rice fires) were SDG&amp;E "power line caused" and that a third fire (the Guejito fire) occurred when a wire securing a Cox Communications' fiber optic cable came into contact with an SDG&amp;E power line "causing an arc and starting the fire." Cal Fire reported that the Rice fire burned approximately 9,500 acres and damaged 206 homes and two commercial properties, and the Witch and Guejito fires merged and eventually burned approximately 198,000 acres, resulting in two fatalities, approximately 40 firefighters injured and approximately 1,141 homes destroyed.</w:t>
      </w:r>
    </w:p>
    <w:p>
      <w:pPr>
        <w:spacing w:after="0" w:line="54" w:lineRule="exact"/>
        <w:rPr>
          <w:sz w:val="20"/>
          <w:szCs w:val="20"/>
          <w:color w:val="auto"/>
        </w:rPr>
      </w:pPr>
    </w:p>
    <w:p>
      <w:pPr>
        <w:ind w:right="579"/>
        <w:spacing w:after="0" w:line="212" w:lineRule="auto"/>
        <w:rPr>
          <w:sz w:val="20"/>
          <w:szCs w:val="20"/>
          <w:color w:val="auto"/>
        </w:rPr>
      </w:pPr>
      <w:r>
        <w:rPr>
          <w:rFonts w:ascii="Arial" w:cs="Arial" w:eastAsia="Arial" w:hAnsi="Arial"/>
          <w:sz w:val="22"/>
          <w:szCs w:val="22"/>
          <w:color w:val="auto"/>
        </w:rPr>
        <w:t>A September 2008 staff report issued by the CPUC's Consumer Protection and Safety Division reached substantially the same conclusions as the Cal Fire reports, but also contended that the power lines involved in the Witch and Rice fires and the lashing wire involved in the Guejito fire were not properly designed, constructed and maintained. In November 2008, the CPUC initiated proceedings to determine if any of its rules were violated and in October 2009, SDG&amp;E and the Consumer Protection and Safety Division entered into a settlement agreement, approved by the CPUC in April 2010, that resolves these proceedings by SDG&amp;E's payment of $14.75 million.</w:t>
      </w:r>
    </w:p>
    <w:p>
      <w:pPr>
        <w:spacing w:after="0" w:line="43" w:lineRule="exact"/>
        <w:rPr>
          <w:sz w:val="20"/>
          <w:szCs w:val="20"/>
          <w:color w:val="auto"/>
        </w:rPr>
      </w:pPr>
    </w:p>
    <w:p>
      <w:pPr>
        <w:ind w:right="479"/>
        <w:spacing w:after="0" w:line="243" w:lineRule="auto"/>
        <w:rPr>
          <w:sz w:val="20"/>
          <w:szCs w:val="20"/>
          <w:color w:val="auto"/>
        </w:rPr>
      </w:pPr>
      <w:r>
        <w:rPr>
          <w:rFonts w:ascii="Arial" w:cs="Arial" w:eastAsia="Arial" w:hAnsi="Arial"/>
          <w:sz w:val="19"/>
          <w:szCs w:val="19"/>
          <w:color w:val="auto"/>
        </w:rPr>
        <w:t>Numerous parties have sued SDG&amp;E and Sempra Energy in San Diego County Superior Court seeking recovery of unspecified amounts of damages, including punitive damages, from the three fires. These include owners and insurers of properties that were destroyed or damaged in the fires and public entities seeking recovery of firefighting, emergency response, and environmental costs. They assert various bases for recovery, including inverse condemnation based upon a California Court of Appeal decision finding that another California investor-owned utility was subject to strict liability, without regard to foreseeability or negligence, for property damages resulting from a wildfire ignited by power lines. In June 2009, the trial court ruled that these claims must be pursued in individual lawsuits (rather than as class actions on behalf of all persons who incurred wildfire damages), and the plaintiffs have appealed that ruling. SDG&amp;E has filed cross-complaints against Cox Communications seeking indemnification for any liability that SDG&amp;E may incur that relates to the Guejito fire and may file additional actions against other parties relating to the Witch and Rice fires.</w:t>
      </w:r>
    </w:p>
    <w:p>
      <w:pPr>
        <w:spacing w:after="0" w:line="38" w:lineRule="exact"/>
        <w:rPr>
          <w:sz w:val="20"/>
          <w:szCs w:val="20"/>
          <w:color w:val="auto"/>
        </w:rPr>
      </w:pPr>
    </w:p>
    <w:p>
      <w:pPr>
        <w:ind w:right="499"/>
        <w:spacing w:after="0" w:line="224" w:lineRule="auto"/>
        <w:rPr>
          <w:sz w:val="20"/>
          <w:szCs w:val="20"/>
          <w:color w:val="auto"/>
        </w:rPr>
      </w:pPr>
      <w:r>
        <w:rPr>
          <w:rFonts w:ascii="Arial" w:cs="Arial" w:eastAsia="Arial" w:hAnsi="Arial"/>
          <w:sz w:val="21"/>
          <w:szCs w:val="21"/>
          <w:color w:val="auto"/>
        </w:rPr>
        <w:t>SDG&amp;E has settled substantially all of the 19,000 claims of homeowner insurers relating to the three fires, including claims for payment by the insurers to their policyholders for approximately 1,000 of the 1,300 houses, mobile homes, and apartment units identified in public records as having been destroyed. Under the settlement agreements, SDG&amp;E has paid or will pay 57.5 percent of the approximately $1.6 billion paid or reserved for payment by the insurers to their policyholders and received an assignment of the insurers’ claims against Cox Communications and other parties potentially responsible for the fires.</w:t>
      </w:r>
    </w:p>
    <w:p>
      <w:pPr>
        <w:spacing w:after="0" w:line="25" w:lineRule="exact"/>
        <w:rPr>
          <w:sz w:val="20"/>
          <w:szCs w:val="20"/>
          <w:color w:val="auto"/>
        </w:rPr>
      </w:pPr>
    </w:p>
    <w:p>
      <w:pPr>
        <w:jc w:val="both"/>
        <w:ind w:right="679"/>
        <w:spacing w:after="0" w:line="268" w:lineRule="auto"/>
        <w:rPr>
          <w:sz w:val="20"/>
          <w:szCs w:val="20"/>
          <w:color w:val="auto"/>
        </w:rPr>
      </w:pPr>
      <w:r>
        <w:rPr>
          <w:rFonts w:ascii="Arial" w:cs="Arial" w:eastAsia="Arial" w:hAnsi="Arial"/>
          <w:sz w:val="19"/>
          <w:szCs w:val="19"/>
          <w:color w:val="auto"/>
        </w:rPr>
        <w:t>The wildfire litigation also includes claims of non-insurer plaintiffs for damage to uninsured and underinsured structures, business interruption, evacuation expenses, agricultural damage, emotional harm, personal injuries and other losses. SDG&amp;E has settled the claims of approximately 330 of these plaintiffs.</w:t>
      </w:r>
    </w:p>
    <w:p>
      <w:pPr>
        <w:spacing w:after="0" w:line="11" w:lineRule="exact"/>
        <w:rPr>
          <w:sz w:val="20"/>
          <w:szCs w:val="20"/>
          <w:color w:val="auto"/>
        </w:rPr>
      </w:pPr>
    </w:p>
    <w:p>
      <w:pPr>
        <w:ind w:right="659"/>
        <w:spacing w:after="0" w:line="257" w:lineRule="auto"/>
        <w:rPr>
          <w:sz w:val="20"/>
          <w:szCs w:val="20"/>
          <w:color w:val="auto"/>
        </w:rPr>
      </w:pPr>
      <w:r>
        <w:rPr>
          <w:rFonts w:ascii="Arial" w:cs="Arial" w:eastAsia="Arial" w:hAnsi="Arial"/>
          <w:sz w:val="19"/>
          <w:szCs w:val="19"/>
          <w:color w:val="auto"/>
        </w:rPr>
        <w:t>Of the approximately 2,100 remaining plaintiffs in the wildfire litigation, approximately 600 have thus far submitted settlement demands and damage estimates. Individual and business claims total approximately $460 million and government entity claims total approximately $165 million. SDG&amp;E expects to receive additional settlement demands and damage estimates as settlement negotiations continue.</w:t>
      </w:r>
    </w:p>
    <w:p>
      <w:pPr>
        <w:spacing w:after="0" w:line="23" w:lineRule="exact"/>
        <w:rPr>
          <w:sz w:val="20"/>
          <w:szCs w:val="20"/>
          <w:color w:val="auto"/>
        </w:rPr>
      </w:pPr>
    </w:p>
    <w:p>
      <w:pPr>
        <w:ind w:right="559"/>
        <w:spacing w:after="0" w:line="249" w:lineRule="auto"/>
        <w:rPr>
          <w:sz w:val="20"/>
          <w:szCs w:val="20"/>
          <w:color w:val="auto"/>
        </w:rPr>
      </w:pPr>
      <w:r>
        <w:rPr>
          <w:rFonts w:ascii="Arial" w:cs="Arial" w:eastAsia="Arial" w:hAnsi="Arial"/>
          <w:sz w:val="19"/>
          <w:szCs w:val="19"/>
          <w:color w:val="auto"/>
        </w:rPr>
        <w:t>SDG&amp;E has established reserves for its estimated cost of resolving the claims for economic damages of 800 plaintiffs. SDG&amp;E does not currently have sufficient information to reasonably estimate the costs of resolving the claims of the other plaintiffs. SDG&amp;E expects that its wildfire reserves and amounts paid to resolve wildfire claims will continue to increase as it obtains additional information. SDG&amp;E is also unable to reasonably estimate the amount or timing of recoveries from other potentially responsible parties both in respect of the amounts that it has already expended to settle claims and amounts that it may expend in the future.</w:t>
      </w:r>
    </w:p>
    <w:p>
      <w:pPr>
        <w:spacing w:after="0" w:line="17" w:lineRule="exact"/>
        <w:rPr>
          <w:sz w:val="20"/>
          <w:szCs w:val="20"/>
          <w:color w:val="auto"/>
        </w:rPr>
      </w:pPr>
    </w:p>
    <w:p>
      <w:pPr>
        <w:ind w:right="519"/>
        <w:spacing w:after="0" w:line="245" w:lineRule="auto"/>
        <w:rPr>
          <w:sz w:val="20"/>
          <w:szCs w:val="20"/>
          <w:color w:val="auto"/>
        </w:rPr>
      </w:pPr>
      <w:r>
        <w:rPr>
          <w:rFonts w:ascii="Arial" w:cs="Arial" w:eastAsia="Arial" w:hAnsi="Arial"/>
          <w:sz w:val="19"/>
          <w:szCs w:val="19"/>
          <w:color w:val="auto"/>
        </w:rPr>
        <w:t>SDG&amp;E has concluded that it is probable that it will be permitted to recover from its utility customers substantially all reasonably incurred costs of resolving wildfire claims in excess of its $1.1 billion of liability insurance coverage and any amounts recovered from other potentially responsible parties. Accordingly, although recovery from utility customers will require future regulatory actions as we discuss in Note 9, SDG&amp;E has recorded a regulatory asset in an amount substantially equal to the aggregate amount it has paid or reserved for payment for the resolution of wildfire claims and related costs in excess of its liability insurance coverage. SDG&amp;E will increase the amount of the regulatory asset as additional amounts are paid or reserves are recorded and reduce it by any amounts recovered from other potentially responsible parties. As of March 31, 2010, the amount of the regulatory asset was $107 million.</w:t>
      </w:r>
    </w:p>
    <w:p>
      <w:pPr>
        <w:spacing w:after="0" w:line="32" w:lineRule="exact"/>
        <w:rPr>
          <w:sz w:val="20"/>
          <w:szCs w:val="20"/>
          <w:color w:val="auto"/>
        </w:rPr>
      </w:pPr>
    </w:p>
    <w:p>
      <w:pPr>
        <w:ind w:right="499"/>
        <w:spacing w:after="0" w:line="249" w:lineRule="auto"/>
        <w:rPr>
          <w:sz w:val="20"/>
          <w:szCs w:val="20"/>
          <w:color w:val="auto"/>
        </w:rPr>
      </w:pPr>
      <w:r>
        <w:rPr>
          <w:rFonts w:ascii="Arial" w:cs="Arial" w:eastAsia="Arial" w:hAnsi="Arial"/>
          <w:sz w:val="19"/>
          <w:szCs w:val="19"/>
          <w:color w:val="auto"/>
        </w:rPr>
        <w:t>Consequently, Sempra Energy and SDG&amp;E expect no significant earnings impact from the resolution of the remaining wildfire claims. However, SDG&amp;E’s cash flow will be adversely affected by timing differences between the resolution of claims and recoveries from other potentially responsible parties and utility customers, which may extend over a number of years. Also, recovery from customers will require future regulatory actions, and a failure to obtain recovery, or any negative assessment of the likelihood of recovery, would likely have a material adverse effect on Sempra Energy's and SDG&amp;E's cash flows and results of operations.</w:t>
      </w:r>
    </w:p>
    <w:p>
      <w:pPr>
        <w:spacing w:after="0" w:line="31" w:lineRule="exact"/>
        <w:rPr>
          <w:sz w:val="20"/>
          <w:szCs w:val="20"/>
          <w:color w:val="auto"/>
        </w:rPr>
      </w:pPr>
    </w:p>
    <w:p>
      <w:pPr>
        <w:jc w:val="both"/>
        <w:ind w:right="1159"/>
        <w:spacing w:after="0" w:line="218" w:lineRule="auto"/>
        <w:rPr>
          <w:sz w:val="20"/>
          <w:szCs w:val="20"/>
          <w:color w:val="auto"/>
        </w:rPr>
      </w:pPr>
      <w:r>
        <w:rPr>
          <w:rFonts w:ascii="Arial" w:cs="Arial" w:eastAsia="Arial" w:hAnsi="Arial"/>
          <w:sz w:val="22"/>
          <w:szCs w:val="22"/>
          <w:color w:val="auto"/>
        </w:rPr>
        <w:t>SDG&amp;E will continue to gather information to evaluate and assess the remaining wildfire claims and the likelihood, amount and timing of related recoveries from other potentially responsible parties and utility customers and will make appropriate adjustments to wildfire reserves and the related regulatory asset as additional information becomes available.</w:t>
      </w:r>
    </w:p>
    <w:p>
      <w:pPr>
        <w:sectPr>
          <w:pgSz w:w="11900" w:h="16838" w:orient="portrait"/>
          <w:cols w:equalWidth="0" w:num="1">
            <w:col w:w="10219"/>
          </w:cols>
          <w:pgMar w:left="240" w:top="104" w:right="1440" w:bottom="4" w:gutter="0" w:footer="0" w:header="0"/>
        </w:sectPr>
      </w:pP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Energy Crisis Litigation</w:t>
      </w:r>
    </w:p>
    <w:p>
      <w:pPr>
        <w:sectPr>
          <w:pgSz w:w="11900" w:h="16838" w:orient="portrait"/>
          <w:cols w:equalWidth="0" w:num="1">
            <w:col w:w="10219"/>
          </w:cols>
          <w:pgMar w:left="240" w:top="104" w:right="1440" w:bottom="4" w:gutter="0" w:footer="0" w:header="0"/>
          <w:type w:val="continuous"/>
        </w:sectPr>
      </w:pPr>
    </w:p>
    <w:bookmarkStart w:id="57" w:name="page58"/>
    <w:bookmarkEnd w:id="57"/>
    <w:p>
      <w:pPr>
        <w:ind w:right="499"/>
        <w:spacing w:after="0" w:line="249" w:lineRule="auto"/>
        <w:rPr>
          <w:sz w:val="20"/>
          <w:szCs w:val="20"/>
          <w:color w:val="auto"/>
        </w:rPr>
      </w:pPr>
      <w:r>
        <w:rPr>
          <w:rFonts w:ascii="Arial" w:cs="Arial" w:eastAsia="Arial" w:hAnsi="Arial"/>
          <w:sz w:val="19"/>
          <w:szCs w:val="19"/>
          <w:color w:val="auto"/>
        </w:rPr>
        <w:t>Sempra Energy, RBS Sempra Commodities and Sempra Generation have reached an agreement in principle for a comprehensive settlement to resolve substantially all of the energy crisis litigation described below for a total payment of $410 million. The matters to be resolved by the settlement would include the multiple actions brought by the DWR and other parties with respect to the validity, pricing and operation of Sempra Generation’s contract with the DWR and the FERC refund and manipulation proceedings against RBS Sempra Commodities. Any settlement agreements would be subject to the approval of the FERC.</w:t>
      </w:r>
    </w:p>
    <w:p>
      <w:pPr>
        <w:spacing w:after="0" w:line="32" w:lineRule="exact"/>
        <w:rPr>
          <w:sz w:val="20"/>
          <w:szCs w:val="20"/>
          <w:color w:val="auto"/>
        </w:rPr>
      </w:pPr>
    </w:p>
    <w:p>
      <w:pPr>
        <w:ind w:right="499"/>
        <w:spacing w:after="0" w:line="252" w:lineRule="auto"/>
        <w:rPr>
          <w:sz w:val="20"/>
          <w:szCs w:val="20"/>
          <w:color w:val="auto"/>
        </w:rPr>
      </w:pPr>
      <w:r>
        <w:rPr>
          <w:rFonts w:ascii="Arial" w:cs="Arial" w:eastAsia="Arial" w:hAnsi="Arial"/>
          <w:sz w:val="19"/>
          <w:szCs w:val="19"/>
          <w:color w:val="auto"/>
        </w:rPr>
        <w:t>We describe the matters to be resolved below under "DWR Contract," "FERC Refund Proceedings," and "FERC Manipulation Investigation." We expect the settlement of $410 million to be funded largely from previously recorded reserves and receivables at RBS Sempra Commodities. Sempra Energy has also recorded an additional pretax charge of $159 million in the first quarter of 2010 to provide for the remainder of the settlement, including $139 million at Sempra Generation and $20 million at Sempra Commodities.</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DWR Contract</w:t>
      </w:r>
    </w:p>
    <w:p>
      <w:pPr>
        <w:spacing w:after="0" w:line="76" w:lineRule="exact"/>
        <w:rPr>
          <w:sz w:val="20"/>
          <w:szCs w:val="20"/>
          <w:color w:val="auto"/>
        </w:rPr>
      </w:pPr>
    </w:p>
    <w:p>
      <w:pPr>
        <w:ind w:right="539"/>
        <w:spacing w:after="0" w:line="220" w:lineRule="auto"/>
        <w:rPr>
          <w:sz w:val="20"/>
          <w:szCs w:val="20"/>
          <w:color w:val="auto"/>
        </w:rPr>
      </w:pPr>
      <w:r>
        <w:rPr>
          <w:rFonts w:ascii="Arial" w:cs="Arial" w:eastAsia="Arial" w:hAnsi="Arial"/>
          <w:sz w:val="21"/>
          <w:szCs w:val="21"/>
          <w:color w:val="auto"/>
        </w:rPr>
        <w:t>In February 2002, the California Energy Oversight Board (CEOB) and the CPUC filed challenges at the FERC to the DWR's contracts with Sempra Generation and other power suppliers. After the FERC upheld the contracts in 2003, the CEOB and CPUC appealed to the U.S. Court of Appeals for the Ninth Circuit (Ninth Circuit Court of Appeals) and challenged the FERC's application of the Mobile-Sierra doctrine's "public interest" standard of review to the contracts. In June 2008, the United States Supreme Court (Supreme Court) ruled that the FERC was correct to apply the Mobile-Sierra doctrine (which presumes that contract rates are just and reasonable) absent a demonstration that one of the contracting parties engaged in unlawful market manipulation that directly affected contract rates. The Supreme Court ruled that the FERC should clarify its findings on this issue and consider whether the contract rates seriously harm the public interest. Th e FERC has not yet acted.</w:t>
      </w:r>
    </w:p>
    <w:p>
      <w:pPr>
        <w:spacing w:after="0" w:line="28" w:lineRule="exact"/>
        <w:rPr>
          <w:sz w:val="20"/>
          <w:szCs w:val="20"/>
          <w:color w:val="auto"/>
        </w:rPr>
      </w:pPr>
    </w:p>
    <w:p>
      <w:pPr>
        <w:ind w:right="619"/>
        <w:spacing w:after="0" w:line="247" w:lineRule="auto"/>
        <w:rPr>
          <w:sz w:val="20"/>
          <w:szCs w:val="20"/>
          <w:color w:val="auto"/>
        </w:rPr>
      </w:pPr>
      <w:r>
        <w:rPr>
          <w:rFonts w:ascii="Arial" w:cs="Arial" w:eastAsia="Arial" w:hAnsi="Arial"/>
          <w:sz w:val="19"/>
          <w:szCs w:val="19"/>
          <w:color w:val="auto"/>
        </w:rPr>
        <w:t>At various times since the contract's inception, Sempra Generation and the DWR have also had disputes regarding the meaning of terms and performance of the agreement under which Sempra Generation sells electricity to the DWR. In 2002, in a state civil action, the DWR sought to terminate its contract with Sempra Generation claiming misrepresentation and breach of contract, and seeking rescission, damages, injunctive and declaratory relief, and $100 million in punitive damages. After various procedural decisions and appeals, on November 30, 2009, a San Diego jury returned a verdict denying all of the DWR's claims and requested relief, and granting all of Sempra Generation's requested relief. The DWR has appealed the judgment.</w:t>
      </w:r>
    </w:p>
    <w:p>
      <w:pPr>
        <w:spacing w:after="0" w:line="33" w:lineRule="exact"/>
        <w:rPr>
          <w:sz w:val="20"/>
          <w:szCs w:val="20"/>
          <w:color w:val="auto"/>
        </w:rPr>
      </w:pPr>
    </w:p>
    <w:p>
      <w:pPr>
        <w:ind w:right="659"/>
        <w:spacing w:after="0" w:line="226" w:lineRule="auto"/>
        <w:rPr>
          <w:sz w:val="20"/>
          <w:szCs w:val="20"/>
          <w:color w:val="auto"/>
        </w:rPr>
      </w:pPr>
      <w:r>
        <w:rPr>
          <w:rFonts w:ascii="Arial" w:cs="Arial" w:eastAsia="Arial" w:hAnsi="Arial"/>
          <w:sz w:val="21"/>
          <w:szCs w:val="21"/>
          <w:color w:val="auto"/>
        </w:rPr>
        <w:t>In September 2008, the DWR initiated an arbitration proceeding against Sempra Generation, alleging that Sempra Generation had breached the parties' agreement in various operational respects, and violated the order issued by an earlier arbitration panel relating to the amount refunded to the DWR and the manner in which Sempra Generation operates. The DWR seeks approximately $80 million in damages and an order terminating the contract. Arbitration hearings are scheduled for January 2011.</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FERC Refund Proceedings</w:t>
      </w:r>
    </w:p>
    <w:p>
      <w:pPr>
        <w:spacing w:after="0" w:line="63" w:lineRule="exact"/>
        <w:rPr>
          <w:sz w:val="20"/>
          <w:szCs w:val="20"/>
          <w:color w:val="auto"/>
        </w:rPr>
      </w:pPr>
    </w:p>
    <w:p>
      <w:pPr>
        <w:ind w:right="699"/>
        <w:spacing w:after="0" w:line="268" w:lineRule="auto"/>
        <w:rPr>
          <w:sz w:val="20"/>
          <w:szCs w:val="20"/>
          <w:color w:val="auto"/>
        </w:rPr>
      </w:pPr>
      <w:r>
        <w:rPr>
          <w:rFonts w:ascii="Arial" w:cs="Arial" w:eastAsia="Arial" w:hAnsi="Arial"/>
          <w:sz w:val="19"/>
          <w:szCs w:val="19"/>
          <w:color w:val="auto"/>
        </w:rPr>
        <w:t>The FERC is investigating prices charged by various electric suppliers to buyers in the California Power Exchange (PX) and Independent System Operator (ISO) markets. In March 2003, the FERC ordered suppliers to pay refunds on certain sales made during the October 2, 2000 through June 20, 2001 time period.</w:t>
      </w:r>
    </w:p>
    <w:p>
      <w:pPr>
        <w:spacing w:after="0" w:line="11" w:lineRule="exact"/>
        <w:rPr>
          <w:sz w:val="20"/>
          <w:szCs w:val="20"/>
          <w:color w:val="auto"/>
        </w:rPr>
      </w:pPr>
    </w:p>
    <w:p>
      <w:pPr>
        <w:ind w:right="599"/>
        <w:spacing w:after="0" w:line="246" w:lineRule="auto"/>
        <w:rPr>
          <w:sz w:val="20"/>
          <w:szCs w:val="20"/>
          <w:color w:val="auto"/>
        </w:rPr>
      </w:pPr>
      <w:r>
        <w:rPr>
          <w:rFonts w:ascii="Arial" w:cs="Arial" w:eastAsia="Arial" w:hAnsi="Arial"/>
          <w:sz w:val="19"/>
          <w:szCs w:val="19"/>
          <w:color w:val="auto"/>
        </w:rPr>
        <w:t>Various parties, including Sempra Commodities, appealed the FERC's order to the Ninth Circuit Court of Appeals. In August 2006, the Ninth Circuit Court of Appeals held that the FERC had properly established October 2, 2000 through June 20, 2001 as the refund period and had properly excluded certain short-term bilateral transactions between sellers and the DWR from the refund proceedings. However, the court also held that the FERC erred in excluding certain multi-day transactions from the refund proceedings. Finally, while the court upheld the FERC's decision not to extend the refund proceedings to the summer period (prior to October 2, 2000), it found that the FERC should have considered other remedies for tariff violations that are alleged to have occurred prior to October 2, 2000. The FERC is in the process of addressing these issues on remand.</w:t>
      </w:r>
    </w:p>
    <w:p>
      <w:pPr>
        <w:spacing w:after="0" w:line="18" w:lineRule="exact"/>
        <w:rPr>
          <w:sz w:val="20"/>
          <w:szCs w:val="20"/>
          <w:color w:val="auto"/>
        </w:rPr>
      </w:pPr>
    </w:p>
    <w:p>
      <w:pPr>
        <w:ind w:right="539"/>
        <w:spacing w:after="0" w:line="224" w:lineRule="auto"/>
        <w:rPr>
          <w:sz w:val="20"/>
          <w:szCs w:val="20"/>
          <w:color w:val="auto"/>
        </w:rPr>
      </w:pPr>
      <w:r>
        <w:rPr>
          <w:rFonts w:ascii="Arial" w:cs="Arial" w:eastAsia="Arial" w:hAnsi="Arial"/>
          <w:sz w:val="21"/>
          <w:szCs w:val="21"/>
          <w:color w:val="auto"/>
        </w:rPr>
        <w:t>In August 2007, the Ninth Circuit Court of Appeals issued a decision reversing and remanding FERC orders declining to provide refunds in a related proceeding regarding short-term bilateral sales up to one month in the Pacific Northwest. The court found that some of the short-term sales between the DWR and various sellers (including Sempra Commodities) that had previously been excluded from the refund proceeding involving sales in the ISO and PX markets in California were within the scope of the Pacific Northwest refund proceeding. The FERC has not yet acted on the court's order.</w:t>
      </w:r>
    </w:p>
    <w:p>
      <w:pPr>
        <w:spacing w:after="0" w:line="39" w:lineRule="exact"/>
        <w:rPr>
          <w:sz w:val="20"/>
          <w:szCs w:val="20"/>
          <w:color w:val="auto"/>
        </w:rPr>
      </w:pPr>
    </w:p>
    <w:p>
      <w:pPr>
        <w:ind w:right="599"/>
        <w:spacing w:after="0" w:line="249" w:lineRule="auto"/>
        <w:rPr>
          <w:sz w:val="20"/>
          <w:szCs w:val="20"/>
          <w:color w:val="auto"/>
        </w:rPr>
      </w:pPr>
      <w:r>
        <w:rPr>
          <w:rFonts w:ascii="Arial" w:cs="Arial" w:eastAsia="Arial" w:hAnsi="Arial"/>
          <w:sz w:val="19"/>
          <w:szCs w:val="19"/>
          <w:color w:val="auto"/>
        </w:rPr>
        <w:t>In a separate complaint filed with the FERC in 2002, the California Attorney General contended that electricity sellers had failed to comply with the FERC's quarterly reporting requirements. The Attorney General requested that the FERC order refunds from suppliers. The FERC dismissed the complaint and instead ordered sellers to restate their reports. After an appeal by the California Attorney General, the Ninth Circuit Court of Appeals stated that failure to file transaction-specific quarterly reports gave the FERC authority to order refunds with respect to jurisdictional sellers. The FERC is in the process of addressing these issues on remand.</w:t>
      </w:r>
    </w:p>
    <w:p>
      <w:pPr>
        <w:spacing w:after="0" w:line="31" w:lineRule="exact"/>
        <w:rPr>
          <w:sz w:val="20"/>
          <w:szCs w:val="20"/>
          <w:color w:val="auto"/>
        </w:rPr>
      </w:pPr>
    </w:p>
    <w:p>
      <w:pPr>
        <w:ind w:right="499"/>
        <w:spacing w:after="0" w:line="252" w:lineRule="auto"/>
        <w:rPr>
          <w:sz w:val="20"/>
          <w:szCs w:val="20"/>
          <w:color w:val="auto"/>
        </w:rPr>
      </w:pPr>
      <w:r>
        <w:rPr>
          <w:rFonts w:ascii="Arial" w:cs="Arial" w:eastAsia="Arial" w:hAnsi="Arial"/>
          <w:sz w:val="19"/>
          <w:szCs w:val="19"/>
          <w:color w:val="auto"/>
        </w:rPr>
        <w:t>In May 2009, the California Attorney General filed another complaint at the FERC against various sellers, including Sempra Commodities. In this complaint, the Attorney General seeks to collect for alleged overcharges related to short-term bilateral transactions between sellers and the DWR from January 18, 2001 through June 20, 2001. These transactions also have been the subject of the Ninth Circuit Court of Appeals' orders in the proceedings described above. The FERC has not yet acted on the complaint.</w:t>
      </w:r>
    </w:p>
    <w:p>
      <w:pPr>
        <w:spacing w:after="0" w:line="14" w:lineRule="exact"/>
        <w:rPr>
          <w:sz w:val="20"/>
          <w:szCs w:val="20"/>
          <w:color w:val="auto"/>
        </w:rPr>
      </w:pPr>
    </w:p>
    <w:p>
      <w:pPr>
        <w:ind w:right="639"/>
        <w:spacing w:after="0" w:line="226" w:lineRule="auto"/>
        <w:rPr>
          <w:sz w:val="20"/>
          <w:szCs w:val="20"/>
          <w:color w:val="auto"/>
        </w:rPr>
      </w:pPr>
      <w:r>
        <w:rPr>
          <w:rFonts w:ascii="Arial" w:cs="Arial" w:eastAsia="Arial" w:hAnsi="Arial"/>
          <w:sz w:val="21"/>
          <w:szCs w:val="21"/>
          <w:color w:val="auto"/>
        </w:rPr>
        <w:t>In the cases described above, the FERC could order additional refunds or the disgorgement of profits. RBS Sempra Commodities has reserves for its estimate of the effect of the FERC's revision of the benchmark prices it will use to calculate refunds and other related developments. Pursuant to the agreements related to the formation of RBS Sempra Commodities, we have indemnified RBS related to these proceedings should the liability from the final resolution be greater than the reserves.</w:t>
      </w:r>
    </w:p>
    <w:p>
      <w:pPr>
        <w:sectPr>
          <w:pgSz w:w="11900" w:h="16838" w:orient="portrait"/>
          <w:cols w:equalWidth="0" w:num="1">
            <w:col w:w="10219"/>
          </w:cols>
          <w:pgMar w:left="240" w:top="104" w:right="1440" w:bottom="62" w:gutter="0" w:footer="0" w:header="0"/>
        </w:sectPr>
      </w:pP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FERC Manipulation Investigation</w:t>
      </w:r>
    </w:p>
    <w:p>
      <w:pPr>
        <w:sectPr>
          <w:pgSz w:w="11900" w:h="16838" w:orient="portrait"/>
          <w:cols w:equalWidth="0" w:num="1">
            <w:col w:w="10219"/>
          </w:cols>
          <w:pgMar w:left="240" w:top="104" w:right="1440" w:bottom="62" w:gutter="0" w:footer="0" w:header="0"/>
          <w:type w:val="continuous"/>
        </w:sectPr>
      </w:pPr>
    </w:p>
    <w:bookmarkStart w:id="58" w:name="page59"/>
    <w:bookmarkEnd w:id="58"/>
    <w:p>
      <w:pPr>
        <w:ind w:right="979"/>
        <w:spacing w:after="0" w:line="223" w:lineRule="auto"/>
        <w:rPr>
          <w:sz w:val="20"/>
          <w:szCs w:val="20"/>
          <w:color w:val="auto"/>
        </w:rPr>
      </w:pPr>
      <w:r>
        <w:rPr>
          <w:rFonts w:ascii="Arial" w:cs="Arial" w:eastAsia="Arial" w:hAnsi="Arial"/>
          <w:sz w:val="22"/>
          <w:szCs w:val="22"/>
          <w:color w:val="auto"/>
        </w:rPr>
        <w:t>The FERC has separately investigated whether there was manipulation of short-term energy markets in the western United States that would constitute violations of applicable tariffs and warrant disgorgement of associated profits.</w:t>
      </w:r>
    </w:p>
    <w:p>
      <w:pPr>
        <w:spacing w:after="0" w:line="39" w:lineRule="exact"/>
        <w:rPr>
          <w:sz w:val="20"/>
          <w:szCs w:val="20"/>
          <w:color w:val="auto"/>
        </w:rPr>
      </w:pPr>
    </w:p>
    <w:p>
      <w:pPr>
        <w:ind w:right="519"/>
        <w:spacing w:after="0" w:line="223" w:lineRule="auto"/>
        <w:rPr>
          <w:sz w:val="20"/>
          <w:szCs w:val="20"/>
          <w:color w:val="auto"/>
        </w:rPr>
      </w:pPr>
      <w:r>
        <w:rPr>
          <w:rFonts w:ascii="Arial" w:cs="Arial" w:eastAsia="Arial" w:hAnsi="Arial"/>
          <w:sz w:val="21"/>
          <w:szCs w:val="21"/>
          <w:color w:val="auto"/>
        </w:rPr>
        <w:t>In June 2003, the FERC ordered a number of entities, including Sempra Commodities, to show why they should not disgorge profits from certain transactions between January 1, 2000 and June 20, 2001 that are asserted to have constituted gaming and/or anomalous market behavior under the California ISO and/or PX tariffs. In October 2003, Sempra Commodities agreed to pay $7.2 million in full resolution of these investigations. That liability was recorded as of December 31, 2003. The Sempra Commodities settlement was approved by the FERC in August 2004 and reaffirmed in November 2008. The California parties have appealed the FERC's orders to the Ninth Circuit Court of Appeals.</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Litigation</w:t>
      </w:r>
    </w:p>
    <w:p>
      <w:pPr>
        <w:spacing w:after="0" w:line="22" w:lineRule="exact"/>
        <w:rPr>
          <w:sz w:val="20"/>
          <w:szCs w:val="20"/>
          <w:color w:val="auto"/>
        </w:rPr>
      </w:pPr>
    </w:p>
    <w:p>
      <w:pPr>
        <w:ind w:right="559"/>
        <w:spacing w:after="0" w:line="222" w:lineRule="auto"/>
        <w:rPr>
          <w:sz w:val="20"/>
          <w:szCs w:val="20"/>
          <w:color w:val="auto"/>
        </w:rPr>
      </w:pPr>
      <w:r>
        <w:rPr>
          <w:rFonts w:ascii="Arial" w:cs="Arial" w:eastAsia="Arial" w:hAnsi="Arial"/>
          <w:sz w:val="21"/>
          <w:szCs w:val="21"/>
          <w:color w:val="auto"/>
        </w:rPr>
        <w:t>Sempra Energy and several subsidiaries, along with three oil and natural gas companies, the City of Beverly Hills, and the Beverly Hills Unified School District, are defendants in a toxic tort lawsuit filed in Los Angeles County Superior Court by approximately 1,000 plaintiffs. This lawsuit claims that various emissions resulted in cancer or fear of cancer. We have submitted the case to our insurers, who have reserved their rights with respect to coverage. In November 2006, the court granted the defendants' summary judgment motions based on lack of medical causation for the 12 initial plaintiffs scheduled to go to trial first. The court also granted summary judgment excluding punitive damages. The court has stayed the case as to the remaining plaintiffs pending the appeal of the rulings.</w:t>
      </w:r>
    </w:p>
    <w:p>
      <w:pPr>
        <w:spacing w:after="0" w:line="36" w:lineRule="exact"/>
        <w:rPr>
          <w:sz w:val="20"/>
          <w:szCs w:val="20"/>
          <w:color w:val="auto"/>
        </w:rPr>
      </w:pPr>
    </w:p>
    <w:p>
      <w:pPr>
        <w:ind w:right="839"/>
        <w:spacing w:after="0" w:line="281" w:lineRule="auto"/>
        <w:rPr>
          <w:sz w:val="20"/>
          <w:szCs w:val="20"/>
          <w:color w:val="auto"/>
        </w:rPr>
      </w:pPr>
      <w:r>
        <w:rPr>
          <w:rFonts w:ascii="Arial" w:cs="Arial" w:eastAsia="Arial" w:hAnsi="Arial"/>
          <w:sz w:val="19"/>
          <w:szCs w:val="19"/>
          <w:color w:val="auto"/>
        </w:rPr>
        <w:t>RBS Sempra Commodities assumed litigation reserves related to Sempra Commodities, however, we have indemnified RBS should the liabilities from the final resolution of these matters be greater than the reserves.</w:t>
      </w:r>
    </w:p>
    <w:p>
      <w:pPr>
        <w:spacing w:after="0" w:line="2" w:lineRule="exact"/>
        <w:rPr>
          <w:sz w:val="20"/>
          <w:szCs w:val="20"/>
          <w:color w:val="auto"/>
        </w:rPr>
      </w:pPr>
    </w:p>
    <w:p>
      <w:pPr>
        <w:ind w:right="959"/>
        <w:spacing w:after="0" w:line="234" w:lineRule="auto"/>
        <w:rPr>
          <w:sz w:val="20"/>
          <w:szCs w:val="20"/>
          <w:color w:val="auto"/>
        </w:rPr>
      </w:pPr>
      <w:r>
        <w:rPr>
          <w:rFonts w:ascii="Arial" w:cs="Arial" w:eastAsia="Arial" w:hAnsi="Arial"/>
          <w:sz w:val="21"/>
          <w:szCs w:val="21"/>
          <w:color w:val="auto"/>
        </w:rPr>
        <w:t>We are also defendants in ordinary routine litigation incidental to our businesses, including personal injury, product liability, property damage and other claims. California juries have demonstrated an increasing willingness to grant large awards, including punitive damages, in these cases.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Wildfire Reserves and Insurance Receivables</w:t>
      </w:r>
    </w:p>
    <w:p>
      <w:pPr>
        <w:spacing w:after="0" w:line="22" w:lineRule="exact"/>
        <w:rPr>
          <w:sz w:val="20"/>
          <w:szCs w:val="20"/>
          <w:color w:val="auto"/>
        </w:rPr>
      </w:pPr>
    </w:p>
    <w:p>
      <w:pPr>
        <w:ind w:right="599"/>
        <w:spacing w:after="0" w:line="212" w:lineRule="auto"/>
        <w:rPr>
          <w:sz w:val="20"/>
          <w:szCs w:val="20"/>
          <w:color w:val="auto"/>
        </w:rPr>
      </w:pPr>
      <w:r>
        <w:rPr>
          <w:rFonts w:ascii="Arial" w:cs="Arial" w:eastAsia="Arial" w:hAnsi="Arial"/>
          <w:sz w:val="22"/>
          <w:szCs w:val="22"/>
          <w:color w:val="auto"/>
        </w:rPr>
        <w:t>In 2009 and 2010, as liabilities for wildfire litigation have become reasonably estimable, SDG&amp;E has recorded related reserves as a current liability. The impact of this liability is offset by a current receivable resulting from SDG&amp;E’s $1.1 billion of liability insurance and, for reserves in excess of the insurance coverage, the recognition of a regulatory asset, as discussed above. There was no effect on SDG&amp;E's or Sempra Energy's 2009 earnings and no significant effect on their 2010 earnings from the recording of the reserves. At March 31, 2010, wildfire litigation reserves were $300 million and the receivable from SDG&amp;E's insurers was $194 million.</w:t>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NUCLEAR INSURANCE</w:t>
      </w:r>
    </w:p>
    <w:p>
      <w:pPr>
        <w:spacing w:after="0" w:line="69" w:lineRule="exact"/>
        <w:rPr>
          <w:sz w:val="20"/>
          <w:szCs w:val="20"/>
          <w:color w:val="auto"/>
        </w:rPr>
      </w:pPr>
    </w:p>
    <w:p>
      <w:pPr>
        <w:ind w:right="519"/>
        <w:spacing w:after="0" w:line="246" w:lineRule="auto"/>
        <w:rPr>
          <w:sz w:val="20"/>
          <w:szCs w:val="20"/>
          <w:color w:val="auto"/>
        </w:rPr>
      </w:pPr>
      <w:r>
        <w:rPr>
          <w:rFonts w:ascii="Arial" w:cs="Arial" w:eastAsia="Arial" w:hAnsi="Arial"/>
          <w:sz w:val="19"/>
          <w:szCs w:val="19"/>
          <w:color w:val="auto"/>
        </w:rPr>
        <w:t>SDG&amp;E and the other owners of San Onofre Nuclear Generating Station (SONGS) have insurance to cover claims from nuclear liability incidents arising at SONGS. This insurance provides $375 million in coverage limits, the maximum amount available, including coverage for acts of terrorism. In addition, the Price-Anderson Act provides for up to $12.2 billion of secondary financial protection (SFP). If a nuclear liability loss occurring at any U.S. licensed/commercial reactor exceeds the $375 million insurance limit, all nuclear reactor owners could be required to contribute to the SFP. SDG&amp;E's contribution would be up to $47 million. This amount is subject to an annual maximum of $7 million, unless a default occurs by any other SONGS owner. If the SFP is insufficient to cover the liability loss, SDG&amp;E could be subject to an additional assessment.</w:t>
      </w:r>
    </w:p>
    <w:p>
      <w:pPr>
        <w:spacing w:after="0" w:line="18" w:lineRule="exact"/>
        <w:rPr>
          <w:sz w:val="20"/>
          <w:szCs w:val="20"/>
          <w:color w:val="auto"/>
        </w:rPr>
      </w:pPr>
    </w:p>
    <w:p>
      <w:pPr>
        <w:spacing w:after="0"/>
        <w:rPr>
          <w:sz w:val="20"/>
          <w:szCs w:val="20"/>
          <w:color w:val="auto"/>
        </w:rPr>
      </w:pPr>
      <w:r>
        <w:rPr>
          <w:rFonts w:ascii="Arial" w:cs="Arial" w:eastAsia="Arial" w:hAnsi="Arial"/>
          <w:sz w:val="19"/>
          <w:szCs w:val="19"/>
          <w:color w:val="auto"/>
        </w:rPr>
        <w:t>The SONGS owners, including SDG&amp;E, also have $2.75 billion of nuclear property, decontamination, and</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debris removal insurance. In addition, the SONGS owners have up to $490 million insurance coverage for</w:t>
      </w:r>
    </w:p>
    <w:p>
      <w:pPr>
        <w:spacing w:after="0" w:line="237" w:lineRule="auto"/>
        <w:rPr>
          <w:sz w:val="20"/>
          <w:szCs w:val="20"/>
          <w:color w:val="auto"/>
        </w:rPr>
      </w:pPr>
      <w:r>
        <w:rPr>
          <w:rFonts w:ascii="Arial" w:cs="Arial" w:eastAsia="Arial" w:hAnsi="Arial"/>
          <w:sz w:val="19"/>
          <w:szCs w:val="19"/>
          <w:color w:val="auto"/>
        </w:rPr>
        <w:t>outage expenses and replacement power costs due to accidental property damage. This coverage is limited to</w:t>
      </w:r>
    </w:p>
    <w:p>
      <w:pPr>
        <w:spacing w:after="0" w:line="237" w:lineRule="auto"/>
        <w:rPr>
          <w:sz w:val="20"/>
          <w:szCs w:val="20"/>
          <w:color w:val="auto"/>
        </w:rPr>
      </w:pPr>
      <w:r>
        <w:rPr>
          <w:rFonts w:ascii="Arial" w:cs="Arial" w:eastAsia="Arial" w:hAnsi="Arial"/>
          <w:sz w:val="19"/>
          <w:szCs w:val="19"/>
          <w:color w:val="auto"/>
        </w:rPr>
        <w:t>$3.5 million per week for the first 52 weeks, then $2.8 million per week for up to 110 additional weeks. There is</w:t>
      </w:r>
    </w:p>
    <w:p>
      <w:pPr>
        <w:spacing w:after="0" w:line="238" w:lineRule="auto"/>
        <w:rPr>
          <w:sz w:val="20"/>
          <w:szCs w:val="20"/>
          <w:color w:val="auto"/>
        </w:rPr>
      </w:pPr>
      <w:r>
        <w:rPr>
          <w:rFonts w:ascii="Arial" w:cs="Arial" w:eastAsia="Arial" w:hAnsi="Arial"/>
          <w:sz w:val="19"/>
          <w:szCs w:val="19"/>
          <w:color w:val="auto"/>
        </w:rPr>
        <w:t>a 12-week waiting period deductible. These insurance coverages are provided through a mutual insurance</w:t>
      </w:r>
    </w:p>
    <w:p>
      <w:pPr>
        <w:spacing w:after="0" w:line="237" w:lineRule="auto"/>
        <w:rPr>
          <w:sz w:val="20"/>
          <w:szCs w:val="20"/>
          <w:color w:val="auto"/>
        </w:rPr>
      </w:pPr>
      <w:r>
        <w:rPr>
          <w:rFonts w:ascii="Arial" w:cs="Arial" w:eastAsia="Arial" w:hAnsi="Arial"/>
          <w:sz w:val="19"/>
          <w:szCs w:val="19"/>
          <w:color w:val="auto"/>
        </w:rPr>
        <w:t>company. Insured members are subject to retrospective premium assessments. SDG&amp;E could be assessed up to</w:t>
      </w:r>
    </w:p>
    <w:p>
      <w:pPr>
        <w:spacing w:after="0"/>
        <w:rPr>
          <w:sz w:val="20"/>
          <w:szCs w:val="20"/>
          <w:color w:val="auto"/>
        </w:rPr>
      </w:pPr>
      <w:r>
        <w:rPr>
          <w:rFonts w:ascii="Arial" w:cs="Arial" w:eastAsia="Arial" w:hAnsi="Arial"/>
          <w:sz w:val="22"/>
          <w:szCs w:val="22"/>
          <w:color w:val="auto"/>
        </w:rPr>
        <w:t>$8.5 million.</w:t>
      </w:r>
    </w:p>
    <w:p>
      <w:pPr>
        <w:spacing w:after="0" w:line="40" w:lineRule="exact"/>
        <w:rPr>
          <w:sz w:val="20"/>
          <w:szCs w:val="20"/>
          <w:color w:val="auto"/>
        </w:rPr>
      </w:pPr>
    </w:p>
    <w:p>
      <w:pPr>
        <w:ind w:right="859"/>
        <w:spacing w:after="0" w:line="257" w:lineRule="auto"/>
        <w:rPr>
          <w:sz w:val="20"/>
          <w:szCs w:val="20"/>
          <w:color w:val="auto"/>
        </w:rPr>
      </w:pPr>
      <w:r>
        <w:rPr>
          <w:rFonts w:ascii="Arial" w:cs="Arial" w:eastAsia="Arial" w:hAnsi="Arial"/>
          <w:sz w:val="19"/>
          <w:szCs w:val="19"/>
          <w:color w:val="auto"/>
        </w:rPr>
        <w:t>The nuclear property insurance program includes an industry aggregate loss limit for non-certified acts of terrorism (as defined by the Terrorism Risk Insurance Act). The industry aggregate loss limit for property claims arising from non-certified acts of terrorism is $3.24 billion. This is the maximum amount that will be paid to insured members who suffer losses or damages from these non-certified terrorist acts.</w:t>
      </w:r>
    </w:p>
    <w:p>
      <w:pPr>
        <w:sectPr>
          <w:pgSz w:w="11900" w:h="16838" w:orient="portrait"/>
          <w:cols w:equalWidth="0" w:num="1">
            <w:col w:w="10219"/>
          </w:cols>
          <w:pgMar w:left="240" w:top="104" w:right="1440" w:bottom="1440" w:gutter="0" w:footer="0" w:header="0"/>
        </w:sectPr>
      </w:pPr>
    </w:p>
    <w:bookmarkStart w:id="59" w:name="page60"/>
    <w:bookmarkEnd w:id="59"/>
    <w:p>
      <w:pPr>
        <w:spacing w:after="0"/>
        <w:rPr>
          <w:sz w:val="20"/>
          <w:szCs w:val="20"/>
          <w:color w:val="auto"/>
        </w:rPr>
      </w:pPr>
      <w:r>
        <w:rPr>
          <w:rFonts w:ascii="Arial" w:cs="Arial" w:eastAsia="Arial" w:hAnsi="Arial"/>
          <w:sz w:val="22"/>
          <w:szCs w:val="22"/>
          <w:b w:val="1"/>
          <w:bCs w:val="1"/>
          <w:color w:val="auto"/>
        </w:rPr>
        <w:t>CONTRACTUAL COMMITMENTS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 Consolidated</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In the first quarter of 2010, significant increases in commitments at Sempra Energy were</w:t>
      </w:r>
    </w:p>
    <w:p>
      <w:pPr>
        <w:spacing w:after="0" w:line="22" w:lineRule="exact"/>
        <w:rPr>
          <w:sz w:val="20"/>
          <w:szCs w:val="20"/>
          <w:color w:val="auto"/>
        </w:rPr>
      </w:pPr>
    </w:p>
    <w:p>
      <w:pPr>
        <w:ind w:left="140" w:hanging="132"/>
        <w:spacing w:after="0"/>
        <w:tabs>
          <w:tab w:leader="none" w:pos="140" w:val="left"/>
        </w:tabs>
        <w:numPr>
          <w:ilvl w:val="0"/>
          <w:numId w:val="24"/>
        </w:numPr>
        <w:rPr>
          <w:rFonts w:ascii="Arial" w:cs="Arial" w:eastAsia="Arial" w:hAnsi="Arial"/>
          <w:sz w:val="22"/>
          <w:szCs w:val="22"/>
          <w:color w:val="auto"/>
        </w:rPr>
      </w:pPr>
      <w:r>
        <w:rPr>
          <w:rFonts w:ascii="Arial" w:cs="Arial" w:eastAsia="Arial" w:hAnsi="Arial"/>
          <w:sz w:val="22"/>
          <w:szCs w:val="22"/>
          <w:color w:val="auto"/>
        </w:rPr>
        <w:t>$258 million for purchased-power contracts at SDG&amp;E;</w:t>
      </w:r>
    </w:p>
    <w:p>
      <w:pPr>
        <w:spacing w:after="0" w:line="3" w:lineRule="exact"/>
        <w:rPr>
          <w:rFonts w:ascii="Arial" w:cs="Arial" w:eastAsia="Arial" w:hAnsi="Arial"/>
          <w:sz w:val="22"/>
          <w:szCs w:val="22"/>
          <w:color w:val="auto"/>
        </w:rPr>
      </w:pPr>
    </w:p>
    <w:p>
      <w:pPr>
        <w:ind w:left="180" w:right="2439" w:hanging="172"/>
        <w:spacing w:after="0" w:line="224" w:lineRule="auto"/>
        <w:tabs>
          <w:tab w:leader="none" w:pos="153" w:val="left"/>
        </w:tabs>
        <w:numPr>
          <w:ilvl w:val="0"/>
          <w:numId w:val="24"/>
        </w:numPr>
        <w:rPr>
          <w:rFonts w:ascii="Arial" w:cs="Arial" w:eastAsia="Arial" w:hAnsi="Arial"/>
          <w:sz w:val="22"/>
          <w:szCs w:val="22"/>
          <w:color w:val="auto"/>
        </w:rPr>
      </w:pPr>
      <w:r>
        <w:rPr>
          <w:rFonts w:ascii="Arial" w:cs="Arial" w:eastAsia="Arial" w:hAnsi="Arial"/>
          <w:sz w:val="22"/>
          <w:szCs w:val="22"/>
          <w:color w:val="auto"/>
        </w:rPr>
        <w:t>$46 million at SDG&amp;E for the engineering, material procurement and construction costs associated with the Sunrise Powerlink project;</w:t>
      </w:r>
    </w:p>
    <w:p>
      <w:pPr>
        <w:ind w:left="140" w:hanging="132"/>
        <w:spacing w:after="0"/>
        <w:tabs>
          <w:tab w:leader="none" w:pos="140" w:val="left"/>
        </w:tabs>
        <w:numPr>
          <w:ilvl w:val="0"/>
          <w:numId w:val="24"/>
        </w:numPr>
        <w:rPr>
          <w:rFonts w:ascii="Arial" w:cs="Arial" w:eastAsia="Arial" w:hAnsi="Arial"/>
          <w:sz w:val="22"/>
          <w:szCs w:val="22"/>
          <w:color w:val="auto"/>
        </w:rPr>
      </w:pPr>
      <w:r>
        <w:rPr>
          <w:rFonts w:ascii="Arial" w:cs="Arial" w:eastAsia="Arial" w:hAnsi="Arial"/>
          <w:sz w:val="22"/>
          <w:szCs w:val="22"/>
          <w:color w:val="auto"/>
        </w:rPr>
        <w:t>$24 million at Sempra Pipelines &amp; Storage for natural gas contracts; and</w:t>
      </w:r>
    </w:p>
    <w:p>
      <w:pPr>
        <w:spacing w:after="0" w:line="17" w:lineRule="exact"/>
        <w:rPr>
          <w:rFonts w:ascii="Arial" w:cs="Arial" w:eastAsia="Arial" w:hAnsi="Arial"/>
          <w:sz w:val="22"/>
          <w:szCs w:val="22"/>
          <w:color w:val="auto"/>
        </w:rPr>
      </w:pPr>
    </w:p>
    <w:p>
      <w:pPr>
        <w:ind w:left="180" w:right="2599" w:hanging="172"/>
        <w:spacing w:after="0" w:line="224" w:lineRule="auto"/>
        <w:tabs>
          <w:tab w:leader="none" w:pos="153" w:val="left"/>
        </w:tabs>
        <w:numPr>
          <w:ilvl w:val="0"/>
          <w:numId w:val="24"/>
        </w:numPr>
        <w:rPr>
          <w:rFonts w:ascii="Arial" w:cs="Arial" w:eastAsia="Arial" w:hAnsi="Arial"/>
          <w:sz w:val="22"/>
          <w:szCs w:val="22"/>
          <w:color w:val="auto"/>
        </w:rPr>
      </w:pPr>
      <w:r>
        <w:rPr>
          <w:rFonts w:ascii="Arial" w:cs="Arial" w:eastAsia="Arial" w:hAnsi="Arial"/>
          <w:sz w:val="22"/>
          <w:szCs w:val="22"/>
          <w:color w:val="auto"/>
        </w:rPr>
        <w:t>$18 million for construction and infrastructure improvements for gas transmission and distribution operations at SoCalGas.</w:t>
      </w:r>
    </w:p>
    <w:p>
      <w:pPr>
        <w:spacing w:after="0" w:line="77" w:lineRule="exact"/>
        <w:rPr>
          <w:sz w:val="20"/>
          <w:szCs w:val="20"/>
          <w:color w:val="auto"/>
        </w:rPr>
      </w:pPr>
    </w:p>
    <w:p>
      <w:pPr>
        <w:jc w:val="both"/>
        <w:ind w:right="1779"/>
        <w:spacing w:after="0" w:line="223" w:lineRule="auto"/>
        <w:rPr>
          <w:sz w:val="20"/>
          <w:szCs w:val="20"/>
          <w:color w:val="auto"/>
        </w:rPr>
      </w:pPr>
      <w:r>
        <w:rPr>
          <w:rFonts w:ascii="Arial" w:cs="Arial" w:eastAsia="Arial" w:hAnsi="Arial"/>
          <w:sz w:val="22"/>
          <w:szCs w:val="22"/>
          <w:color w:val="auto"/>
        </w:rPr>
        <w:t>The future payments for the contractual commitments listed above are expected to be $72 million for 2010, $52 million for 2011, $43 million for 2012, $36 million for 2013, $36 million for 2014 and $107 million thereafter.</w:t>
      </w:r>
    </w:p>
    <w:p>
      <w:pPr>
        <w:spacing w:after="0" w:line="78" w:lineRule="exact"/>
        <w:rPr>
          <w:sz w:val="20"/>
          <w:szCs w:val="20"/>
          <w:color w:val="auto"/>
        </w:rPr>
      </w:pPr>
    </w:p>
    <w:p>
      <w:pPr>
        <w:ind w:right="1959"/>
        <w:spacing w:after="0" w:line="234" w:lineRule="auto"/>
        <w:rPr>
          <w:sz w:val="20"/>
          <w:szCs w:val="20"/>
          <w:color w:val="auto"/>
        </w:rPr>
      </w:pPr>
      <w:r>
        <w:rPr>
          <w:rFonts w:ascii="Arial" w:cs="Arial" w:eastAsia="Arial" w:hAnsi="Arial"/>
          <w:sz w:val="21"/>
          <w:szCs w:val="21"/>
          <w:color w:val="auto"/>
        </w:rPr>
        <w:t>Reserves for Sempra Energy and SDG&amp;E wildfire litigation are discussed above in “SDG&amp;E 2007 Wildfire Litigation.” Reserves for Sempra Energy related to the FERC and DWR contract settlement litigation are discussed above in “Energy Crisis Litigation.”</w:t>
      </w:r>
    </w:p>
    <w:p>
      <w:pPr>
        <w:spacing w:after="0" w:line="77" w:lineRule="exact"/>
        <w:rPr>
          <w:sz w:val="20"/>
          <w:szCs w:val="20"/>
          <w:color w:val="auto"/>
        </w:rPr>
      </w:pPr>
    </w:p>
    <w:p>
      <w:pPr>
        <w:ind w:right="599"/>
        <w:spacing w:after="0" w:line="232" w:lineRule="auto"/>
        <w:rPr>
          <w:sz w:val="20"/>
          <w:szCs w:val="20"/>
          <w:color w:val="auto"/>
        </w:rPr>
      </w:pPr>
      <w:r>
        <w:rPr>
          <w:rFonts w:ascii="Arial" w:cs="Arial" w:eastAsia="Arial" w:hAnsi="Arial"/>
          <w:sz w:val="22"/>
          <w:szCs w:val="22"/>
          <w:color w:val="auto"/>
        </w:rPr>
        <w:t>Changes to SoCalGas’ natural gas purchase and pipeline capacity commitments and Sempra LNG’s natural gas purchase commitments are discussed below.</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20" w:lineRule="exact"/>
        <w:rPr>
          <w:sz w:val="20"/>
          <w:szCs w:val="20"/>
          <w:color w:val="auto"/>
        </w:rPr>
      </w:pPr>
    </w:p>
    <w:p>
      <w:pPr>
        <w:ind w:right="659"/>
        <w:spacing w:after="0" w:line="219" w:lineRule="auto"/>
        <w:rPr>
          <w:sz w:val="20"/>
          <w:szCs w:val="20"/>
          <w:color w:val="auto"/>
        </w:rPr>
      </w:pPr>
      <w:r>
        <w:rPr>
          <w:rFonts w:ascii="Arial" w:cs="Arial" w:eastAsia="Arial" w:hAnsi="Arial"/>
          <w:sz w:val="22"/>
          <w:szCs w:val="22"/>
          <w:color w:val="auto"/>
        </w:rPr>
        <w:t>In the first quarter of 2010, significant increases to contractual commitments at SDG&amp;E were $258 million for purchased-power contracts and $46 million for the engineering, material procurement and construction costs associated with the Sunrise Powerlink project.</w:t>
      </w:r>
    </w:p>
    <w:p>
      <w:pPr>
        <w:spacing w:after="0" w:line="2" w:lineRule="exact"/>
        <w:rPr>
          <w:sz w:val="20"/>
          <w:szCs w:val="20"/>
          <w:color w:val="auto"/>
        </w:rPr>
      </w:pPr>
    </w:p>
    <w:p>
      <w:pPr>
        <w:ind w:right="479"/>
        <w:spacing w:after="0" w:line="294" w:lineRule="auto"/>
        <w:rPr>
          <w:sz w:val="20"/>
          <w:szCs w:val="20"/>
          <w:color w:val="auto"/>
        </w:rPr>
      </w:pPr>
      <w:r>
        <w:rPr>
          <w:rFonts w:ascii="Arial" w:cs="Arial" w:eastAsia="Arial" w:hAnsi="Arial"/>
          <w:sz w:val="19"/>
          <w:szCs w:val="19"/>
          <w:color w:val="auto"/>
        </w:rPr>
        <w:t>The future payments for these contractual commitments are expected to be $36 million for 2010, $46 million for 2011, $43 million for 2012, $36 million for 2013, $36 million for 2014 and $107 million thereafter.</w:t>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SoCalGas</w:t>
      </w:r>
    </w:p>
    <w:p>
      <w:pPr>
        <w:spacing w:after="0" w:line="22" w:lineRule="exact"/>
        <w:rPr>
          <w:sz w:val="20"/>
          <w:szCs w:val="20"/>
          <w:color w:val="auto"/>
        </w:rPr>
      </w:pPr>
    </w:p>
    <w:p>
      <w:pPr>
        <w:ind w:right="619"/>
        <w:spacing w:after="0" w:line="289" w:lineRule="auto"/>
        <w:rPr>
          <w:sz w:val="20"/>
          <w:szCs w:val="20"/>
          <w:color w:val="auto"/>
        </w:rPr>
      </w:pPr>
      <w:r>
        <w:rPr>
          <w:rFonts w:ascii="Arial" w:cs="Arial" w:eastAsia="Arial" w:hAnsi="Arial"/>
          <w:sz w:val="19"/>
          <w:szCs w:val="19"/>
          <w:color w:val="auto"/>
        </w:rPr>
        <w:t>In the first quarter of 2010, significant increases to contractual commitments at SoCalGas were $18 million for construction and infrastructure improvements for gas transmission and distribution operations.</w:t>
      </w:r>
    </w:p>
    <w:p>
      <w:pPr>
        <w:spacing w:after="0" w:line="1" w:lineRule="exact"/>
        <w:rPr>
          <w:sz w:val="20"/>
          <w:szCs w:val="20"/>
          <w:color w:val="auto"/>
        </w:rPr>
      </w:pPr>
    </w:p>
    <w:p>
      <w:pPr>
        <w:ind w:right="599"/>
        <w:spacing w:after="0" w:line="232" w:lineRule="auto"/>
        <w:rPr>
          <w:sz w:val="20"/>
          <w:szCs w:val="20"/>
          <w:color w:val="auto"/>
        </w:rPr>
      </w:pPr>
      <w:r>
        <w:rPr>
          <w:rFonts w:ascii="Arial" w:cs="Arial" w:eastAsia="Arial" w:hAnsi="Arial"/>
          <w:sz w:val="22"/>
          <w:szCs w:val="22"/>
          <w:color w:val="auto"/>
        </w:rPr>
        <w:t>The future payments for these contractual commitments are expected to be $12 million for 2010 and $6 million for 2011.</w:t>
      </w:r>
    </w:p>
    <w:p>
      <w:pPr>
        <w:spacing w:after="0" w:line="24" w:lineRule="exact"/>
        <w:rPr>
          <w:sz w:val="20"/>
          <w:szCs w:val="20"/>
          <w:color w:val="auto"/>
        </w:rPr>
      </w:pPr>
    </w:p>
    <w:p>
      <w:pPr>
        <w:ind w:right="659"/>
        <w:spacing w:after="0" w:line="257" w:lineRule="auto"/>
        <w:rPr>
          <w:sz w:val="20"/>
          <w:szCs w:val="20"/>
          <w:color w:val="auto"/>
        </w:rPr>
      </w:pPr>
      <w:r>
        <w:rPr>
          <w:rFonts w:ascii="Arial" w:cs="Arial" w:eastAsia="Arial" w:hAnsi="Arial"/>
          <w:sz w:val="19"/>
          <w:szCs w:val="19"/>
          <w:color w:val="auto"/>
        </w:rPr>
        <w:t>SoCalGas’ natural gas purchase and pipeline capacity commitments have decreased by $480 million since December 31, 2009. The decrease was primarily due to a reduction of $627 million based on lower natural gas forward prices, offset by new natural gas purchase and pipeline capacity contracts of $147 million. Net future payments are therefore expected to decrease by $462 million for 2010 and $18 million for 2011.</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LNG</w:t>
      </w:r>
    </w:p>
    <w:p>
      <w:pPr>
        <w:spacing w:after="0" w:line="22" w:lineRule="exact"/>
        <w:rPr>
          <w:sz w:val="20"/>
          <w:szCs w:val="20"/>
          <w:color w:val="auto"/>
        </w:rPr>
      </w:pPr>
    </w:p>
    <w:p>
      <w:pPr>
        <w:ind w:right="879"/>
        <w:spacing w:after="0" w:line="257" w:lineRule="auto"/>
        <w:rPr>
          <w:sz w:val="20"/>
          <w:szCs w:val="20"/>
          <w:color w:val="auto"/>
        </w:rPr>
      </w:pPr>
      <w:r>
        <w:rPr>
          <w:rFonts w:ascii="Arial" w:cs="Arial" w:eastAsia="Arial" w:hAnsi="Arial"/>
          <w:sz w:val="19"/>
          <w:szCs w:val="19"/>
          <w:color w:val="auto"/>
        </w:rPr>
        <w:t>In the first quarter of 2010, Sempra LNG’s commitments under the purchase agreements with Tangguh PSC Contractors and Ras Laffan Liquefied Natural Gas Company Limited decreased by $515 million and $378 million based on lower natural gas forward prices, respectively, since December 31, 2009. We discuss these agreements further in Note 17 of the Notes to Consolidated Financial Statements in the Annual Report.</w:t>
      </w:r>
    </w:p>
    <w:p>
      <w:pPr>
        <w:spacing w:after="0" w:line="10" w:lineRule="exact"/>
        <w:rPr>
          <w:sz w:val="20"/>
          <w:szCs w:val="20"/>
          <w:color w:val="auto"/>
        </w:rPr>
      </w:pPr>
    </w:p>
    <w:p>
      <w:pPr>
        <w:ind w:right="739"/>
        <w:spacing w:after="0" w:line="223" w:lineRule="auto"/>
        <w:rPr>
          <w:sz w:val="20"/>
          <w:szCs w:val="20"/>
          <w:color w:val="auto"/>
        </w:rPr>
      </w:pPr>
      <w:r>
        <w:rPr>
          <w:rFonts w:ascii="Arial" w:cs="Arial" w:eastAsia="Arial" w:hAnsi="Arial"/>
          <w:sz w:val="22"/>
          <w:szCs w:val="22"/>
          <w:color w:val="auto"/>
        </w:rPr>
        <w:t>The future payments under these agreements are expected to decrease by $714 million for 2010, $160 million for 2011, $117 million for 2012, $90 million for 2013, $65 million for 2014 and increase by $253 million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617474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ectPr>
          <w:pgSz w:w="11900" w:h="16838" w:orient="portrait"/>
          <w:cols w:equalWidth="0" w:num="1">
            <w:col w:w="10219"/>
          </w:cols>
          <w:pgMar w:left="240" w:top="404" w:right="1440" w:bottom="1440" w:gutter="0" w:footer="0" w:header="0"/>
        </w:sectPr>
      </w:pPr>
    </w:p>
    <w:bookmarkStart w:id="60" w:name="page61"/>
    <w:bookmarkEnd w:id="60"/>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617474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174740" cy="8890"/>
                    </a:xfrm>
                    <a:prstGeom prst="rect">
                      <a:avLst/>
                    </a:prstGeom>
                    <a:noFill/>
                  </pic:spPr>
                </pic:pic>
              </a:graphicData>
            </a:graphic>
          </wp:anchor>
        </w:drawing>
        <w:t>NOTE 11. SEGMENT INFORMATION</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color w:val="auto"/>
        </w:rPr>
        <w:t>We have six separately managed reportable segments, as follows:</w:t>
      </w:r>
    </w:p>
    <w:p>
      <w:pPr>
        <w:spacing w:after="0" w:line="58" w:lineRule="exact"/>
        <w:rPr>
          <w:sz w:val="20"/>
          <w:szCs w:val="20"/>
          <w:color w:val="auto"/>
        </w:rPr>
      </w:pPr>
    </w:p>
    <w:p>
      <w:pPr>
        <w:ind w:left="660" w:right="659" w:hanging="328"/>
        <w:spacing w:after="0" w:line="251" w:lineRule="auto"/>
        <w:tabs>
          <w:tab w:leader="none" w:pos="633" w:val="left"/>
        </w:tabs>
        <w:numPr>
          <w:ilvl w:val="0"/>
          <w:numId w:val="25"/>
        </w:numPr>
        <w:rPr>
          <w:rFonts w:ascii="Arial" w:cs="Arial" w:eastAsia="Arial" w:hAnsi="Arial"/>
          <w:sz w:val="22"/>
          <w:szCs w:val="22"/>
          <w:i w:val="1"/>
          <w:iCs w:val="1"/>
          <w:color w:val="auto"/>
        </w:rPr>
      </w:pPr>
      <w:r>
        <w:rPr>
          <w:rFonts w:ascii="Arial" w:cs="Arial" w:eastAsia="Arial" w:hAnsi="Arial"/>
          <w:sz w:val="22"/>
          <w:szCs w:val="22"/>
          <w:i w:val="1"/>
          <w:iCs w:val="1"/>
          <w:color w:val="auto"/>
        </w:rPr>
        <w:t xml:space="preserve">SDG&amp;E </w:t>
      </w:r>
      <w:r>
        <w:rPr>
          <w:rFonts w:ascii="Arial" w:cs="Arial" w:eastAsia="Arial" w:hAnsi="Arial"/>
          <w:sz w:val="22"/>
          <w:szCs w:val="22"/>
          <w:color w:val="auto"/>
        </w:rPr>
        <w:t>provides electric service to San Diego and southern Orange counties and natural gas service to</w:t>
      </w:r>
      <w:r>
        <w:rPr>
          <w:rFonts w:ascii="Arial" w:cs="Arial" w:eastAsia="Arial" w:hAnsi="Arial"/>
          <w:sz w:val="22"/>
          <w:szCs w:val="22"/>
          <w:i w:val="1"/>
          <w:iCs w:val="1"/>
          <w:color w:val="auto"/>
        </w:rPr>
        <w:t xml:space="preserve"> </w:t>
      </w:r>
      <w:r>
        <w:rPr>
          <w:rFonts w:ascii="Arial" w:cs="Arial" w:eastAsia="Arial" w:hAnsi="Arial"/>
          <w:sz w:val="22"/>
          <w:szCs w:val="22"/>
          <w:color w:val="auto"/>
        </w:rPr>
        <w:t>San Diego County.</w:t>
      </w:r>
    </w:p>
    <w:p>
      <w:pPr>
        <w:spacing w:after="0" w:line="200" w:lineRule="exact"/>
        <w:rPr>
          <w:rFonts w:ascii="Arial" w:cs="Arial" w:eastAsia="Arial" w:hAnsi="Arial"/>
          <w:sz w:val="22"/>
          <w:szCs w:val="22"/>
          <w:i w:val="1"/>
          <w:iCs w:val="1"/>
          <w:color w:val="auto"/>
        </w:rPr>
      </w:pPr>
    </w:p>
    <w:p>
      <w:pPr>
        <w:ind w:left="660" w:right="619" w:hanging="328"/>
        <w:spacing w:after="0" w:line="251" w:lineRule="auto"/>
        <w:tabs>
          <w:tab w:leader="none" w:pos="633" w:val="left"/>
        </w:tabs>
        <w:numPr>
          <w:ilvl w:val="0"/>
          <w:numId w:val="25"/>
        </w:numPr>
        <w:rPr>
          <w:rFonts w:ascii="Arial" w:cs="Arial" w:eastAsia="Arial" w:hAnsi="Arial"/>
          <w:sz w:val="22"/>
          <w:szCs w:val="22"/>
          <w:i w:val="1"/>
          <w:iCs w:val="1"/>
          <w:color w:val="auto"/>
        </w:rPr>
      </w:pPr>
      <w:r>
        <w:rPr>
          <w:rFonts w:ascii="Arial" w:cs="Arial" w:eastAsia="Arial" w:hAnsi="Arial"/>
          <w:sz w:val="22"/>
          <w:szCs w:val="22"/>
          <w:i w:val="1"/>
          <w:iCs w:val="1"/>
          <w:color w:val="auto"/>
        </w:rPr>
        <w:t xml:space="preserve">SoCalGas </w:t>
      </w:r>
      <w:r>
        <w:rPr>
          <w:rFonts w:ascii="Arial" w:cs="Arial" w:eastAsia="Arial" w:hAnsi="Arial"/>
          <w:sz w:val="22"/>
          <w:szCs w:val="22"/>
          <w:color w:val="auto"/>
        </w:rPr>
        <w:t>is a natural gas distribution utility, serving customers throughout most of Southern California</w:t>
      </w:r>
      <w:r>
        <w:rPr>
          <w:rFonts w:ascii="Arial" w:cs="Arial" w:eastAsia="Arial" w:hAnsi="Arial"/>
          <w:sz w:val="22"/>
          <w:szCs w:val="22"/>
          <w:i w:val="1"/>
          <w:iCs w:val="1"/>
          <w:color w:val="auto"/>
        </w:rPr>
        <w:t xml:space="preserve"> </w:t>
      </w:r>
      <w:r>
        <w:rPr>
          <w:rFonts w:ascii="Arial" w:cs="Arial" w:eastAsia="Arial" w:hAnsi="Arial"/>
          <w:sz w:val="22"/>
          <w:szCs w:val="22"/>
          <w:color w:val="auto"/>
        </w:rPr>
        <w:t>and part of central California.</w:t>
      </w:r>
    </w:p>
    <w:p>
      <w:pPr>
        <w:spacing w:after="0" w:line="200" w:lineRule="exact"/>
        <w:rPr>
          <w:rFonts w:ascii="Arial" w:cs="Arial" w:eastAsia="Arial" w:hAnsi="Arial"/>
          <w:sz w:val="22"/>
          <w:szCs w:val="22"/>
          <w:i w:val="1"/>
          <w:iCs w:val="1"/>
          <w:color w:val="auto"/>
        </w:rPr>
      </w:pPr>
    </w:p>
    <w:p>
      <w:pPr>
        <w:ind w:left="620" w:hanging="288"/>
        <w:spacing w:after="0"/>
        <w:tabs>
          <w:tab w:leader="none" w:pos="620" w:val="left"/>
        </w:tabs>
        <w:numPr>
          <w:ilvl w:val="0"/>
          <w:numId w:val="25"/>
        </w:numPr>
        <w:rPr>
          <w:rFonts w:ascii="Arial" w:cs="Arial" w:eastAsia="Arial" w:hAnsi="Arial"/>
          <w:sz w:val="21"/>
          <w:szCs w:val="21"/>
          <w:i w:val="1"/>
          <w:iCs w:val="1"/>
          <w:color w:val="auto"/>
        </w:rPr>
      </w:pPr>
      <w:r>
        <w:rPr>
          <w:rFonts w:ascii="Arial" w:cs="Arial" w:eastAsia="Arial" w:hAnsi="Arial"/>
          <w:sz w:val="21"/>
          <w:szCs w:val="21"/>
          <w:i w:val="1"/>
          <w:iCs w:val="1"/>
          <w:color w:val="auto"/>
        </w:rPr>
        <w:t xml:space="preserve">Sempra Commodities </w:t>
      </w:r>
      <w:r>
        <w:rPr>
          <w:rFonts w:ascii="Arial" w:cs="Arial" w:eastAsia="Arial" w:hAnsi="Arial"/>
          <w:sz w:val="21"/>
          <w:szCs w:val="21"/>
          <w:color w:val="auto"/>
        </w:rPr>
        <w:t>holds our investment in RBS Sempra Commodities, a joint venture with</w:t>
      </w:r>
    </w:p>
    <w:p>
      <w:pPr>
        <w:spacing w:after="0" w:line="20" w:lineRule="exact"/>
        <w:rPr>
          <w:sz w:val="20"/>
          <w:szCs w:val="20"/>
          <w:color w:val="auto"/>
        </w:rPr>
      </w:pPr>
    </w:p>
    <w:p>
      <w:pPr>
        <w:ind w:left="660" w:right="1179"/>
        <w:spacing w:after="0" w:line="245" w:lineRule="auto"/>
        <w:rPr>
          <w:sz w:val="20"/>
          <w:szCs w:val="20"/>
          <w:color w:val="auto"/>
        </w:rPr>
      </w:pPr>
      <w:r>
        <w:rPr>
          <w:rFonts w:ascii="Arial" w:cs="Arial" w:eastAsia="Arial" w:hAnsi="Arial"/>
          <w:sz w:val="21"/>
          <w:szCs w:val="21"/>
          <w:color w:val="auto"/>
        </w:rPr>
        <w:t>RBS. The partnership was formed from our commodities-marketing businesses previously reported in this segment. The partnership's commodity trading businesses serve customers in natural gas, electricity, petroleum and petroleum products, and base metals. Sempra Commodities also includes the operating results of Sempra Rockies Marketing, which holds firm service capacity on the Rockies Express Pipeline.</w:t>
      </w:r>
    </w:p>
    <w:p>
      <w:pPr>
        <w:spacing w:after="0" w:line="100" w:lineRule="exact"/>
        <w:rPr>
          <w:sz w:val="20"/>
          <w:szCs w:val="20"/>
          <w:color w:val="auto"/>
        </w:rPr>
      </w:pPr>
    </w:p>
    <w:p>
      <w:pPr>
        <w:ind w:left="660" w:right="1139"/>
        <w:spacing w:after="0" w:line="252" w:lineRule="auto"/>
        <w:rPr>
          <w:sz w:val="20"/>
          <w:szCs w:val="20"/>
          <w:color w:val="auto"/>
        </w:rPr>
      </w:pPr>
      <w:r>
        <w:rPr>
          <w:rFonts w:ascii="Arial" w:cs="Arial" w:eastAsia="Arial" w:hAnsi="Arial"/>
          <w:sz w:val="21"/>
          <w:szCs w:val="21"/>
          <w:color w:val="auto"/>
        </w:rPr>
        <w:t>On February 16, 2010, Sempra Energy, RBS and the partnership entered into an agreement to sell certain businesses within the partnership. We discuss this transaction and related agreements affecting the partnership in Note 4 above and in Notes 4 and 20 of the Notes to Consolidated Financial Statements in the Annual Report.</w:t>
      </w:r>
    </w:p>
    <w:p>
      <w:pPr>
        <w:spacing w:after="0" w:line="201" w:lineRule="exact"/>
        <w:rPr>
          <w:sz w:val="20"/>
          <w:szCs w:val="20"/>
          <w:color w:val="auto"/>
        </w:rPr>
      </w:pPr>
    </w:p>
    <w:p>
      <w:pPr>
        <w:jc w:val="both"/>
        <w:ind w:left="660" w:right="1279" w:hanging="328"/>
        <w:spacing w:after="0"/>
        <w:tabs>
          <w:tab w:leader="none" w:pos="633" w:val="left"/>
        </w:tabs>
        <w:numPr>
          <w:ilvl w:val="0"/>
          <w:numId w:val="26"/>
        </w:numPr>
        <w:rPr>
          <w:rFonts w:ascii="Arial" w:cs="Arial" w:eastAsia="Arial" w:hAnsi="Arial"/>
          <w:sz w:val="22"/>
          <w:szCs w:val="22"/>
          <w:i w:val="1"/>
          <w:iCs w:val="1"/>
          <w:color w:val="auto"/>
        </w:rPr>
      </w:pPr>
      <w:r>
        <w:rPr>
          <w:rFonts w:ascii="Arial" w:cs="Arial" w:eastAsia="Arial" w:hAnsi="Arial"/>
          <w:sz w:val="22"/>
          <w:szCs w:val="22"/>
          <w:i w:val="1"/>
          <w:iCs w:val="1"/>
          <w:color w:val="auto"/>
        </w:rPr>
        <w:t xml:space="preserve">Sempra Generation </w:t>
      </w:r>
      <w:r>
        <w:rPr>
          <w:rFonts w:ascii="Arial" w:cs="Arial" w:eastAsia="Arial" w:hAnsi="Arial"/>
          <w:sz w:val="22"/>
          <w:szCs w:val="22"/>
          <w:color w:val="auto"/>
        </w:rPr>
        <w:t>develops, owns and operates, or holds interests in, electric power plants and</w:t>
      </w:r>
      <w:r>
        <w:rPr>
          <w:rFonts w:ascii="Arial" w:cs="Arial" w:eastAsia="Arial" w:hAnsi="Arial"/>
          <w:sz w:val="22"/>
          <w:szCs w:val="22"/>
          <w:i w:val="1"/>
          <w:iCs w:val="1"/>
          <w:color w:val="auto"/>
        </w:rPr>
        <w:t xml:space="preserve"> </w:t>
      </w:r>
      <w:r>
        <w:rPr>
          <w:rFonts w:ascii="Arial" w:cs="Arial" w:eastAsia="Arial" w:hAnsi="Arial"/>
          <w:sz w:val="22"/>
          <w:szCs w:val="22"/>
          <w:color w:val="auto"/>
        </w:rPr>
        <w:t>energy projects in Arizona, California, Nevada, Indiana, Hawaii and Mexico to serve wholesale electricity markets in the United States and Mexico.</w:t>
      </w:r>
    </w:p>
    <w:p>
      <w:pPr>
        <w:spacing w:after="0" w:line="213" w:lineRule="exact"/>
        <w:rPr>
          <w:rFonts w:ascii="Arial" w:cs="Arial" w:eastAsia="Arial" w:hAnsi="Arial"/>
          <w:sz w:val="22"/>
          <w:szCs w:val="22"/>
          <w:i w:val="1"/>
          <w:iCs w:val="1"/>
          <w:color w:val="auto"/>
        </w:rPr>
      </w:pPr>
    </w:p>
    <w:p>
      <w:pPr>
        <w:ind w:left="660" w:right="1239" w:hanging="328"/>
        <w:spacing w:after="0" w:line="279" w:lineRule="auto"/>
        <w:tabs>
          <w:tab w:leader="none" w:pos="633" w:val="left"/>
        </w:tabs>
        <w:numPr>
          <w:ilvl w:val="0"/>
          <w:numId w:val="26"/>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Sempra Pipelines &amp; Storage </w:t>
      </w:r>
      <w:r>
        <w:rPr>
          <w:rFonts w:ascii="Arial" w:cs="Arial" w:eastAsia="Arial" w:hAnsi="Arial"/>
          <w:sz w:val="19"/>
          <w:szCs w:val="19"/>
          <w:color w:val="auto"/>
        </w:rPr>
        <w:t>develops, owns and operates, or holds interests in, natural gas</w:t>
      </w:r>
      <w:r>
        <w:rPr>
          <w:rFonts w:ascii="Arial" w:cs="Arial" w:eastAsia="Arial" w:hAnsi="Arial"/>
          <w:sz w:val="19"/>
          <w:szCs w:val="19"/>
          <w:i w:val="1"/>
          <w:iCs w:val="1"/>
          <w:color w:val="auto"/>
        </w:rPr>
        <w:t xml:space="preserve"> </w:t>
      </w:r>
      <w:r>
        <w:rPr>
          <w:rFonts w:ascii="Arial" w:cs="Arial" w:eastAsia="Arial" w:hAnsi="Arial"/>
          <w:sz w:val="19"/>
          <w:szCs w:val="19"/>
          <w:color w:val="auto"/>
        </w:rPr>
        <w:t>pipelines and storage facilities in the United States and Mexico, and companies that provide natural gas or electricity services in Argentina, Chile, Mexico and Peru. We are currently pursuing the sale of our interests in the Argentine utilities, which we discuss further in Note 4 of the Notes to Consolidated Financial Statements in the Annual Report. Sempra Pipelines &amp; Storage also operates a small natural gas distribution utility in Southwest Alabama.</w:t>
      </w:r>
    </w:p>
    <w:p>
      <w:pPr>
        <w:spacing w:after="0" w:line="177" w:lineRule="exact"/>
        <w:rPr>
          <w:rFonts w:ascii="Arial" w:cs="Arial" w:eastAsia="Arial" w:hAnsi="Arial"/>
          <w:sz w:val="19"/>
          <w:szCs w:val="19"/>
          <w:i w:val="1"/>
          <w:iCs w:val="1"/>
          <w:color w:val="auto"/>
        </w:rPr>
      </w:pPr>
    </w:p>
    <w:p>
      <w:pPr>
        <w:ind w:left="660" w:right="1319" w:hanging="328"/>
        <w:spacing w:after="0" w:line="251" w:lineRule="auto"/>
        <w:tabs>
          <w:tab w:leader="none" w:pos="633" w:val="left"/>
        </w:tabs>
        <w:numPr>
          <w:ilvl w:val="0"/>
          <w:numId w:val="26"/>
        </w:numPr>
        <w:rPr>
          <w:rFonts w:ascii="Arial" w:cs="Arial" w:eastAsia="Arial" w:hAnsi="Arial"/>
          <w:sz w:val="22"/>
          <w:szCs w:val="22"/>
          <w:i w:val="1"/>
          <w:iCs w:val="1"/>
          <w:color w:val="auto"/>
        </w:rPr>
      </w:pPr>
      <w:r>
        <w:rPr>
          <w:rFonts w:ascii="Arial" w:cs="Arial" w:eastAsia="Arial" w:hAnsi="Arial"/>
          <w:sz w:val="22"/>
          <w:szCs w:val="22"/>
          <w:i w:val="1"/>
          <w:iCs w:val="1"/>
          <w:color w:val="auto"/>
        </w:rPr>
        <w:t xml:space="preserve">Sempra LNG </w:t>
      </w:r>
      <w:r>
        <w:rPr>
          <w:rFonts w:ascii="Arial" w:cs="Arial" w:eastAsia="Arial" w:hAnsi="Arial"/>
          <w:sz w:val="22"/>
          <w:szCs w:val="22"/>
          <w:color w:val="auto"/>
        </w:rPr>
        <w:t>develops, owns and operates receipt terminals for importing LNG, and has supply</w:t>
      </w:r>
      <w:r>
        <w:rPr>
          <w:rFonts w:ascii="Arial" w:cs="Arial" w:eastAsia="Arial" w:hAnsi="Arial"/>
          <w:sz w:val="22"/>
          <w:szCs w:val="22"/>
          <w:i w:val="1"/>
          <w:iCs w:val="1"/>
          <w:color w:val="auto"/>
        </w:rPr>
        <w:t xml:space="preserve"> </w:t>
      </w:r>
      <w:r>
        <w:rPr>
          <w:rFonts w:ascii="Arial" w:cs="Arial" w:eastAsia="Arial" w:hAnsi="Arial"/>
          <w:sz w:val="22"/>
          <w:szCs w:val="22"/>
          <w:color w:val="auto"/>
        </w:rPr>
        <w:t>and marketing agreements to purchase LNG and sell natural gas.</w:t>
      </w:r>
    </w:p>
    <w:p>
      <w:pPr>
        <w:spacing w:after="0" w:line="187" w:lineRule="exact"/>
        <w:rPr>
          <w:sz w:val="20"/>
          <w:szCs w:val="20"/>
          <w:color w:val="auto"/>
        </w:rPr>
      </w:pPr>
    </w:p>
    <w:p>
      <w:pPr>
        <w:jc w:val="both"/>
        <w:ind w:right="739"/>
        <w:spacing w:after="0" w:line="216" w:lineRule="auto"/>
        <w:rPr>
          <w:sz w:val="20"/>
          <w:szCs w:val="20"/>
          <w:color w:val="auto"/>
        </w:rPr>
      </w:pPr>
      <w:r>
        <w:rPr>
          <w:rFonts w:ascii="Arial" w:cs="Arial" w:eastAsia="Arial" w:hAnsi="Arial"/>
          <w:sz w:val="22"/>
          <w:szCs w:val="22"/>
          <w:color w:val="auto"/>
        </w:rPr>
        <w:t>We evaluate each segment's performance based on its contribution to Sempra Energy's reported earnings. The Sempra Utilities operate in essentially separate service territories, under separate regulatory frameworks and rate structures set by the CPUC. The Sempra Utilities' operations are based on rates set by the CPUC and the FERC. We describe the accounting policies of our segments in Note 1 of the Notes to Consolidated Financial Statements in the Annual Report.</w:t>
      </w:r>
    </w:p>
    <w:p>
      <w:pPr>
        <w:spacing w:after="0" w:line="37" w:lineRule="exact"/>
        <w:rPr>
          <w:sz w:val="20"/>
          <w:szCs w:val="20"/>
          <w:color w:val="auto"/>
        </w:rPr>
      </w:pPr>
    </w:p>
    <w:p>
      <w:pPr>
        <w:ind w:right="779"/>
        <w:spacing w:after="0" w:line="232" w:lineRule="auto"/>
        <w:rPr>
          <w:sz w:val="20"/>
          <w:szCs w:val="20"/>
          <w:color w:val="auto"/>
        </w:rPr>
      </w:pPr>
      <w:r>
        <w:rPr>
          <w:rFonts w:ascii="Arial" w:cs="Arial" w:eastAsia="Arial" w:hAnsi="Arial"/>
          <w:sz w:val="22"/>
          <w:szCs w:val="22"/>
          <w:color w:val="auto"/>
        </w:rPr>
        <w:t>In the first quarter of 2010, Sempra LNG became a reportable segment. We have revised segment disclosures for 2009 to reflect this.</w:t>
      </w:r>
    </w:p>
    <w:p>
      <w:pPr>
        <w:spacing w:after="0" w:line="38" w:lineRule="exact"/>
        <w:rPr>
          <w:sz w:val="20"/>
          <w:szCs w:val="20"/>
          <w:color w:val="auto"/>
        </w:rPr>
      </w:pPr>
    </w:p>
    <w:p>
      <w:pPr>
        <w:ind w:right="779"/>
        <w:spacing w:after="0" w:line="232" w:lineRule="auto"/>
        <w:rPr>
          <w:sz w:val="20"/>
          <w:szCs w:val="20"/>
          <w:color w:val="auto"/>
        </w:rPr>
      </w:pPr>
      <w:r>
        <w:rPr>
          <w:rFonts w:ascii="Arial" w:cs="Arial" w:eastAsia="Arial" w:hAnsi="Arial"/>
          <w:sz w:val="22"/>
          <w:szCs w:val="22"/>
          <w:color w:val="auto"/>
        </w:rPr>
        <w:t>The following tables show selected information by segment from our Condensed Consolidated Statements of Operations and Condensed Consolidated Balance Sheets.</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Amounts labeled as "all other" in the following tables consist primarily of parent organizations.</w:t>
      </w:r>
    </w:p>
    <w:p>
      <w:pPr>
        <w:sectPr>
          <w:pgSz w:w="11900" w:h="16838" w:orient="portrait"/>
          <w:cols w:equalWidth="0" w:num="1">
            <w:col w:w="10219"/>
          </w:cols>
          <w:pgMar w:left="240" w:top="595" w:right="1440" w:bottom="1440" w:gutter="0" w:footer="0" w:header="0"/>
        </w:sectPr>
      </w:pPr>
    </w:p>
    <w:bookmarkStart w:id="61" w:name="page62"/>
    <w:bookmarkEnd w:id="61"/>
    <w:p>
      <w:pPr>
        <w:spacing w:after="0"/>
        <w:rPr>
          <w:sz w:val="20"/>
          <w:szCs w:val="20"/>
          <w:color w:val="auto"/>
        </w:rPr>
      </w:pPr>
      <w:r>
        <w:rPr>
          <w:rFonts w:ascii="Arial" w:cs="Arial" w:eastAsia="Arial" w:hAnsi="Arial"/>
          <w:sz w:val="16"/>
          <w:szCs w:val="16"/>
          <w:b w:val="1"/>
          <w:bCs w:val="1"/>
          <w:color w:val="auto"/>
        </w:rPr>
        <w:t>SEGMENT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5685790" cy="2317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8579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5"/>
          </w:tcPr>
          <w:p>
            <w:pPr>
              <w:jc w:val="right"/>
              <w:ind w:right="239"/>
              <w:spacing w:after="0"/>
              <w:rPr>
                <w:sz w:val="20"/>
                <w:szCs w:val="20"/>
                <w:color w:val="auto"/>
              </w:rPr>
            </w:pPr>
            <w:r>
              <w:rPr>
                <w:rFonts w:ascii="Arial" w:cs="Arial" w:eastAsia="Arial" w:hAnsi="Arial"/>
                <w:sz w:val="14"/>
                <w:szCs w:val="14"/>
                <w:color w:val="auto"/>
              </w:rPr>
              <w:t>Three months ended March 31,</w:t>
            </w:r>
          </w:p>
        </w:tc>
        <w:tc>
          <w:tcPr>
            <w:tcW w:w="5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r>
      <w:tr>
        <w:trPr>
          <w:trHeight w:val="183"/>
        </w:trPr>
        <w:tc>
          <w:tcPr>
            <w:tcW w:w="48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rPr>
              <w:t>2010</w:t>
            </w:r>
          </w:p>
        </w:tc>
        <w:tc>
          <w:tcPr>
            <w:tcW w:w="5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rPr>
              <w:t>2009</w:t>
            </w:r>
          </w:p>
        </w:tc>
        <w:tc>
          <w:tcPr>
            <w:tcW w:w="5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r>
      <w:tr>
        <w:trPr>
          <w:trHeight w:val="184"/>
        </w:trPr>
        <w:tc>
          <w:tcPr>
            <w:tcW w:w="4800" w:type="dxa"/>
            <w:vAlign w:val="bottom"/>
          </w:tcPr>
          <w:p>
            <w:pPr>
              <w:spacing w:after="0"/>
              <w:rPr>
                <w:sz w:val="20"/>
                <w:szCs w:val="20"/>
                <w:color w:val="auto"/>
              </w:rPr>
            </w:pPr>
            <w:r>
              <w:rPr>
                <w:rFonts w:ascii="Arial" w:cs="Arial" w:eastAsia="Arial" w:hAnsi="Arial"/>
                <w:sz w:val="16"/>
                <w:szCs w:val="16"/>
                <w:color w:val="auto"/>
              </w:rPr>
              <w:t>REVENUES</w:t>
            </w:r>
          </w:p>
        </w:tc>
        <w:tc>
          <w:tcPr>
            <w:tcW w:w="5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89"/>
        </w:trPr>
        <w:tc>
          <w:tcPr>
            <w:tcW w:w="4800" w:type="dxa"/>
            <w:vAlign w:val="bottom"/>
          </w:tcPr>
          <w:p>
            <w:pPr>
              <w:ind w:left="100"/>
              <w:spacing w:after="0"/>
              <w:rPr>
                <w:sz w:val="20"/>
                <w:szCs w:val="20"/>
                <w:color w:val="auto"/>
              </w:rPr>
            </w:pPr>
            <w:r>
              <w:rPr>
                <w:rFonts w:ascii="Arial" w:cs="Arial" w:eastAsia="Arial" w:hAnsi="Arial"/>
                <w:sz w:val="16"/>
                <w:szCs w:val="16"/>
                <w:color w:val="auto"/>
              </w:rPr>
              <w:t>SDG&amp;E</w:t>
            </w:r>
          </w:p>
        </w:tc>
        <w:tc>
          <w:tcPr>
            <w:tcW w:w="5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742</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732</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35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4800" w:type="dxa"/>
            <w:vAlign w:val="bottom"/>
          </w:tcPr>
          <w:p>
            <w:pPr>
              <w:ind w:left="100"/>
              <w:spacing w:after="0"/>
              <w:rPr>
                <w:sz w:val="20"/>
                <w:szCs w:val="20"/>
                <w:color w:val="auto"/>
              </w:rPr>
            </w:pPr>
            <w:r>
              <w:rPr>
                <w:rFonts w:ascii="Arial" w:cs="Arial" w:eastAsia="Arial" w:hAnsi="Arial"/>
                <w:sz w:val="16"/>
                <w:szCs w:val="16"/>
                <w:color w:val="auto"/>
              </w:rPr>
              <w:t>SoCalGas</w:t>
            </w:r>
          </w:p>
        </w:tc>
        <w:tc>
          <w:tcPr>
            <w:tcW w:w="500" w:type="dxa"/>
            <w:vAlign w:val="bottom"/>
          </w:tcPr>
          <w:p>
            <w:pPr>
              <w:spacing w:after="0"/>
              <w:rPr>
                <w:sz w:val="16"/>
                <w:szCs w:val="16"/>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1,182</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47</w:t>
            </w: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920</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44</w:t>
            </w:r>
          </w:p>
        </w:tc>
        <w:tc>
          <w:tcPr>
            <w:tcW w:w="260" w:type="dxa"/>
            <w:vAlign w:val="bottom"/>
          </w:tcPr>
          <w:p>
            <w:pPr>
              <w:spacing w:after="0"/>
              <w:rPr>
                <w:sz w:val="16"/>
                <w:szCs w:val="16"/>
                <w:color w:val="auto"/>
              </w:rPr>
            </w:pPr>
          </w:p>
        </w:tc>
      </w:tr>
      <w:tr>
        <w:trPr>
          <w:trHeight w:val="189"/>
        </w:trPr>
        <w:tc>
          <w:tcPr>
            <w:tcW w:w="4800" w:type="dxa"/>
            <w:vAlign w:val="bottom"/>
          </w:tcPr>
          <w:p>
            <w:pPr>
              <w:ind w:left="100"/>
              <w:spacing w:after="0"/>
              <w:rPr>
                <w:sz w:val="20"/>
                <w:szCs w:val="20"/>
                <w:color w:val="auto"/>
              </w:rPr>
            </w:pPr>
            <w:r>
              <w:rPr>
                <w:rFonts w:ascii="Arial" w:cs="Arial" w:eastAsia="Arial" w:hAnsi="Arial"/>
                <w:sz w:val="16"/>
                <w:szCs w:val="16"/>
                <w:color w:val="auto"/>
              </w:rPr>
              <w:t>Sempra Commodities</w:t>
            </w:r>
          </w:p>
        </w:tc>
        <w:tc>
          <w:tcPr>
            <w:tcW w:w="500" w:type="dxa"/>
            <w:vAlign w:val="bottom"/>
          </w:tcPr>
          <w:p>
            <w:pPr>
              <w:spacing w:after="0"/>
              <w:rPr>
                <w:sz w:val="16"/>
                <w:szCs w:val="16"/>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23</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13</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6"/>
                <w:szCs w:val="16"/>
                <w:color w:val="auto"/>
              </w:rPr>
            </w:pPr>
          </w:p>
        </w:tc>
      </w:tr>
      <w:tr>
        <w:trPr>
          <w:trHeight w:val="189"/>
        </w:trPr>
        <w:tc>
          <w:tcPr>
            <w:tcW w:w="4800" w:type="dxa"/>
            <w:vAlign w:val="bottom"/>
          </w:tcPr>
          <w:p>
            <w:pPr>
              <w:ind w:left="100"/>
              <w:spacing w:after="0"/>
              <w:rPr>
                <w:sz w:val="20"/>
                <w:szCs w:val="20"/>
                <w:color w:val="auto"/>
              </w:rPr>
            </w:pPr>
            <w:r>
              <w:rPr>
                <w:rFonts w:ascii="Arial" w:cs="Arial" w:eastAsia="Arial" w:hAnsi="Arial"/>
                <w:sz w:val="16"/>
                <w:szCs w:val="16"/>
                <w:color w:val="auto"/>
              </w:rPr>
              <w:t>Sempra Generation</w:t>
            </w:r>
          </w:p>
        </w:tc>
        <w:tc>
          <w:tcPr>
            <w:tcW w:w="500" w:type="dxa"/>
            <w:vAlign w:val="bottom"/>
          </w:tcPr>
          <w:p>
            <w:pPr>
              <w:spacing w:after="0"/>
              <w:rPr>
                <w:sz w:val="16"/>
                <w:szCs w:val="16"/>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295</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297</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260" w:type="dxa"/>
            <w:vAlign w:val="bottom"/>
          </w:tcPr>
          <w:p>
            <w:pPr>
              <w:spacing w:after="0"/>
              <w:rPr>
                <w:sz w:val="16"/>
                <w:szCs w:val="16"/>
                <w:color w:val="auto"/>
              </w:rPr>
            </w:pPr>
          </w:p>
        </w:tc>
      </w:tr>
      <w:tr>
        <w:trPr>
          <w:trHeight w:val="189"/>
        </w:trPr>
        <w:tc>
          <w:tcPr>
            <w:tcW w:w="4800" w:type="dxa"/>
            <w:vAlign w:val="bottom"/>
          </w:tcPr>
          <w:p>
            <w:pPr>
              <w:ind w:left="100"/>
              <w:spacing w:after="0"/>
              <w:rPr>
                <w:sz w:val="20"/>
                <w:szCs w:val="20"/>
                <w:color w:val="auto"/>
              </w:rPr>
            </w:pPr>
            <w:r>
              <w:rPr>
                <w:rFonts w:ascii="Arial" w:cs="Arial" w:eastAsia="Arial" w:hAnsi="Arial"/>
                <w:sz w:val="16"/>
                <w:szCs w:val="16"/>
                <w:color w:val="auto"/>
              </w:rPr>
              <w:t>Sempra Pipelines &amp; Storage</w:t>
            </w:r>
          </w:p>
        </w:tc>
        <w:tc>
          <w:tcPr>
            <w:tcW w:w="500" w:type="dxa"/>
            <w:vAlign w:val="bottom"/>
          </w:tcPr>
          <w:p>
            <w:pPr>
              <w:spacing w:after="0"/>
              <w:rPr>
                <w:sz w:val="16"/>
                <w:szCs w:val="16"/>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110</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132</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260" w:type="dxa"/>
            <w:vAlign w:val="bottom"/>
          </w:tcPr>
          <w:p>
            <w:pPr>
              <w:spacing w:after="0"/>
              <w:rPr>
                <w:sz w:val="16"/>
                <w:szCs w:val="16"/>
                <w:color w:val="auto"/>
              </w:rPr>
            </w:pPr>
          </w:p>
        </w:tc>
      </w:tr>
      <w:tr>
        <w:trPr>
          <w:trHeight w:val="189"/>
        </w:trPr>
        <w:tc>
          <w:tcPr>
            <w:tcW w:w="4800" w:type="dxa"/>
            <w:vAlign w:val="bottom"/>
          </w:tcPr>
          <w:p>
            <w:pPr>
              <w:ind w:left="100"/>
              <w:spacing w:after="0"/>
              <w:rPr>
                <w:sz w:val="20"/>
                <w:szCs w:val="20"/>
                <w:color w:val="auto"/>
              </w:rPr>
            </w:pPr>
            <w:r>
              <w:rPr>
                <w:rFonts w:ascii="Arial" w:cs="Arial" w:eastAsia="Arial" w:hAnsi="Arial"/>
                <w:sz w:val="16"/>
                <w:szCs w:val="16"/>
                <w:color w:val="auto"/>
              </w:rPr>
              <w:t>Sempra LNG</w:t>
            </w:r>
          </w:p>
        </w:tc>
        <w:tc>
          <w:tcPr>
            <w:tcW w:w="500" w:type="dxa"/>
            <w:vAlign w:val="bottom"/>
          </w:tcPr>
          <w:p>
            <w:pPr>
              <w:spacing w:after="0"/>
              <w:rPr>
                <w:sz w:val="16"/>
                <w:szCs w:val="16"/>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205</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32</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6"/>
                <w:szCs w:val="16"/>
                <w:color w:val="auto"/>
              </w:rPr>
            </w:pPr>
          </w:p>
        </w:tc>
      </w:tr>
      <w:tr>
        <w:trPr>
          <w:trHeight w:val="189"/>
        </w:trPr>
        <w:tc>
          <w:tcPr>
            <w:tcW w:w="4800" w:type="dxa"/>
            <w:vAlign w:val="bottom"/>
          </w:tcPr>
          <w:p>
            <w:pPr>
              <w:ind w:left="80"/>
              <w:spacing w:after="0"/>
              <w:rPr>
                <w:sz w:val="20"/>
                <w:szCs w:val="20"/>
                <w:color w:val="auto"/>
              </w:rPr>
            </w:pPr>
            <w:r>
              <w:rPr>
                <w:rFonts w:ascii="Arial" w:cs="Arial" w:eastAsia="Arial" w:hAnsi="Arial"/>
                <w:sz w:val="16"/>
                <w:szCs w:val="16"/>
                <w:color w:val="auto"/>
              </w:rPr>
              <w:t>Adjustments and eliminations</w:t>
            </w:r>
          </w:p>
        </w:tc>
        <w:tc>
          <w:tcPr>
            <w:tcW w:w="500" w:type="dxa"/>
            <w:vAlign w:val="bottom"/>
          </w:tcPr>
          <w:p>
            <w:pPr>
              <w:spacing w:after="0"/>
              <w:rPr>
                <w:sz w:val="16"/>
                <w:szCs w:val="16"/>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3</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r>
      <w:tr>
        <w:trPr>
          <w:trHeight w:val="187"/>
        </w:trPr>
        <w:tc>
          <w:tcPr>
            <w:tcW w:w="4800" w:type="dxa"/>
            <w:vAlign w:val="bottom"/>
          </w:tcPr>
          <w:p>
            <w:pPr>
              <w:ind w:left="100"/>
              <w:spacing w:after="0"/>
              <w:rPr>
                <w:sz w:val="20"/>
                <w:szCs w:val="20"/>
                <w:color w:val="auto"/>
              </w:rPr>
            </w:pPr>
            <w:r>
              <w:rPr>
                <w:rFonts w:ascii="Arial" w:cs="Arial" w:eastAsia="Arial" w:hAnsi="Arial"/>
                <w:sz w:val="16"/>
                <w:szCs w:val="16"/>
                <w:color w:val="auto"/>
              </w:rPr>
              <w:t>Intersegment revenues</w:t>
            </w:r>
          </w:p>
        </w:tc>
        <w:tc>
          <w:tcPr>
            <w:tcW w:w="5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(26)</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(18)</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auto"/>
            </w:tcBorders>
          </w:tcPr>
          <w:p>
            <w:pPr>
              <w:spacing w:after="0"/>
              <w:rPr>
                <w:sz w:val="16"/>
                <w:szCs w:val="16"/>
                <w:color w:val="auto"/>
              </w:rPr>
            </w:pPr>
          </w:p>
        </w:tc>
      </w:tr>
      <w:tr>
        <w:trPr>
          <w:trHeight w:val="183"/>
        </w:trPr>
        <w:tc>
          <w:tcPr>
            <w:tcW w:w="4800" w:type="dxa"/>
            <w:vAlign w:val="bottom"/>
          </w:tcPr>
          <w:p>
            <w:pPr>
              <w:ind w:left="280"/>
              <w:spacing w:after="0" w:line="183" w:lineRule="exact"/>
              <w:rPr>
                <w:sz w:val="20"/>
                <w:szCs w:val="20"/>
                <w:color w:val="auto"/>
              </w:rPr>
            </w:pPr>
            <w:r>
              <w:rPr>
                <w:rFonts w:ascii="Arial" w:cs="Arial" w:eastAsia="Arial" w:hAnsi="Arial"/>
                <w:sz w:val="16"/>
                <w:szCs w:val="16"/>
                <w:color w:val="auto"/>
              </w:rPr>
              <w:t>Total</w:t>
            </w:r>
          </w:p>
        </w:tc>
        <w:tc>
          <w:tcPr>
            <w:tcW w:w="500" w:type="dxa"/>
            <w:vAlign w:val="bottom"/>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820" w:type="dxa"/>
            <w:vAlign w:val="bottom"/>
          </w:tcPr>
          <w:p>
            <w:pPr>
              <w:jc w:val="right"/>
              <w:ind w:right="139"/>
              <w:spacing w:after="0" w:line="183" w:lineRule="exact"/>
              <w:rPr>
                <w:sz w:val="20"/>
                <w:szCs w:val="20"/>
                <w:color w:val="auto"/>
              </w:rPr>
            </w:pPr>
            <w:r>
              <w:rPr>
                <w:rFonts w:ascii="Arial" w:cs="Arial" w:eastAsia="Arial" w:hAnsi="Arial"/>
                <w:sz w:val="16"/>
                <w:szCs w:val="16"/>
                <w:color w:val="auto"/>
              </w:rPr>
              <w:t>2,534</w:t>
            </w:r>
          </w:p>
        </w:tc>
        <w:tc>
          <w:tcPr>
            <w:tcW w:w="500" w:type="dxa"/>
            <w:vAlign w:val="bottom"/>
          </w:tcPr>
          <w:p>
            <w:pPr>
              <w:jc w:val="right"/>
              <w:ind w:right="19"/>
              <w:spacing w:after="0" w:line="183" w:lineRule="exact"/>
              <w:rPr>
                <w:sz w:val="20"/>
                <w:szCs w:val="20"/>
                <w:color w:val="auto"/>
              </w:rPr>
            </w:pPr>
            <w:r>
              <w:rPr>
                <w:rFonts w:ascii="Arial" w:cs="Arial" w:eastAsia="Arial" w:hAnsi="Arial"/>
                <w:sz w:val="16"/>
                <w:szCs w:val="16"/>
                <w:color w:val="auto"/>
              </w:rPr>
              <w:t>100</w:t>
            </w:r>
          </w:p>
        </w:tc>
        <w:tc>
          <w:tcPr>
            <w:tcW w:w="340" w:type="dxa"/>
            <w:vAlign w:val="bottom"/>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420" w:type="dxa"/>
            <w:vAlign w:val="bottom"/>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820" w:type="dxa"/>
            <w:vAlign w:val="bottom"/>
          </w:tcPr>
          <w:p>
            <w:pPr>
              <w:jc w:val="right"/>
              <w:ind w:right="139"/>
              <w:spacing w:after="0" w:line="183" w:lineRule="exact"/>
              <w:rPr>
                <w:sz w:val="20"/>
                <w:szCs w:val="20"/>
                <w:color w:val="auto"/>
              </w:rPr>
            </w:pPr>
            <w:r>
              <w:rPr>
                <w:rFonts w:ascii="Arial" w:cs="Arial" w:eastAsia="Arial" w:hAnsi="Arial"/>
                <w:sz w:val="16"/>
                <w:szCs w:val="16"/>
                <w:color w:val="auto"/>
              </w:rPr>
              <w:t>2,108</w:t>
            </w:r>
          </w:p>
        </w:tc>
        <w:tc>
          <w:tcPr>
            <w:tcW w:w="500" w:type="dxa"/>
            <w:vAlign w:val="bottom"/>
          </w:tcPr>
          <w:p>
            <w:pPr>
              <w:jc w:val="right"/>
              <w:ind w:right="19"/>
              <w:spacing w:after="0" w:line="183" w:lineRule="exact"/>
              <w:rPr>
                <w:sz w:val="20"/>
                <w:szCs w:val="20"/>
                <w:color w:val="auto"/>
              </w:rPr>
            </w:pPr>
            <w:r>
              <w:rPr>
                <w:rFonts w:ascii="Arial" w:cs="Arial" w:eastAsia="Arial" w:hAnsi="Arial"/>
                <w:sz w:val="16"/>
                <w:szCs w:val="16"/>
                <w:color w:val="auto"/>
              </w:rPr>
              <w:t>100</w:t>
            </w:r>
          </w:p>
        </w:tc>
        <w:tc>
          <w:tcPr>
            <w:tcW w:w="26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r>
      <w:tr>
        <w:trPr>
          <w:trHeight w:val="81"/>
        </w:trPr>
        <w:tc>
          <w:tcPr>
            <w:tcW w:w="4800" w:type="dxa"/>
            <w:vAlign w:val="bottom"/>
            <w:shd w:val="clear" w:color="auto" w:fill="000000"/>
          </w:tcPr>
          <w:p>
            <w:pPr>
              <w:spacing w:after="0"/>
              <w:rPr>
                <w:sz w:val="7"/>
                <w:szCs w:val="7"/>
                <w:color w:val="auto"/>
              </w:rPr>
            </w:pPr>
          </w:p>
        </w:tc>
        <w:tc>
          <w:tcPr>
            <w:tcW w:w="500" w:type="dxa"/>
            <w:vAlign w:val="bottom"/>
            <w:shd w:val="clear" w:color="auto" w:fill="000000"/>
          </w:tcPr>
          <w:p>
            <w:pPr>
              <w:spacing w:after="0"/>
              <w:rPr>
                <w:sz w:val="7"/>
                <w:szCs w:val="7"/>
                <w:color w:val="auto"/>
              </w:rPr>
            </w:pPr>
          </w:p>
        </w:tc>
        <w:tc>
          <w:tcPr>
            <w:tcW w:w="820" w:type="dxa"/>
            <w:vAlign w:val="bottom"/>
            <w:shd w:val="clear" w:color="auto" w:fill="000000"/>
          </w:tcPr>
          <w:p>
            <w:pPr>
              <w:spacing w:after="0"/>
              <w:rPr>
                <w:sz w:val="7"/>
                <w:szCs w:val="7"/>
                <w:color w:val="auto"/>
              </w:rPr>
            </w:pPr>
          </w:p>
        </w:tc>
        <w:tc>
          <w:tcPr>
            <w:tcW w:w="50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420" w:type="dxa"/>
            <w:vAlign w:val="bottom"/>
            <w:shd w:val="clear" w:color="auto" w:fill="000000"/>
          </w:tcPr>
          <w:p>
            <w:pPr>
              <w:spacing w:after="0"/>
              <w:rPr>
                <w:sz w:val="7"/>
                <w:szCs w:val="7"/>
                <w:color w:val="auto"/>
              </w:rPr>
            </w:pPr>
          </w:p>
        </w:tc>
        <w:tc>
          <w:tcPr>
            <w:tcW w:w="820" w:type="dxa"/>
            <w:vAlign w:val="bottom"/>
            <w:shd w:val="clear" w:color="auto" w:fill="000000"/>
          </w:tcPr>
          <w:p>
            <w:pPr>
              <w:spacing w:after="0"/>
              <w:rPr>
                <w:sz w:val="7"/>
                <w:szCs w:val="7"/>
                <w:color w:val="auto"/>
              </w:rPr>
            </w:pPr>
          </w:p>
        </w:tc>
        <w:tc>
          <w:tcPr>
            <w:tcW w:w="50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r>
      <w:tr>
        <w:trPr>
          <w:trHeight w:val="191"/>
        </w:trPr>
        <w:tc>
          <w:tcPr>
            <w:tcW w:w="4800" w:type="dxa"/>
            <w:vAlign w:val="bottom"/>
          </w:tcPr>
          <w:p>
            <w:pPr>
              <w:spacing w:after="0"/>
              <w:rPr>
                <w:sz w:val="20"/>
                <w:szCs w:val="20"/>
                <w:color w:val="auto"/>
              </w:rPr>
            </w:pPr>
            <w:r>
              <w:rPr>
                <w:rFonts w:ascii="Arial" w:cs="Arial" w:eastAsia="Arial" w:hAnsi="Arial"/>
                <w:sz w:val="16"/>
                <w:szCs w:val="16"/>
                <w:color w:val="auto"/>
              </w:rPr>
              <w:t>INTEREST EXPENSE</w:t>
            </w:r>
          </w:p>
        </w:tc>
        <w:tc>
          <w:tcPr>
            <w:tcW w:w="5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89"/>
        </w:trPr>
        <w:tc>
          <w:tcPr>
            <w:tcW w:w="4800" w:type="dxa"/>
            <w:vAlign w:val="bottom"/>
          </w:tcPr>
          <w:p>
            <w:pPr>
              <w:ind w:left="100"/>
              <w:spacing w:after="0"/>
              <w:rPr>
                <w:sz w:val="20"/>
                <w:szCs w:val="20"/>
                <w:color w:val="auto"/>
              </w:rPr>
            </w:pPr>
            <w:r>
              <w:rPr>
                <w:rFonts w:ascii="Arial" w:cs="Arial" w:eastAsia="Arial" w:hAnsi="Arial"/>
                <w:sz w:val="16"/>
                <w:szCs w:val="16"/>
                <w:color w:val="auto"/>
              </w:rPr>
              <w:t>SDG&amp;E</w:t>
            </w:r>
          </w:p>
        </w:tc>
        <w:tc>
          <w:tcPr>
            <w:tcW w:w="5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31</w:t>
            </w: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25</w:t>
            </w: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89"/>
        </w:trPr>
        <w:tc>
          <w:tcPr>
            <w:tcW w:w="4800" w:type="dxa"/>
            <w:vAlign w:val="bottom"/>
          </w:tcPr>
          <w:p>
            <w:pPr>
              <w:ind w:left="100"/>
              <w:spacing w:after="0"/>
              <w:rPr>
                <w:sz w:val="20"/>
                <w:szCs w:val="20"/>
                <w:color w:val="auto"/>
              </w:rPr>
            </w:pPr>
            <w:r>
              <w:rPr>
                <w:rFonts w:ascii="Arial" w:cs="Arial" w:eastAsia="Arial" w:hAnsi="Arial"/>
                <w:sz w:val="16"/>
                <w:szCs w:val="16"/>
                <w:color w:val="auto"/>
              </w:rPr>
              <w:t>SoCalGas</w:t>
            </w:r>
          </w:p>
        </w:tc>
        <w:tc>
          <w:tcPr>
            <w:tcW w:w="500" w:type="dxa"/>
            <w:vAlign w:val="bottom"/>
          </w:tcPr>
          <w:p>
            <w:pPr>
              <w:spacing w:after="0"/>
              <w:rPr>
                <w:sz w:val="16"/>
                <w:szCs w:val="16"/>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17</w:t>
            </w: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17</w:t>
            </w: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89"/>
        </w:trPr>
        <w:tc>
          <w:tcPr>
            <w:tcW w:w="4800" w:type="dxa"/>
            <w:vAlign w:val="bottom"/>
          </w:tcPr>
          <w:p>
            <w:pPr>
              <w:ind w:left="100"/>
              <w:spacing w:after="0"/>
              <w:rPr>
                <w:sz w:val="20"/>
                <w:szCs w:val="20"/>
                <w:color w:val="auto"/>
              </w:rPr>
            </w:pPr>
            <w:r>
              <w:rPr>
                <w:rFonts w:ascii="Arial" w:cs="Arial" w:eastAsia="Arial" w:hAnsi="Arial"/>
                <w:sz w:val="16"/>
                <w:szCs w:val="16"/>
                <w:color w:val="auto"/>
              </w:rPr>
              <w:t>Sempra Commodities</w:t>
            </w:r>
          </w:p>
        </w:tc>
        <w:tc>
          <w:tcPr>
            <w:tcW w:w="500" w:type="dxa"/>
            <w:vAlign w:val="bottom"/>
          </w:tcPr>
          <w:p>
            <w:pPr>
              <w:spacing w:after="0"/>
              <w:rPr>
                <w:sz w:val="16"/>
                <w:szCs w:val="16"/>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w:t>
            </w: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3</w:t>
            </w: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89"/>
        </w:trPr>
        <w:tc>
          <w:tcPr>
            <w:tcW w:w="4800" w:type="dxa"/>
            <w:vAlign w:val="bottom"/>
          </w:tcPr>
          <w:p>
            <w:pPr>
              <w:ind w:left="100"/>
              <w:spacing w:after="0"/>
              <w:rPr>
                <w:sz w:val="20"/>
                <w:szCs w:val="20"/>
                <w:color w:val="auto"/>
              </w:rPr>
            </w:pPr>
            <w:r>
              <w:rPr>
                <w:rFonts w:ascii="Arial" w:cs="Arial" w:eastAsia="Arial" w:hAnsi="Arial"/>
                <w:sz w:val="16"/>
                <w:szCs w:val="16"/>
                <w:color w:val="auto"/>
              </w:rPr>
              <w:t>Sempra Generation</w:t>
            </w:r>
          </w:p>
        </w:tc>
        <w:tc>
          <w:tcPr>
            <w:tcW w:w="500" w:type="dxa"/>
            <w:vAlign w:val="bottom"/>
          </w:tcPr>
          <w:p>
            <w:pPr>
              <w:spacing w:after="0"/>
              <w:rPr>
                <w:sz w:val="16"/>
                <w:szCs w:val="16"/>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4</w:t>
            </w: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4</w:t>
            </w: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89"/>
        </w:trPr>
        <w:tc>
          <w:tcPr>
            <w:tcW w:w="4800" w:type="dxa"/>
            <w:vAlign w:val="bottom"/>
          </w:tcPr>
          <w:p>
            <w:pPr>
              <w:ind w:left="100"/>
              <w:spacing w:after="0"/>
              <w:rPr>
                <w:sz w:val="20"/>
                <w:szCs w:val="20"/>
                <w:color w:val="auto"/>
              </w:rPr>
            </w:pPr>
            <w:r>
              <w:rPr>
                <w:rFonts w:ascii="Arial" w:cs="Arial" w:eastAsia="Arial" w:hAnsi="Arial"/>
                <w:sz w:val="16"/>
                <w:szCs w:val="16"/>
                <w:color w:val="auto"/>
              </w:rPr>
              <w:t>Sempra Pipelines &amp; Storage</w:t>
            </w:r>
          </w:p>
        </w:tc>
        <w:tc>
          <w:tcPr>
            <w:tcW w:w="500" w:type="dxa"/>
            <w:vAlign w:val="bottom"/>
          </w:tcPr>
          <w:p>
            <w:pPr>
              <w:spacing w:after="0"/>
              <w:rPr>
                <w:sz w:val="16"/>
                <w:szCs w:val="16"/>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9</w:t>
            </w: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7</w:t>
            </w: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89"/>
        </w:trPr>
        <w:tc>
          <w:tcPr>
            <w:tcW w:w="4800" w:type="dxa"/>
            <w:vAlign w:val="bottom"/>
          </w:tcPr>
          <w:p>
            <w:pPr>
              <w:ind w:left="100"/>
              <w:spacing w:after="0"/>
              <w:rPr>
                <w:sz w:val="20"/>
                <w:szCs w:val="20"/>
                <w:color w:val="auto"/>
              </w:rPr>
            </w:pPr>
            <w:r>
              <w:rPr>
                <w:rFonts w:ascii="Arial" w:cs="Arial" w:eastAsia="Arial" w:hAnsi="Arial"/>
                <w:sz w:val="16"/>
                <w:szCs w:val="16"/>
                <w:color w:val="auto"/>
              </w:rPr>
              <w:t>Sempra LNG</w:t>
            </w:r>
          </w:p>
        </w:tc>
        <w:tc>
          <w:tcPr>
            <w:tcW w:w="500" w:type="dxa"/>
            <w:vAlign w:val="bottom"/>
          </w:tcPr>
          <w:p>
            <w:pPr>
              <w:spacing w:after="0"/>
              <w:rPr>
                <w:sz w:val="16"/>
                <w:szCs w:val="16"/>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12</w:t>
            </w: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2</w:t>
            </w: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89"/>
        </w:trPr>
        <w:tc>
          <w:tcPr>
            <w:tcW w:w="4800" w:type="dxa"/>
            <w:vAlign w:val="bottom"/>
          </w:tcPr>
          <w:p>
            <w:pPr>
              <w:ind w:left="80"/>
              <w:spacing w:after="0"/>
              <w:rPr>
                <w:sz w:val="20"/>
                <w:szCs w:val="20"/>
                <w:color w:val="auto"/>
              </w:rPr>
            </w:pPr>
            <w:r>
              <w:rPr>
                <w:rFonts w:ascii="Arial" w:cs="Arial" w:eastAsia="Arial" w:hAnsi="Arial"/>
                <w:sz w:val="16"/>
                <w:szCs w:val="16"/>
                <w:color w:val="auto"/>
              </w:rPr>
              <w:t>All other</w:t>
            </w:r>
          </w:p>
        </w:tc>
        <w:tc>
          <w:tcPr>
            <w:tcW w:w="500" w:type="dxa"/>
            <w:vAlign w:val="bottom"/>
          </w:tcPr>
          <w:p>
            <w:pPr>
              <w:spacing w:after="0"/>
              <w:rPr>
                <w:sz w:val="16"/>
                <w:szCs w:val="16"/>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87</w:t>
            </w: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59</w:t>
            </w: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87"/>
        </w:trPr>
        <w:tc>
          <w:tcPr>
            <w:tcW w:w="4800" w:type="dxa"/>
            <w:vAlign w:val="bottom"/>
          </w:tcPr>
          <w:p>
            <w:pPr>
              <w:ind w:left="100"/>
              <w:spacing w:after="0"/>
              <w:rPr>
                <w:sz w:val="20"/>
                <w:szCs w:val="20"/>
                <w:color w:val="auto"/>
              </w:rPr>
            </w:pPr>
            <w:r>
              <w:rPr>
                <w:rFonts w:ascii="Arial" w:cs="Arial" w:eastAsia="Arial" w:hAnsi="Arial"/>
                <w:sz w:val="16"/>
                <w:szCs w:val="16"/>
                <w:color w:val="auto"/>
              </w:rPr>
              <w:t>Intercompany eliminations</w:t>
            </w:r>
          </w:p>
        </w:tc>
        <w:tc>
          <w:tcPr>
            <w:tcW w:w="5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(52)</w:t>
            </w:r>
          </w:p>
        </w:tc>
        <w:tc>
          <w:tcPr>
            <w:tcW w:w="5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(35)</w:t>
            </w:r>
          </w:p>
        </w:tc>
        <w:tc>
          <w:tcPr>
            <w:tcW w:w="5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r>
      <w:tr>
        <w:trPr>
          <w:trHeight w:val="183"/>
        </w:trPr>
        <w:tc>
          <w:tcPr>
            <w:tcW w:w="4800" w:type="dxa"/>
            <w:vAlign w:val="bottom"/>
          </w:tcPr>
          <w:p>
            <w:pPr>
              <w:ind w:left="280"/>
              <w:spacing w:after="0" w:line="183" w:lineRule="exact"/>
              <w:rPr>
                <w:sz w:val="20"/>
                <w:szCs w:val="20"/>
                <w:color w:val="auto"/>
              </w:rPr>
            </w:pPr>
            <w:r>
              <w:rPr>
                <w:rFonts w:ascii="Arial" w:cs="Arial" w:eastAsia="Arial" w:hAnsi="Arial"/>
                <w:sz w:val="16"/>
                <w:szCs w:val="16"/>
                <w:color w:val="auto"/>
              </w:rPr>
              <w:t>Total</w:t>
            </w:r>
          </w:p>
        </w:tc>
        <w:tc>
          <w:tcPr>
            <w:tcW w:w="500" w:type="dxa"/>
            <w:vAlign w:val="bottom"/>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820" w:type="dxa"/>
            <w:vAlign w:val="bottom"/>
          </w:tcPr>
          <w:p>
            <w:pPr>
              <w:jc w:val="right"/>
              <w:ind w:right="139"/>
              <w:spacing w:after="0" w:line="183" w:lineRule="exact"/>
              <w:rPr>
                <w:sz w:val="20"/>
                <w:szCs w:val="20"/>
                <w:color w:val="auto"/>
              </w:rPr>
            </w:pPr>
            <w:r>
              <w:rPr>
                <w:rFonts w:ascii="Arial" w:cs="Arial" w:eastAsia="Arial" w:hAnsi="Arial"/>
                <w:sz w:val="16"/>
                <w:szCs w:val="16"/>
                <w:color w:val="auto"/>
              </w:rPr>
              <w:t>109</w:t>
            </w: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820" w:type="dxa"/>
            <w:vAlign w:val="bottom"/>
          </w:tcPr>
          <w:p>
            <w:pPr>
              <w:jc w:val="right"/>
              <w:ind w:right="139"/>
              <w:spacing w:after="0" w:line="183" w:lineRule="exact"/>
              <w:rPr>
                <w:sz w:val="20"/>
                <w:szCs w:val="20"/>
                <w:color w:val="auto"/>
              </w:rPr>
            </w:pPr>
            <w:r>
              <w:rPr>
                <w:rFonts w:ascii="Arial" w:cs="Arial" w:eastAsia="Arial" w:hAnsi="Arial"/>
                <w:sz w:val="16"/>
                <w:szCs w:val="16"/>
                <w:color w:val="auto"/>
              </w:rPr>
              <w:t>82</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81"/>
        </w:trPr>
        <w:tc>
          <w:tcPr>
            <w:tcW w:w="4800" w:type="dxa"/>
            <w:vAlign w:val="bottom"/>
            <w:shd w:val="clear" w:color="auto" w:fill="000000"/>
          </w:tcPr>
          <w:p>
            <w:pPr>
              <w:spacing w:after="0"/>
              <w:rPr>
                <w:sz w:val="7"/>
                <w:szCs w:val="7"/>
                <w:color w:val="auto"/>
              </w:rPr>
            </w:pPr>
          </w:p>
        </w:tc>
        <w:tc>
          <w:tcPr>
            <w:tcW w:w="500" w:type="dxa"/>
            <w:vAlign w:val="bottom"/>
            <w:shd w:val="clear" w:color="auto" w:fill="000000"/>
          </w:tcPr>
          <w:p>
            <w:pPr>
              <w:spacing w:after="0"/>
              <w:rPr>
                <w:sz w:val="7"/>
                <w:szCs w:val="7"/>
                <w:color w:val="auto"/>
              </w:rPr>
            </w:pPr>
          </w:p>
        </w:tc>
        <w:tc>
          <w:tcPr>
            <w:tcW w:w="820" w:type="dxa"/>
            <w:vAlign w:val="bottom"/>
            <w:shd w:val="clear" w:color="auto" w:fill="000000"/>
          </w:tcPr>
          <w:p>
            <w:pPr>
              <w:spacing w:after="0"/>
              <w:rPr>
                <w:sz w:val="7"/>
                <w:szCs w:val="7"/>
                <w:color w:val="auto"/>
              </w:rPr>
            </w:pPr>
          </w:p>
        </w:tc>
        <w:tc>
          <w:tcPr>
            <w:tcW w:w="50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420" w:type="dxa"/>
            <w:vAlign w:val="bottom"/>
            <w:shd w:val="clear" w:color="auto" w:fill="000000"/>
          </w:tcPr>
          <w:p>
            <w:pPr>
              <w:spacing w:after="0"/>
              <w:rPr>
                <w:sz w:val="7"/>
                <w:szCs w:val="7"/>
                <w:color w:val="auto"/>
              </w:rPr>
            </w:pPr>
          </w:p>
        </w:tc>
        <w:tc>
          <w:tcPr>
            <w:tcW w:w="820" w:type="dxa"/>
            <w:vAlign w:val="bottom"/>
            <w:shd w:val="clear" w:color="auto" w:fill="000000"/>
          </w:tcPr>
          <w:p>
            <w:pPr>
              <w:spacing w:after="0"/>
              <w:rPr>
                <w:sz w:val="7"/>
                <w:szCs w:val="7"/>
                <w:color w:val="auto"/>
              </w:rPr>
            </w:pPr>
          </w:p>
        </w:tc>
        <w:tc>
          <w:tcPr>
            <w:tcW w:w="50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r>
      <w:tr>
        <w:trPr>
          <w:trHeight w:val="191"/>
        </w:trPr>
        <w:tc>
          <w:tcPr>
            <w:tcW w:w="4800" w:type="dxa"/>
            <w:vAlign w:val="bottom"/>
          </w:tcPr>
          <w:p>
            <w:pPr>
              <w:spacing w:after="0"/>
              <w:rPr>
                <w:sz w:val="20"/>
                <w:szCs w:val="20"/>
                <w:color w:val="auto"/>
              </w:rPr>
            </w:pPr>
            <w:r>
              <w:rPr>
                <w:rFonts w:ascii="Arial" w:cs="Arial" w:eastAsia="Arial" w:hAnsi="Arial"/>
                <w:sz w:val="16"/>
                <w:szCs w:val="16"/>
                <w:color w:val="auto"/>
              </w:rPr>
              <w:t>INTEREST INCOME</w:t>
            </w:r>
          </w:p>
        </w:tc>
        <w:tc>
          <w:tcPr>
            <w:tcW w:w="5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89"/>
        </w:trPr>
        <w:tc>
          <w:tcPr>
            <w:tcW w:w="4800" w:type="dxa"/>
            <w:vAlign w:val="bottom"/>
          </w:tcPr>
          <w:p>
            <w:pPr>
              <w:ind w:left="100"/>
              <w:spacing w:after="0"/>
              <w:rPr>
                <w:sz w:val="20"/>
                <w:szCs w:val="20"/>
                <w:color w:val="auto"/>
              </w:rPr>
            </w:pPr>
            <w:r>
              <w:rPr>
                <w:rFonts w:ascii="Arial" w:cs="Arial" w:eastAsia="Arial" w:hAnsi="Arial"/>
                <w:sz w:val="16"/>
                <w:szCs w:val="16"/>
                <w:color w:val="auto"/>
              </w:rPr>
              <w:t>SoCalGas</w:t>
            </w:r>
          </w:p>
        </w:tc>
        <w:tc>
          <w:tcPr>
            <w:tcW w:w="5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w:t>
            </w: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89"/>
        </w:trPr>
        <w:tc>
          <w:tcPr>
            <w:tcW w:w="4800" w:type="dxa"/>
            <w:vAlign w:val="bottom"/>
          </w:tcPr>
          <w:p>
            <w:pPr>
              <w:ind w:left="100"/>
              <w:spacing w:after="0"/>
              <w:rPr>
                <w:sz w:val="20"/>
                <w:szCs w:val="20"/>
                <w:color w:val="auto"/>
              </w:rPr>
            </w:pPr>
            <w:r>
              <w:rPr>
                <w:rFonts w:ascii="Arial" w:cs="Arial" w:eastAsia="Arial" w:hAnsi="Arial"/>
                <w:sz w:val="16"/>
                <w:szCs w:val="16"/>
                <w:color w:val="auto"/>
              </w:rPr>
              <w:t>Sempra Generation</w:t>
            </w:r>
          </w:p>
        </w:tc>
        <w:tc>
          <w:tcPr>
            <w:tcW w:w="500" w:type="dxa"/>
            <w:vAlign w:val="bottom"/>
          </w:tcPr>
          <w:p>
            <w:pPr>
              <w:spacing w:after="0"/>
              <w:rPr>
                <w:sz w:val="16"/>
                <w:szCs w:val="16"/>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2</w:t>
            </w: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3</w:t>
            </w: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89"/>
        </w:trPr>
        <w:tc>
          <w:tcPr>
            <w:tcW w:w="4800" w:type="dxa"/>
            <w:vAlign w:val="bottom"/>
          </w:tcPr>
          <w:p>
            <w:pPr>
              <w:ind w:left="100"/>
              <w:spacing w:after="0"/>
              <w:rPr>
                <w:sz w:val="20"/>
                <w:szCs w:val="20"/>
                <w:color w:val="auto"/>
              </w:rPr>
            </w:pPr>
            <w:r>
              <w:rPr>
                <w:rFonts w:ascii="Arial" w:cs="Arial" w:eastAsia="Arial" w:hAnsi="Arial"/>
                <w:sz w:val="16"/>
                <w:szCs w:val="16"/>
                <w:color w:val="auto"/>
              </w:rPr>
              <w:t>Sempra Pipelines &amp; Storage</w:t>
            </w:r>
          </w:p>
        </w:tc>
        <w:tc>
          <w:tcPr>
            <w:tcW w:w="500" w:type="dxa"/>
            <w:vAlign w:val="bottom"/>
          </w:tcPr>
          <w:p>
            <w:pPr>
              <w:spacing w:after="0"/>
              <w:rPr>
                <w:sz w:val="16"/>
                <w:szCs w:val="16"/>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4</w:t>
            </w: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4</w:t>
            </w: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89"/>
        </w:trPr>
        <w:tc>
          <w:tcPr>
            <w:tcW w:w="4800" w:type="dxa"/>
            <w:vAlign w:val="bottom"/>
          </w:tcPr>
          <w:p>
            <w:pPr>
              <w:ind w:left="80"/>
              <w:spacing w:after="0"/>
              <w:rPr>
                <w:sz w:val="20"/>
                <w:szCs w:val="20"/>
                <w:color w:val="auto"/>
              </w:rPr>
            </w:pPr>
            <w:r>
              <w:rPr>
                <w:rFonts w:ascii="Arial" w:cs="Arial" w:eastAsia="Arial" w:hAnsi="Arial"/>
                <w:sz w:val="16"/>
                <w:szCs w:val="16"/>
                <w:color w:val="auto"/>
              </w:rPr>
              <w:t>All other</w:t>
            </w:r>
          </w:p>
        </w:tc>
        <w:tc>
          <w:tcPr>
            <w:tcW w:w="500" w:type="dxa"/>
            <w:vAlign w:val="bottom"/>
          </w:tcPr>
          <w:p>
            <w:pPr>
              <w:spacing w:after="0"/>
              <w:rPr>
                <w:sz w:val="16"/>
                <w:szCs w:val="16"/>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50</w:t>
            </w: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33</w:t>
            </w: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87"/>
        </w:trPr>
        <w:tc>
          <w:tcPr>
            <w:tcW w:w="4800" w:type="dxa"/>
            <w:vAlign w:val="bottom"/>
          </w:tcPr>
          <w:p>
            <w:pPr>
              <w:ind w:left="100"/>
              <w:spacing w:after="0"/>
              <w:rPr>
                <w:sz w:val="20"/>
                <w:szCs w:val="20"/>
                <w:color w:val="auto"/>
              </w:rPr>
            </w:pPr>
            <w:r>
              <w:rPr>
                <w:rFonts w:ascii="Arial" w:cs="Arial" w:eastAsia="Arial" w:hAnsi="Arial"/>
                <w:sz w:val="16"/>
                <w:szCs w:val="16"/>
                <w:color w:val="auto"/>
              </w:rPr>
              <w:t>Intercompany eliminations</w:t>
            </w:r>
          </w:p>
        </w:tc>
        <w:tc>
          <w:tcPr>
            <w:tcW w:w="5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(52)</w:t>
            </w:r>
          </w:p>
        </w:tc>
        <w:tc>
          <w:tcPr>
            <w:tcW w:w="5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(35)</w:t>
            </w:r>
          </w:p>
        </w:tc>
        <w:tc>
          <w:tcPr>
            <w:tcW w:w="5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r>
      <w:tr>
        <w:trPr>
          <w:trHeight w:val="183"/>
        </w:trPr>
        <w:tc>
          <w:tcPr>
            <w:tcW w:w="4800" w:type="dxa"/>
            <w:vAlign w:val="bottom"/>
          </w:tcPr>
          <w:p>
            <w:pPr>
              <w:ind w:left="280"/>
              <w:spacing w:after="0" w:line="183" w:lineRule="exact"/>
              <w:rPr>
                <w:sz w:val="20"/>
                <w:szCs w:val="20"/>
                <w:color w:val="auto"/>
              </w:rPr>
            </w:pPr>
            <w:r>
              <w:rPr>
                <w:rFonts w:ascii="Arial" w:cs="Arial" w:eastAsia="Arial" w:hAnsi="Arial"/>
                <w:sz w:val="16"/>
                <w:szCs w:val="16"/>
                <w:color w:val="auto"/>
              </w:rPr>
              <w:t>Total</w:t>
            </w:r>
          </w:p>
        </w:tc>
        <w:tc>
          <w:tcPr>
            <w:tcW w:w="500" w:type="dxa"/>
            <w:vAlign w:val="bottom"/>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820" w:type="dxa"/>
            <w:vAlign w:val="bottom"/>
          </w:tcPr>
          <w:p>
            <w:pPr>
              <w:jc w:val="right"/>
              <w:ind w:right="139"/>
              <w:spacing w:after="0" w:line="183" w:lineRule="exact"/>
              <w:rPr>
                <w:sz w:val="20"/>
                <w:szCs w:val="20"/>
                <w:color w:val="auto"/>
              </w:rPr>
            </w:pPr>
            <w:r>
              <w:rPr>
                <w:rFonts w:ascii="Arial" w:cs="Arial" w:eastAsia="Arial" w:hAnsi="Arial"/>
                <w:sz w:val="16"/>
                <w:szCs w:val="16"/>
                <w:color w:val="auto"/>
              </w:rPr>
              <w:t>4</w:t>
            </w: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820" w:type="dxa"/>
            <w:vAlign w:val="bottom"/>
          </w:tcPr>
          <w:p>
            <w:pPr>
              <w:jc w:val="right"/>
              <w:ind w:right="139"/>
              <w:spacing w:after="0" w:line="183" w:lineRule="exact"/>
              <w:rPr>
                <w:sz w:val="20"/>
                <w:szCs w:val="20"/>
                <w:color w:val="auto"/>
              </w:rPr>
            </w:pPr>
            <w:r>
              <w:rPr>
                <w:rFonts w:ascii="Arial" w:cs="Arial" w:eastAsia="Arial" w:hAnsi="Arial"/>
                <w:sz w:val="16"/>
                <w:szCs w:val="16"/>
                <w:color w:val="auto"/>
              </w:rPr>
              <w:t>6</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81"/>
        </w:trPr>
        <w:tc>
          <w:tcPr>
            <w:tcW w:w="4800" w:type="dxa"/>
            <w:vAlign w:val="bottom"/>
            <w:shd w:val="clear" w:color="auto" w:fill="000000"/>
          </w:tcPr>
          <w:p>
            <w:pPr>
              <w:spacing w:after="0"/>
              <w:rPr>
                <w:sz w:val="7"/>
                <w:szCs w:val="7"/>
                <w:color w:val="auto"/>
              </w:rPr>
            </w:pPr>
          </w:p>
        </w:tc>
        <w:tc>
          <w:tcPr>
            <w:tcW w:w="500" w:type="dxa"/>
            <w:vAlign w:val="bottom"/>
            <w:shd w:val="clear" w:color="auto" w:fill="000000"/>
          </w:tcPr>
          <w:p>
            <w:pPr>
              <w:spacing w:after="0"/>
              <w:rPr>
                <w:sz w:val="7"/>
                <w:szCs w:val="7"/>
                <w:color w:val="auto"/>
              </w:rPr>
            </w:pPr>
          </w:p>
        </w:tc>
        <w:tc>
          <w:tcPr>
            <w:tcW w:w="820" w:type="dxa"/>
            <w:vAlign w:val="bottom"/>
            <w:shd w:val="clear" w:color="auto" w:fill="000000"/>
          </w:tcPr>
          <w:p>
            <w:pPr>
              <w:spacing w:after="0"/>
              <w:rPr>
                <w:sz w:val="7"/>
                <w:szCs w:val="7"/>
                <w:color w:val="auto"/>
              </w:rPr>
            </w:pPr>
          </w:p>
        </w:tc>
        <w:tc>
          <w:tcPr>
            <w:tcW w:w="50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420" w:type="dxa"/>
            <w:vAlign w:val="bottom"/>
            <w:shd w:val="clear" w:color="auto" w:fill="000000"/>
          </w:tcPr>
          <w:p>
            <w:pPr>
              <w:spacing w:after="0"/>
              <w:rPr>
                <w:sz w:val="7"/>
                <w:szCs w:val="7"/>
                <w:color w:val="auto"/>
              </w:rPr>
            </w:pPr>
          </w:p>
        </w:tc>
        <w:tc>
          <w:tcPr>
            <w:tcW w:w="820" w:type="dxa"/>
            <w:vAlign w:val="bottom"/>
            <w:shd w:val="clear" w:color="auto" w:fill="000000"/>
          </w:tcPr>
          <w:p>
            <w:pPr>
              <w:spacing w:after="0"/>
              <w:rPr>
                <w:sz w:val="7"/>
                <w:szCs w:val="7"/>
                <w:color w:val="auto"/>
              </w:rPr>
            </w:pPr>
          </w:p>
        </w:tc>
        <w:tc>
          <w:tcPr>
            <w:tcW w:w="50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r>
      <w:tr>
        <w:trPr>
          <w:trHeight w:val="191"/>
        </w:trPr>
        <w:tc>
          <w:tcPr>
            <w:tcW w:w="480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5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89"/>
        </w:trPr>
        <w:tc>
          <w:tcPr>
            <w:tcW w:w="4800" w:type="dxa"/>
            <w:vAlign w:val="bottom"/>
          </w:tcPr>
          <w:p>
            <w:pPr>
              <w:ind w:left="100"/>
              <w:spacing w:after="0"/>
              <w:rPr>
                <w:sz w:val="20"/>
                <w:szCs w:val="20"/>
                <w:color w:val="auto"/>
              </w:rPr>
            </w:pPr>
            <w:r>
              <w:rPr>
                <w:rFonts w:ascii="Arial" w:cs="Arial" w:eastAsia="Arial" w:hAnsi="Arial"/>
                <w:sz w:val="16"/>
                <w:szCs w:val="16"/>
                <w:color w:val="auto"/>
              </w:rPr>
              <w:t>SDG&amp;E</w:t>
            </w:r>
          </w:p>
        </w:tc>
        <w:tc>
          <w:tcPr>
            <w:tcW w:w="5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92</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44</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77</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42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4800" w:type="dxa"/>
            <w:vAlign w:val="bottom"/>
          </w:tcPr>
          <w:p>
            <w:pPr>
              <w:ind w:left="100"/>
              <w:spacing w:after="0"/>
              <w:rPr>
                <w:sz w:val="20"/>
                <w:szCs w:val="20"/>
                <w:color w:val="auto"/>
              </w:rPr>
            </w:pPr>
            <w:r>
              <w:rPr>
                <w:rFonts w:ascii="Arial" w:cs="Arial" w:eastAsia="Arial" w:hAnsi="Arial"/>
                <w:sz w:val="16"/>
                <w:szCs w:val="16"/>
                <w:color w:val="auto"/>
              </w:rPr>
              <w:t>SoCalGas</w:t>
            </w:r>
          </w:p>
        </w:tc>
        <w:tc>
          <w:tcPr>
            <w:tcW w:w="500" w:type="dxa"/>
            <w:vAlign w:val="bottom"/>
          </w:tcPr>
          <w:p>
            <w:pPr>
              <w:spacing w:after="0"/>
              <w:rPr>
                <w:sz w:val="16"/>
                <w:szCs w:val="16"/>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75</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36</w:t>
            </w: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72</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39</w:t>
            </w:r>
          </w:p>
        </w:tc>
        <w:tc>
          <w:tcPr>
            <w:tcW w:w="260" w:type="dxa"/>
            <w:vAlign w:val="bottom"/>
          </w:tcPr>
          <w:p>
            <w:pPr>
              <w:spacing w:after="0"/>
              <w:rPr>
                <w:sz w:val="16"/>
                <w:szCs w:val="16"/>
                <w:color w:val="auto"/>
              </w:rPr>
            </w:pPr>
          </w:p>
        </w:tc>
      </w:tr>
      <w:tr>
        <w:trPr>
          <w:trHeight w:val="189"/>
        </w:trPr>
        <w:tc>
          <w:tcPr>
            <w:tcW w:w="4800" w:type="dxa"/>
            <w:vAlign w:val="bottom"/>
          </w:tcPr>
          <w:p>
            <w:pPr>
              <w:ind w:left="100"/>
              <w:spacing w:after="0"/>
              <w:rPr>
                <w:sz w:val="20"/>
                <w:szCs w:val="20"/>
                <w:color w:val="auto"/>
              </w:rPr>
            </w:pPr>
            <w:r>
              <w:rPr>
                <w:rFonts w:ascii="Arial" w:cs="Arial" w:eastAsia="Arial" w:hAnsi="Arial"/>
                <w:sz w:val="16"/>
                <w:szCs w:val="16"/>
                <w:color w:val="auto"/>
              </w:rPr>
              <w:t>Sempra Generation</w:t>
            </w:r>
          </w:p>
        </w:tc>
        <w:tc>
          <w:tcPr>
            <w:tcW w:w="500" w:type="dxa"/>
            <w:vAlign w:val="bottom"/>
          </w:tcPr>
          <w:p>
            <w:pPr>
              <w:spacing w:after="0"/>
              <w:rPr>
                <w:sz w:val="16"/>
                <w:szCs w:val="16"/>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15</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14</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260" w:type="dxa"/>
            <w:vAlign w:val="bottom"/>
          </w:tcPr>
          <w:p>
            <w:pPr>
              <w:spacing w:after="0"/>
              <w:rPr>
                <w:sz w:val="16"/>
                <w:szCs w:val="16"/>
                <w:color w:val="auto"/>
              </w:rPr>
            </w:pPr>
          </w:p>
        </w:tc>
      </w:tr>
      <w:tr>
        <w:trPr>
          <w:trHeight w:val="189"/>
        </w:trPr>
        <w:tc>
          <w:tcPr>
            <w:tcW w:w="4800" w:type="dxa"/>
            <w:vAlign w:val="bottom"/>
          </w:tcPr>
          <w:p>
            <w:pPr>
              <w:ind w:left="100"/>
              <w:spacing w:after="0"/>
              <w:rPr>
                <w:sz w:val="20"/>
                <w:szCs w:val="20"/>
                <w:color w:val="auto"/>
              </w:rPr>
            </w:pPr>
            <w:r>
              <w:rPr>
                <w:rFonts w:ascii="Arial" w:cs="Arial" w:eastAsia="Arial" w:hAnsi="Arial"/>
                <w:sz w:val="16"/>
                <w:szCs w:val="16"/>
                <w:color w:val="auto"/>
              </w:rPr>
              <w:t>Sempra Pipelines &amp; Storage</w:t>
            </w:r>
          </w:p>
        </w:tc>
        <w:tc>
          <w:tcPr>
            <w:tcW w:w="500" w:type="dxa"/>
            <w:vAlign w:val="bottom"/>
          </w:tcPr>
          <w:p>
            <w:pPr>
              <w:spacing w:after="0"/>
              <w:rPr>
                <w:sz w:val="16"/>
                <w:szCs w:val="16"/>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11</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10</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260" w:type="dxa"/>
            <w:vAlign w:val="bottom"/>
          </w:tcPr>
          <w:p>
            <w:pPr>
              <w:spacing w:after="0"/>
              <w:rPr>
                <w:sz w:val="16"/>
                <w:szCs w:val="16"/>
                <w:color w:val="auto"/>
              </w:rPr>
            </w:pPr>
          </w:p>
        </w:tc>
      </w:tr>
      <w:tr>
        <w:trPr>
          <w:trHeight w:val="189"/>
        </w:trPr>
        <w:tc>
          <w:tcPr>
            <w:tcW w:w="4800" w:type="dxa"/>
            <w:vAlign w:val="bottom"/>
          </w:tcPr>
          <w:p>
            <w:pPr>
              <w:ind w:left="100"/>
              <w:spacing w:after="0"/>
              <w:rPr>
                <w:sz w:val="20"/>
                <w:szCs w:val="20"/>
                <w:color w:val="auto"/>
              </w:rPr>
            </w:pPr>
            <w:r>
              <w:rPr>
                <w:rFonts w:ascii="Arial" w:cs="Arial" w:eastAsia="Arial" w:hAnsi="Arial"/>
                <w:sz w:val="16"/>
                <w:szCs w:val="16"/>
                <w:color w:val="auto"/>
              </w:rPr>
              <w:t>Sempra LNG</w:t>
            </w:r>
          </w:p>
        </w:tc>
        <w:tc>
          <w:tcPr>
            <w:tcW w:w="500" w:type="dxa"/>
            <w:vAlign w:val="bottom"/>
          </w:tcPr>
          <w:p>
            <w:pPr>
              <w:spacing w:after="0"/>
              <w:rPr>
                <w:sz w:val="16"/>
                <w:szCs w:val="16"/>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12</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6</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260" w:type="dxa"/>
            <w:vAlign w:val="bottom"/>
          </w:tcPr>
          <w:p>
            <w:pPr>
              <w:spacing w:after="0"/>
              <w:rPr>
                <w:sz w:val="16"/>
                <w:szCs w:val="16"/>
                <w:color w:val="auto"/>
              </w:rPr>
            </w:pPr>
          </w:p>
        </w:tc>
      </w:tr>
      <w:tr>
        <w:trPr>
          <w:trHeight w:val="187"/>
        </w:trPr>
        <w:tc>
          <w:tcPr>
            <w:tcW w:w="4800" w:type="dxa"/>
            <w:vAlign w:val="bottom"/>
          </w:tcPr>
          <w:p>
            <w:pPr>
              <w:ind w:left="80"/>
              <w:spacing w:after="0"/>
              <w:rPr>
                <w:sz w:val="20"/>
                <w:szCs w:val="20"/>
                <w:color w:val="auto"/>
              </w:rPr>
            </w:pPr>
            <w:r>
              <w:rPr>
                <w:rFonts w:ascii="Arial" w:cs="Arial" w:eastAsia="Arial" w:hAnsi="Arial"/>
                <w:sz w:val="16"/>
                <w:szCs w:val="16"/>
                <w:color w:val="auto"/>
              </w:rPr>
              <w:t>All other</w:t>
            </w:r>
          </w:p>
        </w:tc>
        <w:tc>
          <w:tcPr>
            <w:tcW w:w="5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w:t>
            </w: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w:t>
            </w:r>
          </w:p>
        </w:tc>
        <w:tc>
          <w:tcPr>
            <w:tcW w:w="3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w:t>
            </w: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w:t>
            </w:r>
          </w:p>
        </w:tc>
        <w:tc>
          <w:tcPr>
            <w:tcW w:w="260" w:type="dxa"/>
            <w:vAlign w:val="bottom"/>
            <w:tcBorders>
              <w:bottom w:val="single" w:sz="8" w:color="auto"/>
            </w:tcBorders>
          </w:tcPr>
          <w:p>
            <w:pPr>
              <w:spacing w:after="0"/>
              <w:rPr>
                <w:sz w:val="16"/>
                <w:szCs w:val="16"/>
                <w:color w:val="auto"/>
              </w:rPr>
            </w:pPr>
          </w:p>
        </w:tc>
      </w:tr>
      <w:tr>
        <w:trPr>
          <w:trHeight w:val="183"/>
        </w:trPr>
        <w:tc>
          <w:tcPr>
            <w:tcW w:w="4800" w:type="dxa"/>
            <w:vAlign w:val="bottom"/>
          </w:tcPr>
          <w:p>
            <w:pPr>
              <w:ind w:left="280"/>
              <w:spacing w:after="0" w:line="183" w:lineRule="exact"/>
              <w:rPr>
                <w:sz w:val="20"/>
                <w:szCs w:val="20"/>
                <w:color w:val="auto"/>
              </w:rPr>
            </w:pPr>
            <w:r>
              <w:rPr>
                <w:rFonts w:ascii="Arial" w:cs="Arial" w:eastAsia="Arial" w:hAnsi="Arial"/>
                <w:sz w:val="16"/>
                <w:szCs w:val="16"/>
                <w:color w:val="auto"/>
              </w:rPr>
              <w:t>Total</w:t>
            </w:r>
          </w:p>
        </w:tc>
        <w:tc>
          <w:tcPr>
            <w:tcW w:w="500" w:type="dxa"/>
            <w:vAlign w:val="bottom"/>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820" w:type="dxa"/>
            <w:vAlign w:val="bottom"/>
          </w:tcPr>
          <w:p>
            <w:pPr>
              <w:jc w:val="right"/>
              <w:ind w:right="139"/>
              <w:spacing w:after="0" w:line="183" w:lineRule="exact"/>
              <w:rPr>
                <w:sz w:val="20"/>
                <w:szCs w:val="20"/>
                <w:color w:val="auto"/>
              </w:rPr>
            </w:pPr>
            <w:r>
              <w:rPr>
                <w:rFonts w:ascii="Arial" w:cs="Arial" w:eastAsia="Arial" w:hAnsi="Arial"/>
                <w:sz w:val="16"/>
                <w:szCs w:val="16"/>
                <w:color w:val="auto"/>
              </w:rPr>
              <w:t>210</w:t>
            </w:r>
          </w:p>
        </w:tc>
        <w:tc>
          <w:tcPr>
            <w:tcW w:w="500" w:type="dxa"/>
            <w:vAlign w:val="bottom"/>
          </w:tcPr>
          <w:p>
            <w:pPr>
              <w:jc w:val="right"/>
              <w:ind w:right="19"/>
              <w:spacing w:after="0" w:line="183" w:lineRule="exact"/>
              <w:rPr>
                <w:sz w:val="20"/>
                <w:szCs w:val="20"/>
                <w:color w:val="auto"/>
              </w:rPr>
            </w:pPr>
            <w:r>
              <w:rPr>
                <w:rFonts w:ascii="Arial" w:cs="Arial" w:eastAsia="Arial" w:hAnsi="Arial"/>
                <w:sz w:val="16"/>
                <w:szCs w:val="16"/>
                <w:color w:val="auto"/>
              </w:rPr>
              <w:t>100</w:t>
            </w:r>
          </w:p>
        </w:tc>
        <w:tc>
          <w:tcPr>
            <w:tcW w:w="340" w:type="dxa"/>
            <w:vAlign w:val="bottom"/>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420" w:type="dxa"/>
            <w:vAlign w:val="bottom"/>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820" w:type="dxa"/>
            <w:vAlign w:val="bottom"/>
          </w:tcPr>
          <w:p>
            <w:pPr>
              <w:jc w:val="right"/>
              <w:ind w:right="139"/>
              <w:spacing w:after="0" w:line="183" w:lineRule="exact"/>
              <w:rPr>
                <w:sz w:val="20"/>
                <w:szCs w:val="20"/>
                <w:color w:val="auto"/>
              </w:rPr>
            </w:pPr>
            <w:r>
              <w:rPr>
                <w:rFonts w:ascii="Arial" w:cs="Arial" w:eastAsia="Arial" w:hAnsi="Arial"/>
                <w:sz w:val="16"/>
                <w:szCs w:val="16"/>
                <w:color w:val="auto"/>
              </w:rPr>
              <w:t>183</w:t>
            </w:r>
          </w:p>
        </w:tc>
        <w:tc>
          <w:tcPr>
            <w:tcW w:w="500" w:type="dxa"/>
            <w:vAlign w:val="bottom"/>
          </w:tcPr>
          <w:p>
            <w:pPr>
              <w:jc w:val="right"/>
              <w:ind w:right="19"/>
              <w:spacing w:after="0" w:line="183" w:lineRule="exact"/>
              <w:rPr>
                <w:sz w:val="20"/>
                <w:szCs w:val="20"/>
                <w:color w:val="auto"/>
              </w:rPr>
            </w:pPr>
            <w:r>
              <w:rPr>
                <w:rFonts w:ascii="Arial" w:cs="Arial" w:eastAsia="Arial" w:hAnsi="Arial"/>
                <w:sz w:val="16"/>
                <w:szCs w:val="16"/>
                <w:color w:val="auto"/>
              </w:rPr>
              <w:t>100</w:t>
            </w:r>
          </w:p>
        </w:tc>
        <w:tc>
          <w:tcPr>
            <w:tcW w:w="26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r>
      <w:tr>
        <w:trPr>
          <w:trHeight w:val="81"/>
        </w:trPr>
        <w:tc>
          <w:tcPr>
            <w:tcW w:w="4800" w:type="dxa"/>
            <w:vAlign w:val="bottom"/>
            <w:shd w:val="clear" w:color="auto" w:fill="000000"/>
          </w:tcPr>
          <w:p>
            <w:pPr>
              <w:spacing w:after="0"/>
              <w:rPr>
                <w:sz w:val="7"/>
                <w:szCs w:val="7"/>
                <w:color w:val="auto"/>
              </w:rPr>
            </w:pPr>
          </w:p>
        </w:tc>
        <w:tc>
          <w:tcPr>
            <w:tcW w:w="500" w:type="dxa"/>
            <w:vAlign w:val="bottom"/>
            <w:shd w:val="clear" w:color="auto" w:fill="000000"/>
          </w:tcPr>
          <w:p>
            <w:pPr>
              <w:spacing w:after="0"/>
              <w:rPr>
                <w:sz w:val="7"/>
                <w:szCs w:val="7"/>
                <w:color w:val="auto"/>
              </w:rPr>
            </w:pPr>
          </w:p>
        </w:tc>
        <w:tc>
          <w:tcPr>
            <w:tcW w:w="820" w:type="dxa"/>
            <w:vAlign w:val="bottom"/>
            <w:shd w:val="clear" w:color="auto" w:fill="000000"/>
          </w:tcPr>
          <w:p>
            <w:pPr>
              <w:spacing w:after="0"/>
              <w:rPr>
                <w:sz w:val="7"/>
                <w:szCs w:val="7"/>
                <w:color w:val="auto"/>
              </w:rPr>
            </w:pPr>
          </w:p>
        </w:tc>
        <w:tc>
          <w:tcPr>
            <w:tcW w:w="50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420" w:type="dxa"/>
            <w:vAlign w:val="bottom"/>
            <w:shd w:val="clear" w:color="auto" w:fill="000000"/>
          </w:tcPr>
          <w:p>
            <w:pPr>
              <w:spacing w:after="0"/>
              <w:rPr>
                <w:sz w:val="7"/>
                <w:szCs w:val="7"/>
                <w:color w:val="auto"/>
              </w:rPr>
            </w:pPr>
          </w:p>
        </w:tc>
        <w:tc>
          <w:tcPr>
            <w:tcW w:w="820" w:type="dxa"/>
            <w:vAlign w:val="bottom"/>
            <w:shd w:val="clear" w:color="auto" w:fill="000000"/>
          </w:tcPr>
          <w:p>
            <w:pPr>
              <w:spacing w:after="0"/>
              <w:rPr>
                <w:sz w:val="7"/>
                <w:szCs w:val="7"/>
                <w:color w:val="auto"/>
              </w:rPr>
            </w:pPr>
          </w:p>
        </w:tc>
        <w:tc>
          <w:tcPr>
            <w:tcW w:w="50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r>
      <w:tr>
        <w:trPr>
          <w:trHeight w:val="191"/>
        </w:trPr>
        <w:tc>
          <w:tcPr>
            <w:tcW w:w="4800" w:type="dxa"/>
            <w:vAlign w:val="bottom"/>
          </w:tcPr>
          <w:p>
            <w:pPr>
              <w:spacing w:after="0"/>
              <w:rPr>
                <w:sz w:val="20"/>
                <w:szCs w:val="20"/>
                <w:color w:val="auto"/>
              </w:rPr>
            </w:pPr>
            <w:r>
              <w:rPr>
                <w:rFonts w:ascii="Arial" w:cs="Arial" w:eastAsia="Arial" w:hAnsi="Arial"/>
                <w:sz w:val="16"/>
                <w:szCs w:val="16"/>
                <w:color w:val="auto"/>
              </w:rPr>
              <w:t>INCOME TAX EXPENSE (BENEFIT)</w:t>
            </w:r>
          </w:p>
        </w:tc>
        <w:tc>
          <w:tcPr>
            <w:tcW w:w="5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89"/>
        </w:trPr>
        <w:tc>
          <w:tcPr>
            <w:tcW w:w="4800" w:type="dxa"/>
            <w:vAlign w:val="bottom"/>
          </w:tcPr>
          <w:p>
            <w:pPr>
              <w:ind w:left="100"/>
              <w:spacing w:after="0"/>
              <w:rPr>
                <w:sz w:val="20"/>
                <w:szCs w:val="20"/>
                <w:color w:val="auto"/>
              </w:rPr>
            </w:pPr>
            <w:r>
              <w:rPr>
                <w:rFonts w:ascii="Arial" w:cs="Arial" w:eastAsia="Arial" w:hAnsi="Arial"/>
                <w:sz w:val="16"/>
                <w:szCs w:val="16"/>
                <w:color w:val="auto"/>
              </w:rPr>
              <w:t>SDG&amp;E</w:t>
            </w:r>
          </w:p>
        </w:tc>
        <w:tc>
          <w:tcPr>
            <w:tcW w:w="5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31</w:t>
            </w: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60</w:t>
            </w: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89"/>
        </w:trPr>
        <w:tc>
          <w:tcPr>
            <w:tcW w:w="4800" w:type="dxa"/>
            <w:vAlign w:val="bottom"/>
          </w:tcPr>
          <w:p>
            <w:pPr>
              <w:ind w:left="100"/>
              <w:spacing w:after="0"/>
              <w:rPr>
                <w:sz w:val="20"/>
                <w:szCs w:val="20"/>
                <w:color w:val="auto"/>
              </w:rPr>
            </w:pPr>
            <w:r>
              <w:rPr>
                <w:rFonts w:ascii="Arial" w:cs="Arial" w:eastAsia="Arial" w:hAnsi="Arial"/>
                <w:sz w:val="16"/>
                <w:szCs w:val="16"/>
                <w:color w:val="auto"/>
              </w:rPr>
              <w:t>SoCalGas</w:t>
            </w:r>
          </w:p>
        </w:tc>
        <w:tc>
          <w:tcPr>
            <w:tcW w:w="500" w:type="dxa"/>
            <w:vAlign w:val="bottom"/>
          </w:tcPr>
          <w:p>
            <w:pPr>
              <w:spacing w:after="0"/>
              <w:rPr>
                <w:sz w:val="16"/>
                <w:szCs w:val="16"/>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56</w:t>
            </w: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36</w:t>
            </w: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89"/>
        </w:trPr>
        <w:tc>
          <w:tcPr>
            <w:tcW w:w="4800" w:type="dxa"/>
            <w:vAlign w:val="bottom"/>
          </w:tcPr>
          <w:p>
            <w:pPr>
              <w:ind w:left="100"/>
              <w:spacing w:after="0"/>
              <w:rPr>
                <w:sz w:val="20"/>
                <w:szCs w:val="20"/>
                <w:color w:val="auto"/>
              </w:rPr>
            </w:pPr>
            <w:r>
              <w:rPr>
                <w:rFonts w:ascii="Arial" w:cs="Arial" w:eastAsia="Arial" w:hAnsi="Arial"/>
                <w:sz w:val="16"/>
                <w:szCs w:val="16"/>
                <w:color w:val="auto"/>
              </w:rPr>
              <w:t>Sempra Commodities</w:t>
            </w:r>
          </w:p>
        </w:tc>
        <w:tc>
          <w:tcPr>
            <w:tcW w:w="500" w:type="dxa"/>
            <w:vAlign w:val="bottom"/>
          </w:tcPr>
          <w:p>
            <w:pPr>
              <w:spacing w:after="0"/>
              <w:rPr>
                <w:sz w:val="16"/>
                <w:szCs w:val="16"/>
                <w:color w:val="auto"/>
              </w:rPr>
            </w:pPr>
          </w:p>
        </w:tc>
        <w:tc>
          <w:tcPr>
            <w:tcW w:w="820" w:type="dxa"/>
            <w:vAlign w:val="bottom"/>
          </w:tcPr>
          <w:p>
            <w:pPr>
              <w:jc w:val="right"/>
              <w:ind w:right="99"/>
              <w:spacing w:after="0"/>
              <w:rPr>
                <w:sz w:val="20"/>
                <w:szCs w:val="20"/>
                <w:color w:val="auto"/>
              </w:rPr>
            </w:pPr>
            <w:r>
              <w:rPr>
                <w:rFonts w:ascii="Arial" w:cs="Arial" w:eastAsia="Arial" w:hAnsi="Arial"/>
                <w:sz w:val="16"/>
                <w:szCs w:val="16"/>
                <w:color w:val="auto"/>
              </w:rPr>
              <w:t>(8)</w:t>
            </w: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37</w:t>
            </w: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89"/>
        </w:trPr>
        <w:tc>
          <w:tcPr>
            <w:tcW w:w="4800" w:type="dxa"/>
            <w:vAlign w:val="bottom"/>
          </w:tcPr>
          <w:p>
            <w:pPr>
              <w:ind w:left="100"/>
              <w:spacing w:after="0"/>
              <w:rPr>
                <w:sz w:val="20"/>
                <w:szCs w:val="20"/>
                <w:color w:val="auto"/>
              </w:rPr>
            </w:pPr>
            <w:r>
              <w:rPr>
                <w:rFonts w:ascii="Arial" w:cs="Arial" w:eastAsia="Arial" w:hAnsi="Arial"/>
                <w:sz w:val="16"/>
                <w:szCs w:val="16"/>
                <w:color w:val="auto"/>
              </w:rPr>
              <w:t>Sempra Generation</w:t>
            </w:r>
          </w:p>
        </w:tc>
        <w:tc>
          <w:tcPr>
            <w:tcW w:w="500" w:type="dxa"/>
            <w:vAlign w:val="bottom"/>
          </w:tcPr>
          <w:p>
            <w:pPr>
              <w:spacing w:after="0"/>
              <w:rPr>
                <w:sz w:val="16"/>
                <w:szCs w:val="16"/>
                <w:color w:val="auto"/>
              </w:rPr>
            </w:pPr>
          </w:p>
        </w:tc>
        <w:tc>
          <w:tcPr>
            <w:tcW w:w="820" w:type="dxa"/>
            <w:vAlign w:val="bottom"/>
          </w:tcPr>
          <w:p>
            <w:pPr>
              <w:jc w:val="right"/>
              <w:ind w:right="99"/>
              <w:spacing w:after="0"/>
              <w:rPr>
                <w:sz w:val="20"/>
                <w:szCs w:val="20"/>
                <w:color w:val="auto"/>
              </w:rPr>
            </w:pPr>
            <w:r>
              <w:rPr>
                <w:rFonts w:ascii="Arial" w:cs="Arial" w:eastAsia="Arial" w:hAnsi="Arial"/>
                <w:sz w:val="16"/>
                <w:szCs w:val="16"/>
                <w:color w:val="auto"/>
              </w:rPr>
              <w:t>(40)</w:t>
            </w: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12</w:t>
            </w: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89"/>
        </w:trPr>
        <w:tc>
          <w:tcPr>
            <w:tcW w:w="4800" w:type="dxa"/>
            <w:vAlign w:val="bottom"/>
          </w:tcPr>
          <w:p>
            <w:pPr>
              <w:ind w:left="100"/>
              <w:spacing w:after="0"/>
              <w:rPr>
                <w:sz w:val="20"/>
                <w:szCs w:val="20"/>
                <w:color w:val="auto"/>
              </w:rPr>
            </w:pPr>
            <w:r>
              <w:rPr>
                <w:rFonts w:ascii="Arial" w:cs="Arial" w:eastAsia="Arial" w:hAnsi="Arial"/>
                <w:sz w:val="16"/>
                <w:szCs w:val="16"/>
                <w:color w:val="auto"/>
              </w:rPr>
              <w:t>Sempra Pipelines &amp; Storage</w:t>
            </w:r>
          </w:p>
        </w:tc>
        <w:tc>
          <w:tcPr>
            <w:tcW w:w="500" w:type="dxa"/>
            <w:vAlign w:val="bottom"/>
          </w:tcPr>
          <w:p>
            <w:pPr>
              <w:spacing w:after="0"/>
              <w:rPr>
                <w:sz w:val="16"/>
                <w:szCs w:val="16"/>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6</w:t>
            </w: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12</w:t>
            </w: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89"/>
        </w:trPr>
        <w:tc>
          <w:tcPr>
            <w:tcW w:w="4800" w:type="dxa"/>
            <w:vAlign w:val="bottom"/>
          </w:tcPr>
          <w:p>
            <w:pPr>
              <w:ind w:left="100"/>
              <w:spacing w:after="0"/>
              <w:rPr>
                <w:sz w:val="20"/>
                <w:szCs w:val="20"/>
                <w:color w:val="auto"/>
              </w:rPr>
            </w:pPr>
            <w:r>
              <w:rPr>
                <w:rFonts w:ascii="Arial" w:cs="Arial" w:eastAsia="Arial" w:hAnsi="Arial"/>
                <w:sz w:val="16"/>
                <w:szCs w:val="16"/>
                <w:color w:val="auto"/>
              </w:rPr>
              <w:t>Sempra LNG</w:t>
            </w:r>
          </w:p>
        </w:tc>
        <w:tc>
          <w:tcPr>
            <w:tcW w:w="500" w:type="dxa"/>
            <w:vAlign w:val="bottom"/>
          </w:tcPr>
          <w:p>
            <w:pPr>
              <w:spacing w:after="0"/>
              <w:rPr>
                <w:sz w:val="16"/>
                <w:szCs w:val="16"/>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12</w:t>
            </w: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ind w:right="99"/>
              <w:spacing w:after="0"/>
              <w:rPr>
                <w:sz w:val="20"/>
                <w:szCs w:val="20"/>
                <w:color w:val="auto"/>
              </w:rPr>
            </w:pPr>
            <w:r>
              <w:rPr>
                <w:rFonts w:ascii="Arial" w:cs="Arial" w:eastAsia="Arial" w:hAnsi="Arial"/>
                <w:sz w:val="16"/>
                <w:szCs w:val="16"/>
                <w:color w:val="auto"/>
              </w:rPr>
              <w:t>(12)</w:t>
            </w: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87"/>
        </w:trPr>
        <w:tc>
          <w:tcPr>
            <w:tcW w:w="4800" w:type="dxa"/>
            <w:vAlign w:val="bottom"/>
          </w:tcPr>
          <w:p>
            <w:pPr>
              <w:ind w:left="80"/>
              <w:spacing w:after="0"/>
              <w:rPr>
                <w:sz w:val="20"/>
                <w:szCs w:val="20"/>
                <w:color w:val="auto"/>
              </w:rPr>
            </w:pPr>
            <w:r>
              <w:rPr>
                <w:rFonts w:ascii="Arial" w:cs="Arial" w:eastAsia="Arial" w:hAnsi="Arial"/>
                <w:sz w:val="16"/>
                <w:szCs w:val="16"/>
                <w:color w:val="auto"/>
              </w:rPr>
              <w:t>All other</w:t>
            </w:r>
          </w:p>
        </w:tc>
        <w:tc>
          <w:tcPr>
            <w:tcW w:w="5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w:t>
            </w:r>
          </w:p>
        </w:tc>
        <w:tc>
          <w:tcPr>
            <w:tcW w:w="5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(36)</w:t>
            </w:r>
          </w:p>
        </w:tc>
        <w:tc>
          <w:tcPr>
            <w:tcW w:w="5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r>
      <w:tr>
        <w:trPr>
          <w:trHeight w:val="183"/>
        </w:trPr>
        <w:tc>
          <w:tcPr>
            <w:tcW w:w="4800" w:type="dxa"/>
            <w:vAlign w:val="bottom"/>
          </w:tcPr>
          <w:p>
            <w:pPr>
              <w:ind w:left="280"/>
              <w:spacing w:after="0" w:line="183" w:lineRule="exact"/>
              <w:rPr>
                <w:sz w:val="20"/>
                <w:szCs w:val="20"/>
                <w:color w:val="auto"/>
              </w:rPr>
            </w:pPr>
            <w:r>
              <w:rPr>
                <w:rFonts w:ascii="Arial" w:cs="Arial" w:eastAsia="Arial" w:hAnsi="Arial"/>
                <w:sz w:val="16"/>
                <w:szCs w:val="16"/>
                <w:color w:val="auto"/>
              </w:rPr>
              <w:t>Total</w:t>
            </w:r>
          </w:p>
        </w:tc>
        <w:tc>
          <w:tcPr>
            <w:tcW w:w="500" w:type="dxa"/>
            <w:vAlign w:val="bottom"/>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820" w:type="dxa"/>
            <w:vAlign w:val="bottom"/>
          </w:tcPr>
          <w:p>
            <w:pPr>
              <w:jc w:val="right"/>
              <w:ind w:right="139"/>
              <w:spacing w:after="0" w:line="183" w:lineRule="exact"/>
              <w:rPr>
                <w:sz w:val="20"/>
                <w:szCs w:val="20"/>
                <w:color w:val="auto"/>
              </w:rPr>
            </w:pPr>
            <w:r>
              <w:rPr>
                <w:rFonts w:ascii="Arial" w:cs="Arial" w:eastAsia="Arial" w:hAnsi="Arial"/>
                <w:sz w:val="16"/>
                <w:szCs w:val="16"/>
                <w:color w:val="auto"/>
              </w:rPr>
              <w:t>58</w:t>
            </w: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820" w:type="dxa"/>
            <w:vAlign w:val="bottom"/>
          </w:tcPr>
          <w:p>
            <w:pPr>
              <w:jc w:val="right"/>
              <w:ind w:right="139"/>
              <w:spacing w:after="0" w:line="183" w:lineRule="exact"/>
              <w:rPr>
                <w:sz w:val="20"/>
                <w:szCs w:val="20"/>
                <w:color w:val="auto"/>
              </w:rPr>
            </w:pPr>
            <w:r>
              <w:rPr>
                <w:rFonts w:ascii="Arial" w:cs="Arial" w:eastAsia="Arial" w:hAnsi="Arial"/>
                <w:sz w:val="16"/>
                <w:szCs w:val="16"/>
                <w:color w:val="auto"/>
              </w:rPr>
              <w:t>109</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81"/>
        </w:trPr>
        <w:tc>
          <w:tcPr>
            <w:tcW w:w="4800" w:type="dxa"/>
            <w:vAlign w:val="bottom"/>
            <w:shd w:val="clear" w:color="auto" w:fill="000000"/>
          </w:tcPr>
          <w:p>
            <w:pPr>
              <w:spacing w:after="0"/>
              <w:rPr>
                <w:sz w:val="7"/>
                <w:szCs w:val="7"/>
                <w:color w:val="auto"/>
              </w:rPr>
            </w:pPr>
          </w:p>
        </w:tc>
        <w:tc>
          <w:tcPr>
            <w:tcW w:w="500" w:type="dxa"/>
            <w:vAlign w:val="bottom"/>
            <w:shd w:val="clear" w:color="auto" w:fill="000000"/>
          </w:tcPr>
          <w:p>
            <w:pPr>
              <w:spacing w:after="0"/>
              <w:rPr>
                <w:sz w:val="7"/>
                <w:szCs w:val="7"/>
                <w:color w:val="auto"/>
              </w:rPr>
            </w:pPr>
          </w:p>
        </w:tc>
        <w:tc>
          <w:tcPr>
            <w:tcW w:w="820" w:type="dxa"/>
            <w:vAlign w:val="bottom"/>
            <w:shd w:val="clear" w:color="auto" w:fill="000000"/>
          </w:tcPr>
          <w:p>
            <w:pPr>
              <w:spacing w:after="0"/>
              <w:rPr>
                <w:sz w:val="7"/>
                <w:szCs w:val="7"/>
                <w:color w:val="auto"/>
              </w:rPr>
            </w:pPr>
          </w:p>
        </w:tc>
        <w:tc>
          <w:tcPr>
            <w:tcW w:w="50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420" w:type="dxa"/>
            <w:vAlign w:val="bottom"/>
            <w:shd w:val="clear" w:color="auto" w:fill="000000"/>
          </w:tcPr>
          <w:p>
            <w:pPr>
              <w:spacing w:after="0"/>
              <w:rPr>
                <w:sz w:val="7"/>
                <w:szCs w:val="7"/>
                <w:color w:val="auto"/>
              </w:rPr>
            </w:pPr>
          </w:p>
        </w:tc>
        <w:tc>
          <w:tcPr>
            <w:tcW w:w="820" w:type="dxa"/>
            <w:vAlign w:val="bottom"/>
            <w:shd w:val="clear" w:color="auto" w:fill="000000"/>
          </w:tcPr>
          <w:p>
            <w:pPr>
              <w:spacing w:after="0"/>
              <w:rPr>
                <w:sz w:val="7"/>
                <w:szCs w:val="7"/>
                <w:color w:val="auto"/>
              </w:rPr>
            </w:pPr>
          </w:p>
        </w:tc>
        <w:tc>
          <w:tcPr>
            <w:tcW w:w="50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r>
    </w:tbl>
    <w:p>
      <w:pPr>
        <w:sectPr>
          <w:pgSz w:w="11900" w:h="16838" w:orient="portrait"/>
          <w:cols w:equalWidth="0" w:num="1">
            <w:col w:w="10219"/>
          </w:cols>
          <w:pgMar w:left="240" w:top="135" w:right="1440" w:bottom="1440" w:gutter="0" w:footer="0" w:header="0"/>
        </w:sectPr>
      </w:pPr>
    </w:p>
    <w:bookmarkStart w:id="62" w:name="page63"/>
    <w:bookmarkEnd w:id="62"/>
    <w:p>
      <w:pPr>
        <w:spacing w:after="0"/>
        <w:rPr>
          <w:sz w:val="20"/>
          <w:szCs w:val="20"/>
          <w:color w:val="auto"/>
        </w:rPr>
      </w:pPr>
      <w:r>
        <w:rPr>
          <w:rFonts w:ascii="Arial" w:cs="Arial" w:eastAsia="Arial" w:hAnsi="Arial"/>
          <w:sz w:val="16"/>
          <w:szCs w:val="16"/>
          <w:b w:val="1"/>
          <w:bCs w:val="1"/>
          <w:color w:val="auto"/>
        </w:rPr>
        <w:t>SEGMENT INFORMATION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5685790" cy="2317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8579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5"/>
          </w:tcPr>
          <w:p>
            <w:pPr>
              <w:jc w:val="right"/>
              <w:ind w:right="239"/>
              <w:spacing w:after="0"/>
              <w:rPr>
                <w:sz w:val="20"/>
                <w:szCs w:val="20"/>
                <w:color w:val="auto"/>
              </w:rPr>
            </w:pPr>
            <w:r>
              <w:rPr>
                <w:rFonts w:ascii="Arial" w:cs="Arial" w:eastAsia="Arial" w:hAnsi="Arial"/>
                <w:sz w:val="14"/>
                <w:szCs w:val="14"/>
                <w:color w:val="auto"/>
              </w:rPr>
              <w:t>Three months ended March 31,</w:t>
            </w:r>
          </w:p>
        </w:tc>
        <w:tc>
          <w:tcPr>
            <w:tcW w:w="5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8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2010</w:t>
            </w:r>
          </w:p>
        </w:tc>
        <w:tc>
          <w:tcPr>
            <w:tcW w:w="5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rPr>
              <w:t>2009</w:t>
            </w:r>
          </w:p>
        </w:tc>
        <w:tc>
          <w:tcPr>
            <w:tcW w:w="5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800" w:type="dxa"/>
            <w:vAlign w:val="bottom"/>
          </w:tcPr>
          <w:p>
            <w:pPr>
              <w:spacing w:after="0"/>
              <w:rPr>
                <w:sz w:val="20"/>
                <w:szCs w:val="20"/>
                <w:color w:val="auto"/>
              </w:rPr>
            </w:pPr>
            <w:r>
              <w:rPr>
                <w:rFonts w:ascii="Arial" w:cs="Arial" w:eastAsia="Arial" w:hAnsi="Arial"/>
                <w:sz w:val="16"/>
                <w:szCs w:val="16"/>
                <w:color w:val="auto"/>
              </w:rPr>
              <w:t>EQUITY EARNINGS (LOSSES)</w:t>
            </w: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0" w:type="dxa"/>
            <w:vAlign w:val="bottom"/>
          </w:tcPr>
          <w:p>
            <w:pPr>
              <w:ind w:left="60"/>
              <w:spacing w:after="0"/>
              <w:rPr>
                <w:sz w:val="20"/>
                <w:szCs w:val="20"/>
                <w:color w:val="auto"/>
              </w:rPr>
            </w:pPr>
            <w:r>
              <w:rPr>
                <w:rFonts w:ascii="Arial" w:cs="Arial" w:eastAsia="Arial" w:hAnsi="Arial"/>
                <w:sz w:val="16"/>
                <w:szCs w:val="16"/>
                <w:color w:val="auto"/>
              </w:rPr>
              <w:t>Earnings (losses) recorded before tax:</w:t>
            </w: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0" w:type="dxa"/>
            <w:vAlign w:val="bottom"/>
          </w:tcPr>
          <w:p>
            <w:pPr>
              <w:ind w:left="140"/>
              <w:spacing w:after="0"/>
              <w:rPr>
                <w:sz w:val="20"/>
                <w:szCs w:val="20"/>
                <w:color w:val="auto"/>
              </w:rPr>
            </w:pPr>
            <w:r>
              <w:rPr>
                <w:rFonts w:ascii="Arial" w:cs="Arial" w:eastAsia="Arial" w:hAnsi="Arial"/>
                <w:sz w:val="16"/>
                <w:szCs w:val="16"/>
                <w:color w:val="auto"/>
              </w:rPr>
              <w:t>Sempra Commodities</w:t>
            </w: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7</w:t>
            </w: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153</w:t>
            </w: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0" w:type="dxa"/>
            <w:vAlign w:val="bottom"/>
          </w:tcPr>
          <w:p>
            <w:pPr>
              <w:ind w:left="140"/>
              <w:spacing w:after="0"/>
              <w:rPr>
                <w:sz w:val="20"/>
                <w:szCs w:val="20"/>
                <w:color w:val="auto"/>
              </w:rPr>
            </w:pPr>
            <w:r>
              <w:rPr>
                <w:rFonts w:ascii="Arial" w:cs="Arial" w:eastAsia="Arial" w:hAnsi="Arial"/>
                <w:sz w:val="16"/>
                <w:szCs w:val="16"/>
                <w:color w:val="auto"/>
              </w:rPr>
              <w:t>Sempra Pipelines &amp; Storage</w:t>
            </w:r>
          </w:p>
        </w:tc>
        <w:tc>
          <w:tcPr>
            <w:tcW w:w="420" w:type="dxa"/>
            <w:vAlign w:val="bottom"/>
          </w:tcPr>
          <w:p>
            <w:pPr>
              <w:spacing w:after="0"/>
              <w:rPr>
                <w:sz w:val="16"/>
                <w:szCs w:val="16"/>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10</w:t>
            </w: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10</w:t>
            </w: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800" w:type="dxa"/>
            <w:vAlign w:val="bottom"/>
          </w:tcPr>
          <w:p>
            <w:pPr>
              <w:ind w:left="140"/>
              <w:spacing w:after="0"/>
              <w:rPr>
                <w:sz w:val="20"/>
                <w:szCs w:val="20"/>
                <w:color w:val="auto"/>
              </w:rPr>
            </w:pPr>
            <w:r>
              <w:rPr>
                <w:rFonts w:ascii="Arial" w:cs="Arial" w:eastAsia="Arial" w:hAnsi="Arial"/>
                <w:sz w:val="16"/>
                <w:szCs w:val="16"/>
                <w:color w:val="auto"/>
              </w:rPr>
              <w:t>All other</w:t>
            </w: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w:t>
            </w:r>
          </w:p>
        </w:tc>
        <w:tc>
          <w:tcPr>
            <w:tcW w:w="5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w:t>
            </w:r>
          </w:p>
        </w:tc>
        <w:tc>
          <w:tcPr>
            <w:tcW w:w="5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800" w:type="dxa"/>
            <w:vAlign w:val="bottom"/>
            <w:vMerge w:val="restart"/>
          </w:tcPr>
          <w:p>
            <w:pPr>
              <w:ind w:left="320"/>
              <w:spacing w:after="0"/>
              <w:rPr>
                <w:sz w:val="20"/>
                <w:szCs w:val="20"/>
                <w:color w:val="auto"/>
              </w:rPr>
            </w:pPr>
            <w:r>
              <w:rPr>
                <w:rFonts w:ascii="Arial" w:cs="Arial" w:eastAsia="Arial" w:hAnsi="Arial"/>
                <w:sz w:val="16"/>
                <w:szCs w:val="16"/>
                <w:color w:val="auto"/>
              </w:rPr>
              <w:t>Total</w:t>
            </w:r>
          </w:p>
        </w:tc>
        <w:tc>
          <w:tcPr>
            <w:tcW w:w="420" w:type="dxa"/>
            <w:vAlign w:val="bottom"/>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900" w:type="dxa"/>
            <w:vAlign w:val="bottom"/>
          </w:tcPr>
          <w:p>
            <w:pPr>
              <w:jc w:val="right"/>
              <w:ind w:right="140"/>
              <w:spacing w:after="0" w:line="183" w:lineRule="exact"/>
              <w:rPr>
                <w:sz w:val="20"/>
                <w:szCs w:val="20"/>
                <w:color w:val="auto"/>
              </w:rPr>
            </w:pPr>
            <w:r>
              <w:rPr>
                <w:rFonts w:ascii="Arial" w:cs="Arial" w:eastAsia="Arial" w:hAnsi="Arial"/>
                <w:sz w:val="16"/>
                <w:szCs w:val="16"/>
                <w:color w:val="auto"/>
              </w:rPr>
              <w:t>15</w:t>
            </w: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960" w:type="dxa"/>
            <w:vAlign w:val="bottom"/>
          </w:tcPr>
          <w:p>
            <w:pPr>
              <w:jc w:val="right"/>
              <w:ind w:right="139"/>
              <w:spacing w:after="0" w:line="183" w:lineRule="exact"/>
              <w:rPr>
                <w:sz w:val="20"/>
                <w:szCs w:val="20"/>
                <w:color w:val="auto"/>
              </w:rPr>
            </w:pPr>
            <w:r>
              <w:rPr>
                <w:rFonts w:ascii="Arial" w:cs="Arial" w:eastAsia="Arial" w:hAnsi="Arial"/>
                <w:sz w:val="16"/>
                <w:szCs w:val="16"/>
                <w:color w:val="auto"/>
              </w:rPr>
              <w:t>160</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4800" w:type="dxa"/>
            <w:vAlign w:val="bottom"/>
            <w:vMerge w:val="continue"/>
          </w:tcPr>
          <w:p>
            <w:pPr>
              <w:spacing w:after="0"/>
              <w:rPr>
                <w:sz w:val="7"/>
                <w:szCs w:val="7"/>
                <w:color w:val="auto"/>
              </w:rPr>
            </w:pPr>
          </w:p>
        </w:tc>
        <w:tc>
          <w:tcPr>
            <w:tcW w:w="420" w:type="dxa"/>
            <w:vAlign w:val="bottom"/>
            <w:shd w:val="clear" w:color="auto" w:fill="000000"/>
          </w:tcPr>
          <w:p>
            <w:pPr>
              <w:spacing w:after="0"/>
              <w:rPr>
                <w:sz w:val="7"/>
                <w:szCs w:val="7"/>
                <w:color w:val="auto"/>
              </w:rPr>
            </w:pPr>
          </w:p>
        </w:tc>
        <w:tc>
          <w:tcPr>
            <w:tcW w:w="900" w:type="dxa"/>
            <w:vAlign w:val="bottom"/>
            <w:shd w:val="clear" w:color="auto" w:fill="000000"/>
          </w:tcPr>
          <w:p>
            <w:pPr>
              <w:spacing w:after="0"/>
              <w:rPr>
                <w:sz w:val="7"/>
                <w:szCs w:val="7"/>
                <w:color w:val="auto"/>
              </w:rPr>
            </w:pPr>
          </w:p>
        </w:tc>
        <w:tc>
          <w:tcPr>
            <w:tcW w:w="50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960" w:type="dxa"/>
            <w:vAlign w:val="bottom"/>
            <w:shd w:val="clear" w:color="auto" w:fill="000000"/>
          </w:tcPr>
          <w:p>
            <w:pPr>
              <w:spacing w:after="0"/>
              <w:rPr>
                <w:sz w:val="7"/>
                <w:szCs w:val="7"/>
                <w:color w:val="auto"/>
              </w:rPr>
            </w:pPr>
          </w:p>
        </w:tc>
        <w:tc>
          <w:tcPr>
            <w:tcW w:w="50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4800" w:type="dxa"/>
            <w:vAlign w:val="bottom"/>
          </w:tcPr>
          <w:p>
            <w:pPr>
              <w:ind w:left="60"/>
              <w:spacing w:after="0"/>
              <w:rPr>
                <w:sz w:val="20"/>
                <w:szCs w:val="20"/>
                <w:color w:val="auto"/>
              </w:rPr>
            </w:pPr>
            <w:r>
              <w:rPr>
                <w:rFonts w:ascii="Arial" w:cs="Arial" w:eastAsia="Arial" w:hAnsi="Arial"/>
                <w:sz w:val="16"/>
                <w:szCs w:val="16"/>
                <w:color w:val="auto"/>
              </w:rPr>
              <w:t>Earnings recorded net of tax:</w:t>
            </w: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800" w:type="dxa"/>
            <w:vAlign w:val="bottom"/>
          </w:tcPr>
          <w:p>
            <w:pPr>
              <w:ind w:left="140"/>
              <w:spacing w:after="0"/>
              <w:rPr>
                <w:sz w:val="20"/>
                <w:szCs w:val="20"/>
                <w:color w:val="auto"/>
              </w:rPr>
            </w:pPr>
            <w:r>
              <w:rPr>
                <w:rFonts w:ascii="Arial" w:cs="Arial" w:eastAsia="Arial" w:hAnsi="Arial"/>
                <w:sz w:val="16"/>
                <w:szCs w:val="16"/>
                <w:color w:val="auto"/>
              </w:rPr>
              <w:t>Sempra Pipelines &amp; Storage</w:t>
            </w: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19</w:t>
            </w: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16</w:t>
            </w: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4800" w:type="dxa"/>
            <w:vAlign w:val="bottom"/>
            <w:shd w:val="clear" w:color="auto" w:fill="000000"/>
          </w:tcPr>
          <w:p>
            <w:pPr>
              <w:spacing w:after="0"/>
              <w:rPr>
                <w:sz w:val="7"/>
                <w:szCs w:val="7"/>
                <w:color w:val="auto"/>
              </w:rPr>
            </w:pPr>
          </w:p>
        </w:tc>
        <w:tc>
          <w:tcPr>
            <w:tcW w:w="420" w:type="dxa"/>
            <w:vAlign w:val="bottom"/>
            <w:shd w:val="clear" w:color="auto" w:fill="000000"/>
          </w:tcPr>
          <w:p>
            <w:pPr>
              <w:spacing w:after="0"/>
              <w:rPr>
                <w:sz w:val="7"/>
                <w:szCs w:val="7"/>
                <w:color w:val="auto"/>
              </w:rPr>
            </w:pPr>
          </w:p>
        </w:tc>
        <w:tc>
          <w:tcPr>
            <w:tcW w:w="900" w:type="dxa"/>
            <w:vAlign w:val="bottom"/>
            <w:shd w:val="clear" w:color="auto" w:fill="000000"/>
          </w:tcPr>
          <w:p>
            <w:pPr>
              <w:spacing w:after="0"/>
              <w:rPr>
                <w:sz w:val="7"/>
                <w:szCs w:val="7"/>
                <w:color w:val="auto"/>
              </w:rPr>
            </w:pPr>
          </w:p>
        </w:tc>
        <w:tc>
          <w:tcPr>
            <w:tcW w:w="50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960" w:type="dxa"/>
            <w:vAlign w:val="bottom"/>
            <w:shd w:val="clear" w:color="auto" w:fill="000000"/>
          </w:tcPr>
          <w:p>
            <w:pPr>
              <w:spacing w:after="0"/>
              <w:rPr>
                <w:sz w:val="7"/>
                <w:szCs w:val="7"/>
                <w:color w:val="auto"/>
              </w:rPr>
            </w:pPr>
          </w:p>
        </w:tc>
        <w:tc>
          <w:tcPr>
            <w:tcW w:w="50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4800" w:type="dxa"/>
            <w:vAlign w:val="bottom"/>
          </w:tcPr>
          <w:p>
            <w:pPr>
              <w:spacing w:after="0"/>
              <w:rPr>
                <w:sz w:val="20"/>
                <w:szCs w:val="20"/>
                <w:color w:val="auto"/>
              </w:rPr>
            </w:pPr>
            <w:r>
              <w:rPr>
                <w:rFonts w:ascii="Arial" w:cs="Arial" w:eastAsia="Arial" w:hAnsi="Arial"/>
                <w:sz w:val="16"/>
                <w:szCs w:val="16"/>
                <w:color w:val="auto"/>
              </w:rPr>
              <w:t>EARNINGS (LOSSES)</w:t>
            </w: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0" w:type="dxa"/>
            <w:vAlign w:val="bottom"/>
          </w:tcPr>
          <w:p>
            <w:pPr>
              <w:ind w:left="140"/>
              <w:spacing w:after="0"/>
              <w:rPr>
                <w:sz w:val="20"/>
                <w:szCs w:val="20"/>
                <w:color w:val="auto"/>
              </w:rPr>
            </w:pPr>
            <w:r>
              <w:rPr>
                <w:rFonts w:ascii="Arial" w:cs="Arial" w:eastAsia="Arial" w:hAnsi="Arial"/>
                <w:sz w:val="16"/>
                <w:szCs w:val="16"/>
                <w:color w:val="auto"/>
              </w:rPr>
              <w:t>SDG&amp;E(1)</w:t>
            </w: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83</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78</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99</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800" w:type="dxa"/>
            <w:vAlign w:val="bottom"/>
          </w:tcPr>
          <w:p>
            <w:pPr>
              <w:ind w:left="140"/>
              <w:spacing w:after="0"/>
              <w:rPr>
                <w:sz w:val="20"/>
                <w:szCs w:val="20"/>
                <w:color w:val="auto"/>
              </w:rPr>
            </w:pPr>
            <w:r>
              <w:rPr>
                <w:rFonts w:ascii="Arial" w:cs="Arial" w:eastAsia="Arial" w:hAnsi="Arial"/>
                <w:sz w:val="16"/>
                <w:szCs w:val="16"/>
                <w:color w:val="auto"/>
              </w:rPr>
              <w:t>SoCalGas(1)</w:t>
            </w:r>
          </w:p>
        </w:tc>
        <w:tc>
          <w:tcPr>
            <w:tcW w:w="420" w:type="dxa"/>
            <w:vAlign w:val="bottom"/>
          </w:tcPr>
          <w:p>
            <w:pPr>
              <w:spacing w:after="0"/>
              <w:rPr>
                <w:sz w:val="16"/>
                <w:szCs w:val="16"/>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65</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61</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59</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0" w:type="dxa"/>
            <w:vAlign w:val="bottom"/>
          </w:tcPr>
          <w:p>
            <w:pPr>
              <w:ind w:left="140"/>
              <w:spacing w:after="0"/>
              <w:rPr>
                <w:sz w:val="20"/>
                <w:szCs w:val="20"/>
                <w:color w:val="auto"/>
              </w:rPr>
            </w:pPr>
            <w:r>
              <w:rPr>
                <w:rFonts w:ascii="Arial" w:cs="Arial" w:eastAsia="Arial" w:hAnsi="Arial"/>
                <w:sz w:val="16"/>
                <w:szCs w:val="16"/>
                <w:color w:val="auto"/>
              </w:rPr>
              <w:t>Sempra Commodities</w:t>
            </w:r>
          </w:p>
        </w:tc>
        <w:tc>
          <w:tcPr>
            <w:tcW w:w="420" w:type="dxa"/>
            <w:vAlign w:val="bottom"/>
          </w:tcPr>
          <w:p>
            <w:pPr>
              <w:spacing w:after="0"/>
              <w:rPr>
                <w:sz w:val="16"/>
                <w:szCs w:val="16"/>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(5)</w:t>
            </w:r>
          </w:p>
        </w:tc>
        <w:tc>
          <w:tcPr>
            <w:tcW w:w="500" w:type="dxa"/>
            <w:vAlign w:val="bottom"/>
          </w:tcPr>
          <w:p>
            <w:pPr>
              <w:jc w:val="right"/>
              <w:spacing w:after="0"/>
              <w:rPr>
                <w:sz w:val="20"/>
                <w:szCs w:val="20"/>
                <w:color w:val="auto"/>
              </w:rPr>
            </w:pPr>
            <w:r>
              <w:rPr>
                <w:rFonts w:ascii="Arial" w:cs="Arial" w:eastAsia="Arial" w:hAnsi="Arial"/>
                <w:sz w:val="16"/>
                <w:szCs w:val="16"/>
                <w:color w:val="auto"/>
              </w:rPr>
              <w:t>(4)</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114</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36</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0" w:type="dxa"/>
            <w:vAlign w:val="bottom"/>
          </w:tcPr>
          <w:p>
            <w:pPr>
              <w:ind w:left="140"/>
              <w:spacing w:after="0"/>
              <w:rPr>
                <w:sz w:val="20"/>
                <w:szCs w:val="20"/>
                <w:color w:val="auto"/>
              </w:rPr>
            </w:pPr>
            <w:r>
              <w:rPr>
                <w:rFonts w:ascii="Arial" w:cs="Arial" w:eastAsia="Arial" w:hAnsi="Arial"/>
                <w:sz w:val="16"/>
                <w:szCs w:val="16"/>
                <w:color w:val="auto"/>
              </w:rPr>
              <w:t>Sempra Generation</w:t>
            </w:r>
          </w:p>
        </w:tc>
        <w:tc>
          <w:tcPr>
            <w:tcW w:w="420" w:type="dxa"/>
            <w:vAlign w:val="bottom"/>
          </w:tcPr>
          <w:p>
            <w:pPr>
              <w:spacing w:after="0"/>
              <w:rPr>
                <w:sz w:val="16"/>
                <w:szCs w:val="16"/>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(53)</w:t>
            </w:r>
          </w:p>
        </w:tc>
        <w:tc>
          <w:tcPr>
            <w:tcW w:w="500" w:type="dxa"/>
            <w:vAlign w:val="bottom"/>
          </w:tcPr>
          <w:p>
            <w:pPr>
              <w:jc w:val="right"/>
              <w:spacing w:after="0"/>
              <w:rPr>
                <w:sz w:val="20"/>
                <w:szCs w:val="20"/>
                <w:color w:val="auto"/>
              </w:rPr>
            </w:pPr>
            <w:r>
              <w:rPr>
                <w:rFonts w:ascii="Arial" w:cs="Arial" w:eastAsia="Arial" w:hAnsi="Arial"/>
                <w:sz w:val="16"/>
                <w:szCs w:val="16"/>
                <w:color w:val="auto"/>
              </w:rPr>
              <w:t>(50)</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43</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0" w:type="dxa"/>
            <w:vAlign w:val="bottom"/>
          </w:tcPr>
          <w:p>
            <w:pPr>
              <w:ind w:left="140"/>
              <w:spacing w:after="0"/>
              <w:rPr>
                <w:sz w:val="20"/>
                <w:szCs w:val="20"/>
                <w:color w:val="auto"/>
              </w:rPr>
            </w:pPr>
            <w:r>
              <w:rPr>
                <w:rFonts w:ascii="Arial" w:cs="Arial" w:eastAsia="Arial" w:hAnsi="Arial"/>
                <w:sz w:val="16"/>
                <w:szCs w:val="16"/>
                <w:color w:val="auto"/>
              </w:rPr>
              <w:t>Sempra Pipelines &amp; Storage</w:t>
            </w:r>
          </w:p>
        </w:tc>
        <w:tc>
          <w:tcPr>
            <w:tcW w:w="420" w:type="dxa"/>
            <w:vAlign w:val="bottom"/>
          </w:tcPr>
          <w:p>
            <w:pPr>
              <w:spacing w:after="0"/>
              <w:rPr>
                <w:sz w:val="16"/>
                <w:szCs w:val="16"/>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38</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36</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37</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0" w:type="dxa"/>
            <w:vAlign w:val="bottom"/>
          </w:tcPr>
          <w:p>
            <w:pPr>
              <w:ind w:left="140"/>
              <w:spacing w:after="0"/>
              <w:rPr>
                <w:sz w:val="20"/>
                <w:szCs w:val="20"/>
                <w:color w:val="auto"/>
              </w:rPr>
            </w:pPr>
            <w:r>
              <w:rPr>
                <w:rFonts w:ascii="Arial" w:cs="Arial" w:eastAsia="Arial" w:hAnsi="Arial"/>
                <w:sz w:val="16"/>
                <w:szCs w:val="16"/>
                <w:color w:val="auto"/>
              </w:rPr>
              <w:t>Sempra LNG</w:t>
            </w:r>
          </w:p>
        </w:tc>
        <w:tc>
          <w:tcPr>
            <w:tcW w:w="420" w:type="dxa"/>
            <w:vAlign w:val="bottom"/>
          </w:tcPr>
          <w:p>
            <w:pPr>
              <w:spacing w:after="0"/>
              <w:rPr>
                <w:sz w:val="16"/>
                <w:szCs w:val="16"/>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32</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(7)</w:t>
            </w:r>
          </w:p>
        </w:tc>
        <w:tc>
          <w:tcPr>
            <w:tcW w:w="500" w:type="dxa"/>
            <w:vAlign w:val="bottom"/>
          </w:tcPr>
          <w:p>
            <w:pPr>
              <w:jc w:val="right"/>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800" w:type="dxa"/>
            <w:vAlign w:val="bottom"/>
          </w:tcPr>
          <w:p>
            <w:pPr>
              <w:ind w:left="140"/>
              <w:spacing w:after="0"/>
              <w:rPr>
                <w:sz w:val="20"/>
                <w:szCs w:val="20"/>
                <w:color w:val="auto"/>
              </w:rPr>
            </w:pPr>
            <w:r>
              <w:rPr>
                <w:rFonts w:ascii="Arial" w:cs="Arial" w:eastAsia="Arial" w:hAnsi="Arial"/>
                <w:sz w:val="16"/>
                <w:szCs w:val="16"/>
                <w:color w:val="auto"/>
              </w:rPr>
              <w:t>All other</w:t>
            </w: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(54)</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3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(29)</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800" w:type="dxa"/>
            <w:vAlign w:val="bottom"/>
          </w:tcPr>
          <w:p>
            <w:pPr>
              <w:ind w:left="320"/>
              <w:spacing w:after="0" w:line="183" w:lineRule="exact"/>
              <w:rPr>
                <w:sz w:val="20"/>
                <w:szCs w:val="20"/>
                <w:color w:val="auto"/>
              </w:rPr>
            </w:pPr>
            <w:r>
              <w:rPr>
                <w:rFonts w:ascii="Arial" w:cs="Arial" w:eastAsia="Arial" w:hAnsi="Arial"/>
                <w:sz w:val="16"/>
                <w:szCs w:val="16"/>
                <w:color w:val="auto"/>
              </w:rPr>
              <w:t>Total</w:t>
            </w:r>
          </w:p>
        </w:tc>
        <w:tc>
          <w:tcPr>
            <w:tcW w:w="420" w:type="dxa"/>
            <w:vAlign w:val="bottom"/>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900" w:type="dxa"/>
            <w:vAlign w:val="bottom"/>
          </w:tcPr>
          <w:p>
            <w:pPr>
              <w:jc w:val="right"/>
              <w:ind w:right="140"/>
              <w:spacing w:after="0" w:line="183" w:lineRule="exact"/>
              <w:rPr>
                <w:sz w:val="20"/>
                <w:szCs w:val="20"/>
                <w:color w:val="auto"/>
              </w:rPr>
            </w:pPr>
            <w:r>
              <w:rPr>
                <w:rFonts w:ascii="Arial" w:cs="Arial" w:eastAsia="Arial" w:hAnsi="Arial"/>
                <w:sz w:val="16"/>
                <w:szCs w:val="16"/>
                <w:color w:val="auto"/>
              </w:rPr>
              <w:t>106</w:t>
            </w:r>
          </w:p>
        </w:tc>
        <w:tc>
          <w:tcPr>
            <w:tcW w:w="500" w:type="dxa"/>
            <w:vAlign w:val="bottom"/>
          </w:tcPr>
          <w:p>
            <w:pPr>
              <w:jc w:val="right"/>
              <w:ind w:right="19"/>
              <w:spacing w:after="0" w:line="183" w:lineRule="exact"/>
              <w:rPr>
                <w:sz w:val="20"/>
                <w:szCs w:val="20"/>
                <w:color w:val="auto"/>
              </w:rPr>
            </w:pPr>
            <w:r>
              <w:rPr>
                <w:rFonts w:ascii="Arial" w:cs="Arial" w:eastAsia="Arial" w:hAnsi="Arial"/>
                <w:sz w:val="16"/>
                <w:szCs w:val="16"/>
                <w:color w:val="auto"/>
              </w:rPr>
              <w:t>100</w:t>
            </w:r>
          </w:p>
        </w:tc>
        <w:tc>
          <w:tcPr>
            <w:tcW w:w="340" w:type="dxa"/>
            <w:vAlign w:val="bottom"/>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28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960" w:type="dxa"/>
            <w:vAlign w:val="bottom"/>
          </w:tcPr>
          <w:p>
            <w:pPr>
              <w:jc w:val="right"/>
              <w:ind w:right="139"/>
              <w:spacing w:after="0" w:line="183" w:lineRule="exact"/>
              <w:rPr>
                <w:sz w:val="20"/>
                <w:szCs w:val="20"/>
                <w:color w:val="auto"/>
              </w:rPr>
            </w:pPr>
            <w:r>
              <w:rPr>
                <w:rFonts w:ascii="Arial" w:cs="Arial" w:eastAsia="Arial" w:hAnsi="Arial"/>
                <w:sz w:val="16"/>
                <w:szCs w:val="16"/>
                <w:color w:val="auto"/>
              </w:rPr>
              <w:t>316</w:t>
            </w:r>
          </w:p>
        </w:tc>
        <w:tc>
          <w:tcPr>
            <w:tcW w:w="500" w:type="dxa"/>
            <w:vAlign w:val="bottom"/>
          </w:tcPr>
          <w:p>
            <w:pPr>
              <w:jc w:val="right"/>
              <w:ind w:right="19"/>
              <w:spacing w:after="0" w:line="183" w:lineRule="exact"/>
              <w:rPr>
                <w:sz w:val="20"/>
                <w:szCs w:val="20"/>
                <w:color w:val="auto"/>
              </w:rPr>
            </w:pPr>
            <w:r>
              <w:rPr>
                <w:rFonts w:ascii="Arial" w:cs="Arial" w:eastAsia="Arial" w:hAnsi="Arial"/>
                <w:sz w:val="16"/>
                <w:szCs w:val="16"/>
                <w:color w:val="auto"/>
              </w:rPr>
              <w:t>100</w:t>
            </w:r>
          </w:p>
        </w:tc>
        <w:tc>
          <w:tcPr>
            <w:tcW w:w="26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1"/>
        </w:trPr>
        <w:tc>
          <w:tcPr>
            <w:tcW w:w="4800" w:type="dxa"/>
            <w:vAlign w:val="bottom"/>
            <w:shd w:val="clear" w:color="auto" w:fill="000000"/>
          </w:tcPr>
          <w:p>
            <w:pPr>
              <w:spacing w:after="0"/>
              <w:rPr>
                <w:sz w:val="7"/>
                <w:szCs w:val="7"/>
                <w:color w:val="auto"/>
              </w:rPr>
            </w:pPr>
          </w:p>
        </w:tc>
        <w:tc>
          <w:tcPr>
            <w:tcW w:w="420" w:type="dxa"/>
            <w:vAlign w:val="bottom"/>
            <w:shd w:val="clear" w:color="auto" w:fill="000000"/>
          </w:tcPr>
          <w:p>
            <w:pPr>
              <w:spacing w:after="0"/>
              <w:rPr>
                <w:sz w:val="7"/>
                <w:szCs w:val="7"/>
                <w:color w:val="auto"/>
              </w:rPr>
            </w:pPr>
          </w:p>
        </w:tc>
        <w:tc>
          <w:tcPr>
            <w:tcW w:w="900" w:type="dxa"/>
            <w:vAlign w:val="bottom"/>
            <w:shd w:val="clear" w:color="auto" w:fill="000000"/>
          </w:tcPr>
          <w:p>
            <w:pPr>
              <w:spacing w:after="0"/>
              <w:rPr>
                <w:sz w:val="7"/>
                <w:szCs w:val="7"/>
                <w:color w:val="auto"/>
              </w:rPr>
            </w:pPr>
          </w:p>
        </w:tc>
        <w:tc>
          <w:tcPr>
            <w:tcW w:w="50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960" w:type="dxa"/>
            <w:vAlign w:val="bottom"/>
            <w:shd w:val="clear" w:color="auto" w:fill="000000"/>
          </w:tcPr>
          <w:p>
            <w:pPr>
              <w:spacing w:after="0"/>
              <w:rPr>
                <w:sz w:val="7"/>
                <w:szCs w:val="7"/>
                <w:color w:val="auto"/>
              </w:rPr>
            </w:pPr>
          </w:p>
        </w:tc>
        <w:tc>
          <w:tcPr>
            <w:tcW w:w="50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380"/>
        </w:trPr>
        <w:tc>
          <w:tcPr>
            <w:tcW w:w="4800" w:type="dxa"/>
            <w:vAlign w:val="bottom"/>
          </w:tcPr>
          <w:p>
            <w:pPr>
              <w:spacing w:after="0"/>
              <w:rPr>
                <w:sz w:val="20"/>
                <w:szCs w:val="20"/>
                <w:color w:val="auto"/>
              </w:rPr>
            </w:pPr>
            <w:r>
              <w:rPr>
                <w:rFonts w:ascii="Arial" w:cs="Arial" w:eastAsia="Arial" w:hAnsi="Arial"/>
                <w:sz w:val="16"/>
                <w:szCs w:val="16"/>
                <w:color w:val="auto"/>
              </w:rPr>
              <w:t>EXPENDITURES FOR PROPERTY PLANT &amp; EQUIPMENT</w:t>
            </w: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800" w:type="dxa"/>
            <w:vAlign w:val="bottom"/>
          </w:tcPr>
          <w:p>
            <w:pPr>
              <w:ind w:left="140"/>
              <w:spacing w:after="0"/>
              <w:rPr>
                <w:sz w:val="20"/>
                <w:szCs w:val="20"/>
                <w:color w:val="auto"/>
              </w:rPr>
            </w:pPr>
            <w:r>
              <w:rPr>
                <w:rFonts w:ascii="Arial" w:cs="Arial" w:eastAsia="Arial" w:hAnsi="Arial"/>
                <w:sz w:val="16"/>
                <w:szCs w:val="16"/>
                <w:color w:val="auto"/>
              </w:rPr>
              <w:t>SDG&amp;E</w:t>
            </w: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290</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65</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229</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46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800" w:type="dxa"/>
            <w:vAlign w:val="bottom"/>
          </w:tcPr>
          <w:p>
            <w:pPr>
              <w:ind w:left="140"/>
              <w:spacing w:after="0"/>
              <w:rPr>
                <w:sz w:val="20"/>
                <w:szCs w:val="20"/>
                <w:color w:val="auto"/>
              </w:rPr>
            </w:pPr>
            <w:r>
              <w:rPr>
                <w:rFonts w:ascii="Arial" w:cs="Arial" w:eastAsia="Arial" w:hAnsi="Arial"/>
                <w:sz w:val="16"/>
                <w:szCs w:val="16"/>
                <w:color w:val="auto"/>
              </w:rPr>
              <w:t>SoCalGas</w:t>
            </w:r>
          </w:p>
        </w:tc>
        <w:tc>
          <w:tcPr>
            <w:tcW w:w="420" w:type="dxa"/>
            <w:vAlign w:val="bottom"/>
          </w:tcPr>
          <w:p>
            <w:pPr>
              <w:spacing w:after="0"/>
              <w:rPr>
                <w:sz w:val="16"/>
                <w:szCs w:val="16"/>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114</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112</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0" w:type="dxa"/>
            <w:vAlign w:val="bottom"/>
          </w:tcPr>
          <w:p>
            <w:pPr>
              <w:ind w:left="140"/>
              <w:spacing w:after="0"/>
              <w:rPr>
                <w:sz w:val="20"/>
                <w:szCs w:val="20"/>
                <w:color w:val="auto"/>
              </w:rPr>
            </w:pPr>
            <w:r>
              <w:rPr>
                <w:rFonts w:ascii="Arial" w:cs="Arial" w:eastAsia="Arial" w:hAnsi="Arial"/>
                <w:sz w:val="16"/>
                <w:szCs w:val="16"/>
                <w:color w:val="auto"/>
              </w:rPr>
              <w:t>Sempra Generation</w:t>
            </w:r>
          </w:p>
        </w:tc>
        <w:tc>
          <w:tcPr>
            <w:tcW w:w="420" w:type="dxa"/>
            <w:vAlign w:val="bottom"/>
          </w:tcPr>
          <w:p>
            <w:pPr>
              <w:spacing w:after="0"/>
              <w:rPr>
                <w:sz w:val="16"/>
                <w:szCs w:val="16"/>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4</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3</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0" w:type="dxa"/>
            <w:vAlign w:val="bottom"/>
          </w:tcPr>
          <w:p>
            <w:pPr>
              <w:ind w:left="140"/>
              <w:spacing w:after="0"/>
              <w:rPr>
                <w:sz w:val="20"/>
                <w:szCs w:val="20"/>
                <w:color w:val="auto"/>
              </w:rPr>
            </w:pPr>
            <w:r>
              <w:rPr>
                <w:rFonts w:ascii="Arial" w:cs="Arial" w:eastAsia="Arial" w:hAnsi="Arial"/>
                <w:sz w:val="16"/>
                <w:szCs w:val="16"/>
                <w:color w:val="auto"/>
              </w:rPr>
              <w:t>Sempra Pipelines &amp; Storage</w:t>
            </w:r>
          </w:p>
        </w:tc>
        <w:tc>
          <w:tcPr>
            <w:tcW w:w="420" w:type="dxa"/>
            <w:vAlign w:val="bottom"/>
          </w:tcPr>
          <w:p>
            <w:pPr>
              <w:spacing w:after="0"/>
              <w:rPr>
                <w:sz w:val="16"/>
                <w:szCs w:val="16"/>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36</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76</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0" w:type="dxa"/>
            <w:vAlign w:val="bottom"/>
          </w:tcPr>
          <w:p>
            <w:pPr>
              <w:ind w:left="140"/>
              <w:spacing w:after="0"/>
              <w:rPr>
                <w:sz w:val="20"/>
                <w:szCs w:val="20"/>
                <w:color w:val="auto"/>
              </w:rPr>
            </w:pPr>
            <w:r>
              <w:rPr>
                <w:rFonts w:ascii="Arial" w:cs="Arial" w:eastAsia="Arial" w:hAnsi="Arial"/>
                <w:sz w:val="16"/>
                <w:szCs w:val="16"/>
                <w:color w:val="auto"/>
              </w:rPr>
              <w:t>Sempra LNG</w:t>
            </w:r>
          </w:p>
        </w:tc>
        <w:tc>
          <w:tcPr>
            <w:tcW w:w="420" w:type="dxa"/>
            <w:vAlign w:val="bottom"/>
          </w:tcPr>
          <w:p>
            <w:pPr>
              <w:spacing w:after="0"/>
              <w:rPr>
                <w:sz w:val="16"/>
                <w:szCs w:val="16"/>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2</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71</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800" w:type="dxa"/>
            <w:vAlign w:val="bottom"/>
          </w:tcPr>
          <w:p>
            <w:pPr>
              <w:ind w:left="140"/>
              <w:spacing w:after="0"/>
              <w:rPr>
                <w:sz w:val="20"/>
                <w:szCs w:val="20"/>
                <w:color w:val="auto"/>
              </w:rPr>
            </w:pPr>
            <w:r>
              <w:rPr>
                <w:rFonts w:ascii="Arial" w:cs="Arial" w:eastAsia="Arial" w:hAnsi="Arial"/>
                <w:sz w:val="16"/>
                <w:szCs w:val="16"/>
                <w:color w:val="auto"/>
              </w:rPr>
              <w:t>All other</w:t>
            </w: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w:t>
            </w: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800" w:type="dxa"/>
            <w:vAlign w:val="bottom"/>
          </w:tcPr>
          <w:p>
            <w:pPr>
              <w:ind w:left="320"/>
              <w:spacing w:after="0" w:line="183" w:lineRule="exact"/>
              <w:rPr>
                <w:sz w:val="20"/>
                <w:szCs w:val="20"/>
                <w:color w:val="auto"/>
              </w:rPr>
            </w:pPr>
            <w:r>
              <w:rPr>
                <w:rFonts w:ascii="Arial" w:cs="Arial" w:eastAsia="Arial" w:hAnsi="Arial"/>
                <w:sz w:val="16"/>
                <w:szCs w:val="16"/>
                <w:color w:val="auto"/>
              </w:rPr>
              <w:t>Total</w:t>
            </w:r>
          </w:p>
        </w:tc>
        <w:tc>
          <w:tcPr>
            <w:tcW w:w="420" w:type="dxa"/>
            <w:vAlign w:val="bottom"/>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900" w:type="dxa"/>
            <w:vAlign w:val="bottom"/>
          </w:tcPr>
          <w:p>
            <w:pPr>
              <w:jc w:val="right"/>
              <w:ind w:right="140"/>
              <w:spacing w:after="0" w:line="183" w:lineRule="exact"/>
              <w:rPr>
                <w:sz w:val="20"/>
                <w:szCs w:val="20"/>
                <w:color w:val="auto"/>
              </w:rPr>
            </w:pPr>
            <w:r>
              <w:rPr>
                <w:rFonts w:ascii="Arial" w:cs="Arial" w:eastAsia="Arial" w:hAnsi="Arial"/>
                <w:sz w:val="16"/>
                <w:szCs w:val="16"/>
                <w:color w:val="auto"/>
              </w:rPr>
              <w:t>446</w:t>
            </w:r>
          </w:p>
        </w:tc>
        <w:tc>
          <w:tcPr>
            <w:tcW w:w="500" w:type="dxa"/>
            <w:vAlign w:val="bottom"/>
          </w:tcPr>
          <w:p>
            <w:pPr>
              <w:jc w:val="right"/>
              <w:ind w:right="19"/>
              <w:spacing w:after="0" w:line="183" w:lineRule="exact"/>
              <w:rPr>
                <w:sz w:val="20"/>
                <w:szCs w:val="20"/>
                <w:color w:val="auto"/>
              </w:rPr>
            </w:pPr>
            <w:r>
              <w:rPr>
                <w:rFonts w:ascii="Arial" w:cs="Arial" w:eastAsia="Arial" w:hAnsi="Arial"/>
                <w:sz w:val="16"/>
                <w:szCs w:val="16"/>
                <w:color w:val="auto"/>
              </w:rPr>
              <w:t>100</w:t>
            </w:r>
          </w:p>
        </w:tc>
        <w:tc>
          <w:tcPr>
            <w:tcW w:w="340" w:type="dxa"/>
            <w:vAlign w:val="bottom"/>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28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960" w:type="dxa"/>
            <w:vAlign w:val="bottom"/>
          </w:tcPr>
          <w:p>
            <w:pPr>
              <w:jc w:val="right"/>
              <w:ind w:right="139"/>
              <w:spacing w:after="0" w:line="183" w:lineRule="exact"/>
              <w:rPr>
                <w:sz w:val="20"/>
                <w:szCs w:val="20"/>
                <w:color w:val="auto"/>
              </w:rPr>
            </w:pPr>
            <w:r>
              <w:rPr>
                <w:rFonts w:ascii="Arial" w:cs="Arial" w:eastAsia="Arial" w:hAnsi="Arial"/>
                <w:sz w:val="16"/>
                <w:szCs w:val="16"/>
                <w:color w:val="auto"/>
              </w:rPr>
              <w:t>492</w:t>
            </w:r>
          </w:p>
        </w:tc>
        <w:tc>
          <w:tcPr>
            <w:tcW w:w="500" w:type="dxa"/>
            <w:vAlign w:val="bottom"/>
          </w:tcPr>
          <w:p>
            <w:pPr>
              <w:jc w:val="right"/>
              <w:ind w:right="19"/>
              <w:spacing w:after="0" w:line="183" w:lineRule="exact"/>
              <w:rPr>
                <w:sz w:val="20"/>
                <w:szCs w:val="20"/>
                <w:color w:val="auto"/>
              </w:rPr>
            </w:pPr>
            <w:r>
              <w:rPr>
                <w:rFonts w:ascii="Arial" w:cs="Arial" w:eastAsia="Arial" w:hAnsi="Arial"/>
                <w:sz w:val="16"/>
                <w:szCs w:val="16"/>
                <w:color w:val="auto"/>
              </w:rPr>
              <w:t>100</w:t>
            </w:r>
          </w:p>
        </w:tc>
        <w:tc>
          <w:tcPr>
            <w:tcW w:w="26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1"/>
        </w:trPr>
        <w:tc>
          <w:tcPr>
            <w:tcW w:w="4800" w:type="dxa"/>
            <w:vAlign w:val="bottom"/>
            <w:shd w:val="clear" w:color="auto" w:fill="000000"/>
          </w:tcPr>
          <w:p>
            <w:pPr>
              <w:spacing w:after="0"/>
              <w:rPr>
                <w:sz w:val="7"/>
                <w:szCs w:val="7"/>
                <w:color w:val="auto"/>
              </w:rPr>
            </w:pPr>
          </w:p>
        </w:tc>
        <w:tc>
          <w:tcPr>
            <w:tcW w:w="420" w:type="dxa"/>
            <w:vAlign w:val="bottom"/>
            <w:shd w:val="clear" w:color="auto" w:fill="000000"/>
          </w:tcPr>
          <w:p>
            <w:pPr>
              <w:spacing w:after="0"/>
              <w:rPr>
                <w:sz w:val="7"/>
                <w:szCs w:val="7"/>
                <w:color w:val="auto"/>
              </w:rPr>
            </w:pPr>
          </w:p>
        </w:tc>
        <w:tc>
          <w:tcPr>
            <w:tcW w:w="1400" w:type="dxa"/>
            <w:vAlign w:val="bottom"/>
            <w:gridSpan w:val="2"/>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1460" w:type="dxa"/>
            <w:vAlign w:val="bottom"/>
            <w:gridSpan w:val="2"/>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378"/>
        </w:trPr>
        <w:tc>
          <w:tcPr>
            <w:tcW w:w="48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4"/>
                <w:szCs w:val="14"/>
                <w:color w:val="auto"/>
              </w:rPr>
              <w:t>March 31, 2010</w:t>
            </w: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color w:val="auto"/>
              </w:rPr>
              <w:t>December 31, 2009</w:t>
            </w: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800" w:type="dxa"/>
            <w:vAlign w:val="bottom"/>
          </w:tcPr>
          <w:p>
            <w:pPr>
              <w:spacing w:after="0"/>
              <w:rPr>
                <w:sz w:val="20"/>
                <w:szCs w:val="20"/>
                <w:color w:val="auto"/>
              </w:rPr>
            </w:pPr>
            <w:r>
              <w:rPr>
                <w:rFonts w:ascii="Arial" w:cs="Arial" w:eastAsia="Arial" w:hAnsi="Arial"/>
                <w:sz w:val="16"/>
                <w:szCs w:val="16"/>
                <w:color w:val="auto"/>
              </w:rPr>
              <w:t>ASSETS</w:t>
            </w: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0" w:type="dxa"/>
            <w:vAlign w:val="bottom"/>
          </w:tcPr>
          <w:p>
            <w:pPr>
              <w:ind w:left="140"/>
              <w:spacing w:after="0"/>
              <w:rPr>
                <w:sz w:val="20"/>
                <w:szCs w:val="20"/>
                <w:color w:val="auto"/>
              </w:rPr>
            </w:pPr>
            <w:r>
              <w:rPr>
                <w:rFonts w:ascii="Arial" w:cs="Arial" w:eastAsia="Arial" w:hAnsi="Arial"/>
                <w:sz w:val="16"/>
                <w:szCs w:val="16"/>
                <w:color w:val="auto"/>
              </w:rPr>
              <w:t>SDG&amp;E</w:t>
            </w: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10,435</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36</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10,229</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36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800" w:type="dxa"/>
            <w:vAlign w:val="bottom"/>
          </w:tcPr>
          <w:p>
            <w:pPr>
              <w:ind w:left="140"/>
              <w:spacing w:after="0"/>
              <w:rPr>
                <w:sz w:val="20"/>
                <w:szCs w:val="20"/>
                <w:color w:val="auto"/>
              </w:rPr>
            </w:pPr>
            <w:r>
              <w:rPr>
                <w:rFonts w:ascii="Arial" w:cs="Arial" w:eastAsia="Arial" w:hAnsi="Arial"/>
                <w:sz w:val="16"/>
                <w:szCs w:val="16"/>
                <w:color w:val="auto"/>
              </w:rPr>
              <w:t>SoCalGas</w:t>
            </w:r>
          </w:p>
        </w:tc>
        <w:tc>
          <w:tcPr>
            <w:tcW w:w="420" w:type="dxa"/>
            <w:vAlign w:val="bottom"/>
          </w:tcPr>
          <w:p>
            <w:pPr>
              <w:spacing w:after="0"/>
              <w:rPr>
                <w:sz w:val="16"/>
                <w:szCs w:val="16"/>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7,432</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7,287</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0" w:type="dxa"/>
            <w:vAlign w:val="bottom"/>
          </w:tcPr>
          <w:p>
            <w:pPr>
              <w:ind w:left="140"/>
              <w:spacing w:after="0"/>
              <w:rPr>
                <w:sz w:val="20"/>
                <w:szCs w:val="20"/>
                <w:color w:val="auto"/>
              </w:rPr>
            </w:pPr>
            <w:r>
              <w:rPr>
                <w:rFonts w:ascii="Arial" w:cs="Arial" w:eastAsia="Arial" w:hAnsi="Arial"/>
                <w:sz w:val="16"/>
                <w:szCs w:val="16"/>
                <w:color w:val="auto"/>
              </w:rPr>
              <w:t>Sempra Commodities</w:t>
            </w:r>
          </w:p>
        </w:tc>
        <w:tc>
          <w:tcPr>
            <w:tcW w:w="420" w:type="dxa"/>
            <w:vAlign w:val="bottom"/>
          </w:tcPr>
          <w:p>
            <w:pPr>
              <w:spacing w:after="0"/>
              <w:rPr>
                <w:sz w:val="16"/>
                <w:szCs w:val="16"/>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2,263</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2,255</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0" w:type="dxa"/>
            <w:vAlign w:val="bottom"/>
          </w:tcPr>
          <w:p>
            <w:pPr>
              <w:ind w:left="140"/>
              <w:spacing w:after="0"/>
              <w:rPr>
                <w:sz w:val="20"/>
                <w:szCs w:val="20"/>
                <w:color w:val="auto"/>
              </w:rPr>
            </w:pPr>
            <w:r>
              <w:rPr>
                <w:rFonts w:ascii="Arial" w:cs="Arial" w:eastAsia="Arial" w:hAnsi="Arial"/>
                <w:sz w:val="16"/>
                <w:szCs w:val="16"/>
                <w:color w:val="auto"/>
              </w:rPr>
              <w:t>Sempra Generation</w:t>
            </w:r>
          </w:p>
        </w:tc>
        <w:tc>
          <w:tcPr>
            <w:tcW w:w="420" w:type="dxa"/>
            <w:vAlign w:val="bottom"/>
          </w:tcPr>
          <w:p>
            <w:pPr>
              <w:spacing w:after="0"/>
              <w:rPr>
                <w:sz w:val="16"/>
                <w:szCs w:val="16"/>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2,196</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2,048</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0" w:type="dxa"/>
            <w:vAlign w:val="bottom"/>
          </w:tcPr>
          <w:p>
            <w:pPr>
              <w:ind w:left="140"/>
              <w:spacing w:after="0"/>
              <w:rPr>
                <w:sz w:val="20"/>
                <w:szCs w:val="20"/>
                <w:color w:val="auto"/>
              </w:rPr>
            </w:pPr>
            <w:r>
              <w:rPr>
                <w:rFonts w:ascii="Arial" w:cs="Arial" w:eastAsia="Arial" w:hAnsi="Arial"/>
                <w:sz w:val="16"/>
                <w:szCs w:val="16"/>
                <w:color w:val="auto"/>
              </w:rPr>
              <w:t>Sempra Pipelines &amp; Storage</w:t>
            </w:r>
          </w:p>
        </w:tc>
        <w:tc>
          <w:tcPr>
            <w:tcW w:w="420" w:type="dxa"/>
            <w:vAlign w:val="bottom"/>
          </w:tcPr>
          <w:p>
            <w:pPr>
              <w:spacing w:after="0"/>
              <w:rPr>
                <w:sz w:val="16"/>
                <w:szCs w:val="16"/>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4,588</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4,485</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0" w:type="dxa"/>
            <w:vAlign w:val="bottom"/>
          </w:tcPr>
          <w:p>
            <w:pPr>
              <w:ind w:left="140"/>
              <w:spacing w:after="0"/>
              <w:rPr>
                <w:sz w:val="20"/>
                <w:szCs w:val="20"/>
                <w:color w:val="auto"/>
              </w:rPr>
            </w:pPr>
            <w:r>
              <w:rPr>
                <w:rFonts w:ascii="Arial" w:cs="Arial" w:eastAsia="Arial" w:hAnsi="Arial"/>
                <w:sz w:val="16"/>
                <w:szCs w:val="16"/>
                <w:color w:val="auto"/>
              </w:rPr>
              <w:t>Sempra LNG</w:t>
            </w:r>
          </w:p>
        </w:tc>
        <w:tc>
          <w:tcPr>
            <w:tcW w:w="420" w:type="dxa"/>
            <w:vAlign w:val="bottom"/>
          </w:tcPr>
          <w:p>
            <w:pPr>
              <w:spacing w:after="0"/>
              <w:rPr>
                <w:sz w:val="16"/>
                <w:szCs w:val="16"/>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2,245</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2,277</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0" w:type="dxa"/>
            <w:vAlign w:val="bottom"/>
          </w:tcPr>
          <w:p>
            <w:pPr>
              <w:ind w:left="140"/>
              <w:spacing w:after="0"/>
              <w:rPr>
                <w:sz w:val="20"/>
                <w:szCs w:val="20"/>
                <w:color w:val="auto"/>
              </w:rPr>
            </w:pPr>
            <w:r>
              <w:rPr>
                <w:rFonts w:ascii="Arial" w:cs="Arial" w:eastAsia="Arial" w:hAnsi="Arial"/>
                <w:sz w:val="16"/>
                <w:szCs w:val="16"/>
                <w:color w:val="auto"/>
              </w:rPr>
              <w:t>All other</w:t>
            </w:r>
          </w:p>
        </w:tc>
        <w:tc>
          <w:tcPr>
            <w:tcW w:w="420" w:type="dxa"/>
            <w:vAlign w:val="bottom"/>
          </w:tcPr>
          <w:p>
            <w:pPr>
              <w:spacing w:after="0"/>
              <w:rPr>
                <w:sz w:val="16"/>
                <w:szCs w:val="16"/>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544</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596</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800" w:type="dxa"/>
            <w:vAlign w:val="bottom"/>
          </w:tcPr>
          <w:p>
            <w:pPr>
              <w:ind w:left="140"/>
              <w:spacing w:after="0"/>
              <w:rPr>
                <w:sz w:val="20"/>
                <w:szCs w:val="20"/>
                <w:color w:val="auto"/>
              </w:rPr>
            </w:pPr>
            <w:r>
              <w:rPr>
                <w:rFonts w:ascii="Arial" w:cs="Arial" w:eastAsia="Arial" w:hAnsi="Arial"/>
                <w:sz w:val="16"/>
                <w:szCs w:val="16"/>
                <w:color w:val="auto"/>
              </w:rPr>
              <w:t>Intersegment receivables</w:t>
            </w: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(931)</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3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(665)</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800" w:type="dxa"/>
            <w:vAlign w:val="bottom"/>
          </w:tcPr>
          <w:p>
            <w:pPr>
              <w:ind w:left="320"/>
              <w:spacing w:after="0" w:line="183" w:lineRule="exact"/>
              <w:rPr>
                <w:sz w:val="20"/>
                <w:szCs w:val="20"/>
                <w:color w:val="auto"/>
              </w:rPr>
            </w:pPr>
            <w:r>
              <w:rPr>
                <w:rFonts w:ascii="Arial" w:cs="Arial" w:eastAsia="Arial" w:hAnsi="Arial"/>
                <w:sz w:val="16"/>
                <w:szCs w:val="16"/>
                <w:color w:val="auto"/>
              </w:rPr>
              <w:t>Total</w:t>
            </w:r>
          </w:p>
        </w:tc>
        <w:tc>
          <w:tcPr>
            <w:tcW w:w="420" w:type="dxa"/>
            <w:vAlign w:val="bottom"/>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900" w:type="dxa"/>
            <w:vAlign w:val="bottom"/>
          </w:tcPr>
          <w:p>
            <w:pPr>
              <w:jc w:val="right"/>
              <w:ind w:right="140"/>
              <w:spacing w:after="0" w:line="183" w:lineRule="exact"/>
              <w:rPr>
                <w:sz w:val="20"/>
                <w:szCs w:val="20"/>
                <w:color w:val="auto"/>
              </w:rPr>
            </w:pPr>
            <w:r>
              <w:rPr>
                <w:rFonts w:ascii="Arial" w:cs="Arial" w:eastAsia="Arial" w:hAnsi="Arial"/>
                <w:sz w:val="16"/>
                <w:szCs w:val="16"/>
                <w:color w:val="auto"/>
              </w:rPr>
              <w:t>28,772</w:t>
            </w:r>
          </w:p>
        </w:tc>
        <w:tc>
          <w:tcPr>
            <w:tcW w:w="500" w:type="dxa"/>
            <w:vAlign w:val="bottom"/>
          </w:tcPr>
          <w:p>
            <w:pPr>
              <w:jc w:val="right"/>
              <w:ind w:right="19"/>
              <w:spacing w:after="0" w:line="183" w:lineRule="exact"/>
              <w:rPr>
                <w:sz w:val="20"/>
                <w:szCs w:val="20"/>
                <w:color w:val="auto"/>
              </w:rPr>
            </w:pPr>
            <w:r>
              <w:rPr>
                <w:rFonts w:ascii="Arial" w:cs="Arial" w:eastAsia="Arial" w:hAnsi="Arial"/>
                <w:sz w:val="16"/>
                <w:szCs w:val="16"/>
                <w:color w:val="auto"/>
              </w:rPr>
              <w:t>100</w:t>
            </w:r>
          </w:p>
        </w:tc>
        <w:tc>
          <w:tcPr>
            <w:tcW w:w="340" w:type="dxa"/>
            <w:vAlign w:val="bottom"/>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28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960" w:type="dxa"/>
            <w:vAlign w:val="bottom"/>
          </w:tcPr>
          <w:p>
            <w:pPr>
              <w:jc w:val="right"/>
              <w:ind w:right="139"/>
              <w:spacing w:after="0" w:line="183" w:lineRule="exact"/>
              <w:rPr>
                <w:sz w:val="20"/>
                <w:szCs w:val="20"/>
                <w:color w:val="auto"/>
              </w:rPr>
            </w:pPr>
            <w:r>
              <w:rPr>
                <w:rFonts w:ascii="Arial" w:cs="Arial" w:eastAsia="Arial" w:hAnsi="Arial"/>
                <w:sz w:val="16"/>
                <w:szCs w:val="16"/>
                <w:color w:val="auto"/>
              </w:rPr>
              <w:t>28,512</w:t>
            </w:r>
          </w:p>
        </w:tc>
        <w:tc>
          <w:tcPr>
            <w:tcW w:w="500" w:type="dxa"/>
            <w:vAlign w:val="bottom"/>
          </w:tcPr>
          <w:p>
            <w:pPr>
              <w:jc w:val="right"/>
              <w:ind w:right="19"/>
              <w:spacing w:after="0" w:line="183" w:lineRule="exact"/>
              <w:rPr>
                <w:sz w:val="20"/>
                <w:szCs w:val="20"/>
                <w:color w:val="auto"/>
              </w:rPr>
            </w:pPr>
            <w:r>
              <w:rPr>
                <w:rFonts w:ascii="Arial" w:cs="Arial" w:eastAsia="Arial" w:hAnsi="Arial"/>
                <w:sz w:val="16"/>
                <w:szCs w:val="16"/>
                <w:color w:val="auto"/>
              </w:rPr>
              <w:t>100</w:t>
            </w:r>
          </w:p>
        </w:tc>
        <w:tc>
          <w:tcPr>
            <w:tcW w:w="26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1"/>
        </w:trPr>
        <w:tc>
          <w:tcPr>
            <w:tcW w:w="4800" w:type="dxa"/>
            <w:vAlign w:val="bottom"/>
            <w:shd w:val="clear" w:color="auto" w:fill="000000"/>
          </w:tcPr>
          <w:p>
            <w:pPr>
              <w:spacing w:after="0"/>
              <w:rPr>
                <w:sz w:val="7"/>
                <w:szCs w:val="7"/>
                <w:color w:val="auto"/>
              </w:rPr>
            </w:pPr>
          </w:p>
        </w:tc>
        <w:tc>
          <w:tcPr>
            <w:tcW w:w="420" w:type="dxa"/>
            <w:vAlign w:val="bottom"/>
            <w:shd w:val="clear" w:color="auto" w:fill="000000"/>
          </w:tcPr>
          <w:p>
            <w:pPr>
              <w:spacing w:after="0"/>
              <w:rPr>
                <w:sz w:val="7"/>
                <w:szCs w:val="7"/>
                <w:color w:val="auto"/>
              </w:rPr>
            </w:pPr>
          </w:p>
        </w:tc>
        <w:tc>
          <w:tcPr>
            <w:tcW w:w="900" w:type="dxa"/>
            <w:vAlign w:val="bottom"/>
            <w:shd w:val="clear" w:color="auto" w:fill="000000"/>
          </w:tcPr>
          <w:p>
            <w:pPr>
              <w:spacing w:after="0"/>
              <w:rPr>
                <w:sz w:val="7"/>
                <w:szCs w:val="7"/>
                <w:color w:val="auto"/>
              </w:rPr>
            </w:pPr>
          </w:p>
        </w:tc>
        <w:tc>
          <w:tcPr>
            <w:tcW w:w="50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960" w:type="dxa"/>
            <w:vAlign w:val="bottom"/>
            <w:shd w:val="clear" w:color="auto" w:fill="000000"/>
          </w:tcPr>
          <w:p>
            <w:pPr>
              <w:spacing w:after="0"/>
              <w:rPr>
                <w:sz w:val="7"/>
                <w:szCs w:val="7"/>
                <w:color w:val="auto"/>
              </w:rPr>
            </w:pPr>
          </w:p>
        </w:tc>
        <w:tc>
          <w:tcPr>
            <w:tcW w:w="50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4800" w:type="dxa"/>
            <w:vAlign w:val="bottom"/>
          </w:tcPr>
          <w:p>
            <w:pPr>
              <w:spacing w:after="0"/>
              <w:rPr>
                <w:sz w:val="20"/>
                <w:szCs w:val="20"/>
                <w:color w:val="auto"/>
              </w:rPr>
            </w:pPr>
            <w:r>
              <w:rPr>
                <w:rFonts w:ascii="Arial" w:cs="Arial" w:eastAsia="Arial" w:hAnsi="Arial"/>
                <w:sz w:val="16"/>
                <w:szCs w:val="16"/>
                <w:color w:val="auto"/>
              </w:rPr>
              <w:t>INVESTMENTS IN EQUITY METHOD INVESTEES</w:t>
            </w: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0" w:type="dxa"/>
            <w:vAlign w:val="bottom"/>
          </w:tcPr>
          <w:p>
            <w:pPr>
              <w:ind w:left="140"/>
              <w:spacing w:after="0"/>
              <w:rPr>
                <w:sz w:val="20"/>
                <w:szCs w:val="20"/>
                <w:color w:val="auto"/>
              </w:rPr>
            </w:pPr>
            <w:r>
              <w:rPr>
                <w:rFonts w:ascii="Arial" w:cs="Arial" w:eastAsia="Arial" w:hAnsi="Arial"/>
                <w:sz w:val="16"/>
                <w:szCs w:val="16"/>
                <w:color w:val="auto"/>
              </w:rPr>
              <w:t>Sempra Commodities</w:t>
            </w: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2,178</w:t>
            </w: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2,172</w:t>
            </w: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0" w:type="dxa"/>
            <w:vAlign w:val="bottom"/>
          </w:tcPr>
          <w:p>
            <w:pPr>
              <w:ind w:left="140"/>
              <w:spacing w:after="0"/>
              <w:rPr>
                <w:sz w:val="20"/>
                <w:szCs w:val="20"/>
                <w:color w:val="auto"/>
              </w:rPr>
            </w:pPr>
            <w:r>
              <w:rPr>
                <w:rFonts w:ascii="Arial" w:cs="Arial" w:eastAsia="Arial" w:hAnsi="Arial"/>
                <w:sz w:val="16"/>
                <w:szCs w:val="16"/>
                <w:color w:val="auto"/>
              </w:rPr>
              <w:t>Sempra Generation</w:t>
            </w:r>
          </w:p>
        </w:tc>
        <w:tc>
          <w:tcPr>
            <w:tcW w:w="420" w:type="dxa"/>
            <w:vAlign w:val="bottom"/>
          </w:tcPr>
          <w:p>
            <w:pPr>
              <w:spacing w:after="0"/>
              <w:rPr>
                <w:sz w:val="16"/>
                <w:szCs w:val="16"/>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429</w:t>
            </w: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434</w:t>
            </w: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0" w:type="dxa"/>
            <w:vAlign w:val="bottom"/>
          </w:tcPr>
          <w:p>
            <w:pPr>
              <w:ind w:left="140"/>
              <w:spacing w:after="0"/>
              <w:rPr>
                <w:sz w:val="20"/>
                <w:szCs w:val="20"/>
                <w:color w:val="auto"/>
              </w:rPr>
            </w:pPr>
            <w:r>
              <w:rPr>
                <w:rFonts w:ascii="Arial" w:cs="Arial" w:eastAsia="Arial" w:hAnsi="Arial"/>
                <w:sz w:val="16"/>
                <w:szCs w:val="16"/>
                <w:color w:val="auto"/>
              </w:rPr>
              <w:t>Sempra Pipelines &amp; Storage</w:t>
            </w:r>
          </w:p>
        </w:tc>
        <w:tc>
          <w:tcPr>
            <w:tcW w:w="420" w:type="dxa"/>
            <w:vAlign w:val="bottom"/>
          </w:tcPr>
          <w:p>
            <w:pPr>
              <w:spacing w:after="0"/>
              <w:rPr>
                <w:sz w:val="16"/>
                <w:szCs w:val="16"/>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1,479</w:t>
            </w: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1,429</w:t>
            </w: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800" w:type="dxa"/>
            <w:vAlign w:val="bottom"/>
          </w:tcPr>
          <w:p>
            <w:pPr>
              <w:ind w:left="140"/>
              <w:spacing w:after="0"/>
              <w:rPr>
                <w:sz w:val="20"/>
                <w:szCs w:val="20"/>
                <w:color w:val="auto"/>
              </w:rPr>
            </w:pPr>
            <w:r>
              <w:rPr>
                <w:rFonts w:ascii="Arial" w:cs="Arial" w:eastAsia="Arial" w:hAnsi="Arial"/>
                <w:sz w:val="16"/>
                <w:szCs w:val="16"/>
                <w:color w:val="auto"/>
              </w:rPr>
              <w:t>All other</w:t>
            </w: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20</w:t>
            </w:r>
          </w:p>
        </w:tc>
        <w:tc>
          <w:tcPr>
            <w:tcW w:w="5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21</w:t>
            </w:r>
          </w:p>
        </w:tc>
        <w:tc>
          <w:tcPr>
            <w:tcW w:w="5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800" w:type="dxa"/>
            <w:vAlign w:val="bottom"/>
          </w:tcPr>
          <w:p>
            <w:pPr>
              <w:ind w:left="320"/>
              <w:spacing w:after="0" w:line="183" w:lineRule="exact"/>
              <w:rPr>
                <w:sz w:val="20"/>
                <w:szCs w:val="20"/>
                <w:color w:val="auto"/>
              </w:rPr>
            </w:pPr>
            <w:r>
              <w:rPr>
                <w:rFonts w:ascii="Arial" w:cs="Arial" w:eastAsia="Arial" w:hAnsi="Arial"/>
                <w:sz w:val="16"/>
                <w:szCs w:val="16"/>
                <w:color w:val="auto"/>
              </w:rPr>
              <w:t>Total</w:t>
            </w:r>
          </w:p>
        </w:tc>
        <w:tc>
          <w:tcPr>
            <w:tcW w:w="420" w:type="dxa"/>
            <w:vAlign w:val="bottom"/>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900" w:type="dxa"/>
            <w:vAlign w:val="bottom"/>
          </w:tcPr>
          <w:p>
            <w:pPr>
              <w:jc w:val="right"/>
              <w:ind w:right="140"/>
              <w:spacing w:after="0" w:line="183" w:lineRule="exact"/>
              <w:rPr>
                <w:sz w:val="20"/>
                <w:szCs w:val="20"/>
                <w:color w:val="auto"/>
              </w:rPr>
            </w:pPr>
            <w:r>
              <w:rPr>
                <w:rFonts w:ascii="Arial" w:cs="Arial" w:eastAsia="Arial" w:hAnsi="Arial"/>
                <w:sz w:val="16"/>
                <w:szCs w:val="16"/>
                <w:color w:val="auto"/>
              </w:rPr>
              <w:t>4,106</w:t>
            </w: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960" w:type="dxa"/>
            <w:vAlign w:val="bottom"/>
          </w:tcPr>
          <w:p>
            <w:pPr>
              <w:jc w:val="right"/>
              <w:ind w:right="139"/>
              <w:spacing w:after="0" w:line="183" w:lineRule="exact"/>
              <w:rPr>
                <w:sz w:val="20"/>
                <w:szCs w:val="20"/>
                <w:color w:val="auto"/>
              </w:rPr>
            </w:pPr>
            <w:r>
              <w:rPr>
                <w:rFonts w:ascii="Arial" w:cs="Arial" w:eastAsia="Arial" w:hAnsi="Arial"/>
                <w:sz w:val="16"/>
                <w:szCs w:val="16"/>
                <w:color w:val="auto"/>
              </w:rPr>
              <w:t>4,056</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4800" w:type="dxa"/>
            <w:vAlign w:val="bottom"/>
            <w:shd w:val="clear" w:color="auto" w:fill="000000"/>
          </w:tcPr>
          <w:p>
            <w:pPr>
              <w:spacing w:after="0"/>
              <w:rPr>
                <w:sz w:val="7"/>
                <w:szCs w:val="7"/>
                <w:color w:val="auto"/>
              </w:rPr>
            </w:pPr>
          </w:p>
        </w:tc>
        <w:tc>
          <w:tcPr>
            <w:tcW w:w="420" w:type="dxa"/>
            <w:vAlign w:val="bottom"/>
            <w:shd w:val="clear" w:color="auto" w:fill="000000"/>
          </w:tcPr>
          <w:p>
            <w:pPr>
              <w:spacing w:after="0"/>
              <w:rPr>
                <w:sz w:val="7"/>
                <w:szCs w:val="7"/>
                <w:color w:val="auto"/>
              </w:rPr>
            </w:pPr>
          </w:p>
        </w:tc>
        <w:tc>
          <w:tcPr>
            <w:tcW w:w="900" w:type="dxa"/>
            <w:vAlign w:val="bottom"/>
            <w:shd w:val="clear" w:color="auto" w:fill="000000"/>
          </w:tcPr>
          <w:p>
            <w:pPr>
              <w:spacing w:after="0"/>
              <w:rPr>
                <w:sz w:val="7"/>
                <w:szCs w:val="7"/>
                <w:color w:val="auto"/>
              </w:rPr>
            </w:pPr>
          </w:p>
        </w:tc>
        <w:tc>
          <w:tcPr>
            <w:tcW w:w="50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960" w:type="dxa"/>
            <w:vAlign w:val="bottom"/>
            <w:shd w:val="clear" w:color="auto" w:fill="000000"/>
          </w:tcPr>
          <w:p>
            <w:pPr>
              <w:spacing w:after="0"/>
              <w:rPr>
                <w:sz w:val="7"/>
                <w:szCs w:val="7"/>
                <w:color w:val="auto"/>
              </w:rPr>
            </w:pPr>
          </w:p>
        </w:tc>
        <w:tc>
          <w:tcPr>
            <w:tcW w:w="50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(1) After preferred dividends.</w:t>
      </w:r>
    </w:p>
    <w:p>
      <w:pPr>
        <w:sectPr>
          <w:pgSz w:w="11900" w:h="16838" w:orient="portrait"/>
          <w:cols w:equalWidth="0" w:num="1">
            <w:col w:w="10219"/>
          </w:cols>
          <w:pgMar w:left="240" w:top="135" w:right="1440" w:bottom="1440" w:gutter="0" w:footer="0" w:header="0"/>
        </w:sectPr>
      </w:pPr>
    </w:p>
    <w:bookmarkStart w:id="63" w:name="page64"/>
    <w:bookmarkEnd w:id="63"/>
    <w:p>
      <w:pPr>
        <w:spacing w:after="0" w:line="26" w:lineRule="exact"/>
        <w:rPr>
          <w:sz w:val="20"/>
          <w:szCs w:val="20"/>
          <w:color w:val="auto"/>
        </w:rPr>
      </w:pPr>
    </w:p>
    <w:p>
      <w:pPr>
        <w:ind w:right="559"/>
        <w:spacing w:after="0" w:line="260" w:lineRule="auto"/>
        <w:rPr>
          <w:sz w:val="20"/>
          <w:szCs w:val="20"/>
          <w:color w:val="auto"/>
        </w:rPr>
      </w:pPr>
      <w:r>
        <w:rPr>
          <w:rFonts w:ascii="Arial" w:cs="Arial" w:eastAsia="Arial" w:hAnsi="Arial"/>
          <w:sz w:val="23"/>
          <w:szCs w:val="23"/>
          <w:color w:val="auto"/>
        </w:rPr>
        <w:t>ITEM 2. MANAGEMENT’S DISCUSSION AND ANALYSIS OF FINANCIAL CONDITION AND RESULTS OF OPERATIONS</w:t>
      </w:r>
    </w:p>
    <w:p>
      <w:pPr>
        <w:spacing w:after="0" w:line="200" w:lineRule="exact"/>
        <w:rPr>
          <w:sz w:val="20"/>
          <w:szCs w:val="20"/>
          <w:color w:val="auto"/>
        </w:rPr>
      </w:pPr>
    </w:p>
    <w:p>
      <w:pPr>
        <w:spacing w:after="0" w:line="201" w:lineRule="exact"/>
        <w:rPr>
          <w:sz w:val="20"/>
          <w:szCs w:val="20"/>
          <w:color w:val="auto"/>
        </w:rPr>
      </w:pPr>
    </w:p>
    <w:p>
      <w:pPr>
        <w:ind w:right="639"/>
        <w:spacing w:after="0" w:line="218" w:lineRule="auto"/>
        <w:rPr>
          <w:sz w:val="20"/>
          <w:szCs w:val="20"/>
          <w:color w:val="auto"/>
        </w:rPr>
      </w:pPr>
      <w:r>
        <w:rPr>
          <w:rFonts w:ascii="Arial" w:cs="Arial" w:eastAsia="Arial" w:hAnsi="Arial"/>
          <w:sz w:val="22"/>
          <w:szCs w:val="22"/>
          <w:color w:val="auto"/>
        </w:rPr>
        <w:t>You should read the following discussion in conjunction with the financial statements contained in this Form 10-Q, "Management's Discussion and Analysis of Financial Condition and Results of Operations" contained in our 2009 Annual Report on Form 10-K (Annual Report), and "Risk Factors" contained in our Annual Report and Part II of this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617474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OVERVIEW</w:t>
      </w:r>
    </w:p>
    <w:p>
      <w:pPr>
        <w:spacing w:after="0" w:line="49" w:lineRule="exact"/>
        <w:rPr>
          <w:sz w:val="20"/>
          <w:szCs w:val="20"/>
          <w:color w:val="auto"/>
        </w:rPr>
      </w:pPr>
    </w:p>
    <w:p>
      <w:pPr>
        <w:ind w:right="499"/>
        <w:spacing w:after="0" w:line="252" w:lineRule="auto"/>
        <w:rPr>
          <w:sz w:val="20"/>
          <w:szCs w:val="20"/>
          <w:color w:val="auto"/>
        </w:rPr>
      </w:pPr>
      <w:r>
        <w:rPr>
          <w:rFonts w:ascii="Arial" w:cs="Arial" w:eastAsia="Arial" w:hAnsi="Arial"/>
          <w:sz w:val="19"/>
          <w:szCs w:val="19"/>
          <w:color w:val="auto"/>
        </w:rPr>
        <w:t>Sempra Energy is a Fortune 500 energy services holding company whose business units provide electric, natural gas and other energy products and services to their customers. Our operations are divided principally between the Sempra Utilities and Sempra Global. The Sempra Utilities consist of two California regulated public utility companies, 1) San Diego Gas &amp; Electric Company (SDG&amp;E) and 2) Southern California Gas Company (SoCalGas). Sempra Global consists of businesses engaged in providing energy products and services.</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This report includes information for the following separate registrants:</w:t>
      </w:r>
    </w:p>
    <w:p>
      <w:pPr>
        <w:spacing w:after="0" w:line="58" w:lineRule="exact"/>
        <w:rPr>
          <w:sz w:val="20"/>
          <w:szCs w:val="20"/>
          <w:color w:val="auto"/>
        </w:rPr>
      </w:pPr>
    </w:p>
    <w:p>
      <w:pPr>
        <w:ind w:left="140" w:hanging="132"/>
        <w:spacing w:after="0"/>
        <w:tabs>
          <w:tab w:leader="none" w:pos="140" w:val="left"/>
        </w:tabs>
        <w:numPr>
          <w:ilvl w:val="0"/>
          <w:numId w:val="27"/>
        </w:numPr>
        <w:rPr>
          <w:rFonts w:ascii="Arial" w:cs="Arial" w:eastAsia="Arial" w:hAnsi="Arial"/>
          <w:sz w:val="22"/>
          <w:szCs w:val="22"/>
          <w:color w:val="auto"/>
        </w:rPr>
      </w:pPr>
      <w:r>
        <w:rPr>
          <w:rFonts w:ascii="Arial" w:cs="Arial" w:eastAsia="Arial" w:hAnsi="Arial"/>
          <w:sz w:val="22"/>
          <w:szCs w:val="22"/>
          <w:color w:val="auto"/>
        </w:rPr>
        <w:t>Sempra Energy and its consolidated entities</w:t>
      </w:r>
    </w:p>
    <w:p>
      <w:pPr>
        <w:spacing w:after="0" w:line="21" w:lineRule="exact"/>
        <w:rPr>
          <w:rFonts w:ascii="Arial" w:cs="Arial" w:eastAsia="Arial" w:hAnsi="Arial"/>
          <w:sz w:val="22"/>
          <w:szCs w:val="22"/>
          <w:color w:val="auto"/>
        </w:rPr>
      </w:pPr>
    </w:p>
    <w:p>
      <w:pPr>
        <w:ind w:left="140" w:hanging="132"/>
        <w:spacing w:after="0"/>
        <w:tabs>
          <w:tab w:leader="none" w:pos="140" w:val="left"/>
        </w:tabs>
        <w:numPr>
          <w:ilvl w:val="0"/>
          <w:numId w:val="27"/>
        </w:numPr>
        <w:rPr>
          <w:rFonts w:ascii="Arial" w:cs="Arial" w:eastAsia="Arial" w:hAnsi="Arial"/>
          <w:sz w:val="22"/>
          <w:szCs w:val="22"/>
          <w:color w:val="auto"/>
        </w:rPr>
      </w:pPr>
      <w:r>
        <w:rPr>
          <w:rFonts w:ascii="Arial" w:cs="Arial" w:eastAsia="Arial" w:hAnsi="Arial"/>
          <w:sz w:val="22"/>
          <w:szCs w:val="22"/>
          <w:color w:val="auto"/>
        </w:rPr>
        <w:t>SDG&amp;E</w:t>
      </w:r>
    </w:p>
    <w:p>
      <w:pPr>
        <w:spacing w:after="0" w:line="3" w:lineRule="exact"/>
        <w:rPr>
          <w:rFonts w:ascii="Arial" w:cs="Arial" w:eastAsia="Arial" w:hAnsi="Arial"/>
          <w:sz w:val="22"/>
          <w:szCs w:val="22"/>
          <w:color w:val="auto"/>
        </w:rPr>
      </w:pPr>
    </w:p>
    <w:p>
      <w:pPr>
        <w:ind w:left="140" w:hanging="132"/>
        <w:spacing w:after="0"/>
        <w:tabs>
          <w:tab w:leader="none" w:pos="140" w:val="left"/>
        </w:tabs>
        <w:numPr>
          <w:ilvl w:val="0"/>
          <w:numId w:val="27"/>
        </w:numPr>
        <w:rPr>
          <w:rFonts w:ascii="Arial" w:cs="Arial" w:eastAsia="Arial" w:hAnsi="Arial"/>
          <w:sz w:val="22"/>
          <w:szCs w:val="22"/>
          <w:color w:val="auto"/>
        </w:rPr>
      </w:pPr>
      <w:r>
        <w:rPr>
          <w:rFonts w:ascii="Arial" w:cs="Arial" w:eastAsia="Arial" w:hAnsi="Arial"/>
          <w:sz w:val="22"/>
          <w:szCs w:val="22"/>
          <w:color w:val="auto"/>
        </w:rPr>
        <w:t>Pacific Enterprises (PE), the holding company for SoCalGas</w:t>
      </w:r>
    </w:p>
    <w:p>
      <w:pPr>
        <w:spacing w:after="0" w:line="3" w:lineRule="exact"/>
        <w:rPr>
          <w:rFonts w:ascii="Arial" w:cs="Arial" w:eastAsia="Arial" w:hAnsi="Arial"/>
          <w:sz w:val="22"/>
          <w:szCs w:val="22"/>
          <w:color w:val="auto"/>
        </w:rPr>
      </w:pPr>
    </w:p>
    <w:p>
      <w:pPr>
        <w:ind w:left="140" w:hanging="132"/>
        <w:spacing w:after="0"/>
        <w:tabs>
          <w:tab w:leader="none" w:pos="140" w:val="left"/>
        </w:tabs>
        <w:numPr>
          <w:ilvl w:val="0"/>
          <w:numId w:val="27"/>
        </w:numPr>
        <w:rPr>
          <w:rFonts w:ascii="Arial" w:cs="Arial" w:eastAsia="Arial" w:hAnsi="Arial"/>
          <w:sz w:val="22"/>
          <w:szCs w:val="22"/>
          <w:color w:val="auto"/>
        </w:rPr>
      </w:pPr>
      <w:r>
        <w:rPr>
          <w:rFonts w:ascii="Arial" w:cs="Arial" w:eastAsia="Arial" w:hAnsi="Arial"/>
          <w:sz w:val="22"/>
          <w:szCs w:val="22"/>
          <w:color w:val="auto"/>
        </w:rPr>
        <w:t>SoCalGas</w:t>
      </w:r>
    </w:p>
    <w:p>
      <w:pPr>
        <w:spacing w:after="0" w:line="94" w:lineRule="exact"/>
        <w:rPr>
          <w:sz w:val="20"/>
          <w:szCs w:val="20"/>
          <w:color w:val="auto"/>
        </w:rPr>
      </w:pPr>
    </w:p>
    <w:p>
      <w:pPr>
        <w:ind w:right="1139"/>
        <w:spacing w:after="0" w:line="232" w:lineRule="auto"/>
        <w:rPr>
          <w:sz w:val="20"/>
          <w:szCs w:val="20"/>
          <w:color w:val="auto"/>
        </w:rPr>
      </w:pPr>
      <w:r>
        <w:rPr>
          <w:rFonts w:ascii="Arial" w:cs="Arial" w:eastAsia="Arial" w:hAnsi="Arial"/>
          <w:sz w:val="22"/>
          <w:szCs w:val="22"/>
          <w:color w:val="auto"/>
        </w:rPr>
        <w:t>References in this report to "we," "our" and "Sempra Energy Consolidated" are to Sempra Energy and its consolidated entities, collectively, unless otherwise indicated by the context.</w:t>
      </w:r>
    </w:p>
    <w:p>
      <w:pPr>
        <w:spacing w:after="0" w:line="24" w:lineRule="exact"/>
        <w:rPr>
          <w:sz w:val="20"/>
          <w:szCs w:val="20"/>
          <w:color w:val="auto"/>
        </w:rPr>
      </w:pPr>
    </w:p>
    <w:p>
      <w:pPr>
        <w:ind w:right="559"/>
        <w:spacing w:after="0" w:line="232" w:lineRule="auto"/>
        <w:rPr>
          <w:sz w:val="20"/>
          <w:szCs w:val="20"/>
          <w:color w:val="auto"/>
        </w:rPr>
      </w:pPr>
      <w:r>
        <w:rPr>
          <w:rFonts w:ascii="Arial" w:cs="Arial" w:eastAsia="Arial" w:hAnsi="Arial"/>
          <w:sz w:val="22"/>
          <w:szCs w:val="22"/>
          <w:color w:val="auto"/>
        </w:rPr>
        <w:t>PE's operations consist solely of those of SoCalGas and additional items (e.g., cash, intercompany accounts and equity) attributable to serving as a holding company for SoCalGas.</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Below are the summary descriptions of our operating business units.</w:t>
      </w: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SEMPRA ENERGY BUSINESS UNITS</w:t>
      </w:r>
    </w:p>
    <w:p>
      <w:pPr>
        <w:spacing w:after="0" w:line="69" w:lineRule="exact"/>
        <w:rPr>
          <w:sz w:val="20"/>
          <w:szCs w:val="20"/>
          <w:color w:val="auto"/>
        </w:rPr>
      </w:pPr>
    </w:p>
    <w:p>
      <w:pPr>
        <w:spacing w:after="0"/>
        <w:rPr>
          <w:sz w:val="20"/>
          <w:szCs w:val="20"/>
          <w:color w:val="auto"/>
        </w:rPr>
      </w:pPr>
      <w:r>
        <w:rPr>
          <w:rFonts w:ascii="Arial" w:cs="Arial" w:eastAsia="Arial" w:hAnsi="Arial"/>
          <w:sz w:val="22"/>
          <w:szCs w:val="22"/>
          <w:color w:val="auto"/>
        </w:rPr>
        <w:t>The Sempra Utilities consist of SDG&amp;E and 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637159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371590" cy="137160"/>
                    </a:xfrm>
                    <a:prstGeom prst="rect">
                      <a:avLst/>
                    </a:prstGeom>
                    <a:noFill/>
                  </pic:spPr>
                </pic:pic>
              </a:graphicData>
            </a:graphic>
          </wp:anchor>
        </w:drawing>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UTILITIES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33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tcPr>
          <w:p>
            <w:pPr>
              <w:ind w:left="1240"/>
              <w:spacing w:after="0"/>
              <w:rPr>
                <w:sz w:val="20"/>
                <w:szCs w:val="20"/>
                <w:color w:val="auto"/>
              </w:rPr>
            </w:pPr>
            <w:r>
              <w:rPr>
                <w:rFonts w:ascii="Arial" w:cs="Arial" w:eastAsia="Arial" w:hAnsi="Arial"/>
                <w:sz w:val="14"/>
                <w:szCs w:val="14"/>
                <w:b w:val="1"/>
                <w:bCs w:val="1"/>
                <w:color w:val="auto"/>
              </w:rPr>
              <w:t>MARKET</w:t>
            </w:r>
          </w:p>
        </w:tc>
        <w:tc>
          <w:tcPr>
            <w:tcW w:w="3320" w:type="dxa"/>
            <w:vAlign w:val="bottom"/>
            <w:tcBorders>
              <w:bottom w:val="single" w:sz="8" w:color="auto"/>
            </w:tcBorders>
          </w:tcPr>
          <w:p>
            <w:pPr>
              <w:ind w:left="900"/>
              <w:spacing w:after="0"/>
              <w:rPr>
                <w:sz w:val="20"/>
                <w:szCs w:val="20"/>
                <w:color w:val="auto"/>
              </w:rPr>
            </w:pPr>
            <w:r>
              <w:rPr>
                <w:rFonts w:ascii="Arial" w:cs="Arial" w:eastAsia="Arial" w:hAnsi="Arial"/>
                <w:sz w:val="14"/>
                <w:szCs w:val="14"/>
                <w:b w:val="1"/>
                <w:bCs w:val="1"/>
                <w:color w:val="auto"/>
              </w:rPr>
              <w:t>SERVICE TERRITORY</w:t>
            </w:r>
          </w:p>
        </w:tc>
      </w:tr>
      <w:tr>
        <w:trPr>
          <w:trHeight w:val="171"/>
        </w:trPr>
        <w:tc>
          <w:tcPr>
            <w:tcW w:w="20" w:type="dxa"/>
            <w:vAlign w:val="bottom"/>
          </w:tcPr>
          <w:p>
            <w:pPr>
              <w:spacing w:after="0"/>
              <w:rPr>
                <w:sz w:val="14"/>
                <w:szCs w:val="14"/>
                <w:color w:val="auto"/>
              </w:rPr>
            </w:pPr>
          </w:p>
        </w:tc>
        <w:tc>
          <w:tcPr>
            <w:tcW w:w="3340" w:type="dxa"/>
            <w:vAlign w:val="bottom"/>
            <w:tcBorders>
              <w:right w:val="single" w:sz="8" w:color="auto"/>
            </w:tcBorders>
          </w:tcPr>
          <w:p>
            <w:pPr>
              <w:spacing w:after="0" w:line="171" w:lineRule="exact"/>
              <w:rPr>
                <w:sz w:val="20"/>
                <w:szCs w:val="20"/>
                <w:color w:val="auto"/>
              </w:rPr>
            </w:pPr>
            <w:r>
              <w:rPr>
                <w:rFonts w:ascii="Arial" w:cs="Arial" w:eastAsia="Arial" w:hAnsi="Arial"/>
                <w:sz w:val="16"/>
                <w:szCs w:val="16"/>
                <w:b w:val="1"/>
                <w:bCs w:val="1"/>
                <w:color w:val="auto"/>
              </w:rPr>
              <w:t>SAN DIEGO GAS &amp; ELECTRIC COMPANY</w:t>
            </w:r>
          </w:p>
        </w:tc>
        <w:tc>
          <w:tcPr>
            <w:tcW w:w="120" w:type="dxa"/>
            <w:vAlign w:val="bottom"/>
          </w:tcPr>
          <w:p>
            <w:pPr>
              <w:jc w:val="right"/>
              <w:spacing w:after="0" w:line="171" w:lineRule="exact"/>
              <w:rPr>
                <w:sz w:val="20"/>
                <w:szCs w:val="20"/>
                <w:color w:val="auto"/>
              </w:rPr>
            </w:pPr>
            <w:r>
              <w:rPr>
                <w:rFonts w:ascii="Arial" w:cs="Arial" w:eastAsia="Arial" w:hAnsi="Arial"/>
                <w:sz w:val="15"/>
                <w:szCs w:val="15"/>
                <w:color w:val="auto"/>
                <w:w w:val="71"/>
              </w:rPr>
              <w:t>§</w:t>
            </w:r>
          </w:p>
        </w:tc>
        <w:tc>
          <w:tcPr>
            <w:tcW w:w="3240" w:type="dxa"/>
            <w:vAlign w:val="bottom"/>
            <w:tcBorders>
              <w:right w:val="single" w:sz="8" w:color="auto"/>
            </w:tcBorders>
          </w:tcPr>
          <w:p>
            <w:pPr>
              <w:ind w:left="40"/>
              <w:spacing w:after="0" w:line="171" w:lineRule="exact"/>
              <w:rPr>
                <w:sz w:val="20"/>
                <w:szCs w:val="20"/>
                <w:color w:val="auto"/>
              </w:rPr>
            </w:pPr>
            <w:r>
              <w:rPr>
                <w:rFonts w:ascii="Arial" w:cs="Arial" w:eastAsia="Arial" w:hAnsi="Arial"/>
                <w:sz w:val="16"/>
                <w:szCs w:val="16"/>
                <w:color w:val="auto"/>
              </w:rPr>
              <w:t>Provides electricity to 3.5 million consumers</w:t>
            </w:r>
          </w:p>
        </w:tc>
        <w:tc>
          <w:tcPr>
            <w:tcW w:w="3320" w:type="dxa"/>
            <w:vAlign w:val="bottom"/>
          </w:tcPr>
          <w:p>
            <w:pPr>
              <w:spacing w:after="0" w:line="171" w:lineRule="exact"/>
              <w:rPr>
                <w:sz w:val="20"/>
                <w:szCs w:val="20"/>
                <w:color w:val="auto"/>
              </w:rPr>
            </w:pPr>
            <w:r>
              <w:rPr>
                <w:rFonts w:ascii="Arial" w:cs="Arial" w:eastAsia="Arial" w:hAnsi="Arial"/>
                <w:sz w:val="16"/>
                <w:szCs w:val="16"/>
                <w:color w:val="auto"/>
              </w:rPr>
              <w:t>Serves the county of San Diego, CA and an</w:t>
            </w:r>
          </w:p>
        </w:tc>
      </w:tr>
      <w:tr>
        <w:trPr>
          <w:trHeight w:val="209"/>
        </w:trPr>
        <w:tc>
          <w:tcPr>
            <w:tcW w:w="3360" w:type="dxa"/>
            <w:vAlign w:val="bottom"/>
            <w:tcBorders>
              <w:right w:val="single" w:sz="8" w:color="auto"/>
            </w:tcBorders>
            <w:gridSpan w:val="2"/>
          </w:tcPr>
          <w:p>
            <w:pPr>
              <w:spacing w:after="0"/>
              <w:rPr>
                <w:sz w:val="20"/>
                <w:szCs w:val="20"/>
                <w:color w:val="auto"/>
              </w:rPr>
            </w:pPr>
            <w:r>
              <w:rPr>
                <w:rFonts w:ascii="Arial" w:cs="Arial" w:eastAsia="Arial" w:hAnsi="Arial"/>
                <w:sz w:val="16"/>
                <w:szCs w:val="16"/>
                <w:b w:val="1"/>
                <w:bCs w:val="1"/>
                <w:color w:val="auto"/>
              </w:rPr>
              <w:t>(SDG&amp;E)</w:t>
            </w:r>
          </w:p>
        </w:tc>
        <w:tc>
          <w:tcPr>
            <w:tcW w:w="120" w:type="dxa"/>
            <w:vAlign w:val="bottom"/>
          </w:tcPr>
          <w:p>
            <w:pPr>
              <w:spacing w:after="0"/>
              <w:rPr>
                <w:sz w:val="18"/>
                <w:szCs w:val="18"/>
                <w:color w:val="auto"/>
              </w:rPr>
            </w:pPr>
          </w:p>
        </w:tc>
        <w:tc>
          <w:tcPr>
            <w:tcW w:w="32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(1.4 million meters)</w:t>
            </w:r>
          </w:p>
        </w:tc>
        <w:tc>
          <w:tcPr>
            <w:tcW w:w="3320" w:type="dxa"/>
            <w:vAlign w:val="bottom"/>
          </w:tcPr>
          <w:p>
            <w:pPr>
              <w:spacing w:after="0"/>
              <w:rPr>
                <w:sz w:val="20"/>
                <w:szCs w:val="20"/>
                <w:color w:val="auto"/>
              </w:rPr>
            </w:pPr>
            <w:r>
              <w:rPr>
                <w:rFonts w:ascii="Arial" w:cs="Arial" w:eastAsia="Arial" w:hAnsi="Arial"/>
                <w:sz w:val="16"/>
                <w:szCs w:val="16"/>
                <w:color w:val="auto"/>
              </w:rPr>
              <w:t>adjacent portion of southern Orange County</w:t>
            </w:r>
          </w:p>
        </w:tc>
      </w:tr>
      <w:tr>
        <w:trPr>
          <w:trHeight w:val="189"/>
        </w:trPr>
        <w:tc>
          <w:tcPr>
            <w:tcW w:w="336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A regulated public utility; infrastructure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4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Provides natural gas to 3.2 million</w:t>
            </w:r>
          </w:p>
        </w:tc>
        <w:tc>
          <w:tcPr>
            <w:tcW w:w="3320" w:type="dxa"/>
            <w:vAlign w:val="bottom"/>
          </w:tcPr>
          <w:p>
            <w:pPr>
              <w:spacing w:after="0"/>
              <w:rPr>
                <w:sz w:val="20"/>
                <w:szCs w:val="20"/>
                <w:color w:val="auto"/>
              </w:rPr>
            </w:pPr>
            <w:r>
              <w:rPr>
                <w:rFonts w:ascii="Arial" w:cs="Arial" w:eastAsia="Arial" w:hAnsi="Arial"/>
                <w:sz w:val="16"/>
                <w:szCs w:val="16"/>
                <w:color w:val="auto"/>
              </w:rPr>
              <w:t>covering 4,100 square miles</w:t>
            </w:r>
          </w:p>
        </w:tc>
      </w:tr>
      <w:tr>
        <w:trPr>
          <w:trHeight w:val="189"/>
        </w:trPr>
        <w:tc>
          <w:tcPr>
            <w:tcW w:w="336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supports electric generation, transmission and</w:t>
            </w:r>
          </w:p>
        </w:tc>
        <w:tc>
          <w:tcPr>
            <w:tcW w:w="120" w:type="dxa"/>
            <w:vAlign w:val="bottom"/>
          </w:tcPr>
          <w:p>
            <w:pPr>
              <w:spacing w:after="0"/>
              <w:rPr>
                <w:sz w:val="16"/>
                <w:szCs w:val="16"/>
                <w:color w:val="auto"/>
              </w:rPr>
            </w:pPr>
          </w:p>
        </w:tc>
        <w:tc>
          <w:tcPr>
            <w:tcW w:w="32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consumers (845,000 meters)</w:t>
            </w:r>
          </w:p>
        </w:tc>
        <w:tc>
          <w:tcPr>
            <w:tcW w:w="3320" w:type="dxa"/>
            <w:vAlign w:val="bottom"/>
          </w:tcPr>
          <w:p>
            <w:pPr>
              <w:spacing w:after="0"/>
              <w:rPr>
                <w:sz w:val="16"/>
                <w:szCs w:val="16"/>
                <w:color w:val="auto"/>
              </w:rPr>
            </w:pPr>
          </w:p>
        </w:tc>
      </w:tr>
      <w:tr>
        <w:trPr>
          <w:trHeight w:val="187"/>
        </w:trPr>
        <w:tc>
          <w:tcPr>
            <w:tcW w:w="33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6"/>
                <w:szCs w:val="16"/>
                <w:color w:val="auto"/>
              </w:rPr>
              <w:t>distribution, and natural gas distribution</w:t>
            </w:r>
          </w:p>
        </w:tc>
        <w:tc>
          <w:tcPr>
            <w:tcW w:w="120" w:type="dxa"/>
            <w:vAlign w:val="bottom"/>
            <w:tcBorders>
              <w:bottom w:val="single" w:sz="8" w:color="auto"/>
            </w:tcBorders>
          </w:tcPr>
          <w:p>
            <w:pPr>
              <w:spacing w:after="0"/>
              <w:rPr>
                <w:sz w:val="16"/>
                <w:szCs w:val="16"/>
                <w:color w:val="auto"/>
              </w:rPr>
            </w:pPr>
          </w:p>
        </w:tc>
        <w:tc>
          <w:tcPr>
            <w:tcW w:w="3240" w:type="dxa"/>
            <w:vAlign w:val="bottom"/>
            <w:tcBorders>
              <w:bottom w:val="single" w:sz="8" w:color="auto"/>
              <w:right w:val="single" w:sz="8" w:color="auto"/>
            </w:tcBorders>
          </w:tcPr>
          <w:p>
            <w:pPr>
              <w:spacing w:after="0"/>
              <w:rPr>
                <w:sz w:val="16"/>
                <w:szCs w:val="16"/>
                <w:color w:val="auto"/>
              </w:rPr>
            </w:pPr>
          </w:p>
        </w:tc>
        <w:tc>
          <w:tcPr>
            <w:tcW w:w="3320" w:type="dxa"/>
            <w:vAlign w:val="bottom"/>
            <w:tcBorders>
              <w:bottom w:val="single" w:sz="8" w:color="auto"/>
            </w:tcBorders>
          </w:tcPr>
          <w:p>
            <w:pPr>
              <w:spacing w:after="0"/>
              <w:rPr>
                <w:sz w:val="16"/>
                <w:szCs w:val="16"/>
                <w:color w:val="auto"/>
              </w:rPr>
            </w:pPr>
          </w:p>
        </w:tc>
      </w:tr>
      <w:tr>
        <w:trPr>
          <w:trHeight w:val="164"/>
        </w:trPr>
        <w:tc>
          <w:tcPr>
            <w:tcW w:w="3360" w:type="dxa"/>
            <w:vAlign w:val="bottom"/>
            <w:gridSpan w:val="2"/>
          </w:tcPr>
          <w:p>
            <w:pPr>
              <w:spacing w:after="0" w:line="165" w:lineRule="exact"/>
              <w:rPr>
                <w:sz w:val="20"/>
                <w:szCs w:val="20"/>
                <w:color w:val="auto"/>
              </w:rPr>
            </w:pPr>
            <w:r>
              <w:rPr>
                <w:rFonts w:ascii="Arial" w:cs="Arial" w:eastAsia="Arial" w:hAnsi="Arial"/>
                <w:sz w:val="16"/>
                <w:szCs w:val="16"/>
                <w:b w:val="1"/>
                <w:bCs w:val="1"/>
                <w:color w:val="auto"/>
              </w:rPr>
              <w:t>SOUTHERN CALIFORNIA GAS COMPANY</w:t>
            </w:r>
          </w:p>
        </w:tc>
        <w:tc>
          <w:tcPr>
            <w:tcW w:w="120" w:type="dxa"/>
            <w:vAlign w:val="bottom"/>
          </w:tcPr>
          <w:p>
            <w:pPr>
              <w:jc w:val="right"/>
              <w:spacing w:after="0" w:line="164" w:lineRule="exact"/>
              <w:rPr>
                <w:sz w:val="20"/>
                <w:szCs w:val="20"/>
                <w:color w:val="auto"/>
              </w:rPr>
            </w:pPr>
            <w:r>
              <w:rPr>
                <w:rFonts w:ascii="Arial" w:cs="Arial" w:eastAsia="Arial" w:hAnsi="Arial"/>
                <w:sz w:val="15"/>
                <w:szCs w:val="15"/>
                <w:color w:val="auto"/>
                <w:w w:val="71"/>
              </w:rPr>
              <w:t>§</w:t>
            </w:r>
          </w:p>
        </w:tc>
        <w:tc>
          <w:tcPr>
            <w:tcW w:w="3240" w:type="dxa"/>
            <w:vAlign w:val="bottom"/>
          </w:tcPr>
          <w:p>
            <w:pPr>
              <w:ind w:left="40"/>
              <w:spacing w:after="0" w:line="165" w:lineRule="exact"/>
              <w:rPr>
                <w:sz w:val="20"/>
                <w:szCs w:val="20"/>
                <w:color w:val="auto"/>
              </w:rPr>
            </w:pPr>
            <w:r>
              <w:rPr>
                <w:rFonts w:ascii="Arial" w:cs="Arial" w:eastAsia="Arial" w:hAnsi="Arial"/>
                <w:sz w:val="16"/>
                <w:szCs w:val="16"/>
                <w:color w:val="auto"/>
              </w:rPr>
              <w:t>Residential, commercial, industrial, utility</w:t>
            </w:r>
          </w:p>
        </w:tc>
        <w:tc>
          <w:tcPr>
            <w:tcW w:w="3320" w:type="dxa"/>
            <w:vAlign w:val="bottom"/>
          </w:tcPr>
          <w:p>
            <w:pPr>
              <w:spacing w:after="0" w:line="165" w:lineRule="exact"/>
              <w:rPr>
                <w:sz w:val="20"/>
                <w:szCs w:val="20"/>
                <w:color w:val="auto"/>
              </w:rPr>
            </w:pPr>
            <w:r>
              <w:rPr>
                <w:rFonts w:ascii="Arial" w:cs="Arial" w:eastAsia="Arial" w:hAnsi="Arial"/>
                <w:sz w:val="16"/>
                <w:szCs w:val="16"/>
                <w:color w:val="auto"/>
              </w:rPr>
              <w:t>Southern California and portions of Central</w:t>
            </w:r>
          </w:p>
        </w:tc>
      </w:tr>
      <w:tr>
        <w:trPr>
          <w:trHeight w:val="209"/>
        </w:trPr>
        <w:tc>
          <w:tcPr>
            <w:tcW w:w="3360" w:type="dxa"/>
            <w:vAlign w:val="bottom"/>
            <w:gridSpan w:val="2"/>
          </w:tcPr>
          <w:p>
            <w:pPr>
              <w:spacing w:after="0"/>
              <w:rPr>
                <w:sz w:val="20"/>
                <w:szCs w:val="20"/>
                <w:color w:val="auto"/>
              </w:rPr>
            </w:pPr>
            <w:r>
              <w:rPr>
                <w:rFonts w:ascii="Arial" w:cs="Arial" w:eastAsia="Arial" w:hAnsi="Arial"/>
                <w:sz w:val="16"/>
                <w:szCs w:val="16"/>
                <w:b w:val="1"/>
                <w:bCs w:val="1"/>
                <w:color w:val="auto"/>
              </w:rPr>
              <w:t>(SOCALGAS)</w:t>
            </w:r>
          </w:p>
        </w:tc>
        <w:tc>
          <w:tcPr>
            <w:tcW w:w="120" w:type="dxa"/>
            <w:vAlign w:val="bottom"/>
          </w:tcPr>
          <w:p>
            <w:pPr>
              <w:spacing w:after="0"/>
              <w:rPr>
                <w:sz w:val="18"/>
                <w:szCs w:val="18"/>
                <w:color w:val="auto"/>
              </w:rPr>
            </w:pPr>
          </w:p>
        </w:tc>
        <w:tc>
          <w:tcPr>
            <w:tcW w:w="3240" w:type="dxa"/>
            <w:vAlign w:val="bottom"/>
          </w:tcPr>
          <w:p>
            <w:pPr>
              <w:ind w:left="80"/>
              <w:spacing w:after="0"/>
              <w:rPr>
                <w:sz w:val="20"/>
                <w:szCs w:val="20"/>
                <w:color w:val="auto"/>
              </w:rPr>
            </w:pPr>
            <w:r>
              <w:rPr>
                <w:rFonts w:ascii="Arial" w:cs="Arial" w:eastAsia="Arial" w:hAnsi="Arial"/>
                <w:sz w:val="16"/>
                <w:szCs w:val="16"/>
                <w:color w:val="auto"/>
              </w:rPr>
              <w:t>electric generation and wholesale</w:t>
            </w:r>
          </w:p>
        </w:tc>
        <w:tc>
          <w:tcPr>
            <w:tcW w:w="3320" w:type="dxa"/>
            <w:vAlign w:val="bottom"/>
          </w:tcPr>
          <w:p>
            <w:pPr>
              <w:spacing w:after="0"/>
              <w:rPr>
                <w:sz w:val="20"/>
                <w:szCs w:val="20"/>
                <w:color w:val="auto"/>
              </w:rPr>
            </w:pPr>
            <w:r>
              <w:rPr>
                <w:rFonts w:ascii="Arial" w:cs="Arial" w:eastAsia="Arial" w:hAnsi="Arial"/>
                <w:sz w:val="16"/>
                <w:szCs w:val="16"/>
                <w:color w:val="auto"/>
              </w:rPr>
              <w:t>California (excluding San Diego County, the</w:t>
            </w:r>
          </w:p>
        </w:tc>
      </w:tr>
      <w:tr>
        <w:trPr>
          <w:trHeight w:val="189"/>
        </w:trPr>
        <w:tc>
          <w:tcPr>
            <w:tcW w:w="3360" w:type="dxa"/>
            <w:vAlign w:val="bottom"/>
            <w:gridSpan w:val="2"/>
          </w:tcPr>
          <w:p>
            <w:pPr>
              <w:spacing w:after="0"/>
              <w:rPr>
                <w:sz w:val="20"/>
                <w:szCs w:val="20"/>
                <w:color w:val="auto"/>
              </w:rPr>
            </w:pPr>
            <w:r>
              <w:rPr>
                <w:rFonts w:ascii="Arial" w:cs="Arial" w:eastAsia="Arial" w:hAnsi="Arial"/>
                <w:sz w:val="16"/>
                <w:szCs w:val="16"/>
                <w:color w:val="auto"/>
              </w:rPr>
              <w:t>A regulated public utility; infrastructure</w:t>
            </w:r>
          </w:p>
        </w:tc>
        <w:tc>
          <w:tcPr>
            <w:tcW w:w="120" w:type="dxa"/>
            <w:vAlign w:val="bottom"/>
          </w:tcPr>
          <w:p>
            <w:pPr>
              <w:spacing w:after="0"/>
              <w:rPr>
                <w:sz w:val="16"/>
                <w:szCs w:val="16"/>
                <w:color w:val="auto"/>
              </w:rPr>
            </w:pPr>
          </w:p>
        </w:tc>
        <w:tc>
          <w:tcPr>
            <w:tcW w:w="3240" w:type="dxa"/>
            <w:vAlign w:val="bottom"/>
          </w:tcPr>
          <w:p>
            <w:pPr>
              <w:ind w:left="80"/>
              <w:spacing w:after="0"/>
              <w:rPr>
                <w:sz w:val="20"/>
                <w:szCs w:val="20"/>
                <w:color w:val="auto"/>
              </w:rPr>
            </w:pPr>
            <w:r>
              <w:rPr>
                <w:rFonts w:ascii="Arial" w:cs="Arial" w:eastAsia="Arial" w:hAnsi="Arial"/>
                <w:sz w:val="16"/>
                <w:szCs w:val="16"/>
                <w:color w:val="auto"/>
              </w:rPr>
              <w:t>customers</w:t>
            </w:r>
          </w:p>
        </w:tc>
        <w:tc>
          <w:tcPr>
            <w:tcW w:w="3320" w:type="dxa"/>
            <w:vAlign w:val="bottom"/>
          </w:tcPr>
          <w:p>
            <w:pPr>
              <w:spacing w:after="0"/>
              <w:rPr>
                <w:sz w:val="20"/>
                <w:szCs w:val="20"/>
                <w:color w:val="auto"/>
              </w:rPr>
            </w:pPr>
            <w:r>
              <w:rPr>
                <w:rFonts w:ascii="Arial" w:cs="Arial" w:eastAsia="Arial" w:hAnsi="Arial"/>
                <w:sz w:val="16"/>
                <w:szCs w:val="16"/>
                <w:color w:val="auto"/>
              </w:rPr>
              <w:t>city of Long Beach and the desert area of San</w:t>
            </w:r>
          </w:p>
        </w:tc>
      </w:tr>
      <w:tr>
        <w:trPr>
          <w:trHeight w:val="189"/>
        </w:trPr>
        <w:tc>
          <w:tcPr>
            <w:tcW w:w="3480" w:type="dxa"/>
            <w:vAlign w:val="bottom"/>
            <w:gridSpan w:val="3"/>
          </w:tcPr>
          <w:p>
            <w:pPr>
              <w:spacing w:after="0" w:line="189" w:lineRule="exact"/>
              <w:rPr>
                <w:sz w:val="20"/>
                <w:szCs w:val="20"/>
                <w:color w:val="auto"/>
              </w:rPr>
            </w:pPr>
            <w:r>
              <w:rPr>
                <w:rFonts w:ascii="Arial" w:cs="Arial" w:eastAsia="Arial" w:hAnsi="Arial"/>
                <w:sz w:val="12"/>
                <w:szCs w:val="12"/>
                <w:color w:val="auto"/>
              </w:rPr>
              <w:t xml:space="preserve">supports natural gas distribution, transmission </w:t>
            </w:r>
            <w:r>
              <w:rPr>
                <w:rFonts w:ascii="Arial" w:cs="Arial" w:eastAsia="Arial" w:hAnsi="Arial"/>
                <w:sz w:val="21"/>
                <w:szCs w:val="21"/>
                <w:color w:val="auto"/>
                <w:vertAlign w:val="subscript"/>
              </w:rPr>
              <w:t>§</w:t>
            </w:r>
          </w:p>
        </w:tc>
        <w:tc>
          <w:tcPr>
            <w:tcW w:w="3240" w:type="dxa"/>
            <w:vAlign w:val="bottom"/>
          </w:tcPr>
          <w:p>
            <w:pPr>
              <w:ind w:left="40"/>
              <w:spacing w:after="0"/>
              <w:rPr>
                <w:sz w:val="20"/>
                <w:szCs w:val="20"/>
                <w:color w:val="auto"/>
              </w:rPr>
            </w:pPr>
            <w:r>
              <w:rPr>
                <w:rFonts w:ascii="Arial" w:cs="Arial" w:eastAsia="Arial" w:hAnsi="Arial"/>
                <w:sz w:val="16"/>
                <w:szCs w:val="16"/>
                <w:color w:val="auto"/>
              </w:rPr>
              <w:t>Covers a population of 20.7 million (5.8</w:t>
            </w:r>
          </w:p>
        </w:tc>
        <w:tc>
          <w:tcPr>
            <w:tcW w:w="3320" w:type="dxa"/>
            <w:vAlign w:val="bottom"/>
          </w:tcPr>
          <w:p>
            <w:pPr>
              <w:spacing w:after="0"/>
              <w:rPr>
                <w:sz w:val="20"/>
                <w:szCs w:val="20"/>
                <w:color w:val="auto"/>
              </w:rPr>
            </w:pPr>
            <w:r>
              <w:rPr>
                <w:rFonts w:ascii="Arial" w:cs="Arial" w:eastAsia="Arial" w:hAnsi="Arial"/>
                <w:sz w:val="16"/>
                <w:szCs w:val="16"/>
                <w:color w:val="auto"/>
              </w:rPr>
              <w:t>Bernardino County) covering 20,000 square</w:t>
            </w:r>
          </w:p>
        </w:tc>
      </w:tr>
      <w:tr>
        <w:trPr>
          <w:trHeight w:val="235"/>
        </w:trPr>
        <w:tc>
          <w:tcPr>
            <w:tcW w:w="3360" w:type="dxa"/>
            <w:vAlign w:val="bottom"/>
            <w:gridSpan w:val="2"/>
          </w:tcPr>
          <w:p>
            <w:pPr>
              <w:spacing w:after="0"/>
              <w:rPr>
                <w:sz w:val="20"/>
                <w:szCs w:val="20"/>
                <w:color w:val="auto"/>
              </w:rPr>
            </w:pPr>
            <w:r>
              <w:rPr>
                <w:rFonts w:ascii="Arial" w:cs="Arial" w:eastAsia="Arial" w:hAnsi="Arial"/>
                <w:sz w:val="16"/>
                <w:szCs w:val="16"/>
                <w:color w:val="auto"/>
              </w:rPr>
              <w:t>and storage</w:t>
            </w:r>
          </w:p>
        </w:tc>
        <w:tc>
          <w:tcPr>
            <w:tcW w:w="120" w:type="dxa"/>
            <w:vAlign w:val="bottom"/>
          </w:tcPr>
          <w:p>
            <w:pPr>
              <w:spacing w:after="0"/>
              <w:rPr>
                <w:sz w:val="20"/>
                <w:szCs w:val="20"/>
                <w:color w:val="auto"/>
              </w:rPr>
            </w:pPr>
          </w:p>
        </w:tc>
        <w:tc>
          <w:tcPr>
            <w:tcW w:w="3240" w:type="dxa"/>
            <w:vAlign w:val="bottom"/>
          </w:tcPr>
          <w:p>
            <w:pPr>
              <w:ind w:left="80"/>
              <w:spacing w:after="0"/>
              <w:rPr>
                <w:sz w:val="20"/>
                <w:szCs w:val="20"/>
                <w:color w:val="auto"/>
              </w:rPr>
            </w:pPr>
            <w:r>
              <w:rPr>
                <w:rFonts w:ascii="Arial" w:cs="Arial" w:eastAsia="Arial" w:hAnsi="Arial"/>
                <w:sz w:val="16"/>
                <w:szCs w:val="16"/>
                <w:color w:val="auto"/>
              </w:rPr>
              <w:t>million meters)</w:t>
            </w:r>
          </w:p>
        </w:tc>
        <w:tc>
          <w:tcPr>
            <w:tcW w:w="3320" w:type="dxa"/>
            <w:vAlign w:val="bottom"/>
          </w:tcPr>
          <w:p>
            <w:pPr>
              <w:spacing w:after="0"/>
              <w:rPr>
                <w:sz w:val="20"/>
                <w:szCs w:val="20"/>
                <w:color w:val="auto"/>
              </w:rPr>
            </w:pPr>
            <w:r>
              <w:rPr>
                <w:rFonts w:ascii="Arial" w:cs="Arial" w:eastAsia="Arial" w:hAnsi="Arial"/>
                <w:sz w:val="16"/>
                <w:szCs w:val="16"/>
                <w:color w:val="auto"/>
              </w:rPr>
              <w:t>miles</w:t>
            </w:r>
          </w:p>
        </w:tc>
      </w:tr>
      <w:tr>
        <w:trPr>
          <w:trHeight w:val="67"/>
        </w:trPr>
        <w:tc>
          <w:tcPr>
            <w:tcW w:w="20" w:type="dxa"/>
            <w:vAlign w:val="bottom"/>
            <w:tcBorders>
              <w:bottom w:val="single" w:sz="8" w:color="DFDFDF"/>
            </w:tcBorders>
          </w:tcPr>
          <w:p>
            <w:pPr>
              <w:spacing w:after="0"/>
              <w:rPr>
                <w:sz w:val="5"/>
                <w:szCs w:val="5"/>
                <w:color w:val="auto"/>
              </w:rPr>
            </w:pPr>
          </w:p>
        </w:tc>
        <w:tc>
          <w:tcPr>
            <w:tcW w:w="3340" w:type="dxa"/>
            <w:vAlign w:val="bottom"/>
            <w:tcBorders>
              <w:bottom w:val="single" w:sz="8" w:color="DFDFDF"/>
            </w:tcBorders>
          </w:tcPr>
          <w:p>
            <w:pPr>
              <w:spacing w:after="0"/>
              <w:rPr>
                <w:sz w:val="5"/>
                <w:szCs w:val="5"/>
                <w:color w:val="auto"/>
              </w:rPr>
            </w:pPr>
          </w:p>
        </w:tc>
        <w:tc>
          <w:tcPr>
            <w:tcW w:w="120" w:type="dxa"/>
            <w:vAlign w:val="bottom"/>
            <w:tcBorders>
              <w:bottom w:val="single" w:sz="8" w:color="DFDFDF"/>
            </w:tcBorders>
          </w:tcPr>
          <w:p>
            <w:pPr>
              <w:spacing w:after="0"/>
              <w:rPr>
                <w:sz w:val="5"/>
                <w:szCs w:val="5"/>
                <w:color w:val="auto"/>
              </w:rPr>
            </w:pPr>
          </w:p>
        </w:tc>
        <w:tc>
          <w:tcPr>
            <w:tcW w:w="3240" w:type="dxa"/>
            <w:vAlign w:val="bottom"/>
            <w:tcBorders>
              <w:bottom w:val="single" w:sz="8" w:color="DFDFDF"/>
            </w:tcBorders>
          </w:tcPr>
          <w:p>
            <w:pPr>
              <w:spacing w:after="0"/>
              <w:rPr>
                <w:sz w:val="5"/>
                <w:szCs w:val="5"/>
                <w:color w:val="auto"/>
              </w:rPr>
            </w:pPr>
          </w:p>
        </w:tc>
        <w:tc>
          <w:tcPr>
            <w:tcW w:w="3320" w:type="dxa"/>
            <w:vAlign w:val="bottom"/>
            <w:tcBorders>
              <w:bottom w:val="single" w:sz="8" w:color="DFDFDF"/>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2110740</wp:posOffset>
            </wp:positionH>
            <wp:positionV relativeFrom="paragraph">
              <wp:posOffset>-697865</wp:posOffset>
            </wp:positionV>
            <wp:extent cx="34290" cy="7112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711200"/>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-697865</wp:posOffset>
            </wp:positionV>
            <wp:extent cx="34290" cy="7112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711200"/>
                    </a:xfrm>
                    <a:prstGeom prst="rect">
                      <a:avLst/>
                    </a:prstGeom>
                    <a:noFill/>
                  </pic:spPr>
                </pic:pic>
              </a:graphicData>
            </a:graphic>
          </wp:anchor>
        </w:drawing>
      </w:r>
    </w:p>
    <w:p>
      <w:pPr>
        <w:spacing w:after="0" w:line="242" w:lineRule="exact"/>
        <w:rPr>
          <w:sz w:val="20"/>
          <w:szCs w:val="20"/>
          <w:color w:val="auto"/>
        </w:rPr>
      </w:pPr>
    </w:p>
    <w:p>
      <w:pPr>
        <w:ind w:right="779"/>
        <w:spacing w:after="0" w:line="269" w:lineRule="auto"/>
        <w:rPr>
          <w:sz w:val="20"/>
          <w:szCs w:val="20"/>
          <w:color w:val="auto"/>
        </w:rPr>
      </w:pPr>
      <w:r>
        <w:rPr>
          <w:rFonts w:ascii="Arial" w:cs="Arial" w:eastAsia="Arial" w:hAnsi="Arial"/>
          <w:sz w:val="19"/>
          <w:szCs w:val="19"/>
          <w:color w:val="auto"/>
        </w:rPr>
        <w:t>Sempra Global is a holding company for most of our subsidiaries that are not subject to California utility regulation. Sempra Global's principal business units, which provide energy-related products and services, are</w:t>
      </w:r>
    </w:p>
    <w:p>
      <w:pPr>
        <w:spacing w:after="0" w:line="1" w:lineRule="exact"/>
        <w:rPr>
          <w:sz w:val="20"/>
          <w:szCs w:val="20"/>
          <w:color w:val="auto"/>
        </w:rPr>
      </w:pPr>
    </w:p>
    <w:p>
      <w:pPr>
        <w:ind w:left="140" w:hanging="132"/>
        <w:spacing w:after="0"/>
        <w:tabs>
          <w:tab w:leader="none" w:pos="140" w:val="left"/>
        </w:tabs>
        <w:numPr>
          <w:ilvl w:val="0"/>
          <w:numId w:val="28"/>
        </w:numPr>
        <w:rPr>
          <w:rFonts w:ascii="Arial" w:cs="Arial" w:eastAsia="Arial" w:hAnsi="Arial"/>
          <w:sz w:val="22"/>
          <w:szCs w:val="22"/>
          <w:color w:val="auto"/>
        </w:rPr>
      </w:pPr>
      <w:r>
        <w:rPr>
          <w:rFonts w:ascii="Arial" w:cs="Arial" w:eastAsia="Arial" w:hAnsi="Arial"/>
          <w:sz w:val="22"/>
          <w:szCs w:val="22"/>
          <w:color w:val="auto"/>
        </w:rPr>
        <w:t>Sempra Commodities</w:t>
      </w:r>
    </w:p>
    <w:p>
      <w:pPr>
        <w:spacing w:after="0" w:line="17" w:lineRule="exact"/>
        <w:rPr>
          <w:rFonts w:ascii="Arial" w:cs="Arial" w:eastAsia="Arial" w:hAnsi="Arial"/>
          <w:sz w:val="22"/>
          <w:szCs w:val="22"/>
          <w:color w:val="auto"/>
        </w:rPr>
      </w:pPr>
    </w:p>
    <w:p>
      <w:pPr>
        <w:ind w:left="140" w:hanging="132"/>
        <w:spacing w:after="0"/>
        <w:tabs>
          <w:tab w:leader="none" w:pos="140" w:val="left"/>
        </w:tabs>
        <w:numPr>
          <w:ilvl w:val="0"/>
          <w:numId w:val="28"/>
        </w:numPr>
        <w:rPr>
          <w:rFonts w:ascii="Arial" w:cs="Arial" w:eastAsia="Arial" w:hAnsi="Arial"/>
          <w:sz w:val="22"/>
          <w:szCs w:val="22"/>
          <w:color w:val="auto"/>
        </w:rPr>
      </w:pPr>
      <w:r>
        <w:rPr>
          <w:rFonts w:ascii="Arial" w:cs="Arial" w:eastAsia="Arial" w:hAnsi="Arial"/>
          <w:sz w:val="22"/>
          <w:szCs w:val="22"/>
          <w:color w:val="auto"/>
        </w:rPr>
        <w:t>Sempra Generation</w:t>
      </w:r>
    </w:p>
    <w:p>
      <w:pPr>
        <w:spacing w:after="0" w:line="3" w:lineRule="exact"/>
        <w:rPr>
          <w:rFonts w:ascii="Arial" w:cs="Arial" w:eastAsia="Arial" w:hAnsi="Arial"/>
          <w:sz w:val="22"/>
          <w:szCs w:val="22"/>
          <w:color w:val="auto"/>
        </w:rPr>
      </w:pPr>
    </w:p>
    <w:p>
      <w:pPr>
        <w:ind w:left="140" w:hanging="132"/>
        <w:spacing w:after="0"/>
        <w:tabs>
          <w:tab w:leader="none" w:pos="140" w:val="left"/>
        </w:tabs>
        <w:numPr>
          <w:ilvl w:val="0"/>
          <w:numId w:val="28"/>
        </w:numPr>
        <w:rPr>
          <w:rFonts w:ascii="Arial" w:cs="Arial" w:eastAsia="Arial" w:hAnsi="Arial"/>
          <w:sz w:val="22"/>
          <w:szCs w:val="22"/>
          <w:color w:val="auto"/>
        </w:rPr>
      </w:pPr>
      <w:r>
        <w:rPr>
          <w:rFonts w:ascii="Arial" w:cs="Arial" w:eastAsia="Arial" w:hAnsi="Arial"/>
          <w:sz w:val="22"/>
          <w:szCs w:val="22"/>
          <w:color w:val="auto"/>
        </w:rPr>
        <w:t>Sempra Pipelines &amp; Storage</w:t>
      </w:r>
    </w:p>
    <w:p>
      <w:pPr>
        <w:spacing w:after="0" w:line="3" w:lineRule="exact"/>
        <w:rPr>
          <w:rFonts w:ascii="Arial" w:cs="Arial" w:eastAsia="Arial" w:hAnsi="Arial"/>
          <w:sz w:val="22"/>
          <w:szCs w:val="22"/>
          <w:color w:val="auto"/>
        </w:rPr>
      </w:pPr>
    </w:p>
    <w:p>
      <w:pPr>
        <w:ind w:left="140" w:hanging="132"/>
        <w:spacing w:after="0"/>
        <w:tabs>
          <w:tab w:leader="none" w:pos="140" w:val="left"/>
        </w:tabs>
        <w:numPr>
          <w:ilvl w:val="0"/>
          <w:numId w:val="28"/>
        </w:numPr>
        <w:rPr>
          <w:rFonts w:ascii="Arial" w:cs="Arial" w:eastAsia="Arial" w:hAnsi="Arial"/>
          <w:sz w:val="22"/>
          <w:szCs w:val="22"/>
          <w:color w:val="auto"/>
        </w:rPr>
      </w:pPr>
      <w:r>
        <w:rPr>
          <w:rFonts w:ascii="Arial" w:cs="Arial" w:eastAsia="Arial" w:hAnsi="Arial"/>
          <w:sz w:val="22"/>
          <w:szCs w:val="22"/>
          <w:color w:val="auto"/>
        </w:rPr>
        <w:t>Sempra LNG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637159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371590" cy="137160"/>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GLOBAL</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33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tcPr>
          <w:p>
            <w:pPr>
              <w:ind w:left="1240"/>
              <w:spacing w:after="0"/>
              <w:rPr>
                <w:sz w:val="20"/>
                <w:szCs w:val="20"/>
                <w:color w:val="auto"/>
              </w:rPr>
            </w:pPr>
            <w:r>
              <w:rPr>
                <w:rFonts w:ascii="Arial" w:cs="Arial" w:eastAsia="Arial" w:hAnsi="Arial"/>
                <w:sz w:val="14"/>
                <w:szCs w:val="14"/>
                <w:b w:val="1"/>
                <w:bCs w:val="1"/>
                <w:color w:val="auto"/>
              </w:rPr>
              <w:t>MARKET</w:t>
            </w:r>
          </w:p>
        </w:tc>
        <w:tc>
          <w:tcPr>
            <w:tcW w:w="332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GEOGRAPHIC REGION</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340" w:type="dxa"/>
            <w:vAlign w:val="bottom"/>
            <w:tcBorders>
              <w:right w:val="single" w:sz="8" w:color="auto"/>
            </w:tcBorders>
          </w:tcPr>
          <w:p>
            <w:pPr>
              <w:spacing w:after="0"/>
              <w:rPr>
                <w:sz w:val="20"/>
                <w:szCs w:val="20"/>
                <w:color w:val="auto"/>
              </w:rPr>
            </w:pPr>
            <w:r>
              <w:rPr>
                <w:rFonts w:ascii="Arial" w:cs="Arial" w:eastAsia="Arial" w:hAnsi="Arial"/>
                <w:sz w:val="16"/>
                <w:szCs w:val="16"/>
                <w:b w:val="1"/>
                <w:bCs w:val="1"/>
                <w:color w:val="auto"/>
              </w:rPr>
              <w:t>SEMPRA COMMODITIES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4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Natural gas; natural gas liquids</w:t>
            </w:r>
          </w:p>
        </w:tc>
        <w:tc>
          <w:tcPr>
            <w:tcW w:w="3320" w:type="dxa"/>
            <w:vAlign w:val="bottom"/>
          </w:tcPr>
          <w:p>
            <w:pPr>
              <w:spacing w:after="0"/>
              <w:rPr>
                <w:sz w:val="20"/>
                <w:szCs w:val="20"/>
                <w:color w:val="auto"/>
              </w:rPr>
            </w:pPr>
            <w:r>
              <w:rPr>
                <w:rFonts w:ascii="Arial" w:cs="Arial" w:eastAsia="Arial" w:hAnsi="Arial"/>
                <w:sz w:val="16"/>
                <w:szCs w:val="16"/>
                <w:color w:val="auto"/>
              </w:rPr>
              <w:t>§ Global</w:t>
            </w:r>
          </w:p>
        </w:tc>
        <w:tc>
          <w:tcPr>
            <w:tcW w:w="0" w:type="dxa"/>
            <w:vAlign w:val="bottom"/>
          </w:tcPr>
          <w:p>
            <w:pPr>
              <w:spacing w:after="0"/>
              <w:rPr>
                <w:sz w:val="1"/>
                <w:szCs w:val="1"/>
                <w:color w:val="auto"/>
              </w:rPr>
            </w:pPr>
          </w:p>
        </w:tc>
      </w:tr>
      <w:tr>
        <w:trPr>
          <w:trHeight w:val="189"/>
        </w:trPr>
        <w:tc>
          <w:tcPr>
            <w:tcW w:w="336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Holds an interest in RBS Sempra</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4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Power</w:t>
            </w:r>
          </w:p>
        </w:tc>
        <w:tc>
          <w:tcPr>
            <w:tcW w:w="3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6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Commodities LLP, a commodities-marketing</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3240" w:type="dxa"/>
            <w:vAlign w:val="bottom"/>
            <w:tcBorders>
              <w:right w:val="single" w:sz="8" w:color="auto"/>
            </w:tcBorders>
            <w:vMerge w:val="restart"/>
          </w:tcPr>
          <w:p>
            <w:pPr>
              <w:ind w:left="40"/>
              <w:spacing w:after="0"/>
              <w:rPr>
                <w:sz w:val="20"/>
                <w:szCs w:val="20"/>
                <w:color w:val="auto"/>
              </w:rPr>
            </w:pPr>
            <w:r>
              <w:rPr>
                <w:rFonts w:ascii="Arial" w:cs="Arial" w:eastAsia="Arial" w:hAnsi="Arial"/>
                <w:sz w:val="16"/>
                <w:szCs w:val="16"/>
                <w:color w:val="auto"/>
              </w:rPr>
              <w:t>Petroleum and petroleum products</w:t>
            </w:r>
          </w:p>
        </w:tc>
        <w:tc>
          <w:tcPr>
            <w:tcW w:w="3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3360" w:type="dxa"/>
            <w:vAlign w:val="bottom"/>
            <w:tcBorders>
              <w:right w:val="single" w:sz="8" w:color="auto"/>
            </w:tcBorders>
            <w:gridSpan w:val="2"/>
          </w:tcPr>
          <w:p>
            <w:pPr>
              <w:spacing w:after="0" w:line="147" w:lineRule="exact"/>
              <w:rPr>
                <w:sz w:val="20"/>
                <w:szCs w:val="20"/>
                <w:color w:val="auto"/>
              </w:rPr>
            </w:pPr>
            <w:r>
              <w:rPr>
                <w:rFonts w:ascii="Arial" w:cs="Arial" w:eastAsia="Arial" w:hAnsi="Arial"/>
                <w:sz w:val="16"/>
                <w:szCs w:val="16"/>
                <w:color w:val="auto"/>
              </w:rPr>
              <w:t>business joint venture with The Royal Bank of</w:t>
            </w:r>
          </w:p>
        </w:tc>
        <w:tc>
          <w:tcPr>
            <w:tcW w:w="120" w:type="dxa"/>
            <w:vAlign w:val="bottom"/>
            <w:vMerge w:val="continue"/>
          </w:tcPr>
          <w:p>
            <w:pPr>
              <w:spacing w:after="0"/>
              <w:rPr>
                <w:sz w:val="12"/>
                <w:szCs w:val="12"/>
                <w:color w:val="auto"/>
              </w:rPr>
            </w:pPr>
          </w:p>
        </w:tc>
        <w:tc>
          <w:tcPr>
            <w:tcW w:w="3240" w:type="dxa"/>
            <w:vAlign w:val="bottom"/>
            <w:tcBorders>
              <w:right w:val="single" w:sz="8" w:color="auto"/>
            </w:tcBorders>
            <w:vMerge w:val="continue"/>
          </w:tcPr>
          <w:p>
            <w:pPr>
              <w:spacing w:after="0"/>
              <w:rPr>
                <w:sz w:val="12"/>
                <w:szCs w:val="12"/>
                <w:color w:val="auto"/>
              </w:rPr>
            </w:pPr>
          </w:p>
        </w:tc>
        <w:tc>
          <w:tcPr>
            <w:tcW w:w="3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6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6"/>
                <w:szCs w:val="16"/>
                <w:color w:val="auto"/>
              </w:rPr>
              <w:t>Scotland (RBS)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4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Coal</w:t>
            </w:r>
          </w:p>
        </w:tc>
        <w:tc>
          <w:tcPr>
            <w:tcW w:w="3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3360" w:type="dxa"/>
            <w:vAlign w:val="bottom"/>
            <w:tcBorders>
              <w:right w:val="single" w:sz="8" w:color="auto"/>
            </w:tcBorders>
            <w:gridSpan w:val="2"/>
            <w:vMerge w:val="continue"/>
          </w:tcPr>
          <w:p>
            <w:pPr>
              <w:spacing w:after="0"/>
              <w:rPr>
                <w:sz w:val="4"/>
                <w:szCs w:val="4"/>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3240" w:type="dxa"/>
            <w:vAlign w:val="bottom"/>
            <w:tcBorders>
              <w:right w:val="single" w:sz="8" w:color="auto"/>
            </w:tcBorders>
            <w:vMerge w:val="restart"/>
          </w:tcPr>
          <w:p>
            <w:pPr>
              <w:ind w:left="40"/>
              <w:spacing w:after="0"/>
              <w:rPr>
                <w:sz w:val="20"/>
                <w:szCs w:val="20"/>
                <w:color w:val="auto"/>
              </w:rPr>
            </w:pPr>
            <w:r>
              <w:rPr>
                <w:rFonts w:ascii="Arial" w:cs="Arial" w:eastAsia="Arial" w:hAnsi="Arial"/>
                <w:sz w:val="16"/>
                <w:szCs w:val="16"/>
                <w:color w:val="auto"/>
              </w:rPr>
              <w:t>Emissions</w:t>
            </w:r>
          </w:p>
        </w:tc>
        <w:tc>
          <w:tcPr>
            <w:tcW w:w="3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40" w:type="dxa"/>
            <w:vAlign w:val="bottom"/>
            <w:tcBorders>
              <w:right w:val="single" w:sz="8" w:color="auto"/>
            </w:tcBorders>
          </w:tcPr>
          <w:p>
            <w:pPr>
              <w:spacing w:after="0"/>
              <w:rPr>
                <w:sz w:val="14"/>
                <w:szCs w:val="14"/>
                <w:color w:val="auto"/>
              </w:rPr>
            </w:pPr>
          </w:p>
        </w:tc>
        <w:tc>
          <w:tcPr>
            <w:tcW w:w="120" w:type="dxa"/>
            <w:vAlign w:val="bottom"/>
            <w:vMerge w:val="continue"/>
          </w:tcPr>
          <w:p>
            <w:pPr>
              <w:spacing w:after="0"/>
              <w:rPr>
                <w:sz w:val="14"/>
                <w:szCs w:val="14"/>
                <w:color w:val="auto"/>
              </w:rPr>
            </w:pPr>
          </w:p>
        </w:tc>
        <w:tc>
          <w:tcPr>
            <w:tcW w:w="3240" w:type="dxa"/>
            <w:vAlign w:val="bottom"/>
            <w:tcBorders>
              <w:right w:val="single" w:sz="8" w:color="auto"/>
            </w:tcBorders>
            <w:vMerge w:val="continue"/>
          </w:tcPr>
          <w:p>
            <w:pPr>
              <w:spacing w:after="0"/>
              <w:rPr>
                <w:sz w:val="14"/>
                <w:szCs w:val="14"/>
                <w:color w:val="auto"/>
              </w:rPr>
            </w:pPr>
          </w:p>
        </w:tc>
        <w:tc>
          <w:tcPr>
            <w:tcW w:w="3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tcBorders>
              <w:right w:val="single" w:sz="8" w:color="auto"/>
            </w:tcBorders>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4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Ethanol</w:t>
            </w:r>
          </w:p>
        </w:tc>
        <w:tc>
          <w:tcPr>
            <w:tcW w:w="3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tcBorders>
              <w:right w:val="single" w:sz="8" w:color="auto"/>
            </w:tcBorders>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4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Base metals</w:t>
            </w:r>
          </w:p>
        </w:tc>
        <w:tc>
          <w:tcPr>
            <w:tcW w:w="3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334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40" w:type="dxa"/>
            <w:vAlign w:val="bottom"/>
            <w:tcBorders>
              <w:bottom w:val="single" w:sz="8" w:color="auto"/>
              <w:right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3340" w:type="dxa"/>
            <w:vAlign w:val="bottom"/>
            <w:tcBorders>
              <w:right w:val="single" w:sz="8" w:color="auto"/>
            </w:tcBorders>
          </w:tcPr>
          <w:p>
            <w:pPr>
              <w:spacing w:after="0"/>
              <w:rPr>
                <w:sz w:val="20"/>
                <w:szCs w:val="20"/>
                <w:color w:val="auto"/>
              </w:rPr>
            </w:pPr>
            <w:r>
              <w:rPr>
                <w:rFonts w:ascii="Arial" w:cs="Arial" w:eastAsia="Arial" w:hAnsi="Arial"/>
                <w:sz w:val="16"/>
                <w:szCs w:val="16"/>
                <w:b w:val="1"/>
                <w:bCs w:val="1"/>
                <w:color w:val="auto"/>
              </w:rPr>
              <w:t>SEMPRA GENERATION</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4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Wholesale electricity</w:t>
            </w:r>
          </w:p>
        </w:tc>
        <w:tc>
          <w:tcPr>
            <w:tcW w:w="3320" w:type="dxa"/>
            <w:vAlign w:val="bottom"/>
          </w:tcPr>
          <w:p>
            <w:pPr>
              <w:spacing w:after="0"/>
              <w:rPr>
                <w:sz w:val="20"/>
                <w:szCs w:val="20"/>
                <w:color w:val="auto"/>
              </w:rPr>
            </w:pPr>
            <w:r>
              <w:rPr>
                <w:rFonts w:ascii="Arial" w:cs="Arial" w:eastAsia="Arial" w:hAnsi="Arial"/>
                <w:sz w:val="16"/>
                <w:szCs w:val="16"/>
                <w:color w:val="auto"/>
              </w:rPr>
              <w:t>§ U.S.A.</w:t>
            </w:r>
          </w:p>
        </w:tc>
        <w:tc>
          <w:tcPr>
            <w:tcW w:w="0" w:type="dxa"/>
            <w:vAlign w:val="bottom"/>
          </w:tcPr>
          <w:p>
            <w:pPr>
              <w:spacing w:after="0"/>
              <w:rPr>
                <w:sz w:val="1"/>
                <w:szCs w:val="1"/>
                <w:color w:val="auto"/>
              </w:rPr>
            </w:pPr>
          </w:p>
        </w:tc>
      </w:tr>
      <w:tr>
        <w:trPr>
          <w:trHeight w:val="189"/>
        </w:trPr>
        <w:tc>
          <w:tcPr>
            <w:tcW w:w="336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Develops, owns and operates, or holds</w:t>
            </w:r>
          </w:p>
        </w:tc>
        <w:tc>
          <w:tcPr>
            <w:tcW w:w="120" w:type="dxa"/>
            <w:vAlign w:val="bottom"/>
          </w:tcPr>
          <w:p>
            <w:pPr>
              <w:spacing w:after="0"/>
              <w:rPr>
                <w:sz w:val="16"/>
                <w:szCs w:val="16"/>
                <w:color w:val="auto"/>
              </w:rPr>
            </w:pPr>
          </w:p>
        </w:tc>
        <w:tc>
          <w:tcPr>
            <w:tcW w:w="3240" w:type="dxa"/>
            <w:vAlign w:val="bottom"/>
            <w:tcBorders>
              <w:right w:val="single" w:sz="8" w:color="auto"/>
            </w:tcBorders>
          </w:tcPr>
          <w:p>
            <w:pPr>
              <w:spacing w:after="0"/>
              <w:rPr>
                <w:sz w:val="16"/>
                <w:szCs w:val="16"/>
                <w:color w:val="auto"/>
              </w:rPr>
            </w:pPr>
          </w:p>
        </w:tc>
        <w:tc>
          <w:tcPr>
            <w:tcW w:w="3320" w:type="dxa"/>
            <w:vAlign w:val="bottom"/>
          </w:tcPr>
          <w:p>
            <w:pPr>
              <w:spacing w:after="0"/>
              <w:rPr>
                <w:sz w:val="20"/>
                <w:szCs w:val="20"/>
                <w:color w:val="auto"/>
              </w:rPr>
            </w:pPr>
            <w:r>
              <w:rPr>
                <w:rFonts w:ascii="Arial" w:cs="Arial" w:eastAsia="Arial" w:hAnsi="Arial"/>
                <w:sz w:val="16"/>
                <w:szCs w:val="16"/>
                <w:color w:val="auto"/>
              </w:rPr>
              <w:t>§ Mexico</w:t>
            </w:r>
          </w:p>
        </w:tc>
        <w:tc>
          <w:tcPr>
            <w:tcW w:w="0" w:type="dxa"/>
            <w:vAlign w:val="bottom"/>
          </w:tcPr>
          <w:p>
            <w:pPr>
              <w:spacing w:after="0"/>
              <w:rPr>
                <w:sz w:val="1"/>
                <w:szCs w:val="1"/>
                <w:color w:val="auto"/>
              </w:rPr>
            </w:pPr>
          </w:p>
        </w:tc>
      </w:tr>
      <w:tr>
        <w:trPr>
          <w:trHeight w:val="189"/>
        </w:trPr>
        <w:tc>
          <w:tcPr>
            <w:tcW w:w="336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interests in, electric power plants and energy</w:t>
            </w:r>
          </w:p>
        </w:tc>
        <w:tc>
          <w:tcPr>
            <w:tcW w:w="120" w:type="dxa"/>
            <w:vAlign w:val="bottom"/>
          </w:tcPr>
          <w:p>
            <w:pPr>
              <w:spacing w:after="0"/>
              <w:rPr>
                <w:sz w:val="16"/>
                <w:szCs w:val="16"/>
                <w:color w:val="auto"/>
              </w:rPr>
            </w:pPr>
          </w:p>
        </w:tc>
        <w:tc>
          <w:tcPr>
            <w:tcW w:w="3240" w:type="dxa"/>
            <w:vAlign w:val="bottom"/>
            <w:tcBorders>
              <w:right w:val="single" w:sz="8" w:color="auto"/>
            </w:tcBorders>
          </w:tcPr>
          <w:p>
            <w:pPr>
              <w:spacing w:after="0"/>
              <w:rPr>
                <w:sz w:val="16"/>
                <w:szCs w:val="16"/>
                <w:color w:val="auto"/>
              </w:rPr>
            </w:pPr>
          </w:p>
        </w:tc>
        <w:tc>
          <w:tcPr>
            <w:tcW w:w="3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3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6"/>
                <w:szCs w:val="16"/>
                <w:color w:val="auto"/>
              </w:rPr>
              <w:t>projects</w:t>
            </w:r>
          </w:p>
        </w:tc>
        <w:tc>
          <w:tcPr>
            <w:tcW w:w="120" w:type="dxa"/>
            <w:vAlign w:val="bottom"/>
            <w:tcBorders>
              <w:bottom w:val="single" w:sz="8" w:color="auto"/>
            </w:tcBorders>
          </w:tcPr>
          <w:p>
            <w:pPr>
              <w:spacing w:after="0"/>
              <w:rPr>
                <w:sz w:val="16"/>
                <w:szCs w:val="16"/>
                <w:color w:val="auto"/>
              </w:rPr>
            </w:pPr>
          </w:p>
        </w:tc>
        <w:tc>
          <w:tcPr>
            <w:tcW w:w="3240" w:type="dxa"/>
            <w:vAlign w:val="bottom"/>
            <w:tcBorders>
              <w:bottom w:val="single" w:sz="8" w:color="auto"/>
              <w:right w:val="single" w:sz="8" w:color="auto"/>
            </w:tcBorders>
          </w:tcPr>
          <w:p>
            <w:pPr>
              <w:spacing w:after="0"/>
              <w:rPr>
                <w:sz w:val="16"/>
                <w:szCs w:val="16"/>
                <w:color w:val="auto"/>
              </w:rPr>
            </w:pPr>
          </w:p>
        </w:tc>
        <w:tc>
          <w:tcPr>
            <w:tcW w:w="3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360" w:type="dxa"/>
            <w:vAlign w:val="bottom"/>
            <w:tcBorders>
              <w:right w:val="single" w:sz="8" w:color="auto"/>
            </w:tcBorders>
            <w:gridSpan w:val="2"/>
          </w:tcPr>
          <w:p>
            <w:pPr>
              <w:spacing w:after="0"/>
              <w:rPr>
                <w:sz w:val="20"/>
                <w:szCs w:val="20"/>
                <w:color w:val="auto"/>
              </w:rPr>
            </w:pPr>
            <w:r>
              <w:rPr>
                <w:rFonts w:ascii="Arial" w:cs="Arial" w:eastAsia="Arial" w:hAnsi="Arial"/>
                <w:sz w:val="16"/>
                <w:szCs w:val="16"/>
                <w:b w:val="1"/>
                <w:bCs w:val="1"/>
                <w:color w:val="auto"/>
              </w:rPr>
              <w:t>SEMPRA PIPELINES &amp; STORAGE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4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Natural gas</w:t>
            </w:r>
          </w:p>
        </w:tc>
        <w:tc>
          <w:tcPr>
            <w:tcW w:w="3320" w:type="dxa"/>
            <w:vAlign w:val="bottom"/>
          </w:tcPr>
          <w:p>
            <w:pPr>
              <w:spacing w:after="0"/>
              <w:rPr>
                <w:sz w:val="20"/>
                <w:szCs w:val="20"/>
                <w:color w:val="auto"/>
              </w:rPr>
            </w:pPr>
            <w:r>
              <w:rPr>
                <w:rFonts w:ascii="Arial" w:cs="Arial" w:eastAsia="Arial" w:hAnsi="Arial"/>
                <w:sz w:val="16"/>
                <w:szCs w:val="16"/>
                <w:color w:val="auto"/>
              </w:rPr>
              <w:t>§ U.S.A.</w:t>
            </w:r>
          </w:p>
        </w:tc>
        <w:tc>
          <w:tcPr>
            <w:tcW w:w="0" w:type="dxa"/>
            <w:vAlign w:val="bottom"/>
          </w:tcPr>
          <w:p>
            <w:pPr>
              <w:spacing w:after="0"/>
              <w:rPr>
                <w:sz w:val="1"/>
                <w:szCs w:val="1"/>
                <w:color w:val="auto"/>
              </w:rPr>
            </w:pPr>
          </w:p>
        </w:tc>
      </w:tr>
      <w:tr>
        <w:trPr>
          <w:trHeight w:val="189"/>
        </w:trPr>
        <w:tc>
          <w:tcPr>
            <w:tcW w:w="336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Develops, owns and operates, or holds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4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Electricity</w:t>
            </w:r>
          </w:p>
        </w:tc>
        <w:tc>
          <w:tcPr>
            <w:tcW w:w="3320" w:type="dxa"/>
            <w:vAlign w:val="bottom"/>
          </w:tcPr>
          <w:p>
            <w:pPr>
              <w:spacing w:after="0"/>
              <w:rPr>
                <w:sz w:val="20"/>
                <w:szCs w:val="20"/>
                <w:color w:val="auto"/>
              </w:rPr>
            </w:pPr>
            <w:r>
              <w:rPr>
                <w:rFonts w:ascii="Arial" w:cs="Arial" w:eastAsia="Arial" w:hAnsi="Arial"/>
                <w:sz w:val="16"/>
                <w:szCs w:val="16"/>
                <w:color w:val="auto"/>
              </w:rPr>
              <w:t>§ Mexico</w:t>
            </w:r>
          </w:p>
        </w:tc>
        <w:tc>
          <w:tcPr>
            <w:tcW w:w="0" w:type="dxa"/>
            <w:vAlign w:val="bottom"/>
          </w:tcPr>
          <w:p>
            <w:pPr>
              <w:spacing w:after="0"/>
              <w:rPr>
                <w:sz w:val="1"/>
                <w:szCs w:val="1"/>
                <w:color w:val="auto"/>
              </w:rPr>
            </w:pPr>
          </w:p>
        </w:tc>
      </w:tr>
      <w:tr>
        <w:trPr>
          <w:trHeight w:val="189"/>
        </w:trPr>
        <w:tc>
          <w:tcPr>
            <w:tcW w:w="336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interests in, natural gas pipelines and storage</w:t>
            </w:r>
          </w:p>
        </w:tc>
        <w:tc>
          <w:tcPr>
            <w:tcW w:w="120" w:type="dxa"/>
            <w:vAlign w:val="bottom"/>
          </w:tcPr>
          <w:p>
            <w:pPr>
              <w:spacing w:after="0"/>
              <w:rPr>
                <w:sz w:val="16"/>
                <w:szCs w:val="16"/>
                <w:color w:val="auto"/>
              </w:rPr>
            </w:pPr>
          </w:p>
        </w:tc>
        <w:tc>
          <w:tcPr>
            <w:tcW w:w="3240" w:type="dxa"/>
            <w:vAlign w:val="bottom"/>
            <w:tcBorders>
              <w:right w:val="single" w:sz="8" w:color="auto"/>
            </w:tcBorders>
          </w:tcPr>
          <w:p>
            <w:pPr>
              <w:spacing w:after="0"/>
              <w:rPr>
                <w:sz w:val="16"/>
                <w:szCs w:val="16"/>
                <w:color w:val="auto"/>
              </w:rPr>
            </w:pPr>
          </w:p>
        </w:tc>
        <w:tc>
          <w:tcPr>
            <w:tcW w:w="3320" w:type="dxa"/>
            <w:vAlign w:val="bottom"/>
            <w:vMerge w:val="restart"/>
          </w:tcPr>
          <w:p>
            <w:pPr>
              <w:spacing w:after="0"/>
              <w:rPr>
                <w:sz w:val="20"/>
                <w:szCs w:val="20"/>
                <w:color w:val="auto"/>
              </w:rPr>
            </w:pPr>
            <w:r>
              <w:rPr>
                <w:rFonts w:ascii="Arial" w:cs="Arial" w:eastAsia="Arial" w:hAnsi="Arial"/>
                <w:sz w:val="16"/>
                <w:szCs w:val="16"/>
                <w:color w:val="auto"/>
              </w:rPr>
              <w:t>§ Argentina</w:t>
            </w:r>
          </w:p>
        </w:tc>
        <w:tc>
          <w:tcPr>
            <w:tcW w:w="0" w:type="dxa"/>
            <w:vAlign w:val="bottom"/>
          </w:tcPr>
          <w:p>
            <w:pPr>
              <w:spacing w:after="0"/>
              <w:rPr>
                <w:sz w:val="1"/>
                <w:szCs w:val="1"/>
                <w:color w:val="auto"/>
              </w:rPr>
            </w:pPr>
          </w:p>
        </w:tc>
      </w:tr>
      <w:tr>
        <w:trPr>
          <w:trHeight w:val="87"/>
        </w:trPr>
        <w:tc>
          <w:tcPr>
            <w:tcW w:w="336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6"/>
                <w:szCs w:val="16"/>
                <w:color w:val="auto"/>
              </w:rPr>
              <w:t>facilities, and natural gas and electric service</w:t>
            </w:r>
          </w:p>
        </w:tc>
        <w:tc>
          <w:tcPr>
            <w:tcW w:w="120" w:type="dxa"/>
            <w:vAlign w:val="bottom"/>
          </w:tcPr>
          <w:p>
            <w:pPr>
              <w:spacing w:after="0"/>
              <w:rPr>
                <w:sz w:val="7"/>
                <w:szCs w:val="7"/>
                <w:color w:val="auto"/>
              </w:rPr>
            </w:pPr>
          </w:p>
        </w:tc>
        <w:tc>
          <w:tcPr>
            <w:tcW w:w="3240" w:type="dxa"/>
            <w:vAlign w:val="bottom"/>
            <w:tcBorders>
              <w:right w:val="single" w:sz="8" w:color="auto"/>
            </w:tcBorders>
          </w:tcPr>
          <w:p>
            <w:pPr>
              <w:spacing w:after="0"/>
              <w:rPr>
                <w:sz w:val="7"/>
                <w:szCs w:val="7"/>
                <w:color w:val="auto"/>
              </w:rPr>
            </w:pPr>
          </w:p>
        </w:tc>
        <w:tc>
          <w:tcPr>
            <w:tcW w:w="3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3360" w:type="dxa"/>
            <w:vAlign w:val="bottom"/>
            <w:tcBorders>
              <w:right w:val="single" w:sz="8" w:color="auto"/>
            </w:tcBorders>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3240" w:type="dxa"/>
            <w:vAlign w:val="bottom"/>
            <w:tcBorders>
              <w:right w:val="single" w:sz="8" w:color="auto"/>
            </w:tcBorders>
          </w:tcPr>
          <w:p>
            <w:pPr>
              <w:spacing w:after="0"/>
              <w:rPr>
                <w:sz w:val="8"/>
                <w:szCs w:val="8"/>
                <w:color w:val="auto"/>
              </w:rPr>
            </w:pPr>
          </w:p>
        </w:tc>
        <w:tc>
          <w:tcPr>
            <w:tcW w:w="3320" w:type="dxa"/>
            <w:vAlign w:val="bottom"/>
            <w:vMerge w:val="restart"/>
          </w:tcPr>
          <w:p>
            <w:pPr>
              <w:spacing w:after="0"/>
              <w:rPr>
                <w:sz w:val="20"/>
                <w:szCs w:val="20"/>
                <w:color w:val="auto"/>
              </w:rPr>
            </w:pPr>
            <w:r>
              <w:rPr>
                <w:rFonts w:ascii="Arial" w:cs="Arial" w:eastAsia="Arial" w:hAnsi="Arial"/>
                <w:sz w:val="16"/>
                <w:szCs w:val="16"/>
                <w:color w:val="auto"/>
              </w:rPr>
              <w:t>§ Chile</w:t>
            </w:r>
          </w:p>
        </w:tc>
        <w:tc>
          <w:tcPr>
            <w:tcW w:w="0" w:type="dxa"/>
            <w:vAlign w:val="bottom"/>
          </w:tcPr>
          <w:p>
            <w:pPr>
              <w:spacing w:after="0"/>
              <w:rPr>
                <w:sz w:val="1"/>
                <w:szCs w:val="1"/>
                <w:color w:val="auto"/>
              </w:rPr>
            </w:pPr>
          </w:p>
        </w:tc>
      </w:tr>
      <w:tr>
        <w:trPr>
          <w:trHeight w:val="127"/>
        </w:trPr>
        <w:tc>
          <w:tcPr>
            <w:tcW w:w="336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6"/>
                <w:szCs w:val="16"/>
                <w:color w:val="auto"/>
              </w:rPr>
              <w:t>providers</w:t>
            </w:r>
          </w:p>
        </w:tc>
        <w:tc>
          <w:tcPr>
            <w:tcW w:w="120" w:type="dxa"/>
            <w:vAlign w:val="bottom"/>
          </w:tcPr>
          <w:p>
            <w:pPr>
              <w:spacing w:after="0"/>
              <w:rPr>
                <w:sz w:val="11"/>
                <w:szCs w:val="11"/>
                <w:color w:val="auto"/>
              </w:rPr>
            </w:pPr>
          </w:p>
        </w:tc>
        <w:tc>
          <w:tcPr>
            <w:tcW w:w="3240" w:type="dxa"/>
            <w:vAlign w:val="bottom"/>
            <w:tcBorders>
              <w:right w:val="single" w:sz="8" w:color="auto"/>
            </w:tcBorders>
          </w:tcPr>
          <w:p>
            <w:pPr>
              <w:spacing w:after="0"/>
              <w:rPr>
                <w:sz w:val="11"/>
                <w:szCs w:val="11"/>
                <w:color w:val="auto"/>
              </w:rPr>
            </w:pPr>
          </w:p>
        </w:tc>
        <w:tc>
          <w:tcPr>
            <w:tcW w:w="3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3360" w:type="dxa"/>
            <w:vAlign w:val="bottom"/>
            <w:tcBorders>
              <w:right w:val="single" w:sz="8" w:color="auto"/>
            </w:tcBorders>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3240" w:type="dxa"/>
            <w:vAlign w:val="bottom"/>
            <w:tcBorders>
              <w:right w:val="single" w:sz="8" w:color="auto"/>
            </w:tcBorders>
          </w:tcPr>
          <w:p>
            <w:pPr>
              <w:spacing w:after="0"/>
              <w:rPr>
                <w:sz w:val="5"/>
                <w:szCs w:val="5"/>
                <w:color w:val="auto"/>
              </w:rPr>
            </w:pPr>
          </w:p>
        </w:tc>
        <w:tc>
          <w:tcPr>
            <w:tcW w:w="3320" w:type="dxa"/>
            <w:vAlign w:val="bottom"/>
            <w:vMerge w:val="restart"/>
          </w:tcPr>
          <w:p>
            <w:pPr>
              <w:spacing w:after="0"/>
              <w:rPr>
                <w:sz w:val="20"/>
                <w:szCs w:val="20"/>
                <w:color w:val="auto"/>
              </w:rPr>
            </w:pPr>
            <w:r>
              <w:rPr>
                <w:rFonts w:ascii="Arial" w:cs="Arial" w:eastAsia="Arial" w:hAnsi="Arial"/>
                <w:sz w:val="16"/>
                <w:szCs w:val="16"/>
                <w:color w:val="auto"/>
              </w:rPr>
              <w:t>§ Peru</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40" w:type="dxa"/>
            <w:vAlign w:val="bottom"/>
            <w:tcBorders>
              <w:right w:val="single" w:sz="8" w:color="auto"/>
            </w:tcBorders>
          </w:tcPr>
          <w:p>
            <w:pPr>
              <w:spacing w:after="0"/>
              <w:rPr>
                <w:sz w:val="14"/>
                <w:szCs w:val="14"/>
                <w:color w:val="auto"/>
              </w:rPr>
            </w:pPr>
          </w:p>
        </w:tc>
        <w:tc>
          <w:tcPr>
            <w:tcW w:w="3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334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40" w:type="dxa"/>
            <w:vAlign w:val="bottom"/>
            <w:tcBorders>
              <w:bottom w:val="single" w:sz="8" w:color="auto"/>
              <w:right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6"/>
                <w:szCs w:val="16"/>
                <w:b w:val="1"/>
                <w:bCs w:val="1"/>
                <w:color w:val="auto"/>
              </w:rPr>
              <w:t>SEMPRA LNG</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40" w:type="dxa"/>
            <w:vAlign w:val="bottom"/>
          </w:tcPr>
          <w:p>
            <w:pPr>
              <w:ind w:left="40"/>
              <w:spacing w:after="0"/>
              <w:rPr>
                <w:sz w:val="20"/>
                <w:szCs w:val="20"/>
                <w:color w:val="auto"/>
              </w:rPr>
            </w:pPr>
            <w:r>
              <w:rPr>
                <w:rFonts w:ascii="Arial" w:cs="Arial" w:eastAsia="Arial" w:hAnsi="Arial"/>
                <w:sz w:val="16"/>
                <w:szCs w:val="16"/>
                <w:color w:val="auto"/>
              </w:rPr>
              <w:t>Liquefied natural gas</w:t>
            </w:r>
          </w:p>
        </w:tc>
        <w:tc>
          <w:tcPr>
            <w:tcW w:w="3320" w:type="dxa"/>
            <w:vAlign w:val="bottom"/>
          </w:tcPr>
          <w:p>
            <w:pPr>
              <w:spacing w:after="0"/>
              <w:rPr>
                <w:sz w:val="20"/>
                <w:szCs w:val="20"/>
                <w:color w:val="auto"/>
              </w:rPr>
            </w:pPr>
            <w:r>
              <w:rPr>
                <w:rFonts w:ascii="Arial" w:cs="Arial" w:eastAsia="Arial" w:hAnsi="Arial"/>
                <w:sz w:val="16"/>
                <w:szCs w:val="16"/>
                <w:color w:val="auto"/>
              </w:rPr>
              <w:t>§ U.S.A.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40" w:type="dxa"/>
            <w:vAlign w:val="bottom"/>
          </w:tcPr>
          <w:p>
            <w:pPr>
              <w:ind w:left="40"/>
              <w:spacing w:after="0"/>
              <w:rPr>
                <w:sz w:val="20"/>
                <w:szCs w:val="20"/>
                <w:color w:val="auto"/>
              </w:rPr>
            </w:pPr>
            <w:r>
              <w:rPr>
                <w:rFonts w:ascii="Arial" w:cs="Arial" w:eastAsia="Arial" w:hAnsi="Arial"/>
                <w:sz w:val="16"/>
                <w:szCs w:val="16"/>
                <w:color w:val="auto"/>
              </w:rPr>
              <w:t>Natural gas</w:t>
            </w:r>
          </w:p>
        </w:tc>
        <w:tc>
          <w:tcPr>
            <w:tcW w:w="3320" w:type="dxa"/>
            <w:vAlign w:val="bottom"/>
          </w:tcPr>
          <w:p>
            <w:pPr>
              <w:spacing w:after="0"/>
              <w:rPr>
                <w:sz w:val="20"/>
                <w:szCs w:val="20"/>
                <w:color w:val="auto"/>
              </w:rPr>
            </w:pPr>
            <w:r>
              <w:rPr>
                <w:rFonts w:ascii="Arial" w:cs="Arial" w:eastAsia="Arial" w:hAnsi="Arial"/>
                <w:sz w:val="16"/>
                <w:szCs w:val="16"/>
                <w:color w:val="auto"/>
              </w:rPr>
              <w:t>§ Mexico</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2110740</wp:posOffset>
            </wp:positionH>
            <wp:positionV relativeFrom="paragraph">
              <wp:posOffset>-282575</wp:posOffset>
            </wp:positionV>
            <wp:extent cx="34290" cy="3060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306070"/>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-282575</wp:posOffset>
            </wp:positionV>
            <wp:extent cx="34290" cy="3060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306070"/>
                    </a:xfrm>
                    <a:prstGeom prst="rect">
                      <a:avLst/>
                    </a:prstGeom>
                    <a:noFill/>
                  </pic:spPr>
                </pic:pic>
              </a:graphicData>
            </a:graphic>
          </wp:anchor>
        </w:drawing>
      </w:r>
    </w:p>
    <w:p>
      <w:pPr>
        <w:sectPr>
          <w:pgSz w:w="11900" w:h="16864" w:orient="portrait"/>
          <w:cols w:equalWidth="0" w:num="1">
            <w:col w:w="10219"/>
          </w:cols>
          <w:pgMar w:left="240" w:top="144" w:right="1440" w:bottom="0" w:gutter="0" w:footer="0" w:header="0"/>
        </w:sectPr>
      </w:pPr>
    </w:p>
    <w:bookmarkStart w:id="64" w:name="page65"/>
    <w:bookmarkEnd w:id="6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371590" cy="407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371590" cy="407035"/>
                    </a:xfrm>
                    <a:prstGeom prst="rect">
                      <a:avLst/>
                    </a:prstGeom>
                    <a:noFill/>
                  </pic:spPr>
                </pic:pic>
              </a:graphicData>
            </a:graphic>
          </wp:anchor>
        </w:drawing>
        <w:t>Develops, owns and operates receipt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terminals for importation of liquefied natural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gas (LNG) and sale of natural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439420</wp:posOffset>
            </wp:positionV>
            <wp:extent cx="617474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ectPr>
          <w:pgSz w:w="11900" w:h="16838" w:orient="portrait"/>
          <w:cols w:equalWidth="0" w:num="1">
            <w:col w:w="10219"/>
          </w:cols>
          <w:pgMar w:left="240" w:top="141" w:right="1440" w:bottom="1440" w:gutter="0" w:footer="0" w:header="0"/>
        </w:sectPr>
      </w:pPr>
    </w:p>
    <w:bookmarkStart w:id="65" w:name="page66"/>
    <w:bookmarkEnd w:id="65"/>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617474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174740" cy="8890"/>
                    </a:xfrm>
                    <a:prstGeom prst="rect">
                      <a:avLst/>
                    </a:prstGeom>
                    <a:noFill/>
                  </pic:spPr>
                </pic:pic>
              </a:graphicData>
            </a:graphic>
          </wp:anchor>
        </w:drawing>
        <w:t>RESULTS OF OPERATIONS</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color w:val="auto"/>
        </w:rPr>
        <w:t>We discuss the following in Results of Operations:</w:t>
      </w:r>
    </w:p>
    <w:p>
      <w:pPr>
        <w:spacing w:after="0" w:line="22" w:lineRule="exact"/>
        <w:rPr>
          <w:sz w:val="20"/>
          <w:szCs w:val="20"/>
          <w:color w:val="auto"/>
        </w:rPr>
      </w:pPr>
    </w:p>
    <w:p>
      <w:pPr>
        <w:ind w:left="140" w:hanging="132"/>
        <w:spacing w:after="0"/>
        <w:tabs>
          <w:tab w:leader="none" w:pos="140" w:val="left"/>
        </w:tabs>
        <w:numPr>
          <w:ilvl w:val="0"/>
          <w:numId w:val="29"/>
        </w:numPr>
        <w:rPr>
          <w:rFonts w:ascii="Arial" w:cs="Arial" w:eastAsia="Arial" w:hAnsi="Arial"/>
          <w:sz w:val="22"/>
          <w:szCs w:val="22"/>
          <w:color w:val="auto"/>
        </w:rPr>
      </w:pPr>
      <w:r>
        <w:rPr>
          <w:rFonts w:ascii="Arial" w:cs="Arial" w:eastAsia="Arial" w:hAnsi="Arial"/>
          <w:sz w:val="22"/>
          <w:szCs w:val="22"/>
          <w:color w:val="auto"/>
        </w:rPr>
        <w:t>Overall results of our operations and factors affecting those results</w:t>
      </w:r>
    </w:p>
    <w:p>
      <w:pPr>
        <w:spacing w:after="0" w:line="3" w:lineRule="exact"/>
        <w:rPr>
          <w:rFonts w:ascii="Arial" w:cs="Arial" w:eastAsia="Arial" w:hAnsi="Arial"/>
          <w:sz w:val="22"/>
          <w:szCs w:val="22"/>
          <w:color w:val="auto"/>
        </w:rPr>
      </w:pPr>
    </w:p>
    <w:p>
      <w:pPr>
        <w:ind w:left="140" w:hanging="132"/>
        <w:spacing w:after="0"/>
        <w:tabs>
          <w:tab w:leader="none" w:pos="140" w:val="left"/>
        </w:tabs>
        <w:numPr>
          <w:ilvl w:val="0"/>
          <w:numId w:val="29"/>
        </w:numPr>
        <w:rPr>
          <w:rFonts w:ascii="Arial" w:cs="Arial" w:eastAsia="Arial" w:hAnsi="Arial"/>
          <w:sz w:val="22"/>
          <w:szCs w:val="22"/>
          <w:color w:val="auto"/>
        </w:rPr>
      </w:pPr>
      <w:r>
        <w:rPr>
          <w:rFonts w:ascii="Arial" w:cs="Arial" w:eastAsia="Arial" w:hAnsi="Arial"/>
          <w:sz w:val="22"/>
          <w:szCs w:val="22"/>
          <w:color w:val="auto"/>
        </w:rPr>
        <w:t>Our business unit results</w:t>
      </w:r>
    </w:p>
    <w:p>
      <w:pPr>
        <w:spacing w:after="0" w:line="3" w:lineRule="exact"/>
        <w:rPr>
          <w:rFonts w:ascii="Arial" w:cs="Arial" w:eastAsia="Arial" w:hAnsi="Arial"/>
          <w:sz w:val="22"/>
          <w:szCs w:val="22"/>
          <w:color w:val="auto"/>
        </w:rPr>
      </w:pPr>
    </w:p>
    <w:p>
      <w:pPr>
        <w:ind w:left="140" w:hanging="132"/>
        <w:spacing w:after="0"/>
        <w:tabs>
          <w:tab w:leader="none" w:pos="140" w:val="left"/>
        </w:tabs>
        <w:numPr>
          <w:ilvl w:val="0"/>
          <w:numId w:val="29"/>
        </w:numPr>
        <w:rPr>
          <w:rFonts w:ascii="Arial" w:cs="Arial" w:eastAsia="Arial" w:hAnsi="Arial"/>
          <w:sz w:val="22"/>
          <w:szCs w:val="22"/>
          <w:color w:val="auto"/>
        </w:rPr>
      </w:pPr>
      <w:r>
        <w:rPr>
          <w:rFonts w:ascii="Arial" w:cs="Arial" w:eastAsia="Arial" w:hAnsi="Arial"/>
          <w:sz w:val="22"/>
          <w:szCs w:val="22"/>
          <w:color w:val="auto"/>
        </w:rPr>
        <w:t>Significant changes in revenues, costs and earnings between periods</w:t>
      </w:r>
    </w:p>
    <w:p>
      <w:pPr>
        <w:spacing w:after="0" w:line="94" w:lineRule="exact"/>
        <w:rPr>
          <w:sz w:val="20"/>
          <w:szCs w:val="20"/>
          <w:color w:val="auto"/>
        </w:rPr>
      </w:pPr>
    </w:p>
    <w:p>
      <w:pPr>
        <w:ind w:right="539"/>
        <w:spacing w:after="0" w:line="247" w:lineRule="auto"/>
        <w:rPr>
          <w:sz w:val="20"/>
          <w:szCs w:val="20"/>
          <w:color w:val="auto"/>
        </w:rPr>
      </w:pPr>
      <w:r>
        <w:rPr>
          <w:rFonts w:ascii="Arial" w:cs="Arial" w:eastAsia="Arial" w:hAnsi="Arial"/>
          <w:sz w:val="19"/>
          <w:szCs w:val="19"/>
          <w:color w:val="auto"/>
        </w:rPr>
        <w:t>In the three months ended March 31, 2010, our earnings decreased by $210 million (66%) to $106 million primarily due to losses at Sempra Commodities in 2010 compared to earnings in 2009, and litigation expense recorded in 2010 at Sempra Generation and Sempra Commodities related to the agreement in principle to settle certain energy crisis litigation, as we discuss in Note 10 of the Notes to Condensed Consolidated Financial Statements herein. This litigation expense was $12 million and $84 million, after tax, at Sempra Commodities and Sempra Generation, respectively. Diluted earnings per share for the three months decreased by $0.87 (67%) per share, primarily from the lower earnings in 2010.</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shows our earnings by business unit, which we discuss below in "Business Unit Results."</w:t>
      </w: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 EARNINGS (LOSSES) BY BUSINESS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5282565" cy="2317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282565"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color w:val="auto"/>
              </w:rPr>
              <w:t>Three months ended March 31,</w:t>
            </w:r>
          </w:p>
        </w:tc>
        <w:tc>
          <w:tcPr>
            <w:tcW w:w="780" w:type="dxa"/>
            <w:vAlign w:val="bottom"/>
            <w:tcBorders>
              <w:bottom w:val="single" w:sz="8" w:color="auto"/>
            </w:tcBorders>
          </w:tcPr>
          <w:p>
            <w:pPr>
              <w:spacing w:after="0"/>
              <w:rPr>
                <w:sz w:val="14"/>
                <w:szCs w:val="14"/>
                <w:color w:val="auto"/>
              </w:rPr>
            </w:pPr>
          </w:p>
        </w:tc>
      </w:tr>
      <w:tr>
        <w:trPr>
          <w:trHeight w:val="183"/>
        </w:trPr>
        <w:tc>
          <w:tcPr>
            <w:tcW w:w="38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color w:val="auto"/>
              </w:rPr>
              <w:t>2010</w:t>
            </w:r>
          </w:p>
        </w:tc>
        <w:tc>
          <w:tcPr>
            <w:tcW w:w="7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color w:val="auto"/>
              </w:rPr>
              <w:t>2009</w:t>
            </w:r>
          </w:p>
        </w:tc>
        <w:tc>
          <w:tcPr>
            <w:tcW w:w="780" w:type="dxa"/>
            <w:vAlign w:val="bottom"/>
            <w:tcBorders>
              <w:bottom w:val="single" w:sz="8" w:color="auto"/>
            </w:tcBorders>
          </w:tcPr>
          <w:p>
            <w:pPr>
              <w:spacing w:after="0"/>
              <w:rPr>
                <w:sz w:val="15"/>
                <w:szCs w:val="15"/>
                <w:color w:val="auto"/>
              </w:rPr>
            </w:pPr>
          </w:p>
        </w:tc>
      </w:tr>
      <w:tr>
        <w:trPr>
          <w:trHeight w:val="184"/>
        </w:trPr>
        <w:tc>
          <w:tcPr>
            <w:tcW w:w="3840" w:type="dxa"/>
            <w:vAlign w:val="bottom"/>
          </w:tcPr>
          <w:p>
            <w:pPr>
              <w:spacing w:after="0"/>
              <w:rPr>
                <w:sz w:val="20"/>
                <w:szCs w:val="20"/>
                <w:color w:val="auto"/>
              </w:rPr>
            </w:pPr>
            <w:r>
              <w:rPr>
                <w:rFonts w:ascii="Arial" w:cs="Arial" w:eastAsia="Arial" w:hAnsi="Arial"/>
                <w:sz w:val="16"/>
                <w:szCs w:val="16"/>
                <w:color w:val="auto"/>
              </w:rPr>
              <w:t>Sempra Utilities:</w:t>
            </w: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9"/>
        </w:trPr>
        <w:tc>
          <w:tcPr>
            <w:tcW w:w="3840" w:type="dxa"/>
            <w:vAlign w:val="bottom"/>
          </w:tcPr>
          <w:p>
            <w:pPr>
              <w:ind w:left="180"/>
              <w:spacing w:after="0"/>
              <w:rPr>
                <w:sz w:val="20"/>
                <w:szCs w:val="20"/>
                <w:color w:val="auto"/>
              </w:rPr>
            </w:pPr>
            <w:r>
              <w:rPr>
                <w:rFonts w:ascii="Arial" w:cs="Arial" w:eastAsia="Arial" w:hAnsi="Arial"/>
                <w:sz w:val="16"/>
                <w:szCs w:val="16"/>
                <w:color w:val="auto"/>
              </w:rPr>
              <w:t>SDG&amp;E(1)</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81"/>
              <w:spacing w:after="0"/>
              <w:rPr>
                <w:sz w:val="20"/>
                <w:szCs w:val="20"/>
                <w:color w:val="auto"/>
              </w:rPr>
            </w:pPr>
            <w:r>
              <w:rPr>
                <w:rFonts w:ascii="Arial" w:cs="Arial" w:eastAsia="Arial" w:hAnsi="Arial"/>
                <w:sz w:val="16"/>
                <w:szCs w:val="16"/>
                <w:color w:val="auto"/>
              </w:rPr>
              <w:t>83</w:t>
            </w:r>
          </w:p>
        </w:tc>
        <w:tc>
          <w:tcPr>
            <w:tcW w:w="720" w:type="dxa"/>
            <w:vAlign w:val="bottom"/>
          </w:tcPr>
          <w:p>
            <w:pPr>
              <w:jc w:val="right"/>
              <w:spacing w:after="0"/>
              <w:rPr>
                <w:sz w:val="20"/>
                <w:szCs w:val="20"/>
                <w:color w:val="auto"/>
              </w:rPr>
            </w:pPr>
            <w:r>
              <w:rPr>
                <w:rFonts w:ascii="Arial" w:cs="Arial" w:eastAsia="Arial" w:hAnsi="Arial"/>
                <w:sz w:val="16"/>
                <w:szCs w:val="16"/>
                <w:color w:val="auto"/>
              </w:rPr>
              <w:t>78 %</w:t>
            </w:r>
          </w:p>
        </w:tc>
        <w:tc>
          <w:tcPr>
            <w:tcW w:w="5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00"/>
              <w:spacing w:after="0"/>
              <w:rPr>
                <w:sz w:val="20"/>
                <w:szCs w:val="20"/>
                <w:color w:val="auto"/>
              </w:rPr>
            </w:pPr>
            <w:r>
              <w:rPr>
                <w:rFonts w:ascii="Arial" w:cs="Arial" w:eastAsia="Arial" w:hAnsi="Arial"/>
                <w:sz w:val="16"/>
                <w:szCs w:val="16"/>
                <w:color w:val="auto"/>
              </w:rPr>
              <w:t>99</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31 %</w:t>
            </w:r>
          </w:p>
        </w:tc>
      </w:tr>
      <w:tr>
        <w:trPr>
          <w:trHeight w:val="189"/>
        </w:trPr>
        <w:tc>
          <w:tcPr>
            <w:tcW w:w="3840" w:type="dxa"/>
            <w:vAlign w:val="bottom"/>
          </w:tcPr>
          <w:p>
            <w:pPr>
              <w:ind w:left="180"/>
              <w:spacing w:after="0"/>
              <w:rPr>
                <w:sz w:val="20"/>
                <w:szCs w:val="20"/>
                <w:color w:val="auto"/>
              </w:rPr>
            </w:pPr>
            <w:r>
              <w:rPr>
                <w:rFonts w:ascii="Arial" w:cs="Arial" w:eastAsia="Arial" w:hAnsi="Arial"/>
                <w:sz w:val="16"/>
                <w:szCs w:val="16"/>
                <w:color w:val="auto"/>
              </w:rPr>
              <w:t>SoCalGas(1)</w:t>
            </w:r>
          </w:p>
        </w:tc>
        <w:tc>
          <w:tcPr>
            <w:tcW w:w="460" w:type="dxa"/>
            <w:vAlign w:val="bottom"/>
          </w:tcPr>
          <w:p>
            <w:pPr>
              <w:spacing w:after="0"/>
              <w:rPr>
                <w:sz w:val="16"/>
                <w:szCs w:val="16"/>
                <w:color w:val="auto"/>
              </w:rPr>
            </w:pPr>
          </w:p>
        </w:tc>
        <w:tc>
          <w:tcPr>
            <w:tcW w:w="980" w:type="dxa"/>
            <w:vAlign w:val="bottom"/>
          </w:tcPr>
          <w:p>
            <w:pPr>
              <w:jc w:val="right"/>
              <w:ind w:right="281"/>
              <w:spacing w:after="0"/>
              <w:rPr>
                <w:sz w:val="20"/>
                <w:szCs w:val="20"/>
                <w:color w:val="auto"/>
              </w:rPr>
            </w:pPr>
            <w:r>
              <w:rPr>
                <w:rFonts w:ascii="Arial" w:cs="Arial" w:eastAsia="Arial" w:hAnsi="Arial"/>
                <w:sz w:val="16"/>
                <w:szCs w:val="16"/>
                <w:color w:val="auto"/>
              </w:rPr>
              <w:t>65</w:t>
            </w:r>
          </w:p>
        </w:tc>
        <w:tc>
          <w:tcPr>
            <w:tcW w:w="720" w:type="dxa"/>
            <w:vAlign w:val="bottom"/>
          </w:tcPr>
          <w:p>
            <w:pPr>
              <w:jc w:val="right"/>
              <w:ind w:right="179"/>
              <w:spacing w:after="0"/>
              <w:rPr>
                <w:sz w:val="20"/>
                <w:szCs w:val="20"/>
                <w:color w:val="auto"/>
              </w:rPr>
            </w:pPr>
            <w:r>
              <w:rPr>
                <w:rFonts w:ascii="Arial" w:cs="Arial" w:eastAsia="Arial" w:hAnsi="Arial"/>
                <w:sz w:val="16"/>
                <w:szCs w:val="16"/>
                <w:color w:val="auto"/>
              </w:rPr>
              <w:t>61</w:t>
            </w:r>
          </w:p>
        </w:tc>
        <w:tc>
          <w:tcPr>
            <w:tcW w:w="540" w:type="dxa"/>
            <w:vAlign w:val="bottom"/>
          </w:tcPr>
          <w:p>
            <w:pPr>
              <w:spacing w:after="0"/>
              <w:rPr>
                <w:sz w:val="16"/>
                <w:szCs w:val="16"/>
                <w:color w:val="auto"/>
              </w:rPr>
            </w:pPr>
          </w:p>
        </w:tc>
        <w:tc>
          <w:tcPr>
            <w:tcW w:w="1000" w:type="dxa"/>
            <w:vAlign w:val="bottom"/>
          </w:tcPr>
          <w:p>
            <w:pPr>
              <w:jc w:val="right"/>
              <w:ind w:right="300"/>
              <w:spacing w:after="0"/>
              <w:rPr>
                <w:sz w:val="20"/>
                <w:szCs w:val="20"/>
                <w:color w:val="auto"/>
              </w:rPr>
            </w:pPr>
            <w:r>
              <w:rPr>
                <w:rFonts w:ascii="Arial" w:cs="Arial" w:eastAsia="Arial" w:hAnsi="Arial"/>
                <w:sz w:val="16"/>
                <w:szCs w:val="16"/>
                <w:color w:val="auto"/>
              </w:rPr>
              <w:t>59</w:t>
            </w:r>
          </w:p>
        </w:tc>
        <w:tc>
          <w:tcPr>
            <w:tcW w:w="780" w:type="dxa"/>
            <w:vAlign w:val="bottom"/>
          </w:tcPr>
          <w:p>
            <w:pPr>
              <w:jc w:val="right"/>
              <w:ind w:right="259"/>
              <w:spacing w:after="0"/>
              <w:rPr>
                <w:sz w:val="20"/>
                <w:szCs w:val="20"/>
                <w:color w:val="auto"/>
              </w:rPr>
            </w:pPr>
            <w:r>
              <w:rPr>
                <w:rFonts w:ascii="Arial" w:cs="Arial" w:eastAsia="Arial" w:hAnsi="Arial"/>
                <w:sz w:val="16"/>
                <w:szCs w:val="16"/>
                <w:color w:val="auto"/>
              </w:rPr>
              <w:t>19</w:t>
            </w:r>
          </w:p>
        </w:tc>
      </w:tr>
      <w:tr>
        <w:trPr>
          <w:trHeight w:val="189"/>
        </w:trPr>
        <w:tc>
          <w:tcPr>
            <w:tcW w:w="3840" w:type="dxa"/>
            <w:vAlign w:val="bottom"/>
          </w:tcPr>
          <w:p>
            <w:pPr>
              <w:spacing w:after="0"/>
              <w:rPr>
                <w:sz w:val="20"/>
                <w:szCs w:val="20"/>
                <w:color w:val="auto"/>
              </w:rPr>
            </w:pPr>
            <w:r>
              <w:rPr>
                <w:rFonts w:ascii="Arial" w:cs="Arial" w:eastAsia="Arial" w:hAnsi="Arial"/>
                <w:sz w:val="16"/>
                <w:szCs w:val="16"/>
                <w:color w:val="auto"/>
              </w:rPr>
              <w:t>Sempra Global:</w:t>
            </w: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9"/>
        </w:trPr>
        <w:tc>
          <w:tcPr>
            <w:tcW w:w="3840" w:type="dxa"/>
            <w:vAlign w:val="bottom"/>
          </w:tcPr>
          <w:p>
            <w:pPr>
              <w:ind w:left="180"/>
              <w:spacing w:after="0"/>
              <w:rPr>
                <w:sz w:val="20"/>
                <w:szCs w:val="20"/>
                <w:color w:val="auto"/>
              </w:rPr>
            </w:pPr>
            <w:r>
              <w:rPr>
                <w:rFonts w:ascii="Arial" w:cs="Arial" w:eastAsia="Arial" w:hAnsi="Arial"/>
                <w:sz w:val="16"/>
                <w:szCs w:val="16"/>
                <w:color w:val="auto"/>
              </w:rPr>
              <w:t>Sempra Commodities</w:t>
            </w:r>
          </w:p>
        </w:tc>
        <w:tc>
          <w:tcPr>
            <w:tcW w:w="460" w:type="dxa"/>
            <w:vAlign w:val="bottom"/>
          </w:tcPr>
          <w:p>
            <w:pPr>
              <w:spacing w:after="0"/>
              <w:rPr>
                <w:sz w:val="16"/>
                <w:szCs w:val="16"/>
                <w:color w:val="auto"/>
              </w:rPr>
            </w:pPr>
          </w:p>
        </w:tc>
        <w:tc>
          <w:tcPr>
            <w:tcW w:w="980" w:type="dxa"/>
            <w:vAlign w:val="bottom"/>
          </w:tcPr>
          <w:p>
            <w:pPr>
              <w:jc w:val="right"/>
              <w:ind w:right="241"/>
              <w:spacing w:after="0"/>
              <w:rPr>
                <w:sz w:val="20"/>
                <w:szCs w:val="20"/>
                <w:color w:val="auto"/>
              </w:rPr>
            </w:pPr>
            <w:r>
              <w:rPr>
                <w:rFonts w:ascii="Arial" w:cs="Arial" w:eastAsia="Arial" w:hAnsi="Arial"/>
                <w:sz w:val="16"/>
                <w:szCs w:val="16"/>
                <w:color w:val="auto"/>
              </w:rPr>
              <w:t>(5)</w:t>
            </w:r>
          </w:p>
        </w:tc>
        <w:tc>
          <w:tcPr>
            <w:tcW w:w="720" w:type="dxa"/>
            <w:vAlign w:val="bottom"/>
          </w:tcPr>
          <w:p>
            <w:pPr>
              <w:jc w:val="right"/>
              <w:ind w:right="139"/>
              <w:spacing w:after="0"/>
              <w:rPr>
                <w:sz w:val="20"/>
                <w:szCs w:val="20"/>
                <w:color w:val="auto"/>
              </w:rPr>
            </w:pPr>
            <w:r>
              <w:rPr>
                <w:rFonts w:ascii="Arial" w:cs="Arial" w:eastAsia="Arial" w:hAnsi="Arial"/>
                <w:sz w:val="16"/>
                <w:szCs w:val="16"/>
                <w:color w:val="auto"/>
              </w:rPr>
              <w:t>(4)</w:t>
            </w:r>
          </w:p>
        </w:tc>
        <w:tc>
          <w:tcPr>
            <w:tcW w:w="540" w:type="dxa"/>
            <w:vAlign w:val="bottom"/>
          </w:tcPr>
          <w:p>
            <w:pPr>
              <w:spacing w:after="0"/>
              <w:rPr>
                <w:sz w:val="16"/>
                <w:szCs w:val="16"/>
                <w:color w:val="auto"/>
              </w:rPr>
            </w:pPr>
          </w:p>
        </w:tc>
        <w:tc>
          <w:tcPr>
            <w:tcW w:w="1000" w:type="dxa"/>
            <w:vAlign w:val="bottom"/>
          </w:tcPr>
          <w:p>
            <w:pPr>
              <w:jc w:val="right"/>
              <w:ind w:right="300"/>
              <w:spacing w:after="0"/>
              <w:rPr>
                <w:sz w:val="20"/>
                <w:szCs w:val="20"/>
                <w:color w:val="auto"/>
              </w:rPr>
            </w:pPr>
            <w:r>
              <w:rPr>
                <w:rFonts w:ascii="Arial" w:cs="Arial" w:eastAsia="Arial" w:hAnsi="Arial"/>
                <w:sz w:val="16"/>
                <w:szCs w:val="16"/>
                <w:color w:val="auto"/>
              </w:rPr>
              <w:t>114</w:t>
            </w:r>
          </w:p>
        </w:tc>
        <w:tc>
          <w:tcPr>
            <w:tcW w:w="780" w:type="dxa"/>
            <w:vAlign w:val="bottom"/>
          </w:tcPr>
          <w:p>
            <w:pPr>
              <w:jc w:val="right"/>
              <w:ind w:right="259"/>
              <w:spacing w:after="0"/>
              <w:rPr>
                <w:sz w:val="20"/>
                <w:szCs w:val="20"/>
                <w:color w:val="auto"/>
              </w:rPr>
            </w:pPr>
            <w:r>
              <w:rPr>
                <w:rFonts w:ascii="Arial" w:cs="Arial" w:eastAsia="Arial" w:hAnsi="Arial"/>
                <w:sz w:val="16"/>
                <w:szCs w:val="16"/>
                <w:color w:val="auto"/>
              </w:rPr>
              <w:t>36</w:t>
            </w:r>
          </w:p>
        </w:tc>
      </w:tr>
      <w:tr>
        <w:trPr>
          <w:trHeight w:val="189"/>
        </w:trPr>
        <w:tc>
          <w:tcPr>
            <w:tcW w:w="3840" w:type="dxa"/>
            <w:vAlign w:val="bottom"/>
          </w:tcPr>
          <w:p>
            <w:pPr>
              <w:ind w:left="180"/>
              <w:spacing w:after="0"/>
              <w:rPr>
                <w:sz w:val="20"/>
                <w:szCs w:val="20"/>
                <w:color w:val="auto"/>
              </w:rPr>
            </w:pPr>
            <w:r>
              <w:rPr>
                <w:rFonts w:ascii="Arial" w:cs="Arial" w:eastAsia="Arial" w:hAnsi="Arial"/>
                <w:sz w:val="16"/>
                <w:szCs w:val="16"/>
                <w:color w:val="auto"/>
              </w:rPr>
              <w:t>Sempra Generation</w:t>
            </w:r>
          </w:p>
        </w:tc>
        <w:tc>
          <w:tcPr>
            <w:tcW w:w="460" w:type="dxa"/>
            <w:vAlign w:val="bottom"/>
          </w:tcPr>
          <w:p>
            <w:pPr>
              <w:spacing w:after="0"/>
              <w:rPr>
                <w:sz w:val="16"/>
                <w:szCs w:val="16"/>
                <w:color w:val="auto"/>
              </w:rPr>
            </w:pPr>
          </w:p>
        </w:tc>
        <w:tc>
          <w:tcPr>
            <w:tcW w:w="980" w:type="dxa"/>
            <w:vAlign w:val="bottom"/>
          </w:tcPr>
          <w:p>
            <w:pPr>
              <w:jc w:val="right"/>
              <w:ind w:right="241"/>
              <w:spacing w:after="0"/>
              <w:rPr>
                <w:sz w:val="20"/>
                <w:szCs w:val="20"/>
                <w:color w:val="auto"/>
              </w:rPr>
            </w:pPr>
            <w:r>
              <w:rPr>
                <w:rFonts w:ascii="Arial" w:cs="Arial" w:eastAsia="Arial" w:hAnsi="Arial"/>
                <w:sz w:val="16"/>
                <w:szCs w:val="16"/>
                <w:color w:val="auto"/>
              </w:rPr>
              <w:t>(53)</w:t>
            </w:r>
          </w:p>
        </w:tc>
        <w:tc>
          <w:tcPr>
            <w:tcW w:w="720" w:type="dxa"/>
            <w:vAlign w:val="bottom"/>
          </w:tcPr>
          <w:p>
            <w:pPr>
              <w:jc w:val="right"/>
              <w:ind w:right="139"/>
              <w:spacing w:after="0"/>
              <w:rPr>
                <w:sz w:val="20"/>
                <w:szCs w:val="20"/>
                <w:color w:val="auto"/>
              </w:rPr>
            </w:pPr>
            <w:r>
              <w:rPr>
                <w:rFonts w:ascii="Arial" w:cs="Arial" w:eastAsia="Arial" w:hAnsi="Arial"/>
                <w:sz w:val="16"/>
                <w:szCs w:val="16"/>
                <w:color w:val="auto"/>
              </w:rPr>
              <w:t>(50)</w:t>
            </w:r>
          </w:p>
        </w:tc>
        <w:tc>
          <w:tcPr>
            <w:tcW w:w="540" w:type="dxa"/>
            <w:vAlign w:val="bottom"/>
          </w:tcPr>
          <w:p>
            <w:pPr>
              <w:spacing w:after="0"/>
              <w:rPr>
                <w:sz w:val="16"/>
                <w:szCs w:val="16"/>
                <w:color w:val="auto"/>
              </w:rPr>
            </w:pPr>
          </w:p>
        </w:tc>
        <w:tc>
          <w:tcPr>
            <w:tcW w:w="1000" w:type="dxa"/>
            <w:vAlign w:val="bottom"/>
          </w:tcPr>
          <w:p>
            <w:pPr>
              <w:jc w:val="right"/>
              <w:ind w:right="300"/>
              <w:spacing w:after="0"/>
              <w:rPr>
                <w:sz w:val="20"/>
                <w:szCs w:val="20"/>
                <w:color w:val="auto"/>
              </w:rPr>
            </w:pPr>
            <w:r>
              <w:rPr>
                <w:rFonts w:ascii="Arial" w:cs="Arial" w:eastAsia="Arial" w:hAnsi="Arial"/>
                <w:sz w:val="16"/>
                <w:szCs w:val="16"/>
                <w:color w:val="auto"/>
              </w:rPr>
              <w:t>43</w:t>
            </w:r>
          </w:p>
        </w:tc>
        <w:tc>
          <w:tcPr>
            <w:tcW w:w="780" w:type="dxa"/>
            <w:vAlign w:val="bottom"/>
          </w:tcPr>
          <w:p>
            <w:pPr>
              <w:jc w:val="right"/>
              <w:ind w:right="259"/>
              <w:spacing w:after="0"/>
              <w:rPr>
                <w:sz w:val="20"/>
                <w:szCs w:val="20"/>
                <w:color w:val="auto"/>
              </w:rPr>
            </w:pPr>
            <w:r>
              <w:rPr>
                <w:rFonts w:ascii="Arial" w:cs="Arial" w:eastAsia="Arial" w:hAnsi="Arial"/>
                <w:sz w:val="16"/>
                <w:szCs w:val="16"/>
                <w:color w:val="auto"/>
              </w:rPr>
              <w:t>13</w:t>
            </w:r>
          </w:p>
        </w:tc>
      </w:tr>
      <w:tr>
        <w:trPr>
          <w:trHeight w:val="189"/>
        </w:trPr>
        <w:tc>
          <w:tcPr>
            <w:tcW w:w="3840" w:type="dxa"/>
            <w:vAlign w:val="bottom"/>
          </w:tcPr>
          <w:p>
            <w:pPr>
              <w:ind w:left="180"/>
              <w:spacing w:after="0"/>
              <w:rPr>
                <w:sz w:val="20"/>
                <w:szCs w:val="20"/>
                <w:color w:val="auto"/>
              </w:rPr>
            </w:pPr>
            <w:r>
              <w:rPr>
                <w:rFonts w:ascii="Arial" w:cs="Arial" w:eastAsia="Arial" w:hAnsi="Arial"/>
                <w:sz w:val="16"/>
                <w:szCs w:val="16"/>
                <w:color w:val="auto"/>
              </w:rPr>
              <w:t>Sempra Pipelines &amp; Storage</w:t>
            </w:r>
          </w:p>
        </w:tc>
        <w:tc>
          <w:tcPr>
            <w:tcW w:w="460" w:type="dxa"/>
            <w:vAlign w:val="bottom"/>
          </w:tcPr>
          <w:p>
            <w:pPr>
              <w:spacing w:after="0"/>
              <w:rPr>
                <w:sz w:val="16"/>
                <w:szCs w:val="16"/>
                <w:color w:val="auto"/>
              </w:rPr>
            </w:pPr>
          </w:p>
        </w:tc>
        <w:tc>
          <w:tcPr>
            <w:tcW w:w="980" w:type="dxa"/>
            <w:vAlign w:val="bottom"/>
          </w:tcPr>
          <w:p>
            <w:pPr>
              <w:jc w:val="right"/>
              <w:ind w:right="281"/>
              <w:spacing w:after="0"/>
              <w:rPr>
                <w:sz w:val="20"/>
                <w:szCs w:val="20"/>
                <w:color w:val="auto"/>
              </w:rPr>
            </w:pPr>
            <w:r>
              <w:rPr>
                <w:rFonts w:ascii="Arial" w:cs="Arial" w:eastAsia="Arial" w:hAnsi="Arial"/>
                <w:sz w:val="16"/>
                <w:szCs w:val="16"/>
                <w:color w:val="auto"/>
              </w:rPr>
              <w:t>38</w:t>
            </w:r>
          </w:p>
        </w:tc>
        <w:tc>
          <w:tcPr>
            <w:tcW w:w="720" w:type="dxa"/>
            <w:vAlign w:val="bottom"/>
          </w:tcPr>
          <w:p>
            <w:pPr>
              <w:jc w:val="right"/>
              <w:ind w:right="179"/>
              <w:spacing w:after="0"/>
              <w:rPr>
                <w:sz w:val="20"/>
                <w:szCs w:val="20"/>
                <w:color w:val="auto"/>
              </w:rPr>
            </w:pPr>
            <w:r>
              <w:rPr>
                <w:rFonts w:ascii="Arial" w:cs="Arial" w:eastAsia="Arial" w:hAnsi="Arial"/>
                <w:sz w:val="16"/>
                <w:szCs w:val="16"/>
                <w:color w:val="auto"/>
              </w:rPr>
              <w:t>36</w:t>
            </w:r>
          </w:p>
        </w:tc>
        <w:tc>
          <w:tcPr>
            <w:tcW w:w="540" w:type="dxa"/>
            <w:vAlign w:val="bottom"/>
          </w:tcPr>
          <w:p>
            <w:pPr>
              <w:spacing w:after="0"/>
              <w:rPr>
                <w:sz w:val="16"/>
                <w:szCs w:val="16"/>
                <w:color w:val="auto"/>
              </w:rPr>
            </w:pPr>
          </w:p>
        </w:tc>
        <w:tc>
          <w:tcPr>
            <w:tcW w:w="1000" w:type="dxa"/>
            <w:vAlign w:val="bottom"/>
          </w:tcPr>
          <w:p>
            <w:pPr>
              <w:jc w:val="right"/>
              <w:ind w:right="300"/>
              <w:spacing w:after="0"/>
              <w:rPr>
                <w:sz w:val="20"/>
                <w:szCs w:val="20"/>
                <w:color w:val="auto"/>
              </w:rPr>
            </w:pPr>
            <w:r>
              <w:rPr>
                <w:rFonts w:ascii="Arial" w:cs="Arial" w:eastAsia="Arial" w:hAnsi="Arial"/>
                <w:sz w:val="16"/>
                <w:szCs w:val="16"/>
                <w:color w:val="auto"/>
              </w:rPr>
              <w:t>37</w:t>
            </w:r>
          </w:p>
        </w:tc>
        <w:tc>
          <w:tcPr>
            <w:tcW w:w="780" w:type="dxa"/>
            <w:vAlign w:val="bottom"/>
          </w:tcPr>
          <w:p>
            <w:pPr>
              <w:jc w:val="right"/>
              <w:ind w:right="259"/>
              <w:spacing w:after="0"/>
              <w:rPr>
                <w:sz w:val="20"/>
                <w:szCs w:val="20"/>
                <w:color w:val="auto"/>
              </w:rPr>
            </w:pPr>
            <w:r>
              <w:rPr>
                <w:rFonts w:ascii="Arial" w:cs="Arial" w:eastAsia="Arial" w:hAnsi="Arial"/>
                <w:sz w:val="16"/>
                <w:szCs w:val="16"/>
                <w:color w:val="auto"/>
              </w:rPr>
              <w:t>12</w:t>
            </w:r>
          </w:p>
        </w:tc>
      </w:tr>
      <w:tr>
        <w:trPr>
          <w:trHeight w:val="189"/>
        </w:trPr>
        <w:tc>
          <w:tcPr>
            <w:tcW w:w="3840" w:type="dxa"/>
            <w:vAlign w:val="bottom"/>
          </w:tcPr>
          <w:p>
            <w:pPr>
              <w:ind w:left="180"/>
              <w:spacing w:after="0"/>
              <w:rPr>
                <w:sz w:val="20"/>
                <w:szCs w:val="20"/>
                <w:color w:val="auto"/>
              </w:rPr>
            </w:pPr>
            <w:r>
              <w:rPr>
                <w:rFonts w:ascii="Arial" w:cs="Arial" w:eastAsia="Arial" w:hAnsi="Arial"/>
                <w:sz w:val="16"/>
                <w:szCs w:val="16"/>
                <w:color w:val="auto"/>
              </w:rPr>
              <w:t>Sempra LNG</w:t>
            </w:r>
          </w:p>
        </w:tc>
        <w:tc>
          <w:tcPr>
            <w:tcW w:w="460" w:type="dxa"/>
            <w:vAlign w:val="bottom"/>
          </w:tcPr>
          <w:p>
            <w:pPr>
              <w:spacing w:after="0"/>
              <w:rPr>
                <w:sz w:val="16"/>
                <w:szCs w:val="16"/>
                <w:color w:val="auto"/>
              </w:rPr>
            </w:pPr>
          </w:p>
        </w:tc>
        <w:tc>
          <w:tcPr>
            <w:tcW w:w="980" w:type="dxa"/>
            <w:vAlign w:val="bottom"/>
          </w:tcPr>
          <w:p>
            <w:pPr>
              <w:jc w:val="right"/>
              <w:ind w:right="281"/>
              <w:spacing w:after="0"/>
              <w:rPr>
                <w:sz w:val="20"/>
                <w:szCs w:val="20"/>
                <w:color w:val="auto"/>
              </w:rPr>
            </w:pPr>
            <w:r>
              <w:rPr>
                <w:rFonts w:ascii="Arial" w:cs="Arial" w:eastAsia="Arial" w:hAnsi="Arial"/>
                <w:sz w:val="16"/>
                <w:szCs w:val="16"/>
                <w:color w:val="auto"/>
              </w:rPr>
              <w:t>32</w:t>
            </w:r>
          </w:p>
        </w:tc>
        <w:tc>
          <w:tcPr>
            <w:tcW w:w="720" w:type="dxa"/>
            <w:vAlign w:val="bottom"/>
          </w:tcPr>
          <w:p>
            <w:pPr>
              <w:jc w:val="right"/>
              <w:ind w:right="179"/>
              <w:spacing w:after="0"/>
              <w:rPr>
                <w:sz w:val="20"/>
                <w:szCs w:val="20"/>
                <w:color w:val="auto"/>
              </w:rPr>
            </w:pPr>
            <w:r>
              <w:rPr>
                <w:rFonts w:ascii="Arial" w:cs="Arial" w:eastAsia="Arial" w:hAnsi="Arial"/>
                <w:sz w:val="16"/>
                <w:szCs w:val="16"/>
                <w:color w:val="auto"/>
              </w:rPr>
              <w:t>30</w:t>
            </w:r>
          </w:p>
        </w:tc>
        <w:tc>
          <w:tcPr>
            <w:tcW w:w="540" w:type="dxa"/>
            <w:vAlign w:val="bottom"/>
          </w:tcPr>
          <w:p>
            <w:pPr>
              <w:spacing w:after="0"/>
              <w:rPr>
                <w:sz w:val="16"/>
                <w:szCs w:val="16"/>
                <w:color w:val="auto"/>
              </w:rPr>
            </w:pPr>
          </w:p>
        </w:tc>
        <w:tc>
          <w:tcPr>
            <w:tcW w:w="1000" w:type="dxa"/>
            <w:vAlign w:val="bottom"/>
          </w:tcPr>
          <w:p>
            <w:pPr>
              <w:jc w:val="right"/>
              <w:ind w:right="260"/>
              <w:spacing w:after="0"/>
              <w:rPr>
                <w:sz w:val="20"/>
                <w:szCs w:val="20"/>
                <w:color w:val="auto"/>
              </w:rPr>
            </w:pPr>
            <w:r>
              <w:rPr>
                <w:rFonts w:ascii="Arial" w:cs="Arial" w:eastAsia="Arial" w:hAnsi="Arial"/>
                <w:sz w:val="16"/>
                <w:szCs w:val="16"/>
                <w:color w:val="auto"/>
              </w:rPr>
              <w:t>(7)</w:t>
            </w:r>
          </w:p>
        </w:tc>
        <w:tc>
          <w:tcPr>
            <w:tcW w:w="780" w:type="dxa"/>
            <w:vAlign w:val="bottom"/>
          </w:tcPr>
          <w:p>
            <w:pPr>
              <w:jc w:val="right"/>
              <w:ind w:right="199"/>
              <w:spacing w:after="0"/>
              <w:rPr>
                <w:sz w:val="20"/>
                <w:szCs w:val="20"/>
                <w:color w:val="auto"/>
              </w:rPr>
            </w:pPr>
            <w:r>
              <w:rPr>
                <w:rFonts w:ascii="Arial" w:cs="Arial" w:eastAsia="Arial" w:hAnsi="Arial"/>
                <w:sz w:val="16"/>
                <w:szCs w:val="16"/>
                <w:color w:val="auto"/>
              </w:rPr>
              <w:t>(2)</w:t>
            </w:r>
          </w:p>
        </w:tc>
      </w:tr>
      <w:tr>
        <w:trPr>
          <w:trHeight w:val="187"/>
        </w:trPr>
        <w:tc>
          <w:tcPr>
            <w:tcW w:w="3840" w:type="dxa"/>
            <w:vAlign w:val="bottom"/>
          </w:tcPr>
          <w:p>
            <w:pPr>
              <w:spacing w:after="0"/>
              <w:rPr>
                <w:sz w:val="20"/>
                <w:szCs w:val="20"/>
                <w:color w:val="auto"/>
              </w:rPr>
            </w:pPr>
            <w:r>
              <w:rPr>
                <w:rFonts w:ascii="Arial" w:cs="Arial" w:eastAsia="Arial" w:hAnsi="Arial"/>
                <w:sz w:val="16"/>
                <w:szCs w:val="16"/>
                <w:color w:val="auto"/>
              </w:rPr>
              <w:t>Parent and other(2)</w:t>
            </w: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(54)</w:t>
            </w:r>
          </w:p>
        </w:tc>
        <w:tc>
          <w:tcPr>
            <w:tcW w:w="7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(51)</w:t>
            </w:r>
          </w:p>
        </w:tc>
        <w:tc>
          <w:tcPr>
            <w:tcW w:w="5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(29)</w:t>
            </w:r>
          </w:p>
        </w:tc>
        <w:tc>
          <w:tcPr>
            <w:tcW w:w="7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(9)</w:t>
            </w:r>
          </w:p>
        </w:tc>
      </w:tr>
      <w:tr>
        <w:trPr>
          <w:trHeight w:val="183"/>
        </w:trPr>
        <w:tc>
          <w:tcPr>
            <w:tcW w:w="3840" w:type="dxa"/>
            <w:vAlign w:val="bottom"/>
          </w:tcPr>
          <w:p>
            <w:pPr>
              <w:spacing w:after="0" w:line="183" w:lineRule="exact"/>
              <w:rPr>
                <w:sz w:val="20"/>
                <w:szCs w:val="20"/>
                <w:color w:val="auto"/>
              </w:rPr>
            </w:pPr>
            <w:r>
              <w:rPr>
                <w:rFonts w:ascii="Arial" w:cs="Arial" w:eastAsia="Arial" w:hAnsi="Arial"/>
                <w:sz w:val="16"/>
                <w:szCs w:val="16"/>
                <w:color w:val="auto"/>
              </w:rPr>
              <w:t>Earnings</w:t>
            </w:r>
          </w:p>
        </w:tc>
        <w:tc>
          <w:tcPr>
            <w:tcW w:w="460" w:type="dxa"/>
            <w:vAlign w:val="bottom"/>
          </w:tcPr>
          <w:p>
            <w:pPr>
              <w:jc w:val="right"/>
              <w:ind w:right="279"/>
              <w:spacing w:after="0" w:line="183" w:lineRule="exact"/>
              <w:rPr>
                <w:sz w:val="20"/>
                <w:szCs w:val="20"/>
                <w:color w:val="auto"/>
              </w:rPr>
            </w:pPr>
            <w:r>
              <w:rPr>
                <w:rFonts w:ascii="Arial" w:cs="Arial" w:eastAsia="Arial" w:hAnsi="Arial"/>
                <w:sz w:val="16"/>
                <w:szCs w:val="16"/>
                <w:color w:val="auto"/>
                <w:w w:val="89"/>
              </w:rPr>
              <w:t>$</w:t>
            </w:r>
          </w:p>
        </w:tc>
        <w:tc>
          <w:tcPr>
            <w:tcW w:w="980" w:type="dxa"/>
            <w:vAlign w:val="bottom"/>
          </w:tcPr>
          <w:p>
            <w:pPr>
              <w:jc w:val="right"/>
              <w:ind w:right="281"/>
              <w:spacing w:after="0" w:line="183" w:lineRule="exact"/>
              <w:rPr>
                <w:sz w:val="20"/>
                <w:szCs w:val="20"/>
                <w:color w:val="auto"/>
              </w:rPr>
            </w:pPr>
            <w:r>
              <w:rPr>
                <w:rFonts w:ascii="Arial" w:cs="Arial" w:eastAsia="Arial" w:hAnsi="Arial"/>
                <w:sz w:val="16"/>
                <w:szCs w:val="16"/>
                <w:color w:val="auto"/>
              </w:rPr>
              <w:t>106</w:t>
            </w: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auto"/>
              </w:rPr>
              <w:t>100 %</w:t>
            </w:r>
          </w:p>
        </w:tc>
        <w:tc>
          <w:tcPr>
            <w:tcW w:w="540" w:type="dxa"/>
            <w:vAlign w:val="bottom"/>
          </w:tcPr>
          <w:p>
            <w:pPr>
              <w:jc w:val="right"/>
              <w:ind w:right="279"/>
              <w:spacing w:after="0" w:line="183" w:lineRule="exact"/>
              <w:rPr>
                <w:sz w:val="20"/>
                <w:szCs w:val="20"/>
                <w:color w:val="auto"/>
              </w:rPr>
            </w:pPr>
            <w:r>
              <w:rPr>
                <w:rFonts w:ascii="Arial" w:cs="Arial" w:eastAsia="Arial" w:hAnsi="Arial"/>
                <w:sz w:val="16"/>
                <w:szCs w:val="16"/>
                <w:color w:val="auto"/>
              </w:rPr>
              <w:t>$</w:t>
            </w:r>
          </w:p>
        </w:tc>
        <w:tc>
          <w:tcPr>
            <w:tcW w:w="1000" w:type="dxa"/>
            <w:vAlign w:val="bottom"/>
          </w:tcPr>
          <w:p>
            <w:pPr>
              <w:jc w:val="right"/>
              <w:ind w:right="300"/>
              <w:spacing w:after="0" w:line="183" w:lineRule="exact"/>
              <w:rPr>
                <w:sz w:val="20"/>
                <w:szCs w:val="20"/>
                <w:color w:val="auto"/>
              </w:rPr>
            </w:pPr>
            <w:r>
              <w:rPr>
                <w:rFonts w:ascii="Arial" w:cs="Arial" w:eastAsia="Arial" w:hAnsi="Arial"/>
                <w:sz w:val="16"/>
                <w:szCs w:val="16"/>
                <w:color w:val="auto"/>
              </w:rPr>
              <w:t>316</w:t>
            </w:r>
          </w:p>
        </w:tc>
        <w:tc>
          <w:tcPr>
            <w:tcW w:w="780" w:type="dxa"/>
            <w:vAlign w:val="bottom"/>
          </w:tcPr>
          <w:p>
            <w:pPr>
              <w:jc w:val="right"/>
              <w:ind w:right="59"/>
              <w:spacing w:after="0" w:line="183" w:lineRule="exact"/>
              <w:rPr>
                <w:sz w:val="20"/>
                <w:szCs w:val="20"/>
                <w:color w:val="auto"/>
              </w:rPr>
            </w:pPr>
            <w:r>
              <w:rPr>
                <w:rFonts w:ascii="Arial" w:cs="Arial" w:eastAsia="Arial" w:hAnsi="Arial"/>
                <w:sz w:val="16"/>
                <w:szCs w:val="16"/>
                <w:color w:val="auto"/>
              </w:rPr>
              <w:t>100 %</w:t>
            </w:r>
          </w:p>
        </w:tc>
      </w:tr>
      <w:tr>
        <w:trPr>
          <w:trHeight w:val="81"/>
        </w:trPr>
        <w:tc>
          <w:tcPr>
            <w:tcW w:w="3840" w:type="dxa"/>
            <w:vAlign w:val="bottom"/>
            <w:shd w:val="clear" w:color="auto" w:fill="000000"/>
          </w:tcPr>
          <w:p>
            <w:pPr>
              <w:spacing w:after="0"/>
              <w:rPr>
                <w:sz w:val="7"/>
                <w:szCs w:val="7"/>
                <w:color w:val="auto"/>
              </w:rPr>
            </w:pPr>
          </w:p>
        </w:tc>
        <w:tc>
          <w:tcPr>
            <w:tcW w:w="460" w:type="dxa"/>
            <w:vAlign w:val="bottom"/>
            <w:shd w:val="clear" w:color="auto" w:fill="000000"/>
          </w:tcPr>
          <w:p>
            <w:pPr>
              <w:spacing w:after="0"/>
              <w:rPr>
                <w:sz w:val="7"/>
                <w:szCs w:val="7"/>
                <w:color w:val="auto"/>
              </w:rPr>
            </w:pPr>
          </w:p>
        </w:tc>
        <w:tc>
          <w:tcPr>
            <w:tcW w:w="980" w:type="dxa"/>
            <w:vAlign w:val="bottom"/>
            <w:shd w:val="clear" w:color="auto" w:fill="000000"/>
          </w:tcPr>
          <w:p>
            <w:pPr>
              <w:spacing w:after="0"/>
              <w:rPr>
                <w:sz w:val="7"/>
                <w:szCs w:val="7"/>
                <w:color w:val="auto"/>
              </w:rPr>
            </w:pPr>
          </w:p>
        </w:tc>
        <w:tc>
          <w:tcPr>
            <w:tcW w:w="720" w:type="dxa"/>
            <w:vAlign w:val="bottom"/>
            <w:shd w:val="clear" w:color="auto" w:fill="000000"/>
          </w:tcPr>
          <w:p>
            <w:pPr>
              <w:spacing w:after="0"/>
              <w:rPr>
                <w:sz w:val="7"/>
                <w:szCs w:val="7"/>
                <w:color w:val="auto"/>
              </w:rPr>
            </w:pPr>
          </w:p>
        </w:tc>
        <w:tc>
          <w:tcPr>
            <w:tcW w:w="540" w:type="dxa"/>
            <w:vAlign w:val="bottom"/>
            <w:shd w:val="clear" w:color="auto" w:fill="000000"/>
          </w:tcPr>
          <w:p>
            <w:pPr>
              <w:spacing w:after="0"/>
              <w:rPr>
                <w:sz w:val="7"/>
                <w:szCs w:val="7"/>
                <w:color w:val="auto"/>
              </w:rPr>
            </w:pPr>
          </w:p>
        </w:tc>
        <w:tc>
          <w:tcPr>
            <w:tcW w:w="1000" w:type="dxa"/>
            <w:vAlign w:val="bottom"/>
            <w:shd w:val="clear" w:color="auto" w:fill="000000"/>
          </w:tcPr>
          <w:p>
            <w:pPr>
              <w:spacing w:after="0"/>
              <w:rPr>
                <w:sz w:val="7"/>
                <w:szCs w:val="7"/>
                <w:color w:val="auto"/>
              </w:rPr>
            </w:pPr>
          </w:p>
        </w:tc>
        <w:tc>
          <w:tcPr>
            <w:tcW w:w="780" w:type="dxa"/>
            <w:vAlign w:val="bottom"/>
            <w:shd w:val="clear" w:color="auto" w:fill="000000"/>
          </w:tcPr>
          <w:p>
            <w:pPr>
              <w:spacing w:after="0"/>
              <w:rPr>
                <w:sz w:val="7"/>
                <w:szCs w:val="7"/>
                <w:color w:val="auto"/>
              </w:rPr>
            </w:pPr>
          </w:p>
        </w:tc>
      </w:tr>
    </w:tbl>
    <w:p>
      <w:pPr>
        <w:ind w:left="460" w:hanging="452"/>
        <w:spacing w:after="0"/>
        <w:tabs>
          <w:tab w:leader="none" w:pos="460" w:val="left"/>
        </w:tabs>
        <w:numPr>
          <w:ilvl w:val="0"/>
          <w:numId w:val="30"/>
        </w:numPr>
        <w:rPr>
          <w:rFonts w:ascii="Arial" w:cs="Arial" w:eastAsia="Arial" w:hAnsi="Arial"/>
          <w:sz w:val="14"/>
          <w:szCs w:val="14"/>
          <w:i w:val="1"/>
          <w:iCs w:val="1"/>
          <w:color w:val="auto"/>
        </w:rPr>
      </w:pPr>
      <w:r>
        <w:rPr>
          <w:rFonts w:ascii="Arial" w:cs="Arial" w:eastAsia="Arial" w:hAnsi="Arial"/>
          <w:sz w:val="14"/>
          <w:szCs w:val="14"/>
          <w:i w:val="1"/>
          <w:iCs w:val="1"/>
          <w:color w:val="auto"/>
        </w:rPr>
        <w:t>After preferred dividends.</w:t>
      </w:r>
    </w:p>
    <w:p>
      <w:pPr>
        <w:spacing w:after="0" w:line="5" w:lineRule="exact"/>
        <w:rPr>
          <w:rFonts w:ascii="Arial" w:cs="Arial" w:eastAsia="Arial" w:hAnsi="Arial"/>
          <w:sz w:val="14"/>
          <w:szCs w:val="14"/>
          <w:i w:val="1"/>
          <w:iCs w:val="1"/>
          <w:color w:val="auto"/>
        </w:rPr>
      </w:pPr>
    </w:p>
    <w:p>
      <w:pPr>
        <w:ind w:left="460" w:right="2039" w:hanging="452"/>
        <w:spacing w:after="0" w:line="250" w:lineRule="auto"/>
        <w:tabs>
          <w:tab w:leader="none" w:pos="460" w:val="left"/>
        </w:tabs>
        <w:numPr>
          <w:ilvl w:val="0"/>
          <w:numId w:val="30"/>
        </w:numPr>
        <w:rPr>
          <w:rFonts w:ascii="Arial" w:cs="Arial" w:eastAsia="Arial" w:hAnsi="Arial"/>
          <w:sz w:val="14"/>
          <w:szCs w:val="14"/>
          <w:i w:val="1"/>
          <w:iCs w:val="1"/>
          <w:color w:val="auto"/>
        </w:rPr>
      </w:pPr>
      <w:r>
        <w:rPr>
          <w:rFonts w:ascii="Arial" w:cs="Arial" w:eastAsia="Arial" w:hAnsi="Arial"/>
          <w:sz w:val="14"/>
          <w:szCs w:val="14"/>
          <w:i w:val="1"/>
          <w:iCs w:val="1"/>
          <w:color w:val="auto"/>
        </w:rPr>
        <w:t>Includes after-tax interest expense ($38 million for the three months ended March 31, 2010 and $34 million for the three months ended March 31, 2009), intercompany eliminations recorded in consolidation and certain corporate costs incurred at Sempra Global.</w:t>
      </w:r>
    </w:p>
    <w:p>
      <w:pPr>
        <w:sectPr>
          <w:pgSz w:w="11900" w:h="16838" w:orient="portrait"/>
          <w:cols w:equalWidth="0" w:num="1">
            <w:col w:w="10219"/>
          </w:cols>
          <w:pgMar w:left="240" w:top="595" w:right="1440" w:bottom="1440" w:gutter="0" w:footer="0" w:header="0"/>
        </w:sectPr>
      </w:pPr>
    </w:p>
    <w:bookmarkStart w:id="66" w:name="page67"/>
    <w:bookmarkEnd w:id="66"/>
    <w:p>
      <w:pPr>
        <w:spacing w:after="0"/>
        <w:rPr>
          <w:sz w:val="20"/>
          <w:szCs w:val="20"/>
          <w:color w:val="auto"/>
        </w:rPr>
      </w:pPr>
      <w:r>
        <w:rPr>
          <w:rFonts w:ascii="Arial" w:cs="Arial" w:eastAsia="Arial" w:hAnsi="Arial"/>
          <w:sz w:val="22"/>
          <w:szCs w:val="22"/>
          <w:b w:val="1"/>
          <w:bCs w:val="1"/>
          <w:color w:val="auto"/>
        </w:rPr>
        <w:t>BUSINESS UNIT RESULTS</w:t>
      </w:r>
    </w:p>
    <w:p>
      <w:pPr>
        <w:spacing w:after="0" w:line="69" w:lineRule="exact"/>
        <w:rPr>
          <w:sz w:val="20"/>
          <w:szCs w:val="20"/>
          <w:color w:val="auto"/>
        </w:rPr>
      </w:pPr>
    </w:p>
    <w:p>
      <w:pPr>
        <w:spacing w:after="0"/>
        <w:rPr>
          <w:sz w:val="20"/>
          <w:szCs w:val="20"/>
          <w:color w:val="auto"/>
        </w:rPr>
      </w:pPr>
      <w:r>
        <w:rPr>
          <w:rFonts w:ascii="Arial" w:cs="Arial" w:eastAsia="Arial" w:hAnsi="Arial"/>
          <w:sz w:val="19"/>
          <w:szCs w:val="19"/>
          <w:color w:val="auto"/>
        </w:rPr>
        <w:t>The following section is a discussion of earnings by business unit, as it appears in the table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6191885" cy="2489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191885" cy="248920"/>
                    </a:xfrm>
                    <a:prstGeom prst="rect">
                      <a:avLst/>
                    </a:prstGeom>
                    <a:noFill/>
                  </pic:spPr>
                </pic:pic>
              </a:graphicData>
            </a:graphic>
          </wp:anchor>
        </w:drawing>
      </w: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EARNINGS BY BUSINESS UNIT -- SEMPRA UTILITIES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5308600" cy="2186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308600" cy="2186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SDG&amp;E business unit earnings were</w:t>
      </w:r>
    </w:p>
    <w:p>
      <w:pPr>
        <w:spacing w:after="0" w:line="10" w:lineRule="exact"/>
        <w:rPr>
          <w:sz w:val="20"/>
          <w:szCs w:val="20"/>
          <w:color w:val="auto"/>
        </w:rPr>
      </w:pPr>
    </w:p>
    <w:p>
      <w:pPr>
        <w:ind w:left="140" w:hanging="132"/>
        <w:spacing w:after="0"/>
        <w:tabs>
          <w:tab w:leader="none" w:pos="140" w:val="left"/>
        </w:tabs>
        <w:numPr>
          <w:ilvl w:val="0"/>
          <w:numId w:val="31"/>
        </w:numPr>
        <w:rPr>
          <w:rFonts w:ascii="Arial" w:cs="Arial" w:eastAsia="Arial" w:hAnsi="Arial"/>
          <w:sz w:val="22"/>
          <w:szCs w:val="22"/>
          <w:color w:val="auto"/>
        </w:rPr>
      </w:pPr>
      <w:r>
        <w:rPr>
          <w:rFonts w:ascii="Arial" w:cs="Arial" w:eastAsia="Arial" w:hAnsi="Arial"/>
          <w:sz w:val="22"/>
          <w:szCs w:val="22"/>
          <w:color w:val="auto"/>
        </w:rPr>
        <w:t>$83 million in the first three months of 2010 ($84 million before preferred dividends)</w:t>
      </w:r>
    </w:p>
    <w:p>
      <w:pPr>
        <w:spacing w:after="0" w:line="17" w:lineRule="exact"/>
        <w:rPr>
          <w:rFonts w:ascii="Arial" w:cs="Arial" w:eastAsia="Arial" w:hAnsi="Arial"/>
          <w:sz w:val="22"/>
          <w:szCs w:val="22"/>
          <w:color w:val="auto"/>
        </w:rPr>
      </w:pPr>
    </w:p>
    <w:p>
      <w:pPr>
        <w:ind w:left="140" w:hanging="132"/>
        <w:spacing w:after="0"/>
        <w:tabs>
          <w:tab w:leader="none" w:pos="140" w:val="left"/>
        </w:tabs>
        <w:numPr>
          <w:ilvl w:val="0"/>
          <w:numId w:val="31"/>
        </w:numPr>
        <w:rPr>
          <w:rFonts w:ascii="Arial" w:cs="Arial" w:eastAsia="Arial" w:hAnsi="Arial"/>
          <w:sz w:val="22"/>
          <w:szCs w:val="22"/>
          <w:color w:val="auto"/>
        </w:rPr>
      </w:pPr>
      <w:r>
        <w:rPr>
          <w:rFonts w:ascii="Arial" w:cs="Arial" w:eastAsia="Arial" w:hAnsi="Arial"/>
          <w:sz w:val="22"/>
          <w:szCs w:val="22"/>
          <w:color w:val="auto"/>
        </w:rPr>
        <w:t>$99 million in the first three months of 2009 ($100 million before preferred dividends)</w:t>
      </w:r>
    </w:p>
    <w:p>
      <w:pPr>
        <w:spacing w:after="0" w:line="80" w:lineRule="exact"/>
        <w:rPr>
          <w:sz w:val="20"/>
          <w:szCs w:val="20"/>
          <w:color w:val="auto"/>
        </w:rPr>
      </w:pPr>
    </w:p>
    <w:p>
      <w:pPr>
        <w:spacing w:after="0"/>
        <w:rPr>
          <w:sz w:val="20"/>
          <w:szCs w:val="20"/>
          <w:color w:val="auto"/>
        </w:rPr>
      </w:pPr>
      <w:r>
        <w:rPr>
          <w:rFonts w:ascii="Arial" w:cs="Arial" w:eastAsia="Arial" w:hAnsi="Arial"/>
          <w:sz w:val="22"/>
          <w:szCs w:val="22"/>
          <w:color w:val="auto"/>
        </w:rPr>
        <w:t>The decrease of $16 million (16%) was due to:</w:t>
      </w:r>
    </w:p>
    <w:p>
      <w:pPr>
        <w:spacing w:after="0" w:line="22" w:lineRule="exact"/>
        <w:rPr>
          <w:sz w:val="20"/>
          <w:szCs w:val="20"/>
          <w:color w:val="auto"/>
        </w:rPr>
      </w:pPr>
    </w:p>
    <w:p>
      <w:pPr>
        <w:ind w:left="180" w:right="1979" w:hanging="172"/>
        <w:spacing w:after="0" w:line="224" w:lineRule="auto"/>
        <w:tabs>
          <w:tab w:leader="none" w:pos="153" w:val="left"/>
        </w:tabs>
        <w:numPr>
          <w:ilvl w:val="0"/>
          <w:numId w:val="32"/>
        </w:numPr>
        <w:rPr>
          <w:rFonts w:ascii="Arial" w:cs="Arial" w:eastAsia="Arial" w:hAnsi="Arial"/>
          <w:sz w:val="22"/>
          <w:szCs w:val="22"/>
          <w:color w:val="auto"/>
        </w:rPr>
      </w:pPr>
      <w:r>
        <w:rPr>
          <w:rFonts w:ascii="Arial" w:cs="Arial" w:eastAsia="Arial" w:hAnsi="Arial"/>
          <w:sz w:val="22"/>
          <w:szCs w:val="22"/>
          <w:color w:val="auto"/>
        </w:rPr>
        <w:t>$9 million net unfavorable impact from an increase in litigation reserves in 2010 compared to the favorable resolution of litigation in 2009;</w:t>
      </w:r>
    </w:p>
    <w:p>
      <w:pPr>
        <w:ind w:left="140" w:hanging="132"/>
        <w:spacing w:after="0"/>
        <w:tabs>
          <w:tab w:leader="none" w:pos="140" w:val="left"/>
        </w:tabs>
        <w:numPr>
          <w:ilvl w:val="0"/>
          <w:numId w:val="32"/>
        </w:numPr>
        <w:rPr>
          <w:rFonts w:ascii="Arial" w:cs="Arial" w:eastAsia="Arial" w:hAnsi="Arial"/>
          <w:sz w:val="22"/>
          <w:szCs w:val="22"/>
          <w:color w:val="auto"/>
        </w:rPr>
      </w:pPr>
      <w:r>
        <w:rPr>
          <w:rFonts w:ascii="Arial" w:cs="Arial" w:eastAsia="Arial" w:hAnsi="Arial"/>
          <w:sz w:val="22"/>
          <w:szCs w:val="22"/>
          <w:color w:val="auto"/>
        </w:rPr>
        <w:t>$5 million higher liability insurance premiums for wildfire coverage; and</w:t>
      </w:r>
    </w:p>
    <w:p>
      <w:pPr>
        <w:spacing w:after="0" w:line="17" w:lineRule="exact"/>
        <w:rPr>
          <w:rFonts w:ascii="Arial" w:cs="Arial" w:eastAsia="Arial" w:hAnsi="Arial"/>
          <w:sz w:val="22"/>
          <w:szCs w:val="22"/>
          <w:color w:val="auto"/>
        </w:rPr>
      </w:pPr>
    </w:p>
    <w:p>
      <w:pPr>
        <w:ind w:left="180" w:right="1859" w:hanging="172"/>
        <w:spacing w:after="0" w:line="214" w:lineRule="auto"/>
        <w:tabs>
          <w:tab w:leader="none" w:pos="153" w:val="left"/>
        </w:tabs>
        <w:numPr>
          <w:ilvl w:val="0"/>
          <w:numId w:val="32"/>
        </w:numPr>
        <w:rPr>
          <w:rFonts w:ascii="Arial" w:cs="Arial" w:eastAsia="Arial" w:hAnsi="Arial"/>
          <w:sz w:val="22"/>
          <w:szCs w:val="22"/>
          <w:color w:val="auto"/>
        </w:rPr>
      </w:pPr>
      <w:r>
        <w:rPr>
          <w:rFonts w:ascii="Arial" w:cs="Arial" w:eastAsia="Arial" w:hAnsi="Arial"/>
          <w:sz w:val="22"/>
          <w:szCs w:val="22"/>
          <w:color w:val="auto"/>
        </w:rPr>
        <w:t>$3 million due to the write-down of deferred tax assets as a result of the change in U.S. tax law regarding the Medicare Part D subsidy, which we discuss in "Changes in Revenues, Costs and Earnings – Income Taxes" below and in Note 5 of the Notes to Condensed Consolidated Financial Statements herein.</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SoCalGas</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SoCalGas business unit earnings were</w:t>
      </w:r>
    </w:p>
    <w:p>
      <w:pPr>
        <w:spacing w:after="0" w:line="10" w:lineRule="exact"/>
        <w:rPr>
          <w:sz w:val="20"/>
          <w:szCs w:val="20"/>
          <w:color w:val="auto"/>
        </w:rPr>
      </w:pPr>
    </w:p>
    <w:p>
      <w:pPr>
        <w:ind w:left="140" w:hanging="132"/>
        <w:spacing w:after="0"/>
        <w:tabs>
          <w:tab w:leader="none" w:pos="140" w:val="left"/>
        </w:tabs>
        <w:numPr>
          <w:ilvl w:val="0"/>
          <w:numId w:val="33"/>
        </w:numPr>
        <w:rPr>
          <w:rFonts w:ascii="Arial" w:cs="Arial" w:eastAsia="Arial" w:hAnsi="Arial"/>
          <w:sz w:val="21"/>
          <w:szCs w:val="21"/>
          <w:color w:val="auto"/>
        </w:rPr>
      </w:pPr>
      <w:r>
        <w:rPr>
          <w:rFonts w:ascii="Arial" w:cs="Arial" w:eastAsia="Arial" w:hAnsi="Arial"/>
          <w:sz w:val="21"/>
          <w:szCs w:val="21"/>
          <w:color w:val="auto"/>
        </w:rPr>
        <w:t>$65 million in the first three months of 2010 (both before and after preferred dividends)</w:t>
      </w:r>
    </w:p>
    <w:p>
      <w:pPr>
        <w:spacing w:after="0" w:line="15" w:lineRule="exact"/>
        <w:rPr>
          <w:rFonts w:ascii="Arial" w:cs="Arial" w:eastAsia="Arial" w:hAnsi="Arial"/>
          <w:sz w:val="21"/>
          <w:szCs w:val="21"/>
          <w:color w:val="auto"/>
        </w:rPr>
      </w:pPr>
    </w:p>
    <w:p>
      <w:pPr>
        <w:ind w:left="140" w:hanging="132"/>
        <w:spacing w:after="0"/>
        <w:tabs>
          <w:tab w:leader="none" w:pos="140" w:val="left"/>
        </w:tabs>
        <w:numPr>
          <w:ilvl w:val="0"/>
          <w:numId w:val="33"/>
        </w:numPr>
        <w:rPr>
          <w:rFonts w:ascii="Arial" w:cs="Arial" w:eastAsia="Arial" w:hAnsi="Arial"/>
          <w:sz w:val="21"/>
          <w:szCs w:val="21"/>
          <w:color w:val="auto"/>
        </w:rPr>
      </w:pPr>
      <w:r>
        <w:rPr>
          <w:rFonts w:ascii="Arial" w:cs="Arial" w:eastAsia="Arial" w:hAnsi="Arial"/>
          <w:sz w:val="21"/>
          <w:szCs w:val="21"/>
          <w:color w:val="auto"/>
        </w:rPr>
        <w:t>$59 million in the first three months of 2009 (both before and after preferred dividends)</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The increase of $6 million (10%) was due to:</w:t>
      </w:r>
    </w:p>
    <w:p>
      <w:pPr>
        <w:spacing w:after="0" w:line="22" w:lineRule="exact"/>
        <w:rPr>
          <w:sz w:val="20"/>
          <w:szCs w:val="20"/>
          <w:color w:val="auto"/>
        </w:rPr>
      </w:pPr>
    </w:p>
    <w:p>
      <w:pPr>
        <w:ind w:left="140" w:hanging="132"/>
        <w:spacing w:after="0"/>
        <w:tabs>
          <w:tab w:leader="none" w:pos="140" w:val="left"/>
        </w:tabs>
        <w:numPr>
          <w:ilvl w:val="0"/>
          <w:numId w:val="34"/>
        </w:numPr>
        <w:rPr>
          <w:rFonts w:ascii="Arial" w:cs="Arial" w:eastAsia="Arial" w:hAnsi="Arial"/>
          <w:sz w:val="22"/>
          <w:szCs w:val="22"/>
          <w:color w:val="auto"/>
        </w:rPr>
      </w:pPr>
      <w:r>
        <w:rPr>
          <w:rFonts w:ascii="Arial" w:cs="Arial" w:eastAsia="Arial" w:hAnsi="Arial"/>
          <w:sz w:val="22"/>
          <w:szCs w:val="22"/>
          <w:color w:val="auto"/>
        </w:rPr>
        <w:t>$9 million higher CPUC authorized margin;</w:t>
      </w:r>
    </w:p>
    <w:p>
      <w:pPr>
        <w:spacing w:after="0" w:line="3" w:lineRule="exact"/>
        <w:rPr>
          <w:rFonts w:ascii="Arial" w:cs="Arial" w:eastAsia="Arial" w:hAnsi="Arial"/>
          <w:sz w:val="22"/>
          <w:szCs w:val="22"/>
          <w:color w:val="auto"/>
        </w:rPr>
      </w:pPr>
    </w:p>
    <w:p>
      <w:pPr>
        <w:ind w:left="140" w:hanging="132"/>
        <w:spacing w:after="0"/>
        <w:tabs>
          <w:tab w:leader="none" w:pos="140" w:val="left"/>
        </w:tabs>
        <w:numPr>
          <w:ilvl w:val="0"/>
          <w:numId w:val="34"/>
        </w:numPr>
        <w:rPr>
          <w:rFonts w:ascii="Arial" w:cs="Arial" w:eastAsia="Arial" w:hAnsi="Arial"/>
          <w:sz w:val="22"/>
          <w:szCs w:val="22"/>
          <w:color w:val="auto"/>
        </w:rPr>
      </w:pPr>
      <w:r>
        <w:rPr>
          <w:rFonts w:ascii="Arial" w:cs="Arial" w:eastAsia="Arial" w:hAnsi="Arial"/>
          <w:sz w:val="22"/>
          <w:szCs w:val="22"/>
          <w:color w:val="auto"/>
        </w:rPr>
        <w:t>$3 million higher regulatory awards;</w:t>
      </w:r>
    </w:p>
    <w:p>
      <w:pPr>
        <w:spacing w:after="0" w:line="3" w:lineRule="exact"/>
        <w:rPr>
          <w:rFonts w:ascii="Arial" w:cs="Arial" w:eastAsia="Arial" w:hAnsi="Arial"/>
          <w:sz w:val="22"/>
          <w:szCs w:val="22"/>
          <w:color w:val="auto"/>
        </w:rPr>
      </w:pPr>
    </w:p>
    <w:p>
      <w:pPr>
        <w:ind w:left="180" w:right="2339" w:hanging="172"/>
        <w:spacing w:after="0" w:line="267" w:lineRule="auto"/>
        <w:tabs>
          <w:tab w:leader="none" w:pos="153" w:val="left"/>
        </w:tabs>
        <w:numPr>
          <w:ilvl w:val="0"/>
          <w:numId w:val="34"/>
        </w:numPr>
        <w:rPr>
          <w:rFonts w:ascii="Arial" w:cs="Arial" w:eastAsia="Arial" w:hAnsi="Arial"/>
          <w:sz w:val="19"/>
          <w:szCs w:val="19"/>
          <w:color w:val="auto"/>
        </w:rPr>
      </w:pPr>
      <w:r>
        <w:rPr>
          <w:rFonts w:ascii="Arial" w:cs="Arial" w:eastAsia="Arial" w:hAnsi="Arial"/>
          <w:sz w:val="19"/>
          <w:szCs w:val="19"/>
          <w:color w:val="auto"/>
        </w:rPr>
        <w:t>$3 million from a lower effective tax rate in 2010, excluding a $13 million write-down of deferred tax assets associated with the Medicare Part D subsidy, discussed below; and</w:t>
      </w:r>
    </w:p>
    <w:p>
      <w:pPr>
        <w:ind w:left="140" w:hanging="132"/>
        <w:spacing w:after="0"/>
        <w:tabs>
          <w:tab w:leader="none" w:pos="140" w:val="left"/>
        </w:tabs>
        <w:numPr>
          <w:ilvl w:val="0"/>
          <w:numId w:val="34"/>
        </w:numPr>
        <w:rPr>
          <w:rFonts w:ascii="Arial" w:cs="Arial" w:eastAsia="Arial" w:hAnsi="Arial"/>
          <w:sz w:val="22"/>
          <w:szCs w:val="22"/>
          <w:color w:val="auto"/>
        </w:rPr>
      </w:pPr>
      <w:r>
        <w:rPr>
          <w:rFonts w:ascii="Arial" w:cs="Arial" w:eastAsia="Arial" w:hAnsi="Arial"/>
          <w:sz w:val="22"/>
          <w:szCs w:val="22"/>
          <w:color w:val="auto"/>
        </w:rPr>
        <w:t xml:space="preserve">$2 million lower net bad debt expense; </w:t>
      </w:r>
      <w:r>
        <w:rPr>
          <w:rFonts w:ascii="Arial" w:cs="Arial" w:eastAsia="Arial" w:hAnsi="Arial"/>
          <w:sz w:val="22"/>
          <w:szCs w:val="22"/>
          <w:b w:val="1"/>
          <w:bCs w:val="1"/>
          <w:color w:val="auto"/>
        </w:rPr>
        <w:t>offset by</w:t>
      </w:r>
    </w:p>
    <w:p>
      <w:pPr>
        <w:spacing w:after="0" w:line="3" w:lineRule="exact"/>
        <w:rPr>
          <w:rFonts w:ascii="Arial" w:cs="Arial" w:eastAsia="Arial" w:hAnsi="Arial"/>
          <w:sz w:val="22"/>
          <w:szCs w:val="22"/>
          <w:color w:val="auto"/>
        </w:rPr>
      </w:pPr>
    </w:p>
    <w:p>
      <w:pPr>
        <w:ind w:left="180" w:right="1919" w:hanging="172"/>
        <w:spacing w:after="0" w:line="214" w:lineRule="auto"/>
        <w:tabs>
          <w:tab w:leader="none" w:pos="153" w:val="left"/>
        </w:tabs>
        <w:numPr>
          <w:ilvl w:val="0"/>
          <w:numId w:val="34"/>
        </w:numPr>
        <w:rPr>
          <w:rFonts w:ascii="Arial" w:cs="Arial" w:eastAsia="Arial" w:hAnsi="Arial"/>
          <w:sz w:val="22"/>
          <w:szCs w:val="22"/>
          <w:color w:val="auto"/>
        </w:rPr>
      </w:pPr>
      <w:r>
        <w:rPr>
          <w:rFonts w:ascii="Arial" w:cs="Arial" w:eastAsia="Arial" w:hAnsi="Arial"/>
          <w:sz w:val="22"/>
          <w:szCs w:val="22"/>
          <w:color w:val="auto"/>
        </w:rPr>
        <w:t>$13 million due to the write-down of deferred tax assets as a result of the change in U.S. tax law regarding the Medicare Part D subsidy, which we discuss in "Changes in Revenues, Costs and Earnings – Income Taxes" below and in Note 5 of the Notes to Condensed Consolidated Financial Statements herein.</w:t>
      </w: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EARNINGS (LOSSES) BY BUSINESS UNIT -- SEMPRA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6191885" cy="2317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191885" cy="231775"/>
                    </a:xfrm>
                    <a:prstGeom prst="rect">
                      <a:avLst/>
                    </a:prstGeom>
                    <a:noFill/>
                  </pic:spPr>
                </pic:pic>
              </a:graphicData>
            </a:graphic>
          </wp:anchor>
        </w:drawing>
      </w:r>
    </w:p>
    <w:p>
      <w:pPr>
        <w:sectPr>
          <w:pgSz w:w="11900" w:h="16838" w:orient="portrait"/>
          <w:cols w:equalWidth="0" w:num="1">
            <w:col w:w="10219"/>
          </w:cols>
          <w:pgMar w:left="240" w:top="404" w:right="1440" w:bottom="370" w:gutter="0" w:footer="0" w:header="0"/>
        </w:sectPr>
      </w:pP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ectPr>
          <w:pgSz w:w="11900" w:h="16838" w:orient="portrait"/>
          <w:cols w:equalWidth="0" w:num="1">
            <w:col w:w="10219"/>
          </w:cols>
          <w:pgMar w:left="240" w:top="404" w:right="1440" w:bottom="370" w:gutter="0" w:footer="0" w:header="0"/>
          <w:type w:val="continuous"/>
        </w:sectPr>
      </w:pPr>
    </w:p>
    <w:bookmarkStart w:id="67" w:name="page68"/>
    <w:bookmarkEnd w:id="6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5685790" cy="20326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5685790" cy="203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Commodities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Sempra Commodities recorded business unit (losses) earnings of:</w:t>
      </w:r>
    </w:p>
    <w:p>
      <w:pPr>
        <w:spacing w:after="0" w:line="22" w:lineRule="exact"/>
        <w:rPr>
          <w:sz w:val="20"/>
          <w:szCs w:val="20"/>
          <w:color w:val="auto"/>
        </w:rPr>
      </w:pPr>
    </w:p>
    <w:p>
      <w:pPr>
        <w:ind w:left="140" w:hanging="132"/>
        <w:spacing w:after="0"/>
        <w:tabs>
          <w:tab w:leader="none" w:pos="140" w:val="left"/>
        </w:tabs>
        <w:numPr>
          <w:ilvl w:val="0"/>
          <w:numId w:val="35"/>
        </w:numPr>
        <w:rPr>
          <w:rFonts w:ascii="Arial" w:cs="Arial" w:eastAsia="Arial" w:hAnsi="Arial"/>
          <w:sz w:val="22"/>
          <w:szCs w:val="22"/>
          <w:color w:val="auto"/>
        </w:rPr>
      </w:pPr>
      <w:r>
        <w:rPr>
          <w:rFonts w:ascii="Arial" w:cs="Arial" w:eastAsia="Arial" w:hAnsi="Arial"/>
          <w:sz w:val="22"/>
          <w:szCs w:val="22"/>
          <w:color w:val="auto"/>
        </w:rPr>
        <w:t>$(5) million in the first three months of 2010</w:t>
      </w:r>
    </w:p>
    <w:p>
      <w:pPr>
        <w:spacing w:after="0" w:line="3" w:lineRule="exact"/>
        <w:rPr>
          <w:rFonts w:ascii="Arial" w:cs="Arial" w:eastAsia="Arial" w:hAnsi="Arial"/>
          <w:sz w:val="22"/>
          <w:szCs w:val="22"/>
          <w:color w:val="auto"/>
        </w:rPr>
      </w:pPr>
    </w:p>
    <w:p>
      <w:pPr>
        <w:ind w:left="140" w:hanging="132"/>
        <w:spacing w:after="0"/>
        <w:tabs>
          <w:tab w:leader="none" w:pos="140" w:val="left"/>
        </w:tabs>
        <w:numPr>
          <w:ilvl w:val="0"/>
          <w:numId w:val="35"/>
        </w:numPr>
        <w:rPr>
          <w:rFonts w:ascii="Arial" w:cs="Arial" w:eastAsia="Arial" w:hAnsi="Arial"/>
          <w:sz w:val="22"/>
          <w:szCs w:val="22"/>
          <w:color w:val="auto"/>
        </w:rPr>
      </w:pPr>
      <w:r>
        <w:rPr>
          <w:rFonts w:ascii="Arial" w:cs="Arial" w:eastAsia="Arial" w:hAnsi="Arial"/>
          <w:sz w:val="22"/>
          <w:szCs w:val="22"/>
          <w:color w:val="auto"/>
        </w:rPr>
        <w:t>$114 million in the first three months of 2009</w:t>
      </w:r>
    </w:p>
    <w:p>
      <w:pPr>
        <w:spacing w:after="0" w:line="94" w:lineRule="exact"/>
        <w:rPr>
          <w:sz w:val="20"/>
          <w:szCs w:val="20"/>
          <w:color w:val="auto"/>
        </w:rPr>
      </w:pPr>
    </w:p>
    <w:p>
      <w:pPr>
        <w:ind w:right="499"/>
        <w:spacing w:after="0" w:line="214" w:lineRule="auto"/>
        <w:rPr>
          <w:sz w:val="20"/>
          <w:szCs w:val="20"/>
          <w:color w:val="auto"/>
        </w:rPr>
      </w:pPr>
      <w:r>
        <w:rPr>
          <w:rFonts w:ascii="Arial" w:cs="Arial" w:eastAsia="Arial" w:hAnsi="Arial"/>
          <w:sz w:val="22"/>
          <w:szCs w:val="22"/>
          <w:color w:val="auto"/>
        </w:rPr>
        <w:t>The loss in 2010 was primarily due to lower equity earnings from the RBS Sempra Commodities LLP joint venture, offset by a $2 million increase in earnings at Sempra Rockies Marketing. The joint venture's earnings in 2010 were negatively impacted by lower results from crude oil and oil products and by higher retention costs. Also, in the first quarter of 2010, Sempra Commodities recorded litigation expense of $12 million after tax related to energy crisis litigation, as we discuss in Note 10 of the Notes to Condensed Consolidated Financial Statements herein.</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Generation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Sempra Generation recorded business unit (losses) earnings of:</w:t>
      </w:r>
    </w:p>
    <w:p>
      <w:pPr>
        <w:spacing w:after="0" w:line="22" w:lineRule="exact"/>
        <w:rPr>
          <w:sz w:val="20"/>
          <w:szCs w:val="20"/>
          <w:color w:val="auto"/>
        </w:rPr>
      </w:pPr>
    </w:p>
    <w:p>
      <w:pPr>
        <w:ind w:left="140" w:hanging="132"/>
        <w:spacing w:after="0"/>
        <w:tabs>
          <w:tab w:leader="none" w:pos="140" w:val="left"/>
        </w:tabs>
        <w:numPr>
          <w:ilvl w:val="0"/>
          <w:numId w:val="36"/>
        </w:numPr>
        <w:rPr>
          <w:rFonts w:ascii="Arial" w:cs="Arial" w:eastAsia="Arial" w:hAnsi="Arial"/>
          <w:sz w:val="22"/>
          <w:szCs w:val="22"/>
          <w:color w:val="auto"/>
        </w:rPr>
      </w:pPr>
      <w:r>
        <w:rPr>
          <w:rFonts w:ascii="Arial" w:cs="Arial" w:eastAsia="Arial" w:hAnsi="Arial"/>
          <w:sz w:val="22"/>
          <w:szCs w:val="22"/>
          <w:color w:val="auto"/>
        </w:rPr>
        <w:t>$(53) million in the first three months of 2010</w:t>
      </w:r>
    </w:p>
    <w:p>
      <w:pPr>
        <w:spacing w:after="0" w:line="3" w:lineRule="exact"/>
        <w:rPr>
          <w:rFonts w:ascii="Arial" w:cs="Arial" w:eastAsia="Arial" w:hAnsi="Arial"/>
          <w:sz w:val="22"/>
          <w:szCs w:val="22"/>
          <w:color w:val="auto"/>
        </w:rPr>
      </w:pPr>
    </w:p>
    <w:p>
      <w:pPr>
        <w:ind w:left="140" w:hanging="132"/>
        <w:spacing w:after="0"/>
        <w:tabs>
          <w:tab w:leader="none" w:pos="140" w:val="left"/>
        </w:tabs>
        <w:numPr>
          <w:ilvl w:val="0"/>
          <w:numId w:val="36"/>
        </w:numPr>
        <w:rPr>
          <w:rFonts w:ascii="Arial" w:cs="Arial" w:eastAsia="Arial" w:hAnsi="Arial"/>
          <w:sz w:val="22"/>
          <w:szCs w:val="22"/>
          <w:color w:val="auto"/>
        </w:rPr>
      </w:pPr>
      <w:r>
        <w:rPr>
          <w:rFonts w:ascii="Arial" w:cs="Arial" w:eastAsia="Arial" w:hAnsi="Arial"/>
          <w:sz w:val="22"/>
          <w:szCs w:val="22"/>
          <w:color w:val="auto"/>
        </w:rPr>
        <w:t>$43 million in the first three months of 2009</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The change in 2010 was due to:</w:t>
      </w:r>
    </w:p>
    <w:p>
      <w:pPr>
        <w:spacing w:after="0" w:line="22" w:lineRule="exact"/>
        <w:rPr>
          <w:sz w:val="20"/>
          <w:szCs w:val="20"/>
          <w:color w:val="auto"/>
        </w:rPr>
      </w:pPr>
    </w:p>
    <w:p>
      <w:pPr>
        <w:ind w:left="180" w:right="2239" w:hanging="172"/>
        <w:spacing w:after="0" w:line="217" w:lineRule="auto"/>
        <w:tabs>
          <w:tab w:leader="none" w:pos="153" w:val="left"/>
        </w:tabs>
        <w:numPr>
          <w:ilvl w:val="0"/>
          <w:numId w:val="37"/>
        </w:numPr>
        <w:rPr>
          <w:rFonts w:ascii="Arial" w:cs="Arial" w:eastAsia="Arial" w:hAnsi="Arial"/>
          <w:sz w:val="22"/>
          <w:szCs w:val="22"/>
          <w:color w:val="auto"/>
        </w:rPr>
      </w:pPr>
      <w:r>
        <w:rPr>
          <w:rFonts w:ascii="Arial" w:cs="Arial" w:eastAsia="Arial" w:hAnsi="Arial"/>
          <w:sz w:val="22"/>
          <w:szCs w:val="22"/>
          <w:color w:val="auto"/>
        </w:rPr>
        <w:t>litigation expense of $84 million related to an agreement in principle to settle energy crisis litigation associated with the DWR contract, as we discuss in Note 10 of the Notes to Condensed Consolidated Financial Statements herein; and</w:t>
      </w:r>
    </w:p>
    <w:p>
      <w:pPr>
        <w:spacing w:after="0" w:line="2" w:lineRule="exact"/>
        <w:rPr>
          <w:rFonts w:ascii="Arial" w:cs="Arial" w:eastAsia="Arial" w:hAnsi="Arial"/>
          <w:sz w:val="22"/>
          <w:szCs w:val="22"/>
          <w:color w:val="auto"/>
        </w:rPr>
      </w:pPr>
    </w:p>
    <w:p>
      <w:pPr>
        <w:ind w:left="180" w:right="2419" w:hanging="172"/>
        <w:spacing w:after="0" w:line="224" w:lineRule="auto"/>
        <w:tabs>
          <w:tab w:leader="none" w:pos="153" w:val="left"/>
        </w:tabs>
        <w:numPr>
          <w:ilvl w:val="0"/>
          <w:numId w:val="37"/>
        </w:numPr>
        <w:rPr>
          <w:rFonts w:ascii="Arial" w:cs="Arial" w:eastAsia="Arial" w:hAnsi="Arial"/>
          <w:sz w:val="22"/>
          <w:szCs w:val="22"/>
          <w:color w:val="auto"/>
        </w:rPr>
      </w:pPr>
      <w:r>
        <w:rPr>
          <w:rFonts w:ascii="Arial" w:cs="Arial" w:eastAsia="Arial" w:hAnsi="Arial"/>
          <w:sz w:val="22"/>
          <w:szCs w:val="22"/>
          <w:color w:val="auto"/>
        </w:rPr>
        <w:t>lower earnings from operations of $12 million, primarily from increased scheduled plant maintenance and associated down time in 2010.</w:t>
      </w:r>
    </w:p>
    <w:p>
      <w:pPr>
        <w:sectPr>
          <w:pgSz w:w="11900" w:h="16838" w:orient="portrait"/>
          <w:cols w:equalWidth="0" w:num="1">
            <w:col w:w="10219"/>
          </w:cols>
          <w:pgMar w:left="240" w:top="1440" w:right="1440" w:bottom="1440" w:gutter="0" w:footer="0" w:header="0"/>
        </w:sectPr>
      </w:pPr>
    </w:p>
    <w:bookmarkStart w:id="68" w:name="page69"/>
    <w:bookmarkEnd w:id="68"/>
    <w:p>
      <w:pPr>
        <w:spacing w:after="0"/>
        <w:rPr>
          <w:sz w:val="20"/>
          <w:szCs w:val="20"/>
          <w:color w:val="auto"/>
        </w:rPr>
      </w:pPr>
      <w:r>
        <w:rPr>
          <w:rFonts w:ascii="Arial" w:cs="Arial" w:eastAsia="Arial" w:hAnsi="Arial"/>
          <w:sz w:val="20"/>
          <w:szCs w:val="20"/>
          <w:b w:val="1"/>
          <w:bCs w:val="1"/>
          <w:i w:val="1"/>
          <w:iCs w:val="1"/>
          <w:color w:val="auto"/>
        </w:rPr>
        <w:t>Sempra Pipelines &amp; Storage</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Sempra Pipelines &amp; Storage recorded business unit earnings of:</w:t>
      </w:r>
    </w:p>
    <w:p>
      <w:pPr>
        <w:spacing w:after="0" w:line="10" w:lineRule="exact"/>
        <w:rPr>
          <w:sz w:val="20"/>
          <w:szCs w:val="20"/>
          <w:color w:val="auto"/>
        </w:rPr>
      </w:pPr>
    </w:p>
    <w:p>
      <w:pPr>
        <w:ind w:left="140" w:hanging="132"/>
        <w:spacing w:after="0"/>
        <w:tabs>
          <w:tab w:leader="none" w:pos="140" w:val="left"/>
        </w:tabs>
        <w:numPr>
          <w:ilvl w:val="0"/>
          <w:numId w:val="38"/>
        </w:numPr>
        <w:rPr>
          <w:rFonts w:ascii="Arial" w:cs="Arial" w:eastAsia="Arial" w:hAnsi="Arial"/>
          <w:sz w:val="22"/>
          <w:szCs w:val="22"/>
          <w:color w:val="auto"/>
        </w:rPr>
      </w:pPr>
      <w:r>
        <w:rPr>
          <w:rFonts w:ascii="Arial" w:cs="Arial" w:eastAsia="Arial" w:hAnsi="Arial"/>
          <w:sz w:val="22"/>
          <w:szCs w:val="22"/>
          <w:color w:val="auto"/>
        </w:rPr>
        <w:t>$38 million in the first three months of 2010</w:t>
      </w:r>
    </w:p>
    <w:p>
      <w:pPr>
        <w:spacing w:after="0" w:line="17" w:lineRule="exact"/>
        <w:rPr>
          <w:rFonts w:ascii="Arial" w:cs="Arial" w:eastAsia="Arial" w:hAnsi="Arial"/>
          <w:sz w:val="22"/>
          <w:szCs w:val="22"/>
          <w:color w:val="auto"/>
        </w:rPr>
      </w:pPr>
    </w:p>
    <w:p>
      <w:pPr>
        <w:ind w:left="140" w:hanging="132"/>
        <w:spacing w:after="0"/>
        <w:tabs>
          <w:tab w:leader="none" w:pos="140" w:val="left"/>
        </w:tabs>
        <w:numPr>
          <w:ilvl w:val="0"/>
          <w:numId w:val="38"/>
        </w:numPr>
        <w:rPr>
          <w:rFonts w:ascii="Arial" w:cs="Arial" w:eastAsia="Arial" w:hAnsi="Arial"/>
          <w:sz w:val="22"/>
          <w:szCs w:val="22"/>
          <w:color w:val="auto"/>
        </w:rPr>
      </w:pPr>
      <w:r>
        <w:rPr>
          <w:rFonts w:ascii="Arial" w:cs="Arial" w:eastAsia="Arial" w:hAnsi="Arial"/>
          <w:sz w:val="22"/>
          <w:szCs w:val="22"/>
          <w:color w:val="auto"/>
        </w:rPr>
        <w:t>$37 million in the first three months of 2009</w:t>
      </w:r>
    </w:p>
    <w:p>
      <w:pPr>
        <w:spacing w:after="0" w:line="80" w:lineRule="exact"/>
        <w:rPr>
          <w:sz w:val="20"/>
          <w:szCs w:val="20"/>
          <w:color w:val="auto"/>
        </w:rPr>
      </w:pPr>
    </w:p>
    <w:p>
      <w:pPr>
        <w:spacing w:after="0"/>
        <w:rPr>
          <w:sz w:val="20"/>
          <w:szCs w:val="20"/>
          <w:color w:val="auto"/>
        </w:rPr>
      </w:pPr>
      <w:r>
        <w:rPr>
          <w:rFonts w:ascii="Arial" w:cs="Arial" w:eastAsia="Arial" w:hAnsi="Arial"/>
          <w:sz w:val="22"/>
          <w:szCs w:val="22"/>
          <w:color w:val="auto"/>
        </w:rPr>
        <w:t>The increase of $1 million (3%) was primarily due to:</w:t>
      </w:r>
    </w:p>
    <w:p>
      <w:pPr>
        <w:spacing w:after="0" w:line="22" w:lineRule="exact"/>
        <w:rPr>
          <w:sz w:val="20"/>
          <w:szCs w:val="20"/>
          <w:color w:val="auto"/>
        </w:rPr>
      </w:pPr>
    </w:p>
    <w:p>
      <w:pPr>
        <w:ind w:left="180" w:right="2179" w:hanging="172"/>
        <w:spacing w:after="0" w:line="224" w:lineRule="auto"/>
        <w:tabs>
          <w:tab w:leader="none" w:pos="153" w:val="left"/>
        </w:tabs>
        <w:numPr>
          <w:ilvl w:val="0"/>
          <w:numId w:val="39"/>
        </w:numPr>
        <w:rPr>
          <w:rFonts w:ascii="Arial" w:cs="Arial" w:eastAsia="Arial" w:hAnsi="Arial"/>
          <w:sz w:val="22"/>
          <w:szCs w:val="22"/>
          <w:color w:val="auto"/>
        </w:rPr>
      </w:pPr>
      <w:r>
        <w:rPr>
          <w:rFonts w:ascii="Arial" w:cs="Arial" w:eastAsia="Arial" w:hAnsi="Arial"/>
          <w:sz w:val="22"/>
          <w:szCs w:val="22"/>
          <w:color w:val="auto"/>
        </w:rPr>
        <w:t xml:space="preserve">$6 million higher earnings due to foreign currency exchange-rate effects, primarily from its investments in Chile; </w:t>
      </w:r>
      <w:r>
        <w:rPr>
          <w:rFonts w:ascii="Arial" w:cs="Arial" w:eastAsia="Arial" w:hAnsi="Arial"/>
          <w:sz w:val="22"/>
          <w:szCs w:val="22"/>
          <w:b w:val="1"/>
          <w:bCs w:val="1"/>
          <w:color w:val="auto"/>
        </w:rPr>
        <w:t>offset by</w:t>
      </w:r>
    </w:p>
    <w:p>
      <w:pPr>
        <w:ind w:left="180" w:right="1979" w:hanging="172"/>
        <w:spacing w:after="0" w:line="230" w:lineRule="auto"/>
        <w:tabs>
          <w:tab w:leader="none" w:pos="153" w:val="left"/>
        </w:tabs>
        <w:numPr>
          <w:ilvl w:val="0"/>
          <w:numId w:val="39"/>
        </w:numPr>
        <w:rPr>
          <w:rFonts w:ascii="Arial" w:cs="Arial" w:eastAsia="Arial" w:hAnsi="Arial"/>
          <w:sz w:val="22"/>
          <w:szCs w:val="22"/>
          <w:color w:val="auto"/>
        </w:rPr>
      </w:pPr>
      <w:r>
        <w:rPr>
          <w:rFonts w:ascii="Arial" w:cs="Arial" w:eastAsia="Arial" w:hAnsi="Arial"/>
          <w:sz w:val="22"/>
          <w:szCs w:val="22"/>
          <w:color w:val="auto"/>
        </w:rPr>
        <w:t>$4 million lower earnings from storage operations, primarily due to mark-to-market losses on optimization activities.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LNG</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Sempra LNG recorded earnings (losses) of:</w:t>
      </w:r>
    </w:p>
    <w:p>
      <w:pPr>
        <w:spacing w:after="0" w:line="22" w:lineRule="exact"/>
        <w:rPr>
          <w:sz w:val="20"/>
          <w:szCs w:val="20"/>
          <w:color w:val="auto"/>
        </w:rPr>
      </w:pPr>
    </w:p>
    <w:p>
      <w:pPr>
        <w:ind w:left="140" w:hanging="132"/>
        <w:spacing w:after="0"/>
        <w:tabs>
          <w:tab w:leader="none" w:pos="140" w:val="left"/>
        </w:tabs>
        <w:numPr>
          <w:ilvl w:val="0"/>
          <w:numId w:val="40"/>
        </w:numPr>
        <w:rPr>
          <w:rFonts w:ascii="Arial" w:cs="Arial" w:eastAsia="Arial" w:hAnsi="Arial"/>
          <w:sz w:val="22"/>
          <w:szCs w:val="22"/>
          <w:color w:val="auto"/>
        </w:rPr>
      </w:pPr>
      <w:r>
        <w:rPr>
          <w:rFonts w:ascii="Arial" w:cs="Arial" w:eastAsia="Arial" w:hAnsi="Arial"/>
          <w:sz w:val="22"/>
          <w:szCs w:val="22"/>
          <w:color w:val="auto"/>
        </w:rPr>
        <w:t>$32 million in the first three months of 2010</w:t>
      </w:r>
    </w:p>
    <w:p>
      <w:pPr>
        <w:spacing w:after="0" w:line="3" w:lineRule="exact"/>
        <w:rPr>
          <w:rFonts w:ascii="Arial" w:cs="Arial" w:eastAsia="Arial" w:hAnsi="Arial"/>
          <w:sz w:val="22"/>
          <w:szCs w:val="22"/>
          <w:color w:val="auto"/>
        </w:rPr>
      </w:pPr>
    </w:p>
    <w:p>
      <w:pPr>
        <w:ind w:left="140" w:hanging="132"/>
        <w:spacing w:after="0"/>
        <w:tabs>
          <w:tab w:leader="none" w:pos="140" w:val="left"/>
        </w:tabs>
        <w:numPr>
          <w:ilvl w:val="0"/>
          <w:numId w:val="40"/>
        </w:numPr>
        <w:rPr>
          <w:rFonts w:ascii="Arial" w:cs="Arial" w:eastAsia="Arial" w:hAnsi="Arial"/>
          <w:sz w:val="22"/>
          <w:szCs w:val="22"/>
          <w:color w:val="auto"/>
        </w:rPr>
      </w:pPr>
      <w:r>
        <w:rPr>
          <w:rFonts w:ascii="Arial" w:cs="Arial" w:eastAsia="Arial" w:hAnsi="Arial"/>
          <w:sz w:val="22"/>
          <w:szCs w:val="22"/>
          <w:color w:val="auto"/>
        </w:rPr>
        <w:t>$(7) million in the first three months of 2009</w:t>
      </w:r>
    </w:p>
    <w:p>
      <w:pPr>
        <w:spacing w:after="0" w:line="94" w:lineRule="exact"/>
        <w:rPr>
          <w:sz w:val="20"/>
          <w:szCs w:val="20"/>
          <w:color w:val="auto"/>
        </w:rPr>
      </w:pPr>
    </w:p>
    <w:p>
      <w:pPr>
        <w:ind w:right="679"/>
        <w:spacing w:after="0" w:line="268" w:lineRule="auto"/>
        <w:rPr>
          <w:sz w:val="20"/>
          <w:szCs w:val="20"/>
          <w:color w:val="auto"/>
        </w:rPr>
      </w:pPr>
      <w:r>
        <w:rPr>
          <w:rFonts w:ascii="Arial" w:cs="Arial" w:eastAsia="Arial" w:hAnsi="Arial"/>
          <w:sz w:val="19"/>
          <w:szCs w:val="19"/>
          <w:color w:val="auto"/>
        </w:rPr>
        <w:t>The increase in earnings of $39 million was primarily from higher earnings from operations, of which $11 million relates to revenues that are not expected to recur over the long-term related to contractual counterparty obligations for non-delivery of cargoes. Results for 2010 also include $7 million mark-to-market gains.</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Parent and Other</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Losses for Parent and Other were</w:t>
      </w:r>
    </w:p>
    <w:p>
      <w:pPr>
        <w:spacing w:after="0" w:line="22" w:lineRule="exact"/>
        <w:rPr>
          <w:sz w:val="20"/>
          <w:szCs w:val="20"/>
          <w:color w:val="auto"/>
        </w:rPr>
      </w:pPr>
    </w:p>
    <w:p>
      <w:pPr>
        <w:ind w:left="140" w:hanging="132"/>
        <w:spacing w:after="0"/>
        <w:tabs>
          <w:tab w:leader="none" w:pos="140" w:val="left"/>
        </w:tabs>
        <w:numPr>
          <w:ilvl w:val="0"/>
          <w:numId w:val="41"/>
        </w:numPr>
        <w:rPr>
          <w:rFonts w:ascii="Arial" w:cs="Arial" w:eastAsia="Arial" w:hAnsi="Arial"/>
          <w:sz w:val="22"/>
          <w:szCs w:val="22"/>
          <w:color w:val="auto"/>
        </w:rPr>
      </w:pPr>
      <w:r>
        <w:rPr>
          <w:rFonts w:ascii="Arial" w:cs="Arial" w:eastAsia="Arial" w:hAnsi="Arial"/>
          <w:sz w:val="22"/>
          <w:szCs w:val="22"/>
          <w:color w:val="auto"/>
        </w:rPr>
        <w:t>$54 million in the first three months of 2010</w:t>
      </w:r>
    </w:p>
    <w:p>
      <w:pPr>
        <w:spacing w:after="0" w:line="3" w:lineRule="exact"/>
        <w:rPr>
          <w:rFonts w:ascii="Arial" w:cs="Arial" w:eastAsia="Arial" w:hAnsi="Arial"/>
          <w:sz w:val="22"/>
          <w:szCs w:val="22"/>
          <w:color w:val="auto"/>
        </w:rPr>
      </w:pPr>
    </w:p>
    <w:p>
      <w:pPr>
        <w:ind w:left="140" w:hanging="132"/>
        <w:spacing w:after="0"/>
        <w:tabs>
          <w:tab w:leader="none" w:pos="140" w:val="left"/>
        </w:tabs>
        <w:numPr>
          <w:ilvl w:val="0"/>
          <w:numId w:val="41"/>
        </w:numPr>
        <w:rPr>
          <w:rFonts w:ascii="Arial" w:cs="Arial" w:eastAsia="Arial" w:hAnsi="Arial"/>
          <w:sz w:val="22"/>
          <w:szCs w:val="22"/>
          <w:color w:val="auto"/>
        </w:rPr>
      </w:pPr>
      <w:r>
        <w:rPr>
          <w:rFonts w:ascii="Arial" w:cs="Arial" w:eastAsia="Arial" w:hAnsi="Arial"/>
          <w:sz w:val="22"/>
          <w:szCs w:val="22"/>
          <w:color w:val="auto"/>
        </w:rPr>
        <w:t>$29 million in the first three months of 2009</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The increase in losses of $25 million (86%) was due to:</w:t>
      </w:r>
    </w:p>
    <w:p>
      <w:pPr>
        <w:spacing w:after="0" w:line="22" w:lineRule="exact"/>
        <w:rPr>
          <w:sz w:val="20"/>
          <w:szCs w:val="20"/>
          <w:color w:val="auto"/>
        </w:rPr>
      </w:pPr>
    </w:p>
    <w:p>
      <w:pPr>
        <w:ind w:left="180" w:right="2379" w:hanging="172"/>
        <w:spacing w:after="0" w:line="217" w:lineRule="auto"/>
        <w:tabs>
          <w:tab w:leader="none" w:pos="153" w:val="left"/>
        </w:tabs>
        <w:numPr>
          <w:ilvl w:val="0"/>
          <w:numId w:val="42"/>
        </w:numPr>
        <w:rPr>
          <w:rFonts w:ascii="Arial" w:cs="Arial" w:eastAsia="Arial" w:hAnsi="Arial"/>
          <w:sz w:val="22"/>
          <w:szCs w:val="22"/>
          <w:color w:val="auto"/>
        </w:rPr>
      </w:pPr>
      <w:r>
        <w:rPr>
          <w:rFonts w:ascii="Arial" w:cs="Arial" w:eastAsia="Arial" w:hAnsi="Arial"/>
          <w:sz w:val="22"/>
          <w:szCs w:val="22"/>
          <w:color w:val="auto"/>
        </w:rPr>
        <w:t>$30 million higher income tax expense, primarily due to $10 million tax expense in 2010 compared to $7 million tax benefit in 2009 related to Mexican currency translation and inflation adjustments; and</w:t>
      </w:r>
    </w:p>
    <w:p>
      <w:pPr>
        <w:spacing w:after="0" w:line="2" w:lineRule="exact"/>
        <w:rPr>
          <w:rFonts w:ascii="Arial" w:cs="Arial" w:eastAsia="Arial" w:hAnsi="Arial"/>
          <w:sz w:val="22"/>
          <w:szCs w:val="22"/>
          <w:color w:val="auto"/>
        </w:rPr>
      </w:pPr>
    </w:p>
    <w:p>
      <w:pPr>
        <w:ind w:left="140" w:hanging="132"/>
        <w:spacing w:after="0"/>
        <w:tabs>
          <w:tab w:leader="none" w:pos="140" w:val="left"/>
        </w:tabs>
        <w:numPr>
          <w:ilvl w:val="0"/>
          <w:numId w:val="42"/>
        </w:numPr>
        <w:rPr>
          <w:rFonts w:ascii="Arial" w:cs="Arial" w:eastAsia="Arial" w:hAnsi="Arial"/>
          <w:sz w:val="22"/>
          <w:szCs w:val="22"/>
          <w:color w:val="auto"/>
        </w:rPr>
      </w:pPr>
      <w:r>
        <w:rPr>
          <w:rFonts w:ascii="Arial" w:cs="Arial" w:eastAsia="Arial" w:hAnsi="Arial"/>
          <w:sz w:val="22"/>
          <w:szCs w:val="22"/>
          <w:color w:val="auto"/>
        </w:rPr>
        <w:t xml:space="preserve">$8 million higher net interest expense; </w:t>
      </w:r>
      <w:r>
        <w:rPr>
          <w:rFonts w:ascii="Arial" w:cs="Arial" w:eastAsia="Arial" w:hAnsi="Arial"/>
          <w:sz w:val="22"/>
          <w:szCs w:val="22"/>
          <w:b w:val="1"/>
          <w:bCs w:val="1"/>
          <w:color w:val="auto"/>
        </w:rPr>
        <w:t>offset by</w:t>
      </w:r>
    </w:p>
    <w:p>
      <w:pPr>
        <w:spacing w:after="0" w:line="3" w:lineRule="exact"/>
        <w:rPr>
          <w:rFonts w:ascii="Arial" w:cs="Arial" w:eastAsia="Arial" w:hAnsi="Arial"/>
          <w:sz w:val="22"/>
          <w:szCs w:val="22"/>
          <w:color w:val="auto"/>
        </w:rPr>
      </w:pPr>
    </w:p>
    <w:p>
      <w:pPr>
        <w:ind w:left="180" w:right="1919" w:hanging="172"/>
        <w:spacing w:after="0" w:line="217" w:lineRule="auto"/>
        <w:tabs>
          <w:tab w:leader="none" w:pos="153" w:val="left"/>
        </w:tabs>
        <w:numPr>
          <w:ilvl w:val="0"/>
          <w:numId w:val="42"/>
        </w:numPr>
        <w:rPr>
          <w:rFonts w:ascii="Arial" w:cs="Arial" w:eastAsia="Arial" w:hAnsi="Arial"/>
          <w:sz w:val="22"/>
          <w:szCs w:val="22"/>
          <w:color w:val="auto"/>
        </w:rPr>
      </w:pPr>
      <w:r>
        <w:rPr>
          <w:rFonts w:ascii="Arial" w:cs="Arial" w:eastAsia="Arial" w:hAnsi="Arial"/>
          <w:sz w:val="22"/>
          <w:szCs w:val="22"/>
          <w:color w:val="auto"/>
        </w:rPr>
        <w:t>$3 million investment gains in 2010 on dedicated assets in support of our executive retirement and deferred compensation plans due to improved market conditions, compared to investment losses of $8 million in 2009. These amounts are net of the change in deferred compensation liability associated with the investments.</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CHANGES IN REVENUES, COSTS AND EARNINGS</w:t>
      </w:r>
    </w:p>
    <w:p>
      <w:pPr>
        <w:spacing w:after="0" w:line="69" w:lineRule="exact"/>
        <w:rPr>
          <w:sz w:val="20"/>
          <w:szCs w:val="20"/>
          <w:color w:val="auto"/>
        </w:rPr>
      </w:pPr>
    </w:p>
    <w:p>
      <w:pPr>
        <w:ind w:right="519"/>
        <w:spacing w:after="0" w:line="247" w:lineRule="auto"/>
        <w:rPr>
          <w:sz w:val="20"/>
          <w:szCs w:val="20"/>
          <w:color w:val="auto"/>
        </w:rPr>
      </w:pPr>
      <w:r>
        <w:rPr>
          <w:rFonts w:ascii="Arial" w:cs="Arial" w:eastAsia="Arial" w:hAnsi="Arial"/>
          <w:sz w:val="21"/>
          <w:szCs w:val="21"/>
          <w:color w:val="auto"/>
        </w:rPr>
        <w:t>This section contains a discussion of the differences between periods in the specific line items of the Condensed Consolidated Statements of Operations for Sempra Energy, SDG&amp;E, PE and SoCalGas.</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Utilities Revenues</w:t>
      </w:r>
    </w:p>
    <w:p>
      <w:pPr>
        <w:spacing w:after="0" w:line="22" w:lineRule="exact"/>
        <w:rPr>
          <w:sz w:val="20"/>
          <w:szCs w:val="20"/>
          <w:color w:val="auto"/>
        </w:rPr>
      </w:pPr>
    </w:p>
    <w:p>
      <w:pPr>
        <w:ind w:right="539"/>
        <w:spacing w:after="0" w:line="246" w:lineRule="auto"/>
        <w:rPr>
          <w:sz w:val="20"/>
          <w:szCs w:val="20"/>
          <w:color w:val="auto"/>
        </w:rPr>
      </w:pPr>
      <w:r>
        <w:rPr>
          <w:rFonts w:ascii="Arial" w:cs="Arial" w:eastAsia="Arial" w:hAnsi="Arial"/>
          <w:sz w:val="19"/>
          <w:szCs w:val="19"/>
          <w:color w:val="auto"/>
        </w:rPr>
        <w:t>The current regulatory framework permits the cost of natural gas purchased for core customers (primarily residential and small commercial and industrial customers) to be passed on to customers substantially as incurred. However, SoCalGas' Gas Cost Incentive Mechanism (GCIM) provides SoCalGas the opportunity to share in the savings and/or costs from buying natural gas for its core customers at prices below or above market-based monthly benchmarks. This mechanism permits full recovery of costs incurred when average purchase costs are within a price range around a monthly benchmark price. Any higher costs or savings realized outside this range are shared between the core customers and SoCalGas. We provide further discussion in Note 9 of the Notes to Condensed Consolidated Financial Statements herein.</w:t>
      </w:r>
    </w:p>
    <w:p>
      <w:pPr>
        <w:spacing w:after="0" w:line="32" w:lineRule="exact"/>
        <w:rPr>
          <w:sz w:val="20"/>
          <w:szCs w:val="20"/>
          <w:color w:val="auto"/>
        </w:rPr>
      </w:pPr>
    </w:p>
    <w:p>
      <w:pPr>
        <w:jc w:val="both"/>
        <w:ind w:right="579"/>
        <w:spacing w:after="0" w:line="223" w:lineRule="auto"/>
        <w:rPr>
          <w:sz w:val="20"/>
          <w:szCs w:val="20"/>
          <w:color w:val="auto"/>
        </w:rPr>
      </w:pPr>
      <w:r>
        <w:rPr>
          <w:rFonts w:ascii="Arial" w:cs="Arial" w:eastAsia="Arial" w:hAnsi="Arial"/>
          <w:sz w:val="22"/>
          <w:szCs w:val="22"/>
          <w:color w:val="auto"/>
        </w:rPr>
        <w:t>The regulatory framework permits SDG&amp;E to recover the actual cost incurred to generate or procure electricity based on annual estimates of the cost of electricity supplied to core customers. The differences in cost between estimates and actual are recovered in the next year through rates.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Utilities: Natural Gas Revenues and Cost of Natural Gas</w:t>
      </w:r>
    </w:p>
    <w:p>
      <w:pPr>
        <w:spacing w:after="0" w:line="22" w:lineRule="exact"/>
        <w:rPr>
          <w:sz w:val="20"/>
          <w:szCs w:val="20"/>
          <w:color w:val="auto"/>
        </w:rPr>
      </w:pPr>
    </w:p>
    <w:p>
      <w:pPr>
        <w:ind w:right="579"/>
        <w:spacing w:after="0" w:line="223" w:lineRule="auto"/>
        <w:rPr>
          <w:sz w:val="20"/>
          <w:szCs w:val="20"/>
          <w:color w:val="auto"/>
        </w:rPr>
      </w:pPr>
      <w:r>
        <w:rPr>
          <w:rFonts w:ascii="Arial" w:cs="Arial" w:eastAsia="Arial" w:hAnsi="Arial"/>
          <w:sz w:val="21"/>
          <w:szCs w:val="21"/>
          <w:color w:val="auto"/>
        </w:rPr>
        <w:t>The tables below show natural gas revenues for Sempra Energy, SDG&amp;E and SoCalGas for the three-month periods ended March 31. The Sempra Energy Consolidated amounts reflect SDG&amp;E and SoCalGas revenues, net of intercompany transactions. Because the cost of natural gas is recovered in rates, changes in the cost are reflected in the changes in revenues. In addition to the change in market prices, the average cost of natural gas recorded during a period is impacted by the difference between customer billings and recorded or CPUC-authorized costs. These differences are required to be balanced over time, resulting in over- and undercollected regulatory balancing accounts.</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 CONSOLIDATED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5659755" cy="3517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9755" cy="3517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NATURAL GAS SALES AND TRANSPORTATION</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(Volumes in billion cubic feet, dollars in millions)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228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color w:val="auto"/>
              </w:rPr>
              <w:t>Natural Gas Sales</w:t>
            </w:r>
          </w:p>
        </w:tc>
        <w:tc>
          <w:tcPr>
            <w:tcW w:w="1820" w:type="dxa"/>
            <w:vAlign w:val="bottom"/>
            <w:tcBorders>
              <w:bottom w:val="single" w:sz="8" w:color="auto"/>
            </w:tcBorders>
            <w:gridSpan w:val="2"/>
          </w:tcPr>
          <w:p>
            <w:pPr>
              <w:jc w:val="center"/>
              <w:ind w:left="62"/>
              <w:spacing w:after="0"/>
              <w:rPr>
                <w:sz w:val="20"/>
                <w:szCs w:val="20"/>
                <w:color w:val="auto"/>
              </w:rPr>
            </w:pPr>
            <w:r>
              <w:rPr>
                <w:rFonts w:ascii="Arial" w:cs="Arial" w:eastAsia="Arial" w:hAnsi="Arial"/>
                <w:sz w:val="14"/>
                <w:szCs w:val="14"/>
                <w:color w:val="auto"/>
              </w:rPr>
              <w:t>Transportation</w:t>
            </w: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left="702"/>
              <w:spacing w:after="0"/>
              <w:rPr>
                <w:sz w:val="20"/>
                <w:szCs w:val="20"/>
                <w:color w:val="auto"/>
              </w:rPr>
            </w:pPr>
            <w:r>
              <w:rPr>
                <w:rFonts w:ascii="Arial" w:cs="Arial" w:eastAsia="Arial" w:hAnsi="Arial"/>
                <w:sz w:val="14"/>
                <w:szCs w:val="14"/>
                <w:color w:val="auto"/>
                <w:w w:val="96"/>
              </w:rPr>
              <w:t>Total</w:t>
            </w:r>
          </w:p>
        </w:tc>
        <w:tc>
          <w:tcPr>
            <w:tcW w:w="900" w:type="dxa"/>
            <w:vAlign w:val="bottom"/>
            <w:tcBorders>
              <w:bottom w:val="single" w:sz="8" w:color="auto"/>
            </w:tcBorders>
          </w:tcPr>
          <w:p>
            <w:pPr>
              <w:spacing w:after="0"/>
              <w:rPr>
                <w:sz w:val="14"/>
                <w:szCs w:val="14"/>
                <w:color w:val="auto"/>
              </w:rPr>
            </w:pPr>
          </w:p>
        </w:tc>
      </w:tr>
      <w:tr>
        <w:trPr>
          <w:trHeight w:val="156"/>
        </w:trPr>
        <w:tc>
          <w:tcPr>
            <w:tcW w:w="24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Customer class</w:t>
            </w:r>
          </w:p>
        </w:tc>
        <w:tc>
          <w:tcPr>
            <w:tcW w:w="1020" w:type="dxa"/>
            <w:vAlign w:val="bottom"/>
            <w:tcBorders>
              <w:bottom w:val="single" w:sz="8" w:color="auto"/>
            </w:tcBorders>
          </w:tcPr>
          <w:p>
            <w:pPr>
              <w:jc w:val="right"/>
              <w:ind w:right="142"/>
              <w:spacing w:after="0" w:line="155" w:lineRule="exact"/>
              <w:rPr>
                <w:sz w:val="20"/>
                <w:szCs w:val="20"/>
                <w:color w:val="auto"/>
              </w:rPr>
            </w:pPr>
            <w:r>
              <w:rPr>
                <w:rFonts w:ascii="Arial" w:cs="Arial" w:eastAsia="Arial" w:hAnsi="Arial"/>
                <w:sz w:val="14"/>
                <w:szCs w:val="14"/>
                <w:color w:val="auto"/>
              </w:rPr>
              <w:t>Volumes</w:t>
            </w: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00"/>
              <w:spacing w:after="0" w:line="155" w:lineRule="exact"/>
              <w:rPr>
                <w:sz w:val="20"/>
                <w:szCs w:val="20"/>
                <w:color w:val="auto"/>
              </w:rPr>
            </w:pPr>
            <w:r>
              <w:rPr>
                <w:rFonts w:ascii="Arial" w:cs="Arial" w:eastAsia="Arial" w:hAnsi="Arial"/>
                <w:sz w:val="14"/>
                <w:szCs w:val="14"/>
                <w:color w:val="auto"/>
              </w:rPr>
              <w:t>Revenue</w:t>
            </w:r>
          </w:p>
        </w:tc>
        <w:tc>
          <w:tcPr>
            <w:tcW w:w="920" w:type="dxa"/>
            <w:vAlign w:val="bottom"/>
            <w:tcBorders>
              <w:bottom w:val="single" w:sz="8" w:color="auto"/>
            </w:tcBorders>
          </w:tcPr>
          <w:p>
            <w:pPr>
              <w:jc w:val="right"/>
              <w:ind w:right="142"/>
              <w:spacing w:after="0" w:line="155" w:lineRule="exact"/>
              <w:rPr>
                <w:sz w:val="20"/>
                <w:szCs w:val="20"/>
                <w:color w:val="auto"/>
              </w:rPr>
            </w:pPr>
            <w:r>
              <w:rPr>
                <w:rFonts w:ascii="Arial" w:cs="Arial" w:eastAsia="Arial" w:hAnsi="Arial"/>
                <w:sz w:val="14"/>
                <w:szCs w:val="14"/>
                <w:color w:val="auto"/>
              </w:rPr>
              <w:t>Volumes</w:t>
            </w:r>
          </w:p>
        </w:tc>
        <w:tc>
          <w:tcPr>
            <w:tcW w:w="900" w:type="dxa"/>
            <w:vAlign w:val="bottom"/>
            <w:tcBorders>
              <w:bottom w:val="single" w:sz="8" w:color="auto"/>
            </w:tcBorders>
          </w:tcPr>
          <w:p>
            <w:pPr>
              <w:ind w:left="300"/>
              <w:spacing w:after="0" w:line="155" w:lineRule="exact"/>
              <w:rPr>
                <w:sz w:val="20"/>
                <w:szCs w:val="20"/>
                <w:color w:val="auto"/>
              </w:rPr>
            </w:pPr>
            <w:r>
              <w:rPr>
                <w:rFonts w:ascii="Arial" w:cs="Arial" w:eastAsia="Arial" w:hAnsi="Arial"/>
                <w:sz w:val="14"/>
                <w:szCs w:val="14"/>
                <w:color w:val="auto"/>
              </w:rPr>
              <w:t>Revenue</w:t>
            </w:r>
          </w:p>
        </w:tc>
        <w:tc>
          <w:tcPr>
            <w:tcW w:w="3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62"/>
              <w:spacing w:after="0" w:line="155" w:lineRule="exact"/>
              <w:rPr>
                <w:sz w:val="20"/>
                <w:szCs w:val="20"/>
                <w:color w:val="auto"/>
              </w:rPr>
            </w:pPr>
            <w:r>
              <w:rPr>
                <w:rFonts w:ascii="Arial" w:cs="Arial" w:eastAsia="Arial" w:hAnsi="Arial"/>
                <w:sz w:val="14"/>
                <w:szCs w:val="14"/>
                <w:color w:val="auto"/>
              </w:rPr>
              <w:t>Volumes</w:t>
            </w: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00"/>
              <w:spacing w:after="0" w:line="155" w:lineRule="exact"/>
              <w:rPr>
                <w:sz w:val="20"/>
                <w:szCs w:val="20"/>
                <w:color w:val="auto"/>
              </w:rPr>
            </w:pPr>
            <w:r>
              <w:rPr>
                <w:rFonts w:ascii="Arial" w:cs="Arial" w:eastAsia="Arial" w:hAnsi="Arial"/>
                <w:sz w:val="14"/>
                <w:szCs w:val="14"/>
                <w:color w:val="auto"/>
              </w:rPr>
              <w:t>Revenue</w:t>
            </w:r>
          </w:p>
        </w:tc>
      </w:tr>
      <w:tr>
        <w:trPr>
          <w:trHeight w:val="184"/>
        </w:trPr>
        <w:tc>
          <w:tcPr>
            <w:tcW w:w="2400" w:type="dxa"/>
            <w:vAlign w:val="bottom"/>
          </w:tcPr>
          <w:p>
            <w:pPr>
              <w:spacing w:after="0"/>
              <w:rPr>
                <w:sz w:val="20"/>
                <w:szCs w:val="20"/>
                <w:color w:val="auto"/>
              </w:rPr>
            </w:pPr>
            <w:r>
              <w:rPr>
                <w:rFonts w:ascii="Arial" w:cs="Arial" w:eastAsia="Arial" w:hAnsi="Arial"/>
                <w:sz w:val="16"/>
                <w:szCs w:val="16"/>
                <w:color w:val="auto"/>
              </w:rPr>
              <w:t>2010:</w:t>
            </w: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9"/>
        </w:trPr>
        <w:tc>
          <w:tcPr>
            <w:tcW w:w="2400" w:type="dxa"/>
            <w:vAlign w:val="bottom"/>
          </w:tcPr>
          <w:p>
            <w:pPr>
              <w:ind w:left="180"/>
              <w:spacing w:after="0"/>
              <w:rPr>
                <w:sz w:val="20"/>
                <w:szCs w:val="20"/>
                <w:color w:val="auto"/>
              </w:rPr>
            </w:pPr>
            <w:r>
              <w:rPr>
                <w:rFonts w:ascii="Arial" w:cs="Arial" w:eastAsia="Arial" w:hAnsi="Arial"/>
                <w:sz w:val="16"/>
                <w:szCs w:val="16"/>
                <w:color w:val="auto"/>
              </w:rPr>
              <w:t>Residential</w:t>
            </w:r>
          </w:p>
        </w:tc>
        <w:tc>
          <w:tcPr>
            <w:tcW w:w="1020" w:type="dxa"/>
            <w:vAlign w:val="bottom"/>
          </w:tcPr>
          <w:p>
            <w:pPr>
              <w:jc w:val="right"/>
              <w:spacing w:after="0"/>
              <w:rPr>
                <w:sz w:val="20"/>
                <w:szCs w:val="20"/>
                <w:color w:val="auto"/>
              </w:rPr>
            </w:pPr>
            <w:r>
              <w:rPr>
                <w:rFonts w:ascii="Arial" w:cs="Arial" w:eastAsia="Arial" w:hAnsi="Arial"/>
                <w:sz w:val="16"/>
                <w:szCs w:val="16"/>
                <w:color w:val="auto"/>
              </w:rPr>
              <w:t>97</w:t>
            </w:r>
          </w:p>
        </w:tc>
        <w:tc>
          <w:tcPr>
            <w:tcW w:w="22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980</w:t>
            </w: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900" w:type="dxa"/>
            <w:vAlign w:val="bottom"/>
          </w:tcPr>
          <w:p>
            <w:pPr>
              <w:jc w:val="center"/>
              <w:ind w:right="682"/>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920" w:type="dxa"/>
            <w:vAlign w:val="bottom"/>
          </w:tcPr>
          <w:p>
            <w:pPr>
              <w:jc w:val="right"/>
              <w:spacing w:after="0"/>
              <w:rPr>
                <w:sz w:val="20"/>
                <w:szCs w:val="20"/>
                <w:color w:val="auto"/>
              </w:rPr>
            </w:pPr>
            <w:r>
              <w:rPr>
                <w:rFonts w:ascii="Arial" w:cs="Arial" w:eastAsia="Arial" w:hAnsi="Arial"/>
                <w:sz w:val="16"/>
                <w:szCs w:val="16"/>
                <w:color w:val="auto"/>
              </w:rPr>
              <w:t>98</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981</w:t>
            </w:r>
          </w:p>
        </w:tc>
      </w:tr>
      <w:tr>
        <w:trPr>
          <w:trHeight w:val="189"/>
        </w:trPr>
        <w:tc>
          <w:tcPr>
            <w:tcW w:w="2400" w:type="dxa"/>
            <w:vAlign w:val="bottom"/>
          </w:tcPr>
          <w:p>
            <w:pPr>
              <w:ind w:left="180"/>
              <w:spacing w:after="0"/>
              <w:rPr>
                <w:sz w:val="20"/>
                <w:szCs w:val="20"/>
                <w:color w:val="auto"/>
              </w:rPr>
            </w:pPr>
            <w:r>
              <w:rPr>
                <w:rFonts w:ascii="Arial" w:cs="Arial" w:eastAsia="Arial" w:hAnsi="Arial"/>
                <w:sz w:val="16"/>
                <w:szCs w:val="16"/>
                <w:color w:val="auto"/>
              </w:rPr>
              <w:t>Commercial and industrial</w:t>
            </w:r>
          </w:p>
        </w:tc>
        <w:tc>
          <w:tcPr>
            <w:tcW w:w="1020" w:type="dxa"/>
            <w:vAlign w:val="bottom"/>
          </w:tcPr>
          <w:p>
            <w:pPr>
              <w:jc w:val="right"/>
              <w:spacing w:after="0"/>
              <w:rPr>
                <w:sz w:val="20"/>
                <w:szCs w:val="20"/>
                <w:color w:val="auto"/>
              </w:rPr>
            </w:pPr>
            <w:r>
              <w:rPr>
                <w:rFonts w:ascii="Arial" w:cs="Arial" w:eastAsia="Arial" w:hAnsi="Arial"/>
                <w:sz w:val="16"/>
                <w:szCs w:val="16"/>
                <w:color w:val="auto"/>
              </w:rPr>
              <w:t>35</w:t>
            </w:r>
          </w:p>
        </w:tc>
        <w:tc>
          <w:tcPr>
            <w:tcW w:w="220" w:type="dxa"/>
            <w:vAlign w:val="bottom"/>
          </w:tcPr>
          <w:p>
            <w:pPr>
              <w:spacing w:after="0"/>
              <w:rPr>
                <w:sz w:val="16"/>
                <w:szCs w:val="16"/>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289</w:t>
            </w:r>
          </w:p>
        </w:tc>
        <w:tc>
          <w:tcPr>
            <w:tcW w:w="920" w:type="dxa"/>
            <w:vAlign w:val="bottom"/>
          </w:tcPr>
          <w:p>
            <w:pPr>
              <w:jc w:val="right"/>
              <w:spacing w:after="0"/>
              <w:rPr>
                <w:sz w:val="20"/>
                <w:szCs w:val="20"/>
                <w:color w:val="auto"/>
              </w:rPr>
            </w:pPr>
            <w:r>
              <w:rPr>
                <w:rFonts w:ascii="Arial" w:cs="Arial" w:eastAsia="Arial" w:hAnsi="Arial"/>
                <w:sz w:val="16"/>
                <w:szCs w:val="16"/>
                <w:color w:val="auto"/>
              </w:rPr>
              <w:t>68</w:t>
            </w:r>
          </w:p>
        </w:tc>
        <w:tc>
          <w:tcPr>
            <w:tcW w:w="900" w:type="dxa"/>
            <w:vAlign w:val="bottom"/>
          </w:tcPr>
          <w:p>
            <w:pPr>
              <w:spacing w:after="0"/>
              <w:rPr>
                <w:sz w:val="16"/>
                <w:szCs w:val="16"/>
                <w:color w:val="auto"/>
              </w:rPr>
            </w:pP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62</w:t>
            </w:r>
          </w:p>
        </w:tc>
        <w:tc>
          <w:tcPr>
            <w:tcW w:w="920" w:type="dxa"/>
            <w:vAlign w:val="bottom"/>
          </w:tcPr>
          <w:p>
            <w:pPr>
              <w:jc w:val="right"/>
              <w:spacing w:after="0"/>
              <w:rPr>
                <w:sz w:val="20"/>
                <w:szCs w:val="20"/>
                <w:color w:val="auto"/>
              </w:rPr>
            </w:pPr>
            <w:r>
              <w:rPr>
                <w:rFonts w:ascii="Arial" w:cs="Arial" w:eastAsia="Arial" w:hAnsi="Arial"/>
                <w:sz w:val="16"/>
                <w:szCs w:val="16"/>
                <w:color w:val="auto"/>
              </w:rPr>
              <w:t>103</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351</w:t>
            </w:r>
          </w:p>
        </w:tc>
      </w:tr>
      <w:tr>
        <w:trPr>
          <w:trHeight w:val="189"/>
        </w:trPr>
        <w:tc>
          <w:tcPr>
            <w:tcW w:w="2400" w:type="dxa"/>
            <w:vAlign w:val="bottom"/>
          </w:tcPr>
          <w:p>
            <w:pPr>
              <w:ind w:left="180"/>
              <w:spacing w:after="0"/>
              <w:rPr>
                <w:sz w:val="20"/>
                <w:szCs w:val="20"/>
                <w:color w:val="auto"/>
              </w:rPr>
            </w:pPr>
            <w:r>
              <w:rPr>
                <w:rFonts w:ascii="Arial" w:cs="Arial" w:eastAsia="Arial" w:hAnsi="Arial"/>
                <w:sz w:val="16"/>
                <w:szCs w:val="16"/>
                <w:color w:val="auto"/>
              </w:rPr>
              <w:t>Electric generation plants</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41</w:t>
            </w:r>
          </w:p>
        </w:tc>
        <w:tc>
          <w:tcPr>
            <w:tcW w:w="900" w:type="dxa"/>
            <w:vAlign w:val="bottom"/>
          </w:tcPr>
          <w:p>
            <w:pPr>
              <w:spacing w:after="0"/>
              <w:rPr>
                <w:sz w:val="16"/>
                <w:szCs w:val="16"/>
                <w:color w:val="auto"/>
              </w:rPr>
            </w:pP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11</w:t>
            </w:r>
          </w:p>
        </w:tc>
        <w:tc>
          <w:tcPr>
            <w:tcW w:w="920" w:type="dxa"/>
            <w:vAlign w:val="bottom"/>
          </w:tcPr>
          <w:p>
            <w:pPr>
              <w:jc w:val="right"/>
              <w:spacing w:after="0"/>
              <w:rPr>
                <w:sz w:val="20"/>
                <w:szCs w:val="20"/>
                <w:color w:val="auto"/>
              </w:rPr>
            </w:pPr>
            <w:r>
              <w:rPr>
                <w:rFonts w:ascii="Arial" w:cs="Arial" w:eastAsia="Arial" w:hAnsi="Arial"/>
                <w:sz w:val="16"/>
                <w:szCs w:val="16"/>
                <w:color w:val="auto"/>
              </w:rPr>
              <w:t>41</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187"/>
        </w:trPr>
        <w:tc>
          <w:tcPr>
            <w:tcW w:w="2400" w:type="dxa"/>
            <w:vAlign w:val="bottom"/>
          </w:tcPr>
          <w:p>
            <w:pPr>
              <w:ind w:left="180"/>
              <w:spacing w:after="0"/>
              <w:rPr>
                <w:sz w:val="20"/>
                <w:szCs w:val="20"/>
                <w:color w:val="auto"/>
              </w:rPr>
            </w:pPr>
            <w:r>
              <w:rPr>
                <w:rFonts w:ascii="Arial" w:cs="Arial" w:eastAsia="Arial" w:hAnsi="Arial"/>
                <w:sz w:val="16"/>
                <w:szCs w:val="16"/>
                <w:color w:val="auto"/>
              </w:rPr>
              <w:t>Wholesale</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9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190"/>
        </w:trPr>
        <w:tc>
          <w:tcPr>
            <w:tcW w:w="2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132</w:t>
            </w:r>
          </w:p>
        </w:tc>
        <w:tc>
          <w:tcPr>
            <w:tcW w:w="22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1,269</w:t>
            </w:r>
          </w:p>
        </w:tc>
        <w:tc>
          <w:tcPr>
            <w:tcW w:w="920" w:type="dxa"/>
            <w:vAlign w:val="bottom"/>
          </w:tcPr>
          <w:p>
            <w:pPr>
              <w:jc w:val="right"/>
              <w:spacing w:after="0"/>
              <w:rPr>
                <w:sz w:val="20"/>
                <w:szCs w:val="20"/>
                <w:color w:val="auto"/>
              </w:rPr>
            </w:pPr>
            <w:r>
              <w:rPr>
                <w:rFonts w:ascii="Arial" w:cs="Arial" w:eastAsia="Arial" w:hAnsi="Arial"/>
                <w:sz w:val="16"/>
                <w:szCs w:val="16"/>
                <w:color w:val="auto"/>
              </w:rPr>
              <w:t>117</w:t>
            </w:r>
          </w:p>
        </w:tc>
        <w:tc>
          <w:tcPr>
            <w:tcW w:w="900" w:type="dxa"/>
            <w:vAlign w:val="bottom"/>
          </w:tcPr>
          <w:p>
            <w:pPr>
              <w:jc w:val="center"/>
              <w:ind w:right="682"/>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75</w:t>
            </w:r>
          </w:p>
        </w:tc>
        <w:tc>
          <w:tcPr>
            <w:tcW w:w="920" w:type="dxa"/>
            <w:vAlign w:val="bottom"/>
          </w:tcPr>
          <w:p>
            <w:pPr>
              <w:jc w:val="right"/>
              <w:spacing w:after="0"/>
              <w:rPr>
                <w:sz w:val="20"/>
                <w:szCs w:val="20"/>
                <w:color w:val="auto"/>
              </w:rPr>
            </w:pPr>
            <w:r>
              <w:rPr>
                <w:rFonts w:ascii="Arial" w:cs="Arial" w:eastAsia="Arial" w:hAnsi="Arial"/>
                <w:sz w:val="16"/>
                <w:szCs w:val="16"/>
                <w:color w:val="auto"/>
              </w:rPr>
              <w:t>249</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1,344</w:t>
            </w:r>
          </w:p>
        </w:tc>
      </w:tr>
    </w:tbl>
    <w:p>
      <w:pPr>
        <w:sectPr>
          <w:pgSz w:w="11900" w:h="16838" w:orient="portrait"/>
          <w:cols w:equalWidth="0" w:num="1">
            <w:col w:w="10219"/>
          </w:cols>
          <w:pgMar w:left="240" w:top="325" w:right="1440" w:bottom="0" w:gutter="0" w:footer="0" w:header="0"/>
        </w:sectPr>
      </w:pPr>
    </w:p>
    <w:bookmarkStart w:id="69" w:name="page70"/>
    <w:bookmarkEnd w:id="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00" w:type="dxa"/>
            <w:vAlign w:val="bottom"/>
          </w:tcPr>
          <w:p>
            <w:pPr>
              <w:ind w:left="180"/>
              <w:spacing w:after="0"/>
              <w:rPr>
                <w:sz w:val="20"/>
                <w:szCs w:val="20"/>
                <w:color w:val="auto"/>
              </w:rPr>
            </w:pPr>
            <w:r>
              <w:rPr>
                <w:rFonts w:ascii="Arial" w:cs="Arial" w:eastAsia="Arial" w:hAnsi="Arial"/>
                <w:sz w:val="16"/>
                <w:szCs w:val="16"/>
                <w:color w:val="auto"/>
              </w:rPr>
              <w:t>Other revenues</w:t>
            </w: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187"/>
        </w:trPr>
        <w:tc>
          <w:tcPr>
            <w:tcW w:w="2400" w:type="dxa"/>
            <w:vAlign w:val="bottom"/>
          </w:tcPr>
          <w:p>
            <w:pPr>
              <w:ind w:left="180"/>
              <w:spacing w:after="0"/>
              <w:rPr>
                <w:sz w:val="20"/>
                <w:szCs w:val="20"/>
                <w:color w:val="auto"/>
              </w:rPr>
            </w:pPr>
            <w:r>
              <w:rPr>
                <w:rFonts w:ascii="Arial" w:cs="Arial" w:eastAsia="Arial" w:hAnsi="Arial"/>
                <w:sz w:val="16"/>
                <w:szCs w:val="16"/>
                <w:color w:val="auto"/>
              </w:rPr>
              <w:t>Balancing accounts(1)</w:t>
            </w: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r>
      <w:tr>
        <w:trPr>
          <w:trHeight w:val="183"/>
        </w:trPr>
        <w:tc>
          <w:tcPr>
            <w:tcW w:w="2400" w:type="dxa"/>
            <w:vAlign w:val="bottom"/>
          </w:tcPr>
          <w:p>
            <w:pPr>
              <w:ind w:left="360"/>
              <w:spacing w:after="0" w:line="183" w:lineRule="exact"/>
              <w:rPr>
                <w:sz w:val="20"/>
                <w:szCs w:val="20"/>
                <w:color w:val="auto"/>
              </w:rPr>
            </w:pPr>
            <w:r>
              <w:rPr>
                <w:rFonts w:ascii="Arial" w:cs="Arial" w:eastAsia="Arial" w:hAnsi="Arial"/>
                <w:sz w:val="16"/>
                <w:szCs w:val="16"/>
                <w:color w:val="auto"/>
              </w:rPr>
              <w:t>Total</w:t>
            </w: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jc w:val="right"/>
              <w:ind w:right="199"/>
              <w:spacing w:after="0" w:line="183" w:lineRule="exact"/>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1,350</w:t>
            </w:r>
          </w:p>
        </w:tc>
      </w:tr>
      <w:tr>
        <w:trPr>
          <w:trHeight w:val="81"/>
        </w:trPr>
        <w:tc>
          <w:tcPr>
            <w:tcW w:w="2400" w:type="dxa"/>
            <w:vAlign w:val="bottom"/>
            <w:shd w:val="clear" w:color="auto" w:fill="000000"/>
          </w:tcPr>
          <w:p>
            <w:pPr>
              <w:spacing w:after="0"/>
              <w:rPr>
                <w:sz w:val="7"/>
                <w:szCs w:val="7"/>
                <w:color w:val="auto"/>
              </w:rPr>
            </w:pPr>
          </w:p>
        </w:tc>
        <w:tc>
          <w:tcPr>
            <w:tcW w:w="1020" w:type="dxa"/>
            <w:vAlign w:val="bottom"/>
            <w:shd w:val="clear" w:color="auto" w:fill="000000"/>
          </w:tcPr>
          <w:p>
            <w:pPr>
              <w:spacing w:after="0"/>
              <w:rPr>
                <w:sz w:val="7"/>
                <w:szCs w:val="7"/>
                <w:color w:val="auto"/>
              </w:rPr>
            </w:pPr>
          </w:p>
        </w:tc>
        <w:tc>
          <w:tcPr>
            <w:tcW w:w="420" w:type="dxa"/>
            <w:vAlign w:val="bottom"/>
            <w:shd w:val="clear" w:color="auto" w:fill="000000"/>
          </w:tcPr>
          <w:p>
            <w:pPr>
              <w:spacing w:after="0"/>
              <w:rPr>
                <w:sz w:val="7"/>
                <w:szCs w:val="7"/>
                <w:color w:val="auto"/>
              </w:rPr>
            </w:pPr>
          </w:p>
        </w:tc>
        <w:tc>
          <w:tcPr>
            <w:tcW w:w="1080" w:type="dxa"/>
            <w:vAlign w:val="bottom"/>
            <w:shd w:val="clear" w:color="auto" w:fill="000000"/>
          </w:tcPr>
          <w:p>
            <w:pPr>
              <w:spacing w:after="0"/>
              <w:rPr>
                <w:sz w:val="7"/>
                <w:szCs w:val="7"/>
                <w:color w:val="auto"/>
              </w:rPr>
            </w:pPr>
          </w:p>
        </w:tc>
        <w:tc>
          <w:tcPr>
            <w:tcW w:w="680" w:type="dxa"/>
            <w:vAlign w:val="bottom"/>
            <w:shd w:val="clear" w:color="auto" w:fill="000000"/>
          </w:tcPr>
          <w:p>
            <w:pPr>
              <w:spacing w:after="0"/>
              <w:rPr>
                <w:sz w:val="7"/>
                <w:szCs w:val="7"/>
                <w:color w:val="auto"/>
              </w:rPr>
            </w:pPr>
          </w:p>
        </w:tc>
        <w:tc>
          <w:tcPr>
            <w:tcW w:w="520" w:type="dxa"/>
            <w:vAlign w:val="bottom"/>
            <w:shd w:val="clear" w:color="auto" w:fill="000000"/>
          </w:tcPr>
          <w:p>
            <w:pPr>
              <w:spacing w:after="0"/>
              <w:rPr>
                <w:sz w:val="7"/>
                <w:szCs w:val="7"/>
                <w:color w:val="auto"/>
              </w:rPr>
            </w:pPr>
          </w:p>
        </w:tc>
        <w:tc>
          <w:tcPr>
            <w:tcW w:w="980" w:type="dxa"/>
            <w:vAlign w:val="bottom"/>
            <w:shd w:val="clear" w:color="auto" w:fill="000000"/>
          </w:tcPr>
          <w:p>
            <w:pPr>
              <w:spacing w:after="0"/>
              <w:rPr>
                <w:sz w:val="7"/>
                <w:szCs w:val="7"/>
                <w:color w:val="auto"/>
              </w:rPr>
            </w:pPr>
          </w:p>
        </w:tc>
        <w:tc>
          <w:tcPr>
            <w:tcW w:w="700" w:type="dxa"/>
            <w:vAlign w:val="bottom"/>
            <w:shd w:val="clear" w:color="auto" w:fill="000000"/>
          </w:tcPr>
          <w:p>
            <w:pPr>
              <w:spacing w:after="0"/>
              <w:rPr>
                <w:sz w:val="7"/>
                <w:szCs w:val="7"/>
                <w:color w:val="auto"/>
              </w:rPr>
            </w:pPr>
          </w:p>
        </w:tc>
        <w:tc>
          <w:tcPr>
            <w:tcW w:w="380" w:type="dxa"/>
            <w:vAlign w:val="bottom"/>
            <w:shd w:val="clear" w:color="auto" w:fill="000000"/>
          </w:tcPr>
          <w:p>
            <w:pPr>
              <w:spacing w:after="0"/>
              <w:rPr>
                <w:sz w:val="7"/>
                <w:szCs w:val="7"/>
                <w:color w:val="auto"/>
              </w:rPr>
            </w:pPr>
          </w:p>
        </w:tc>
        <w:tc>
          <w:tcPr>
            <w:tcW w:w="740" w:type="dxa"/>
            <w:vAlign w:val="bottom"/>
            <w:shd w:val="clear" w:color="auto" w:fill="000000"/>
          </w:tcPr>
          <w:p>
            <w:pPr>
              <w:spacing w:after="0"/>
              <w:rPr>
                <w:sz w:val="7"/>
                <w:szCs w:val="7"/>
                <w:color w:val="auto"/>
              </w:rPr>
            </w:pPr>
          </w:p>
        </w:tc>
      </w:tr>
      <w:tr>
        <w:trPr>
          <w:trHeight w:val="191"/>
        </w:trPr>
        <w:tc>
          <w:tcPr>
            <w:tcW w:w="2400" w:type="dxa"/>
            <w:vAlign w:val="bottom"/>
          </w:tcPr>
          <w:p>
            <w:pPr>
              <w:spacing w:after="0"/>
              <w:rPr>
                <w:sz w:val="20"/>
                <w:szCs w:val="20"/>
                <w:color w:val="auto"/>
              </w:rPr>
            </w:pPr>
            <w:r>
              <w:rPr>
                <w:rFonts w:ascii="Arial" w:cs="Arial" w:eastAsia="Arial" w:hAnsi="Arial"/>
                <w:sz w:val="16"/>
                <w:szCs w:val="16"/>
                <w:color w:val="auto"/>
              </w:rPr>
              <w:t>2009:</w:t>
            </w: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9"/>
        </w:trPr>
        <w:tc>
          <w:tcPr>
            <w:tcW w:w="2400" w:type="dxa"/>
            <w:vAlign w:val="bottom"/>
          </w:tcPr>
          <w:p>
            <w:pPr>
              <w:ind w:left="180"/>
              <w:spacing w:after="0"/>
              <w:rPr>
                <w:sz w:val="20"/>
                <w:szCs w:val="20"/>
                <w:color w:val="auto"/>
              </w:rPr>
            </w:pPr>
            <w:r>
              <w:rPr>
                <w:rFonts w:ascii="Arial" w:cs="Arial" w:eastAsia="Arial" w:hAnsi="Arial"/>
                <w:sz w:val="16"/>
                <w:szCs w:val="16"/>
                <w:color w:val="auto"/>
              </w:rPr>
              <w:t>Residential</w:t>
            </w:r>
          </w:p>
        </w:tc>
        <w:tc>
          <w:tcPr>
            <w:tcW w:w="1020" w:type="dxa"/>
            <w:vAlign w:val="bottom"/>
          </w:tcPr>
          <w:p>
            <w:pPr>
              <w:jc w:val="right"/>
              <w:spacing w:after="0"/>
              <w:rPr>
                <w:sz w:val="20"/>
                <w:szCs w:val="20"/>
                <w:color w:val="auto"/>
              </w:rPr>
            </w:pPr>
            <w:r>
              <w:rPr>
                <w:rFonts w:ascii="Arial" w:cs="Arial" w:eastAsia="Arial" w:hAnsi="Arial"/>
                <w:sz w:val="16"/>
                <w:szCs w:val="16"/>
                <w:color w:val="auto"/>
              </w:rPr>
              <w:t>95</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19"/>
              <w:spacing w:after="0"/>
              <w:rPr>
                <w:sz w:val="20"/>
                <w:szCs w:val="20"/>
                <w:color w:val="auto"/>
              </w:rPr>
            </w:pPr>
            <w:r>
              <w:rPr>
                <w:rFonts w:ascii="Arial" w:cs="Arial" w:eastAsia="Arial" w:hAnsi="Arial"/>
                <w:sz w:val="16"/>
                <w:szCs w:val="16"/>
                <w:color w:val="auto"/>
              </w:rPr>
              <w:t>851</w:t>
            </w:r>
          </w:p>
        </w:tc>
        <w:tc>
          <w:tcPr>
            <w:tcW w:w="1200" w:type="dxa"/>
            <w:vAlign w:val="bottom"/>
            <w:gridSpan w:val="2"/>
          </w:tcPr>
          <w:p>
            <w:pPr>
              <w:jc w:val="right"/>
              <w:ind w:right="319"/>
              <w:spacing w:after="0"/>
              <w:rPr>
                <w:sz w:val="20"/>
                <w:szCs w:val="20"/>
                <w:color w:val="auto"/>
              </w:rPr>
            </w:pPr>
            <w:r>
              <w:rPr>
                <w:rFonts w:ascii="Arial" w:cs="Arial" w:eastAsia="Arial" w:hAnsi="Arial"/>
                <w:sz w:val="16"/>
                <w:szCs w:val="16"/>
                <w:color w:val="auto"/>
              </w:rPr>
              <w:t>- $</w:t>
            </w:r>
          </w:p>
        </w:tc>
        <w:tc>
          <w:tcPr>
            <w:tcW w:w="980" w:type="dxa"/>
            <w:vAlign w:val="bottom"/>
          </w:tcPr>
          <w:p>
            <w:pPr>
              <w:jc w:val="right"/>
              <w:ind w:right="319"/>
              <w:spacing w:after="0"/>
              <w:rPr>
                <w:sz w:val="20"/>
                <w:szCs w:val="20"/>
                <w:color w:val="auto"/>
              </w:rPr>
            </w:pPr>
            <w:r>
              <w:rPr>
                <w:rFonts w:ascii="Arial" w:cs="Arial" w:eastAsia="Arial" w:hAnsi="Arial"/>
                <w:sz w:val="16"/>
                <w:szCs w:val="16"/>
                <w:color w:val="auto"/>
              </w:rPr>
              <w:t>1</w:t>
            </w:r>
          </w:p>
        </w:tc>
        <w:tc>
          <w:tcPr>
            <w:tcW w:w="700" w:type="dxa"/>
            <w:vAlign w:val="bottom"/>
          </w:tcPr>
          <w:p>
            <w:pPr>
              <w:jc w:val="right"/>
              <w:spacing w:after="0"/>
              <w:rPr>
                <w:sz w:val="20"/>
                <w:szCs w:val="20"/>
                <w:color w:val="auto"/>
              </w:rPr>
            </w:pPr>
            <w:r>
              <w:rPr>
                <w:rFonts w:ascii="Arial" w:cs="Arial" w:eastAsia="Arial" w:hAnsi="Arial"/>
                <w:sz w:val="16"/>
                <w:szCs w:val="16"/>
                <w:color w:val="auto"/>
              </w:rPr>
              <w:t>95</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852</w:t>
            </w:r>
          </w:p>
        </w:tc>
      </w:tr>
      <w:tr>
        <w:trPr>
          <w:trHeight w:val="189"/>
        </w:trPr>
        <w:tc>
          <w:tcPr>
            <w:tcW w:w="2400" w:type="dxa"/>
            <w:vAlign w:val="bottom"/>
          </w:tcPr>
          <w:p>
            <w:pPr>
              <w:ind w:left="180"/>
              <w:spacing w:after="0"/>
              <w:rPr>
                <w:sz w:val="20"/>
                <w:szCs w:val="20"/>
                <w:color w:val="auto"/>
              </w:rPr>
            </w:pPr>
            <w:r>
              <w:rPr>
                <w:rFonts w:ascii="Arial" w:cs="Arial" w:eastAsia="Arial" w:hAnsi="Arial"/>
                <w:sz w:val="16"/>
                <w:szCs w:val="16"/>
                <w:color w:val="auto"/>
              </w:rPr>
              <w:t>Commercial and industrial</w:t>
            </w:r>
          </w:p>
        </w:tc>
        <w:tc>
          <w:tcPr>
            <w:tcW w:w="1020" w:type="dxa"/>
            <w:vAlign w:val="bottom"/>
          </w:tcPr>
          <w:p>
            <w:pPr>
              <w:jc w:val="right"/>
              <w:spacing w:after="0"/>
              <w:rPr>
                <w:sz w:val="20"/>
                <w:szCs w:val="20"/>
                <w:color w:val="auto"/>
              </w:rPr>
            </w:pPr>
            <w:r>
              <w:rPr>
                <w:rFonts w:ascii="Arial" w:cs="Arial" w:eastAsia="Arial" w:hAnsi="Arial"/>
                <w:sz w:val="16"/>
                <w:szCs w:val="16"/>
                <w:color w:val="auto"/>
              </w:rPr>
              <w:t>36</w:t>
            </w:r>
          </w:p>
        </w:tc>
        <w:tc>
          <w:tcPr>
            <w:tcW w:w="420" w:type="dxa"/>
            <w:vAlign w:val="bottom"/>
          </w:tcPr>
          <w:p>
            <w:pPr>
              <w:spacing w:after="0"/>
              <w:rPr>
                <w:sz w:val="16"/>
                <w:szCs w:val="16"/>
                <w:color w:val="auto"/>
              </w:rPr>
            </w:pPr>
          </w:p>
        </w:tc>
        <w:tc>
          <w:tcPr>
            <w:tcW w:w="1080" w:type="dxa"/>
            <w:vAlign w:val="bottom"/>
          </w:tcPr>
          <w:p>
            <w:pPr>
              <w:jc w:val="right"/>
              <w:ind w:right="319"/>
              <w:spacing w:after="0"/>
              <w:rPr>
                <w:sz w:val="20"/>
                <w:szCs w:val="20"/>
                <w:color w:val="auto"/>
              </w:rPr>
            </w:pPr>
            <w:r>
              <w:rPr>
                <w:rFonts w:ascii="Arial" w:cs="Arial" w:eastAsia="Arial" w:hAnsi="Arial"/>
                <w:sz w:val="16"/>
                <w:szCs w:val="16"/>
                <w:color w:val="auto"/>
              </w:rPr>
              <w:t>264</w:t>
            </w:r>
          </w:p>
        </w:tc>
        <w:tc>
          <w:tcPr>
            <w:tcW w:w="680" w:type="dxa"/>
            <w:vAlign w:val="bottom"/>
          </w:tcPr>
          <w:p>
            <w:pPr>
              <w:jc w:val="right"/>
              <w:spacing w:after="0"/>
              <w:rPr>
                <w:sz w:val="20"/>
                <w:szCs w:val="20"/>
                <w:color w:val="auto"/>
              </w:rPr>
            </w:pPr>
            <w:r>
              <w:rPr>
                <w:rFonts w:ascii="Arial" w:cs="Arial" w:eastAsia="Arial" w:hAnsi="Arial"/>
                <w:sz w:val="16"/>
                <w:szCs w:val="16"/>
                <w:color w:val="auto"/>
              </w:rPr>
              <w:t>66</w:t>
            </w:r>
          </w:p>
        </w:tc>
        <w:tc>
          <w:tcPr>
            <w:tcW w:w="520" w:type="dxa"/>
            <w:vAlign w:val="bottom"/>
          </w:tcPr>
          <w:p>
            <w:pPr>
              <w:spacing w:after="0"/>
              <w:rPr>
                <w:sz w:val="16"/>
                <w:szCs w:val="16"/>
                <w:color w:val="auto"/>
              </w:rPr>
            </w:pPr>
          </w:p>
        </w:tc>
        <w:tc>
          <w:tcPr>
            <w:tcW w:w="980" w:type="dxa"/>
            <w:vAlign w:val="bottom"/>
          </w:tcPr>
          <w:p>
            <w:pPr>
              <w:jc w:val="right"/>
              <w:ind w:right="319"/>
              <w:spacing w:after="0"/>
              <w:rPr>
                <w:sz w:val="20"/>
                <w:szCs w:val="20"/>
                <w:color w:val="auto"/>
              </w:rPr>
            </w:pPr>
            <w:r>
              <w:rPr>
                <w:rFonts w:ascii="Arial" w:cs="Arial" w:eastAsia="Arial" w:hAnsi="Arial"/>
                <w:sz w:val="16"/>
                <w:szCs w:val="16"/>
                <w:color w:val="auto"/>
              </w:rPr>
              <w:t>51</w:t>
            </w:r>
          </w:p>
        </w:tc>
        <w:tc>
          <w:tcPr>
            <w:tcW w:w="700" w:type="dxa"/>
            <w:vAlign w:val="bottom"/>
          </w:tcPr>
          <w:p>
            <w:pPr>
              <w:jc w:val="right"/>
              <w:spacing w:after="0"/>
              <w:rPr>
                <w:sz w:val="20"/>
                <w:szCs w:val="20"/>
                <w:color w:val="auto"/>
              </w:rPr>
            </w:pPr>
            <w:r>
              <w:rPr>
                <w:rFonts w:ascii="Arial" w:cs="Arial" w:eastAsia="Arial" w:hAnsi="Arial"/>
                <w:sz w:val="16"/>
                <w:szCs w:val="16"/>
                <w:color w:val="auto"/>
              </w:rPr>
              <w:t>102</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315</w:t>
            </w:r>
          </w:p>
        </w:tc>
      </w:tr>
      <w:tr>
        <w:trPr>
          <w:trHeight w:val="189"/>
        </w:trPr>
        <w:tc>
          <w:tcPr>
            <w:tcW w:w="2400" w:type="dxa"/>
            <w:vAlign w:val="bottom"/>
          </w:tcPr>
          <w:p>
            <w:pPr>
              <w:ind w:left="180"/>
              <w:spacing w:after="0"/>
              <w:rPr>
                <w:sz w:val="20"/>
                <w:szCs w:val="20"/>
                <w:color w:val="auto"/>
              </w:rPr>
            </w:pPr>
            <w:r>
              <w:rPr>
                <w:rFonts w:ascii="Arial" w:cs="Arial" w:eastAsia="Arial" w:hAnsi="Arial"/>
                <w:sz w:val="16"/>
                <w:szCs w:val="16"/>
                <w:color w:val="auto"/>
              </w:rPr>
              <w:t>Electric generation plants</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6"/>
                <w:szCs w:val="16"/>
                <w:color w:val="auto"/>
              </w:rPr>
            </w:pPr>
          </w:p>
        </w:tc>
        <w:tc>
          <w:tcPr>
            <w:tcW w:w="108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55</w:t>
            </w:r>
          </w:p>
        </w:tc>
        <w:tc>
          <w:tcPr>
            <w:tcW w:w="520" w:type="dxa"/>
            <w:vAlign w:val="bottom"/>
          </w:tcPr>
          <w:p>
            <w:pPr>
              <w:spacing w:after="0"/>
              <w:rPr>
                <w:sz w:val="16"/>
                <w:szCs w:val="16"/>
                <w:color w:val="auto"/>
              </w:rPr>
            </w:pPr>
          </w:p>
        </w:tc>
        <w:tc>
          <w:tcPr>
            <w:tcW w:w="980" w:type="dxa"/>
            <w:vAlign w:val="bottom"/>
          </w:tcPr>
          <w:p>
            <w:pPr>
              <w:jc w:val="right"/>
              <w:ind w:right="319"/>
              <w:spacing w:after="0"/>
              <w:rPr>
                <w:sz w:val="20"/>
                <w:szCs w:val="20"/>
                <w:color w:val="auto"/>
              </w:rPr>
            </w:pPr>
            <w:r>
              <w:rPr>
                <w:rFonts w:ascii="Arial" w:cs="Arial" w:eastAsia="Arial" w:hAnsi="Arial"/>
                <w:sz w:val="16"/>
                <w:szCs w:val="16"/>
                <w:color w:val="auto"/>
              </w:rPr>
              <w:t>14</w:t>
            </w:r>
          </w:p>
        </w:tc>
        <w:tc>
          <w:tcPr>
            <w:tcW w:w="700" w:type="dxa"/>
            <w:vAlign w:val="bottom"/>
          </w:tcPr>
          <w:p>
            <w:pPr>
              <w:jc w:val="right"/>
              <w:spacing w:after="0"/>
              <w:rPr>
                <w:sz w:val="20"/>
                <w:szCs w:val="20"/>
                <w:color w:val="auto"/>
              </w:rPr>
            </w:pPr>
            <w:r>
              <w:rPr>
                <w:rFonts w:ascii="Arial" w:cs="Arial" w:eastAsia="Arial" w:hAnsi="Arial"/>
                <w:sz w:val="16"/>
                <w:szCs w:val="16"/>
                <w:color w:val="auto"/>
              </w:rPr>
              <w:t>55</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187"/>
        </w:trPr>
        <w:tc>
          <w:tcPr>
            <w:tcW w:w="2400" w:type="dxa"/>
            <w:vAlign w:val="bottom"/>
          </w:tcPr>
          <w:p>
            <w:pPr>
              <w:ind w:left="180"/>
              <w:spacing w:after="0"/>
              <w:rPr>
                <w:sz w:val="20"/>
                <w:szCs w:val="20"/>
                <w:color w:val="auto"/>
              </w:rPr>
            </w:pPr>
            <w:r>
              <w:rPr>
                <w:rFonts w:ascii="Arial" w:cs="Arial" w:eastAsia="Arial" w:hAnsi="Arial"/>
                <w:sz w:val="16"/>
                <w:szCs w:val="16"/>
                <w:color w:val="auto"/>
              </w:rPr>
              <w:t>Wholesale</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5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3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184"/>
        </w:trPr>
        <w:tc>
          <w:tcPr>
            <w:tcW w:w="2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131</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19"/>
              <w:spacing w:after="0"/>
              <w:rPr>
                <w:sz w:val="20"/>
                <w:szCs w:val="20"/>
                <w:color w:val="auto"/>
              </w:rPr>
            </w:pPr>
            <w:r>
              <w:rPr>
                <w:rFonts w:ascii="Arial" w:cs="Arial" w:eastAsia="Arial" w:hAnsi="Arial"/>
                <w:sz w:val="16"/>
                <w:szCs w:val="16"/>
                <w:color w:val="auto"/>
              </w:rPr>
              <w:t>1,115</w:t>
            </w:r>
          </w:p>
        </w:tc>
        <w:tc>
          <w:tcPr>
            <w:tcW w:w="680" w:type="dxa"/>
            <w:vAlign w:val="bottom"/>
          </w:tcPr>
          <w:p>
            <w:pPr>
              <w:jc w:val="right"/>
              <w:spacing w:after="0"/>
              <w:rPr>
                <w:sz w:val="20"/>
                <w:szCs w:val="20"/>
                <w:color w:val="auto"/>
              </w:rPr>
            </w:pPr>
            <w:r>
              <w:rPr>
                <w:rFonts w:ascii="Arial" w:cs="Arial" w:eastAsia="Arial" w:hAnsi="Arial"/>
                <w:sz w:val="16"/>
                <w:szCs w:val="16"/>
                <w:color w:val="auto"/>
              </w:rPr>
              <w:t>128</w:t>
            </w: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19"/>
              <w:spacing w:after="0"/>
              <w:rPr>
                <w:sz w:val="20"/>
                <w:szCs w:val="20"/>
                <w:color w:val="auto"/>
              </w:rPr>
            </w:pPr>
            <w:r>
              <w:rPr>
                <w:rFonts w:ascii="Arial" w:cs="Arial" w:eastAsia="Arial" w:hAnsi="Arial"/>
                <w:sz w:val="16"/>
                <w:szCs w:val="16"/>
                <w:color w:val="auto"/>
              </w:rPr>
              <w:t>68</w:t>
            </w:r>
          </w:p>
        </w:tc>
        <w:tc>
          <w:tcPr>
            <w:tcW w:w="700" w:type="dxa"/>
            <w:vAlign w:val="bottom"/>
          </w:tcPr>
          <w:p>
            <w:pPr>
              <w:jc w:val="right"/>
              <w:spacing w:after="0"/>
              <w:rPr>
                <w:sz w:val="20"/>
                <w:szCs w:val="20"/>
                <w:color w:val="auto"/>
              </w:rPr>
            </w:pPr>
            <w:r>
              <w:rPr>
                <w:rFonts w:ascii="Arial" w:cs="Arial" w:eastAsia="Arial" w:hAnsi="Arial"/>
                <w:sz w:val="16"/>
                <w:szCs w:val="16"/>
                <w:color w:val="auto"/>
              </w:rPr>
              <w:t>259</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1,183</w:t>
            </w:r>
          </w:p>
        </w:tc>
      </w:tr>
      <w:tr>
        <w:trPr>
          <w:trHeight w:val="189"/>
        </w:trPr>
        <w:tc>
          <w:tcPr>
            <w:tcW w:w="2400" w:type="dxa"/>
            <w:vAlign w:val="bottom"/>
          </w:tcPr>
          <w:p>
            <w:pPr>
              <w:ind w:left="180"/>
              <w:spacing w:after="0"/>
              <w:rPr>
                <w:sz w:val="20"/>
                <w:szCs w:val="20"/>
                <w:color w:val="auto"/>
              </w:rPr>
            </w:pPr>
            <w:r>
              <w:rPr>
                <w:rFonts w:ascii="Arial" w:cs="Arial" w:eastAsia="Arial" w:hAnsi="Arial"/>
                <w:sz w:val="16"/>
                <w:szCs w:val="16"/>
                <w:color w:val="auto"/>
              </w:rPr>
              <w:t>Other revenues</w:t>
            </w: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187"/>
        </w:trPr>
        <w:tc>
          <w:tcPr>
            <w:tcW w:w="2400" w:type="dxa"/>
            <w:vAlign w:val="bottom"/>
          </w:tcPr>
          <w:p>
            <w:pPr>
              <w:ind w:left="180"/>
              <w:spacing w:after="0"/>
              <w:rPr>
                <w:sz w:val="20"/>
                <w:szCs w:val="20"/>
                <w:color w:val="auto"/>
              </w:rPr>
            </w:pPr>
            <w:r>
              <w:rPr>
                <w:rFonts w:ascii="Arial" w:cs="Arial" w:eastAsia="Arial" w:hAnsi="Arial"/>
                <w:sz w:val="16"/>
                <w:szCs w:val="16"/>
                <w:color w:val="auto"/>
              </w:rPr>
              <w:t>Balancing accounts(1)</w:t>
            </w: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r>
      <w:tr>
        <w:trPr>
          <w:trHeight w:val="183"/>
        </w:trPr>
        <w:tc>
          <w:tcPr>
            <w:tcW w:w="2400" w:type="dxa"/>
            <w:vAlign w:val="bottom"/>
          </w:tcPr>
          <w:p>
            <w:pPr>
              <w:ind w:left="360"/>
              <w:spacing w:after="0" w:line="183" w:lineRule="exact"/>
              <w:rPr>
                <w:sz w:val="20"/>
                <w:szCs w:val="20"/>
                <w:color w:val="auto"/>
              </w:rPr>
            </w:pPr>
            <w:r>
              <w:rPr>
                <w:rFonts w:ascii="Arial" w:cs="Arial" w:eastAsia="Arial" w:hAnsi="Arial"/>
                <w:sz w:val="16"/>
                <w:szCs w:val="16"/>
                <w:color w:val="auto"/>
              </w:rPr>
              <w:t>Total</w:t>
            </w: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jc w:val="right"/>
              <w:ind w:right="199"/>
              <w:spacing w:after="0" w:line="183" w:lineRule="exact"/>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1,091</w:t>
            </w:r>
          </w:p>
        </w:tc>
      </w:tr>
      <w:tr>
        <w:trPr>
          <w:trHeight w:val="81"/>
        </w:trPr>
        <w:tc>
          <w:tcPr>
            <w:tcW w:w="2400" w:type="dxa"/>
            <w:vAlign w:val="bottom"/>
            <w:shd w:val="clear" w:color="auto" w:fill="000000"/>
          </w:tcPr>
          <w:p>
            <w:pPr>
              <w:spacing w:after="0"/>
              <w:rPr>
                <w:sz w:val="7"/>
                <w:szCs w:val="7"/>
                <w:color w:val="auto"/>
              </w:rPr>
            </w:pPr>
          </w:p>
        </w:tc>
        <w:tc>
          <w:tcPr>
            <w:tcW w:w="1020" w:type="dxa"/>
            <w:vAlign w:val="bottom"/>
            <w:shd w:val="clear" w:color="auto" w:fill="000000"/>
          </w:tcPr>
          <w:p>
            <w:pPr>
              <w:spacing w:after="0"/>
              <w:rPr>
                <w:sz w:val="7"/>
                <w:szCs w:val="7"/>
                <w:color w:val="auto"/>
              </w:rPr>
            </w:pPr>
          </w:p>
        </w:tc>
        <w:tc>
          <w:tcPr>
            <w:tcW w:w="420" w:type="dxa"/>
            <w:vAlign w:val="bottom"/>
            <w:shd w:val="clear" w:color="auto" w:fill="000000"/>
          </w:tcPr>
          <w:p>
            <w:pPr>
              <w:spacing w:after="0"/>
              <w:rPr>
                <w:sz w:val="7"/>
                <w:szCs w:val="7"/>
                <w:color w:val="auto"/>
              </w:rPr>
            </w:pPr>
          </w:p>
        </w:tc>
        <w:tc>
          <w:tcPr>
            <w:tcW w:w="1080" w:type="dxa"/>
            <w:vAlign w:val="bottom"/>
            <w:shd w:val="clear" w:color="auto" w:fill="000000"/>
          </w:tcPr>
          <w:p>
            <w:pPr>
              <w:spacing w:after="0"/>
              <w:rPr>
                <w:sz w:val="7"/>
                <w:szCs w:val="7"/>
                <w:color w:val="auto"/>
              </w:rPr>
            </w:pPr>
          </w:p>
        </w:tc>
        <w:tc>
          <w:tcPr>
            <w:tcW w:w="680" w:type="dxa"/>
            <w:vAlign w:val="bottom"/>
            <w:shd w:val="clear" w:color="auto" w:fill="000000"/>
          </w:tcPr>
          <w:p>
            <w:pPr>
              <w:spacing w:after="0"/>
              <w:rPr>
                <w:sz w:val="7"/>
                <w:szCs w:val="7"/>
                <w:color w:val="auto"/>
              </w:rPr>
            </w:pPr>
          </w:p>
        </w:tc>
        <w:tc>
          <w:tcPr>
            <w:tcW w:w="520" w:type="dxa"/>
            <w:vAlign w:val="bottom"/>
            <w:shd w:val="clear" w:color="auto" w:fill="000000"/>
          </w:tcPr>
          <w:p>
            <w:pPr>
              <w:spacing w:after="0"/>
              <w:rPr>
                <w:sz w:val="7"/>
                <w:szCs w:val="7"/>
                <w:color w:val="auto"/>
              </w:rPr>
            </w:pPr>
          </w:p>
        </w:tc>
        <w:tc>
          <w:tcPr>
            <w:tcW w:w="980" w:type="dxa"/>
            <w:vAlign w:val="bottom"/>
            <w:shd w:val="clear" w:color="auto" w:fill="000000"/>
          </w:tcPr>
          <w:p>
            <w:pPr>
              <w:spacing w:after="0"/>
              <w:rPr>
                <w:sz w:val="7"/>
                <w:szCs w:val="7"/>
                <w:color w:val="auto"/>
              </w:rPr>
            </w:pPr>
          </w:p>
        </w:tc>
        <w:tc>
          <w:tcPr>
            <w:tcW w:w="700" w:type="dxa"/>
            <w:vAlign w:val="bottom"/>
            <w:shd w:val="clear" w:color="auto" w:fill="000000"/>
          </w:tcPr>
          <w:p>
            <w:pPr>
              <w:spacing w:after="0"/>
              <w:rPr>
                <w:sz w:val="7"/>
                <w:szCs w:val="7"/>
                <w:color w:val="auto"/>
              </w:rPr>
            </w:pPr>
          </w:p>
        </w:tc>
        <w:tc>
          <w:tcPr>
            <w:tcW w:w="380" w:type="dxa"/>
            <w:vAlign w:val="bottom"/>
            <w:shd w:val="clear" w:color="auto" w:fill="000000"/>
          </w:tcPr>
          <w:p>
            <w:pPr>
              <w:spacing w:after="0"/>
              <w:rPr>
                <w:sz w:val="7"/>
                <w:szCs w:val="7"/>
                <w:color w:val="auto"/>
              </w:rPr>
            </w:pPr>
          </w:p>
        </w:tc>
        <w:tc>
          <w:tcPr>
            <w:tcW w:w="740" w:type="dxa"/>
            <w:vAlign w:val="bottom"/>
            <w:shd w:val="clear" w:color="auto" w:fill="000000"/>
          </w:tcPr>
          <w:p>
            <w:pPr>
              <w:spacing w:after="0"/>
              <w:rPr>
                <w:sz w:val="7"/>
                <w:szCs w:val="7"/>
                <w:color w:val="auto"/>
              </w:rPr>
            </w:pPr>
          </w:p>
        </w:tc>
      </w:tr>
    </w:tbl>
    <w:p>
      <w:pPr>
        <w:spacing w:after="0"/>
        <w:rPr>
          <w:sz w:val="20"/>
          <w:szCs w:val="20"/>
          <w:color w:val="auto"/>
        </w:rPr>
      </w:pPr>
      <w:r>
        <w:rPr>
          <w:rFonts w:ascii="Arial" w:cs="Arial" w:eastAsia="Arial" w:hAnsi="Arial"/>
          <w:sz w:val="14"/>
          <w:szCs w:val="14"/>
          <w:i w:val="1"/>
          <w:iCs w:val="1"/>
          <w:color w:val="auto"/>
        </w:rPr>
        <w:t>(1) We discuss balancing accounts and their effects in Note 1 of the Notes to Consolidated Financial Statements in the Annual Report.</w:t>
      </w:r>
    </w:p>
    <w:p>
      <w:pPr>
        <w:spacing w:after="0" w:line="209" w:lineRule="exact"/>
        <w:rPr>
          <w:sz w:val="20"/>
          <w:szCs w:val="20"/>
          <w:color w:val="auto"/>
        </w:rPr>
      </w:pPr>
    </w:p>
    <w:p>
      <w:pPr>
        <w:ind w:right="499"/>
        <w:spacing w:after="0" w:line="218" w:lineRule="auto"/>
        <w:rPr>
          <w:sz w:val="20"/>
          <w:szCs w:val="20"/>
          <w:color w:val="auto"/>
        </w:rPr>
      </w:pPr>
      <w:r>
        <w:rPr>
          <w:rFonts w:ascii="Arial" w:cs="Arial" w:eastAsia="Arial" w:hAnsi="Arial"/>
          <w:sz w:val="22"/>
          <w:szCs w:val="22"/>
          <w:color w:val="auto"/>
        </w:rPr>
        <w:t>During the three months ended March 31, 2010, our natural gas revenues increased by $259 million (24%) to $1.4 billion, and the cost of natural gas increased by $218 million (40%) to $758 million, due primarily to higher natural gas prices in 2010. We discuss the increase in the cost of natural gas individually for SDG&amp;E and SoCalGas below.</w:t>
      </w:r>
    </w:p>
    <w:p>
      <w:pPr>
        <w:sectPr>
          <w:pgSz w:w="11900" w:h="16838" w:orient="portrait"/>
          <w:cols w:equalWidth="0" w:num="1">
            <w:col w:w="10219"/>
          </w:cols>
          <w:pgMar w:left="240" w:top="141" w:right="1440" w:bottom="1440" w:gutter="0" w:footer="0" w:header="0"/>
        </w:sectPr>
      </w:pPr>
    </w:p>
    <w:bookmarkStart w:id="70" w:name="page71"/>
    <w:bookmarkEnd w:id="70"/>
    <w:p>
      <w:pPr>
        <w:spacing w:after="0"/>
        <w:rPr>
          <w:sz w:val="20"/>
          <w:szCs w:val="20"/>
          <w:color w:val="auto"/>
        </w:rPr>
      </w:pPr>
      <w:r>
        <w:rPr>
          <w:rFonts w:ascii="Arial" w:cs="Arial" w:eastAsia="Arial" w:hAnsi="Arial"/>
          <w:sz w:val="16"/>
          <w:szCs w:val="16"/>
          <w:b w:val="1"/>
          <w:bCs w:val="1"/>
          <w:color w:val="auto"/>
        </w:rPr>
        <w:t>SDG&amp;E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5625465" cy="3517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25465" cy="3517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NATURAL GAS SALES AND TRANSPORTATION</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(Volumes in billion cubic feet, dollars in millions)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22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color w:val="auto"/>
              </w:rPr>
              <w:t>Natural Gas Sales</w:t>
            </w:r>
          </w:p>
        </w:tc>
        <w:tc>
          <w:tcPr>
            <w:tcW w:w="1860" w:type="dxa"/>
            <w:vAlign w:val="bottom"/>
            <w:tcBorders>
              <w:bottom w:val="single" w:sz="8" w:color="auto"/>
            </w:tcBorders>
            <w:gridSpan w:val="2"/>
          </w:tcPr>
          <w:p>
            <w:pPr>
              <w:jc w:val="right"/>
              <w:ind w:right="342"/>
              <w:spacing w:after="0"/>
              <w:rPr>
                <w:sz w:val="20"/>
                <w:szCs w:val="20"/>
                <w:color w:val="auto"/>
              </w:rPr>
            </w:pPr>
            <w:r>
              <w:rPr>
                <w:rFonts w:ascii="Arial" w:cs="Arial" w:eastAsia="Arial" w:hAnsi="Arial"/>
                <w:sz w:val="14"/>
                <w:szCs w:val="14"/>
                <w:color w:val="auto"/>
              </w:rPr>
              <w:t>Transportation</w:t>
            </w: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center"/>
              <w:ind w:left="701"/>
              <w:spacing w:after="0"/>
              <w:rPr>
                <w:sz w:val="20"/>
                <w:szCs w:val="20"/>
                <w:color w:val="auto"/>
              </w:rPr>
            </w:pPr>
            <w:r>
              <w:rPr>
                <w:rFonts w:ascii="Arial" w:cs="Arial" w:eastAsia="Arial" w:hAnsi="Arial"/>
                <w:sz w:val="14"/>
                <w:szCs w:val="14"/>
                <w:color w:val="auto"/>
              </w:rPr>
              <w:t>Total</w:t>
            </w:r>
          </w:p>
        </w:tc>
        <w:tc>
          <w:tcPr>
            <w:tcW w:w="880" w:type="dxa"/>
            <w:vAlign w:val="bottom"/>
            <w:tcBorders>
              <w:bottom w:val="single" w:sz="8" w:color="auto"/>
            </w:tcBorders>
          </w:tcPr>
          <w:p>
            <w:pPr>
              <w:spacing w:after="0"/>
              <w:rPr>
                <w:sz w:val="14"/>
                <w:szCs w:val="14"/>
                <w:color w:val="auto"/>
              </w:rPr>
            </w:pPr>
          </w:p>
        </w:tc>
      </w:tr>
      <w:tr>
        <w:trPr>
          <w:trHeight w:val="156"/>
        </w:trPr>
        <w:tc>
          <w:tcPr>
            <w:tcW w:w="23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Customer class</w:t>
            </w:r>
          </w:p>
        </w:tc>
        <w:tc>
          <w:tcPr>
            <w:tcW w:w="1040" w:type="dxa"/>
            <w:vAlign w:val="bottom"/>
            <w:tcBorders>
              <w:bottom w:val="single" w:sz="8" w:color="auto"/>
            </w:tcBorders>
          </w:tcPr>
          <w:p>
            <w:pPr>
              <w:jc w:val="right"/>
              <w:ind w:right="161"/>
              <w:spacing w:after="0" w:line="155" w:lineRule="exact"/>
              <w:rPr>
                <w:sz w:val="20"/>
                <w:szCs w:val="20"/>
                <w:color w:val="auto"/>
              </w:rPr>
            </w:pPr>
            <w:r>
              <w:rPr>
                <w:rFonts w:ascii="Arial" w:cs="Arial" w:eastAsia="Arial" w:hAnsi="Arial"/>
                <w:sz w:val="14"/>
                <w:szCs w:val="14"/>
                <w:color w:val="auto"/>
              </w:rPr>
              <w:t>Volumes</w:t>
            </w: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00"/>
              <w:spacing w:after="0" w:line="155" w:lineRule="exact"/>
              <w:rPr>
                <w:sz w:val="20"/>
                <w:szCs w:val="20"/>
                <w:color w:val="auto"/>
              </w:rPr>
            </w:pPr>
            <w:r>
              <w:rPr>
                <w:rFonts w:ascii="Arial" w:cs="Arial" w:eastAsia="Arial" w:hAnsi="Arial"/>
                <w:sz w:val="14"/>
                <w:szCs w:val="14"/>
                <w:color w:val="auto"/>
              </w:rPr>
              <w:t>Revenue</w:t>
            </w:r>
          </w:p>
        </w:tc>
        <w:tc>
          <w:tcPr>
            <w:tcW w:w="920" w:type="dxa"/>
            <w:vAlign w:val="bottom"/>
            <w:tcBorders>
              <w:bottom w:val="single" w:sz="8" w:color="auto"/>
            </w:tcBorders>
          </w:tcPr>
          <w:p>
            <w:pPr>
              <w:jc w:val="right"/>
              <w:ind w:right="141"/>
              <w:spacing w:after="0" w:line="155" w:lineRule="exact"/>
              <w:rPr>
                <w:sz w:val="20"/>
                <w:szCs w:val="20"/>
                <w:color w:val="auto"/>
              </w:rPr>
            </w:pPr>
            <w:r>
              <w:rPr>
                <w:rFonts w:ascii="Arial" w:cs="Arial" w:eastAsia="Arial" w:hAnsi="Arial"/>
                <w:sz w:val="14"/>
                <w:szCs w:val="14"/>
                <w:color w:val="auto"/>
              </w:rPr>
              <w:t>Volumes</w:t>
            </w: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Revenue</w:t>
            </w:r>
          </w:p>
        </w:tc>
        <w:tc>
          <w:tcPr>
            <w:tcW w:w="3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161"/>
              <w:spacing w:after="0" w:line="155" w:lineRule="exact"/>
              <w:rPr>
                <w:sz w:val="20"/>
                <w:szCs w:val="20"/>
                <w:color w:val="auto"/>
              </w:rPr>
            </w:pPr>
            <w:r>
              <w:rPr>
                <w:rFonts w:ascii="Arial" w:cs="Arial" w:eastAsia="Arial" w:hAnsi="Arial"/>
                <w:sz w:val="14"/>
                <w:szCs w:val="14"/>
                <w:color w:val="auto"/>
              </w:rPr>
              <w:t>Volumes</w:t>
            </w: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80"/>
              <w:spacing w:after="0" w:line="155" w:lineRule="exact"/>
              <w:rPr>
                <w:sz w:val="20"/>
                <w:szCs w:val="20"/>
                <w:color w:val="auto"/>
              </w:rPr>
            </w:pPr>
            <w:r>
              <w:rPr>
                <w:rFonts w:ascii="Arial" w:cs="Arial" w:eastAsia="Arial" w:hAnsi="Arial"/>
                <w:sz w:val="14"/>
                <w:szCs w:val="14"/>
                <w:color w:val="auto"/>
              </w:rPr>
              <w:t>Revenue</w:t>
            </w:r>
          </w:p>
        </w:tc>
      </w:tr>
      <w:tr>
        <w:trPr>
          <w:trHeight w:val="184"/>
        </w:trPr>
        <w:tc>
          <w:tcPr>
            <w:tcW w:w="2340" w:type="dxa"/>
            <w:vAlign w:val="bottom"/>
          </w:tcPr>
          <w:p>
            <w:pPr>
              <w:spacing w:after="0"/>
              <w:rPr>
                <w:sz w:val="20"/>
                <w:szCs w:val="20"/>
                <w:color w:val="auto"/>
              </w:rPr>
            </w:pPr>
            <w:r>
              <w:rPr>
                <w:rFonts w:ascii="Arial" w:cs="Arial" w:eastAsia="Arial" w:hAnsi="Arial"/>
                <w:sz w:val="16"/>
                <w:szCs w:val="16"/>
                <w:color w:val="auto"/>
              </w:rPr>
              <w:t>2010:</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9"/>
        </w:trPr>
        <w:tc>
          <w:tcPr>
            <w:tcW w:w="2340" w:type="dxa"/>
            <w:vAlign w:val="bottom"/>
          </w:tcPr>
          <w:p>
            <w:pPr>
              <w:ind w:left="180"/>
              <w:spacing w:after="0"/>
              <w:rPr>
                <w:sz w:val="20"/>
                <w:szCs w:val="20"/>
                <w:color w:val="auto"/>
              </w:rPr>
            </w:pPr>
            <w:r>
              <w:rPr>
                <w:rFonts w:ascii="Arial" w:cs="Arial" w:eastAsia="Arial" w:hAnsi="Arial"/>
                <w:sz w:val="16"/>
                <w:szCs w:val="16"/>
                <w:color w:val="auto"/>
              </w:rPr>
              <w:t>Residential</w:t>
            </w:r>
          </w:p>
        </w:tc>
        <w:tc>
          <w:tcPr>
            <w:tcW w:w="1040" w:type="dxa"/>
            <w:vAlign w:val="bottom"/>
          </w:tcPr>
          <w:p>
            <w:pPr>
              <w:jc w:val="right"/>
              <w:spacing w:after="0"/>
              <w:rPr>
                <w:sz w:val="20"/>
                <w:szCs w:val="20"/>
                <w:color w:val="auto"/>
              </w:rPr>
            </w:pPr>
            <w:r>
              <w:rPr>
                <w:rFonts w:ascii="Arial" w:cs="Arial" w:eastAsia="Arial" w:hAnsi="Arial"/>
                <w:sz w:val="16"/>
                <w:szCs w:val="16"/>
                <w:color w:val="auto"/>
              </w:rPr>
              <w:t>12</w:t>
            </w:r>
          </w:p>
        </w:tc>
        <w:tc>
          <w:tcPr>
            <w:tcW w:w="20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135</w:t>
            </w:r>
          </w:p>
        </w:tc>
        <w:tc>
          <w:tcPr>
            <w:tcW w:w="1860" w:type="dxa"/>
            <w:vAlign w:val="bottom"/>
            <w:gridSpan w:val="2"/>
          </w:tcPr>
          <w:p>
            <w:pPr>
              <w:jc w:val="right"/>
              <w:ind w:right="742"/>
              <w:spacing w:after="0"/>
              <w:rPr>
                <w:sz w:val="20"/>
                <w:szCs w:val="20"/>
                <w:color w:val="auto"/>
              </w:rPr>
            </w:pPr>
            <w:r>
              <w:rPr>
                <w:rFonts w:ascii="Arial" w:cs="Arial" w:eastAsia="Arial" w:hAnsi="Arial"/>
                <w:sz w:val="16"/>
                <w:szCs w:val="16"/>
                <w:color w:val="auto"/>
              </w:rPr>
              <w:t>- $</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w:t>
            </w:r>
          </w:p>
        </w:tc>
        <w:tc>
          <w:tcPr>
            <w:tcW w:w="240" w:type="dxa"/>
            <w:vAlign w:val="bottom"/>
          </w:tcPr>
          <w:p>
            <w:pPr>
              <w:jc w:val="center"/>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135</w:t>
            </w:r>
          </w:p>
        </w:tc>
      </w:tr>
      <w:tr>
        <w:trPr>
          <w:trHeight w:val="189"/>
        </w:trPr>
        <w:tc>
          <w:tcPr>
            <w:tcW w:w="2340" w:type="dxa"/>
            <w:vAlign w:val="bottom"/>
          </w:tcPr>
          <w:p>
            <w:pPr>
              <w:ind w:left="180"/>
              <w:spacing w:after="0"/>
              <w:rPr>
                <w:sz w:val="20"/>
                <w:szCs w:val="20"/>
                <w:color w:val="auto"/>
              </w:rPr>
            </w:pPr>
            <w:r>
              <w:rPr>
                <w:rFonts w:ascii="Arial" w:cs="Arial" w:eastAsia="Arial" w:hAnsi="Arial"/>
                <w:sz w:val="16"/>
                <w:szCs w:val="16"/>
                <w:color w:val="auto"/>
              </w:rPr>
              <w:t>Commercial and industrial</w:t>
            </w:r>
          </w:p>
        </w:tc>
        <w:tc>
          <w:tcPr>
            <w:tcW w:w="1040" w:type="dxa"/>
            <w:vAlign w:val="bottom"/>
          </w:tcPr>
          <w:p>
            <w:pPr>
              <w:jc w:val="right"/>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16"/>
                <w:szCs w:val="16"/>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36</w:t>
            </w: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c>
          <w:tcPr>
            <w:tcW w:w="940" w:type="dxa"/>
            <w:vAlign w:val="bottom"/>
          </w:tcPr>
          <w:p>
            <w:pPr>
              <w:spacing w:after="0"/>
              <w:rPr>
                <w:sz w:val="16"/>
                <w:szCs w:val="16"/>
                <w:color w:val="auto"/>
              </w:rPr>
            </w:pP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3</w:t>
            </w: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187"/>
        </w:trPr>
        <w:tc>
          <w:tcPr>
            <w:tcW w:w="2340" w:type="dxa"/>
            <w:vAlign w:val="bottom"/>
          </w:tcPr>
          <w:p>
            <w:pPr>
              <w:ind w:left="180"/>
              <w:spacing w:after="0"/>
              <w:rPr>
                <w:sz w:val="20"/>
                <w:szCs w:val="20"/>
                <w:color w:val="auto"/>
              </w:rPr>
            </w:pPr>
            <w:r>
              <w:rPr>
                <w:rFonts w:ascii="Arial" w:cs="Arial" w:eastAsia="Arial" w:hAnsi="Arial"/>
                <w:sz w:val="16"/>
                <w:szCs w:val="16"/>
                <w:color w:val="auto"/>
              </w:rPr>
              <w:t>Electric generation plants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9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184"/>
        </w:trPr>
        <w:tc>
          <w:tcPr>
            <w:tcW w:w="23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w:t>
            </w:r>
          </w:p>
        </w:tc>
        <w:tc>
          <w:tcPr>
            <w:tcW w:w="20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171</w:t>
            </w:r>
          </w:p>
        </w:tc>
        <w:tc>
          <w:tcPr>
            <w:tcW w:w="920" w:type="dxa"/>
            <w:vAlign w:val="bottom"/>
          </w:tcPr>
          <w:p>
            <w:pPr>
              <w:jc w:val="right"/>
              <w:spacing w:after="0"/>
              <w:rPr>
                <w:sz w:val="20"/>
                <w:szCs w:val="20"/>
                <w:color w:val="auto"/>
              </w:rPr>
            </w:pPr>
            <w:r>
              <w:rPr>
                <w:rFonts w:ascii="Arial" w:cs="Arial" w:eastAsia="Arial" w:hAnsi="Arial"/>
                <w:sz w:val="16"/>
                <w:szCs w:val="16"/>
                <w:color w:val="auto"/>
              </w:rPr>
              <w:t>8</w:t>
            </w:r>
          </w:p>
        </w:tc>
        <w:tc>
          <w:tcPr>
            <w:tcW w:w="940" w:type="dxa"/>
            <w:vAlign w:val="bottom"/>
          </w:tcPr>
          <w:p>
            <w:pPr>
              <w:jc w:val="right"/>
              <w:ind w:right="742"/>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5</w:t>
            </w:r>
          </w:p>
        </w:tc>
        <w:tc>
          <w:tcPr>
            <w:tcW w:w="940" w:type="dxa"/>
            <w:vAlign w:val="bottom"/>
          </w:tcPr>
          <w:p>
            <w:pPr>
              <w:jc w:val="right"/>
              <w:spacing w:after="0"/>
              <w:rPr>
                <w:sz w:val="20"/>
                <w:szCs w:val="20"/>
                <w:color w:val="auto"/>
              </w:rPr>
            </w:pPr>
            <w:r>
              <w:rPr>
                <w:rFonts w:ascii="Arial" w:cs="Arial" w:eastAsia="Arial" w:hAnsi="Arial"/>
                <w:sz w:val="16"/>
                <w:szCs w:val="16"/>
                <w:color w:val="auto"/>
              </w:rPr>
              <w:t>24</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176</w:t>
            </w:r>
          </w:p>
        </w:tc>
      </w:tr>
      <w:tr>
        <w:trPr>
          <w:trHeight w:val="189"/>
        </w:trPr>
        <w:tc>
          <w:tcPr>
            <w:tcW w:w="2340" w:type="dxa"/>
            <w:vAlign w:val="bottom"/>
          </w:tcPr>
          <w:p>
            <w:pPr>
              <w:ind w:left="180"/>
              <w:spacing w:after="0"/>
              <w:rPr>
                <w:sz w:val="20"/>
                <w:szCs w:val="20"/>
                <w:color w:val="auto"/>
              </w:rPr>
            </w:pPr>
            <w:r>
              <w:rPr>
                <w:rFonts w:ascii="Arial" w:cs="Arial" w:eastAsia="Arial" w:hAnsi="Arial"/>
                <w:sz w:val="16"/>
                <w:szCs w:val="16"/>
                <w:color w:val="auto"/>
              </w:rPr>
              <w:t>Other revenues</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187"/>
        </w:trPr>
        <w:tc>
          <w:tcPr>
            <w:tcW w:w="2340" w:type="dxa"/>
            <w:vAlign w:val="bottom"/>
          </w:tcPr>
          <w:p>
            <w:pPr>
              <w:ind w:left="180"/>
              <w:spacing w:after="0"/>
              <w:rPr>
                <w:sz w:val="20"/>
                <w:szCs w:val="20"/>
                <w:color w:val="auto"/>
              </w:rPr>
            </w:pPr>
            <w:r>
              <w:rPr>
                <w:rFonts w:ascii="Arial" w:cs="Arial" w:eastAsia="Arial" w:hAnsi="Arial"/>
                <w:sz w:val="16"/>
                <w:szCs w:val="16"/>
                <w:color w:val="auto"/>
              </w:rPr>
              <w:t>Balancing accounts</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183"/>
        </w:trPr>
        <w:tc>
          <w:tcPr>
            <w:tcW w:w="2340" w:type="dxa"/>
            <w:vAlign w:val="bottom"/>
          </w:tcPr>
          <w:p>
            <w:pPr>
              <w:ind w:left="360"/>
              <w:spacing w:after="0" w:line="183" w:lineRule="exact"/>
              <w:rPr>
                <w:sz w:val="20"/>
                <w:szCs w:val="20"/>
                <w:color w:val="auto"/>
              </w:rPr>
            </w:pPr>
            <w:r>
              <w:rPr>
                <w:rFonts w:ascii="Arial" w:cs="Arial" w:eastAsia="Arial" w:hAnsi="Arial"/>
                <w:sz w:val="16"/>
                <w:szCs w:val="16"/>
                <w:color w:val="auto"/>
              </w:rPr>
              <w:t>Total</w:t>
            </w: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jc w:val="center"/>
              <w:ind w:right="59"/>
              <w:spacing w:after="0" w:line="183" w:lineRule="exact"/>
              <w:rPr>
                <w:sz w:val="20"/>
                <w:szCs w:val="20"/>
                <w:color w:val="auto"/>
              </w:rPr>
            </w:pPr>
            <w:r>
              <w:rPr>
                <w:rFonts w:ascii="Arial" w:cs="Arial" w:eastAsia="Arial" w:hAnsi="Arial"/>
                <w:sz w:val="16"/>
                <w:szCs w:val="16"/>
                <w:color w:val="auto"/>
              </w:rPr>
              <w:t>$</w:t>
            </w:r>
          </w:p>
        </w:tc>
        <w:tc>
          <w:tcPr>
            <w:tcW w:w="880" w:type="dxa"/>
            <w:vAlign w:val="bottom"/>
          </w:tcPr>
          <w:p>
            <w:pPr>
              <w:jc w:val="right"/>
              <w:spacing w:after="0" w:line="183" w:lineRule="exact"/>
              <w:rPr>
                <w:sz w:val="20"/>
                <w:szCs w:val="20"/>
                <w:color w:val="auto"/>
              </w:rPr>
            </w:pPr>
            <w:r>
              <w:rPr>
                <w:rFonts w:ascii="Arial" w:cs="Arial" w:eastAsia="Arial" w:hAnsi="Arial"/>
                <w:sz w:val="16"/>
                <w:szCs w:val="16"/>
                <w:color w:val="auto"/>
              </w:rPr>
              <w:t>179</w:t>
            </w:r>
          </w:p>
        </w:tc>
      </w:tr>
      <w:tr>
        <w:trPr>
          <w:trHeight w:val="81"/>
        </w:trPr>
        <w:tc>
          <w:tcPr>
            <w:tcW w:w="2340" w:type="dxa"/>
            <w:vAlign w:val="bottom"/>
            <w:shd w:val="clear" w:color="auto" w:fill="000000"/>
          </w:tcPr>
          <w:p>
            <w:pPr>
              <w:spacing w:after="0"/>
              <w:rPr>
                <w:sz w:val="7"/>
                <w:szCs w:val="7"/>
                <w:color w:val="auto"/>
              </w:rPr>
            </w:pPr>
          </w:p>
        </w:tc>
        <w:tc>
          <w:tcPr>
            <w:tcW w:w="1040" w:type="dxa"/>
            <w:vAlign w:val="bottom"/>
            <w:shd w:val="clear" w:color="auto" w:fill="000000"/>
          </w:tcPr>
          <w:p>
            <w:pPr>
              <w:spacing w:after="0"/>
              <w:rPr>
                <w:sz w:val="7"/>
                <w:szCs w:val="7"/>
                <w:color w:val="auto"/>
              </w:rPr>
            </w:pPr>
          </w:p>
        </w:tc>
        <w:tc>
          <w:tcPr>
            <w:tcW w:w="200" w:type="dxa"/>
            <w:vAlign w:val="bottom"/>
            <w:shd w:val="clear" w:color="auto" w:fill="000000"/>
          </w:tcPr>
          <w:p>
            <w:pPr>
              <w:spacing w:after="0"/>
              <w:rPr>
                <w:sz w:val="7"/>
                <w:szCs w:val="7"/>
                <w:color w:val="auto"/>
              </w:rPr>
            </w:pPr>
          </w:p>
        </w:tc>
        <w:tc>
          <w:tcPr>
            <w:tcW w:w="1040" w:type="dxa"/>
            <w:vAlign w:val="bottom"/>
            <w:shd w:val="clear" w:color="auto" w:fill="000000"/>
          </w:tcPr>
          <w:p>
            <w:pPr>
              <w:spacing w:after="0"/>
              <w:rPr>
                <w:sz w:val="7"/>
                <w:szCs w:val="7"/>
                <w:color w:val="auto"/>
              </w:rPr>
            </w:pPr>
          </w:p>
        </w:tc>
        <w:tc>
          <w:tcPr>
            <w:tcW w:w="920" w:type="dxa"/>
            <w:vAlign w:val="bottom"/>
            <w:shd w:val="clear" w:color="auto" w:fill="000000"/>
          </w:tcPr>
          <w:p>
            <w:pPr>
              <w:spacing w:after="0"/>
              <w:rPr>
                <w:sz w:val="7"/>
                <w:szCs w:val="7"/>
                <w:color w:val="auto"/>
              </w:rPr>
            </w:pPr>
          </w:p>
        </w:tc>
        <w:tc>
          <w:tcPr>
            <w:tcW w:w="94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940" w:type="dxa"/>
            <w:vAlign w:val="bottom"/>
            <w:shd w:val="clear" w:color="auto" w:fill="000000"/>
          </w:tcPr>
          <w:p>
            <w:pPr>
              <w:spacing w:after="0"/>
              <w:rPr>
                <w:sz w:val="7"/>
                <w:szCs w:val="7"/>
                <w:color w:val="auto"/>
              </w:rPr>
            </w:pPr>
          </w:p>
        </w:tc>
        <w:tc>
          <w:tcPr>
            <w:tcW w:w="24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r>
      <w:tr>
        <w:trPr>
          <w:trHeight w:val="191"/>
        </w:trPr>
        <w:tc>
          <w:tcPr>
            <w:tcW w:w="2340" w:type="dxa"/>
            <w:vAlign w:val="bottom"/>
          </w:tcPr>
          <w:p>
            <w:pPr>
              <w:spacing w:after="0"/>
              <w:rPr>
                <w:sz w:val="20"/>
                <w:szCs w:val="20"/>
                <w:color w:val="auto"/>
              </w:rPr>
            </w:pPr>
            <w:r>
              <w:rPr>
                <w:rFonts w:ascii="Arial" w:cs="Arial" w:eastAsia="Arial" w:hAnsi="Arial"/>
                <w:sz w:val="16"/>
                <w:szCs w:val="16"/>
                <w:color w:val="auto"/>
              </w:rPr>
              <w:t>2009:</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9"/>
        </w:trPr>
        <w:tc>
          <w:tcPr>
            <w:tcW w:w="2340" w:type="dxa"/>
            <w:vAlign w:val="bottom"/>
          </w:tcPr>
          <w:p>
            <w:pPr>
              <w:ind w:left="180"/>
              <w:spacing w:after="0"/>
              <w:rPr>
                <w:sz w:val="20"/>
                <w:szCs w:val="20"/>
                <w:color w:val="auto"/>
              </w:rPr>
            </w:pPr>
            <w:r>
              <w:rPr>
                <w:rFonts w:ascii="Arial" w:cs="Arial" w:eastAsia="Arial" w:hAnsi="Arial"/>
                <w:sz w:val="16"/>
                <w:szCs w:val="16"/>
                <w:color w:val="auto"/>
              </w:rPr>
              <w:t>Residential</w:t>
            </w:r>
          </w:p>
        </w:tc>
        <w:tc>
          <w:tcPr>
            <w:tcW w:w="1040" w:type="dxa"/>
            <w:vAlign w:val="bottom"/>
          </w:tcPr>
          <w:p>
            <w:pPr>
              <w:jc w:val="right"/>
              <w:spacing w:after="0"/>
              <w:rPr>
                <w:sz w:val="20"/>
                <w:szCs w:val="20"/>
                <w:color w:val="auto"/>
              </w:rPr>
            </w:pPr>
            <w:r>
              <w:rPr>
                <w:rFonts w:ascii="Arial" w:cs="Arial" w:eastAsia="Arial" w:hAnsi="Arial"/>
                <w:sz w:val="16"/>
                <w:szCs w:val="16"/>
                <w:color w:val="auto"/>
              </w:rPr>
              <w:t>11</w:t>
            </w:r>
          </w:p>
        </w:tc>
        <w:tc>
          <w:tcPr>
            <w:tcW w:w="20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127</w:t>
            </w:r>
          </w:p>
        </w:tc>
        <w:tc>
          <w:tcPr>
            <w:tcW w:w="1860" w:type="dxa"/>
            <w:vAlign w:val="bottom"/>
            <w:gridSpan w:val="2"/>
          </w:tcPr>
          <w:p>
            <w:pPr>
              <w:jc w:val="right"/>
              <w:ind w:right="742"/>
              <w:spacing w:after="0"/>
              <w:rPr>
                <w:sz w:val="20"/>
                <w:szCs w:val="20"/>
                <w:color w:val="auto"/>
              </w:rPr>
            </w:pPr>
            <w:r>
              <w:rPr>
                <w:rFonts w:ascii="Arial" w:cs="Arial" w:eastAsia="Arial" w:hAnsi="Arial"/>
                <w:sz w:val="16"/>
                <w:szCs w:val="16"/>
                <w:color w:val="auto"/>
              </w:rPr>
              <w:t>- $</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w:t>
            </w:r>
          </w:p>
        </w:tc>
        <w:tc>
          <w:tcPr>
            <w:tcW w:w="240" w:type="dxa"/>
            <w:vAlign w:val="bottom"/>
          </w:tcPr>
          <w:p>
            <w:pPr>
              <w:jc w:val="center"/>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127</w:t>
            </w:r>
          </w:p>
        </w:tc>
      </w:tr>
      <w:tr>
        <w:trPr>
          <w:trHeight w:val="189"/>
        </w:trPr>
        <w:tc>
          <w:tcPr>
            <w:tcW w:w="2340" w:type="dxa"/>
            <w:vAlign w:val="bottom"/>
          </w:tcPr>
          <w:p>
            <w:pPr>
              <w:ind w:left="180"/>
              <w:spacing w:after="0"/>
              <w:rPr>
                <w:sz w:val="20"/>
                <w:szCs w:val="20"/>
                <w:color w:val="auto"/>
              </w:rPr>
            </w:pPr>
            <w:r>
              <w:rPr>
                <w:rFonts w:ascii="Arial" w:cs="Arial" w:eastAsia="Arial" w:hAnsi="Arial"/>
                <w:sz w:val="16"/>
                <w:szCs w:val="16"/>
                <w:color w:val="auto"/>
              </w:rPr>
              <w:t>Commercial and industrial</w:t>
            </w:r>
          </w:p>
        </w:tc>
        <w:tc>
          <w:tcPr>
            <w:tcW w:w="1040" w:type="dxa"/>
            <w:vAlign w:val="bottom"/>
          </w:tcPr>
          <w:p>
            <w:pPr>
              <w:jc w:val="right"/>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16"/>
                <w:szCs w:val="16"/>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37</w:t>
            </w: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c>
          <w:tcPr>
            <w:tcW w:w="940" w:type="dxa"/>
            <w:vAlign w:val="bottom"/>
          </w:tcPr>
          <w:p>
            <w:pPr>
              <w:spacing w:after="0"/>
              <w:rPr>
                <w:sz w:val="16"/>
                <w:szCs w:val="16"/>
                <w:color w:val="auto"/>
              </w:rPr>
            </w:pP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3</w:t>
            </w: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187"/>
        </w:trPr>
        <w:tc>
          <w:tcPr>
            <w:tcW w:w="2340" w:type="dxa"/>
            <w:vAlign w:val="bottom"/>
          </w:tcPr>
          <w:p>
            <w:pPr>
              <w:ind w:left="180"/>
              <w:spacing w:after="0"/>
              <w:rPr>
                <w:sz w:val="20"/>
                <w:szCs w:val="20"/>
                <w:color w:val="auto"/>
              </w:rPr>
            </w:pPr>
            <w:r>
              <w:rPr>
                <w:rFonts w:ascii="Arial" w:cs="Arial" w:eastAsia="Arial" w:hAnsi="Arial"/>
                <w:sz w:val="16"/>
                <w:szCs w:val="16"/>
                <w:color w:val="auto"/>
              </w:rPr>
              <w:t>Electric generation plants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9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184"/>
        </w:trPr>
        <w:tc>
          <w:tcPr>
            <w:tcW w:w="23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w:t>
            </w:r>
          </w:p>
        </w:tc>
        <w:tc>
          <w:tcPr>
            <w:tcW w:w="20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164</w:t>
            </w:r>
          </w:p>
        </w:tc>
        <w:tc>
          <w:tcPr>
            <w:tcW w:w="920" w:type="dxa"/>
            <w:vAlign w:val="bottom"/>
          </w:tcPr>
          <w:p>
            <w:pPr>
              <w:jc w:val="right"/>
              <w:spacing w:after="0"/>
              <w:rPr>
                <w:sz w:val="20"/>
                <w:szCs w:val="20"/>
                <w:color w:val="auto"/>
              </w:rPr>
            </w:pPr>
            <w:r>
              <w:rPr>
                <w:rFonts w:ascii="Arial" w:cs="Arial" w:eastAsia="Arial" w:hAnsi="Arial"/>
                <w:sz w:val="16"/>
                <w:szCs w:val="16"/>
                <w:color w:val="auto"/>
              </w:rPr>
              <w:t>19</w:t>
            </w:r>
          </w:p>
        </w:tc>
        <w:tc>
          <w:tcPr>
            <w:tcW w:w="940" w:type="dxa"/>
            <w:vAlign w:val="bottom"/>
          </w:tcPr>
          <w:p>
            <w:pPr>
              <w:jc w:val="right"/>
              <w:ind w:right="742"/>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8</w:t>
            </w:r>
          </w:p>
        </w:tc>
        <w:tc>
          <w:tcPr>
            <w:tcW w:w="940" w:type="dxa"/>
            <w:vAlign w:val="bottom"/>
          </w:tcPr>
          <w:p>
            <w:pPr>
              <w:jc w:val="right"/>
              <w:spacing w:after="0"/>
              <w:rPr>
                <w:sz w:val="20"/>
                <w:szCs w:val="20"/>
                <w:color w:val="auto"/>
              </w:rPr>
            </w:pPr>
            <w:r>
              <w:rPr>
                <w:rFonts w:ascii="Arial" w:cs="Arial" w:eastAsia="Arial" w:hAnsi="Arial"/>
                <w:sz w:val="16"/>
                <w:szCs w:val="16"/>
                <w:color w:val="auto"/>
              </w:rPr>
              <w:t>35</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172</w:t>
            </w:r>
          </w:p>
        </w:tc>
      </w:tr>
      <w:tr>
        <w:trPr>
          <w:trHeight w:val="189"/>
        </w:trPr>
        <w:tc>
          <w:tcPr>
            <w:tcW w:w="2340" w:type="dxa"/>
            <w:vAlign w:val="bottom"/>
          </w:tcPr>
          <w:p>
            <w:pPr>
              <w:ind w:left="180"/>
              <w:spacing w:after="0"/>
              <w:rPr>
                <w:sz w:val="20"/>
                <w:szCs w:val="20"/>
                <w:color w:val="auto"/>
              </w:rPr>
            </w:pPr>
            <w:r>
              <w:rPr>
                <w:rFonts w:ascii="Arial" w:cs="Arial" w:eastAsia="Arial" w:hAnsi="Arial"/>
                <w:sz w:val="16"/>
                <w:szCs w:val="16"/>
                <w:color w:val="auto"/>
              </w:rPr>
              <w:t>Other revenues</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187"/>
        </w:trPr>
        <w:tc>
          <w:tcPr>
            <w:tcW w:w="2340" w:type="dxa"/>
            <w:vAlign w:val="bottom"/>
          </w:tcPr>
          <w:p>
            <w:pPr>
              <w:ind w:left="180"/>
              <w:spacing w:after="0"/>
              <w:rPr>
                <w:sz w:val="20"/>
                <w:szCs w:val="20"/>
                <w:color w:val="auto"/>
              </w:rPr>
            </w:pPr>
            <w:r>
              <w:rPr>
                <w:rFonts w:ascii="Arial" w:cs="Arial" w:eastAsia="Arial" w:hAnsi="Arial"/>
                <w:sz w:val="16"/>
                <w:szCs w:val="16"/>
                <w:color w:val="auto"/>
              </w:rPr>
              <w:t>Balancing accounts</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183"/>
        </w:trPr>
        <w:tc>
          <w:tcPr>
            <w:tcW w:w="2340" w:type="dxa"/>
            <w:vAlign w:val="bottom"/>
          </w:tcPr>
          <w:p>
            <w:pPr>
              <w:ind w:left="360"/>
              <w:spacing w:after="0" w:line="183" w:lineRule="exact"/>
              <w:rPr>
                <w:sz w:val="20"/>
                <w:szCs w:val="20"/>
                <w:color w:val="auto"/>
              </w:rPr>
            </w:pPr>
            <w:r>
              <w:rPr>
                <w:rFonts w:ascii="Arial" w:cs="Arial" w:eastAsia="Arial" w:hAnsi="Arial"/>
                <w:sz w:val="16"/>
                <w:szCs w:val="16"/>
                <w:color w:val="auto"/>
              </w:rPr>
              <w:t>Total</w:t>
            </w: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jc w:val="center"/>
              <w:ind w:right="59"/>
              <w:spacing w:after="0" w:line="183" w:lineRule="exact"/>
              <w:rPr>
                <w:sz w:val="20"/>
                <w:szCs w:val="20"/>
                <w:color w:val="auto"/>
              </w:rPr>
            </w:pPr>
            <w:r>
              <w:rPr>
                <w:rFonts w:ascii="Arial" w:cs="Arial" w:eastAsia="Arial" w:hAnsi="Arial"/>
                <w:sz w:val="16"/>
                <w:szCs w:val="16"/>
                <w:color w:val="auto"/>
              </w:rPr>
              <w:t>$</w:t>
            </w:r>
          </w:p>
        </w:tc>
        <w:tc>
          <w:tcPr>
            <w:tcW w:w="880" w:type="dxa"/>
            <w:vAlign w:val="bottom"/>
          </w:tcPr>
          <w:p>
            <w:pPr>
              <w:jc w:val="right"/>
              <w:spacing w:after="0" w:line="183" w:lineRule="exact"/>
              <w:rPr>
                <w:sz w:val="20"/>
                <w:szCs w:val="20"/>
                <w:color w:val="auto"/>
              </w:rPr>
            </w:pPr>
            <w:r>
              <w:rPr>
                <w:rFonts w:ascii="Arial" w:cs="Arial" w:eastAsia="Arial" w:hAnsi="Arial"/>
                <w:sz w:val="16"/>
                <w:szCs w:val="16"/>
                <w:color w:val="auto"/>
              </w:rPr>
              <w:t>179</w:t>
            </w:r>
          </w:p>
        </w:tc>
      </w:tr>
      <w:tr>
        <w:trPr>
          <w:trHeight w:val="81"/>
        </w:trPr>
        <w:tc>
          <w:tcPr>
            <w:tcW w:w="2340" w:type="dxa"/>
            <w:vAlign w:val="bottom"/>
            <w:shd w:val="clear" w:color="auto" w:fill="000000"/>
          </w:tcPr>
          <w:p>
            <w:pPr>
              <w:spacing w:after="0"/>
              <w:rPr>
                <w:sz w:val="7"/>
                <w:szCs w:val="7"/>
                <w:color w:val="auto"/>
              </w:rPr>
            </w:pPr>
          </w:p>
        </w:tc>
        <w:tc>
          <w:tcPr>
            <w:tcW w:w="1040" w:type="dxa"/>
            <w:vAlign w:val="bottom"/>
            <w:shd w:val="clear" w:color="auto" w:fill="000000"/>
          </w:tcPr>
          <w:p>
            <w:pPr>
              <w:spacing w:after="0"/>
              <w:rPr>
                <w:sz w:val="7"/>
                <w:szCs w:val="7"/>
                <w:color w:val="auto"/>
              </w:rPr>
            </w:pPr>
          </w:p>
        </w:tc>
        <w:tc>
          <w:tcPr>
            <w:tcW w:w="200" w:type="dxa"/>
            <w:vAlign w:val="bottom"/>
            <w:shd w:val="clear" w:color="auto" w:fill="000000"/>
          </w:tcPr>
          <w:p>
            <w:pPr>
              <w:spacing w:after="0"/>
              <w:rPr>
                <w:sz w:val="7"/>
                <w:szCs w:val="7"/>
                <w:color w:val="auto"/>
              </w:rPr>
            </w:pPr>
          </w:p>
        </w:tc>
        <w:tc>
          <w:tcPr>
            <w:tcW w:w="1040" w:type="dxa"/>
            <w:vAlign w:val="bottom"/>
            <w:shd w:val="clear" w:color="auto" w:fill="000000"/>
          </w:tcPr>
          <w:p>
            <w:pPr>
              <w:spacing w:after="0"/>
              <w:rPr>
                <w:sz w:val="7"/>
                <w:szCs w:val="7"/>
                <w:color w:val="auto"/>
              </w:rPr>
            </w:pPr>
          </w:p>
        </w:tc>
        <w:tc>
          <w:tcPr>
            <w:tcW w:w="920" w:type="dxa"/>
            <w:vAlign w:val="bottom"/>
            <w:shd w:val="clear" w:color="auto" w:fill="000000"/>
          </w:tcPr>
          <w:p>
            <w:pPr>
              <w:spacing w:after="0"/>
              <w:rPr>
                <w:sz w:val="7"/>
                <w:szCs w:val="7"/>
                <w:color w:val="auto"/>
              </w:rPr>
            </w:pPr>
          </w:p>
        </w:tc>
        <w:tc>
          <w:tcPr>
            <w:tcW w:w="94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940" w:type="dxa"/>
            <w:vAlign w:val="bottom"/>
            <w:shd w:val="clear" w:color="auto" w:fill="000000"/>
          </w:tcPr>
          <w:p>
            <w:pPr>
              <w:spacing w:after="0"/>
              <w:rPr>
                <w:sz w:val="7"/>
                <w:szCs w:val="7"/>
                <w:color w:val="auto"/>
              </w:rPr>
            </w:pPr>
          </w:p>
        </w:tc>
        <w:tc>
          <w:tcPr>
            <w:tcW w:w="24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r>
    </w:tbl>
    <w:p>
      <w:pPr>
        <w:spacing w:after="0" w:line="370" w:lineRule="exact"/>
        <w:rPr>
          <w:sz w:val="20"/>
          <w:szCs w:val="20"/>
          <w:color w:val="auto"/>
        </w:rPr>
      </w:pPr>
    </w:p>
    <w:p>
      <w:pPr>
        <w:ind w:right="559"/>
        <w:spacing w:after="0" w:line="226" w:lineRule="auto"/>
        <w:rPr>
          <w:sz w:val="20"/>
          <w:szCs w:val="20"/>
          <w:color w:val="auto"/>
        </w:rPr>
      </w:pPr>
      <w:r>
        <w:rPr>
          <w:rFonts w:ascii="Arial" w:cs="Arial" w:eastAsia="Arial" w:hAnsi="Arial"/>
          <w:sz w:val="21"/>
          <w:szCs w:val="21"/>
          <w:color w:val="auto"/>
        </w:rPr>
        <w:t>During the three months ended March 31, 2010, SDG&amp;E's natural gas revenues remained the same, while the cost of natural gas increased by $2 million (2%) to $89 million compared with the corresponding period in 2009. The average cost of natural gas for the three months ended March 31, 2010 was $5.50 per thousand cubic feet (Mcf) compared to $5.25 per Mcf for the corresponding period in 2009, a 5-percent increase of $0.25 per Mcf, resulting in higher revenues and cost of $4 million.</w:t>
      </w:r>
    </w:p>
    <w:p>
      <w:pPr>
        <w:sectPr>
          <w:pgSz w:w="11900" w:h="16838" w:orient="portrait"/>
          <w:cols w:equalWidth="0" w:num="1">
            <w:col w:w="10219"/>
          </w:cols>
          <w:pgMar w:left="240" w:top="378" w:right="1440" w:bottom="1440" w:gutter="0" w:footer="0" w:header="0"/>
        </w:sectPr>
      </w:pPr>
    </w:p>
    <w:bookmarkStart w:id="71" w:name="page72"/>
    <w:bookmarkEnd w:id="71"/>
    <w:p>
      <w:pPr>
        <w:spacing w:after="0"/>
        <w:rPr>
          <w:sz w:val="20"/>
          <w:szCs w:val="20"/>
          <w:color w:val="auto"/>
        </w:rPr>
      </w:pPr>
      <w:r>
        <w:rPr>
          <w:rFonts w:ascii="Arial" w:cs="Arial" w:eastAsia="Arial" w:hAnsi="Arial"/>
          <w:sz w:val="16"/>
          <w:szCs w:val="16"/>
          <w:b w:val="1"/>
          <w:bCs w:val="1"/>
          <w:color w:val="auto"/>
        </w:rPr>
        <w:t>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5934710" cy="3517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934710" cy="3517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NATURAL GAS SALES AND TRANSPORTATION</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(Volumes in billion cubic feet, dollars in millions)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22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color w:val="auto"/>
              </w:rPr>
              <w:t>Natural Gas Sales</w:t>
            </w:r>
          </w:p>
        </w:tc>
        <w:tc>
          <w:tcPr>
            <w:tcW w:w="1840" w:type="dxa"/>
            <w:vAlign w:val="bottom"/>
            <w:tcBorders>
              <w:bottom w:val="single" w:sz="8" w:color="auto"/>
            </w:tcBorders>
            <w:gridSpan w:val="2"/>
          </w:tcPr>
          <w:p>
            <w:pPr>
              <w:jc w:val="right"/>
              <w:ind w:right="301"/>
              <w:spacing w:after="0"/>
              <w:rPr>
                <w:sz w:val="20"/>
                <w:szCs w:val="20"/>
                <w:color w:val="auto"/>
              </w:rPr>
            </w:pPr>
            <w:r>
              <w:rPr>
                <w:rFonts w:ascii="Arial" w:cs="Arial" w:eastAsia="Arial" w:hAnsi="Arial"/>
                <w:sz w:val="14"/>
                <w:szCs w:val="14"/>
                <w:color w:val="auto"/>
              </w:rPr>
              <w:t>Transportation</w:t>
            </w: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center"/>
              <w:ind w:left="720"/>
              <w:spacing w:after="0"/>
              <w:rPr>
                <w:sz w:val="20"/>
                <w:szCs w:val="20"/>
                <w:color w:val="auto"/>
              </w:rPr>
            </w:pPr>
            <w:r>
              <w:rPr>
                <w:rFonts w:ascii="Arial" w:cs="Arial" w:eastAsia="Arial" w:hAnsi="Arial"/>
                <w:sz w:val="14"/>
                <w:szCs w:val="14"/>
                <w:color w:val="auto"/>
                <w:w w:val="96"/>
              </w:rPr>
              <w:t>Total</w:t>
            </w:r>
          </w:p>
        </w:tc>
        <w:tc>
          <w:tcPr>
            <w:tcW w:w="900" w:type="dxa"/>
            <w:vAlign w:val="bottom"/>
            <w:tcBorders>
              <w:bottom w:val="single" w:sz="8" w:color="auto"/>
            </w:tcBorders>
          </w:tcPr>
          <w:p>
            <w:pPr>
              <w:spacing w:after="0"/>
              <w:rPr>
                <w:sz w:val="14"/>
                <w:szCs w:val="14"/>
                <w:color w:val="auto"/>
              </w:rPr>
            </w:pPr>
          </w:p>
        </w:tc>
      </w:tr>
      <w:tr>
        <w:trPr>
          <w:trHeight w:val="156"/>
        </w:trPr>
        <w:tc>
          <w:tcPr>
            <w:tcW w:w="28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Customer class</w:t>
            </w:r>
          </w:p>
        </w:tc>
        <w:tc>
          <w:tcPr>
            <w:tcW w:w="1020" w:type="dxa"/>
            <w:vAlign w:val="bottom"/>
            <w:tcBorders>
              <w:bottom w:val="single" w:sz="8" w:color="auto"/>
            </w:tcBorders>
          </w:tcPr>
          <w:p>
            <w:pPr>
              <w:jc w:val="right"/>
              <w:ind w:right="140"/>
              <w:spacing w:after="0" w:line="155" w:lineRule="exact"/>
              <w:rPr>
                <w:sz w:val="20"/>
                <w:szCs w:val="20"/>
                <w:color w:val="auto"/>
              </w:rPr>
            </w:pPr>
            <w:r>
              <w:rPr>
                <w:rFonts w:ascii="Arial" w:cs="Arial" w:eastAsia="Arial" w:hAnsi="Arial"/>
                <w:sz w:val="14"/>
                <w:szCs w:val="14"/>
                <w:color w:val="auto"/>
              </w:rPr>
              <w:t>Volumes</w:t>
            </w: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280"/>
              <w:spacing w:after="0" w:line="155" w:lineRule="exact"/>
              <w:rPr>
                <w:sz w:val="20"/>
                <w:szCs w:val="20"/>
                <w:color w:val="auto"/>
              </w:rPr>
            </w:pPr>
            <w:r>
              <w:rPr>
                <w:rFonts w:ascii="Arial" w:cs="Arial" w:eastAsia="Arial" w:hAnsi="Arial"/>
                <w:sz w:val="14"/>
                <w:szCs w:val="14"/>
                <w:color w:val="auto"/>
              </w:rPr>
              <w:t>Revenue</w:t>
            </w:r>
          </w:p>
        </w:tc>
        <w:tc>
          <w:tcPr>
            <w:tcW w:w="940" w:type="dxa"/>
            <w:vAlign w:val="bottom"/>
            <w:tcBorders>
              <w:bottom w:val="single" w:sz="8" w:color="auto"/>
            </w:tcBorders>
          </w:tcPr>
          <w:p>
            <w:pPr>
              <w:jc w:val="right"/>
              <w:ind w:right="160"/>
              <w:spacing w:after="0" w:line="155" w:lineRule="exact"/>
              <w:rPr>
                <w:sz w:val="20"/>
                <w:szCs w:val="20"/>
                <w:color w:val="auto"/>
              </w:rPr>
            </w:pPr>
            <w:r>
              <w:rPr>
                <w:rFonts w:ascii="Arial" w:cs="Arial" w:eastAsia="Arial" w:hAnsi="Arial"/>
                <w:sz w:val="14"/>
                <w:szCs w:val="14"/>
                <w:color w:val="auto"/>
              </w:rPr>
              <w:t>Volumes</w:t>
            </w: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Revenue</w:t>
            </w:r>
          </w:p>
        </w:tc>
        <w:tc>
          <w:tcPr>
            <w:tcW w:w="3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180"/>
              <w:spacing w:after="0" w:line="155" w:lineRule="exact"/>
              <w:rPr>
                <w:sz w:val="20"/>
                <w:szCs w:val="20"/>
                <w:color w:val="auto"/>
              </w:rPr>
            </w:pPr>
            <w:r>
              <w:rPr>
                <w:rFonts w:ascii="Arial" w:cs="Arial" w:eastAsia="Arial" w:hAnsi="Arial"/>
                <w:sz w:val="14"/>
                <w:szCs w:val="14"/>
                <w:color w:val="auto"/>
              </w:rPr>
              <w:t>Volumes</w:t>
            </w: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00"/>
              <w:spacing w:after="0" w:line="155" w:lineRule="exact"/>
              <w:rPr>
                <w:sz w:val="20"/>
                <w:szCs w:val="20"/>
                <w:color w:val="auto"/>
              </w:rPr>
            </w:pPr>
            <w:r>
              <w:rPr>
                <w:rFonts w:ascii="Arial" w:cs="Arial" w:eastAsia="Arial" w:hAnsi="Arial"/>
                <w:sz w:val="14"/>
                <w:szCs w:val="14"/>
                <w:color w:val="auto"/>
              </w:rPr>
              <w:t>Revenue</w:t>
            </w:r>
          </w:p>
        </w:tc>
      </w:tr>
      <w:tr>
        <w:trPr>
          <w:trHeight w:val="184"/>
        </w:trPr>
        <w:tc>
          <w:tcPr>
            <w:tcW w:w="2840" w:type="dxa"/>
            <w:vAlign w:val="bottom"/>
          </w:tcPr>
          <w:p>
            <w:pPr>
              <w:spacing w:after="0"/>
              <w:rPr>
                <w:sz w:val="20"/>
                <w:szCs w:val="20"/>
                <w:color w:val="auto"/>
              </w:rPr>
            </w:pPr>
            <w:r>
              <w:rPr>
                <w:rFonts w:ascii="Arial" w:cs="Arial" w:eastAsia="Arial" w:hAnsi="Arial"/>
                <w:sz w:val="16"/>
                <w:szCs w:val="16"/>
                <w:color w:val="auto"/>
              </w:rPr>
              <w:t>2010:</w:t>
            </w: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9"/>
        </w:trPr>
        <w:tc>
          <w:tcPr>
            <w:tcW w:w="2840" w:type="dxa"/>
            <w:vAlign w:val="bottom"/>
          </w:tcPr>
          <w:p>
            <w:pPr>
              <w:ind w:left="180"/>
              <w:spacing w:after="0"/>
              <w:rPr>
                <w:sz w:val="20"/>
                <w:szCs w:val="20"/>
                <w:color w:val="auto"/>
              </w:rPr>
            </w:pPr>
            <w:r>
              <w:rPr>
                <w:rFonts w:ascii="Arial" w:cs="Arial" w:eastAsia="Arial" w:hAnsi="Arial"/>
                <w:sz w:val="16"/>
                <w:szCs w:val="16"/>
                <w:color w:val="auto"/>
              </w:rPr>
              <w:t>Residential</w:t>
            </w:r>
          </w:p>
        </w:tc>
        <w:tc>
          <w:tcPr>
            <w:tcW w:w="1020" w:type="dxa"/>
            <w:vAlign w:val="bottom"/>
          </w:tcPr>
          <w:p>
            <w:pPr>
              <w:jc w:val="right"/>
              <w:spacing w:after="0"/>
              <w:rPr>
                <w:sz w:val="20"/>
                <w:szCs w:val="20"/>
                <w:color w:val="auto"/>
              </w:rPr>
            </w:pPr>
            <w:r>
              <w:rPr>
                <w:rFonts w:ascii="Arial" w:cs="Arial" w:eastAsia="Arial" w:hAnsi="Arial"/>
                <w:sz w:val="16"/>
                <w:szCs w:val="16"/>
                <w:color w:val="auto"/>
              </w:rPr>
              <w:t>85</w:t>
            </w:r>
          </w:p>
        </w:tc>
        <w:tc>
          <w:tcPr>
            <w:tcW w:w="200" w:type="dxa"/>
            <w:vAlign w:val="bottom"/>
          </w:tcPr>
          <w:p>
            <w:pPr>
              <w:jc w:val="center"/>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845</w:t>
            </w: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900" w:type="dxa"/>
            <w:vAlign w:val="bottom"/>
          </w:tcPr>
          <w:p>
            <w:pPr>
              <w:jc w:val="right"/>
              <w:ind w:right="721"/>
              <w:spacing w:after="0"/>
              <w:rPr>
                <w:sz w:val="20"/>
                <w:szCs w:val="20"/>
                <w:color w:val="auto"/>
              </w:rPr>
            </w:pPr>
            <w:r>
              <w:rPr>
                <w:rFonts w:ascii="Arial" w:cs="Arial" w:eastAsia="Arial" w:hAnsi="Arial"/>
                <w:sz w:val="16"/>
                <w:szCs w:val="16"/>
                <w:color w:val="auto"/>
                <w:w w:val="89"/>
              </w:rPr>
              <w:t>$</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960" w:type="dxa"/>
            <w:vAlign w:val="bottom"/>
          </w:tcPr>
          <w:p>
            <w:pPr>
              <w:jc w:val="right"/>
              <w:spacing w:after="0"/>
              <w:rPr>
                <w:sz w:val="20"/>
                <w:szCs w:val="20"/>
                <w:color w:val="auto"/>
              </w:rPr>
            </w:pPr>
            <w:r>
              <w:rPr>
                <w:rFonts w:ascii="Arial" w:cs="Arial" w:eastAsia="Arial" w:hAnsi="Arial"/>
                <w:sz w:val="16"/>
                <w:szCs w:val="16"/>
                <w:color w:val="auto"/>
              </w:rPr>
              <w:t>86</w:t>
            </w:r>
          </w:p>
        </w:tc>
        <w:tc>
          <w:tcPr>
            <w:tcW w:w="220" w:type="dxa"/>
            <w:vAlign w:val="bottom"/>
          </w:tcPr>
          <w:p>
            <w:pPr>
              <w:jc w:val="center"/>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846</w:t>
            </w:r>
          </w:p>
        </w:tc>
      </w:tr>
      <w:tr>
        <w:trPr>
          <w:trHeight w:val="189"/>
        </w:trPr>
        <w:tc>
          <w:tcPr>
            <w:tcW w:w="2840" w:type="dxa"/>
            <w:vAlign w:val="bottom"/>
          </w:tcPr>
          <w:p>
            <w:pPr>
              <w:ind w:left="180"/>
              <w:spacing w:after="0"/>
              <w:rPr>
                <w:sz w:val="20"/>
                <w:szCs w:val="20"/>
                <w:color w:val="auto"/>
              </w:rPr>
            </w:pPr>
            <w:r>
              <w:rPr>
                <w:rFonts w:ascii="Arial" w:cs="Arial" w:eastAsia="Arial" w:hAnsi="Arial"/>
                <w:sz w:val="16"/>
                <w:szCs w:val="16"/>
                <w:color w:val="auto"/>
              </w:rPr>
              <w:t>Commercial and industrial</w:t>
            </w:r>
          </w:p>
        </w:tc>
        <w:tc>
          <w:tcPr>
            <w:tcW w:w="1020" w:type="dxa"/>
            <w:vAlign w:val="bottom"/>
          </w:tcPr>
          <w:p>
            <w:pPr>
              <w:jc w:val="right"/>
              <w:spacing w:after="0"/>
              <w:rPr>
                <w:sz w:val="20"/>
                <w:szCs w:val="20"/>
                <w:color w:val="auto"/>
              </w:rPr>
            </w:pPr>
            <w:r>
              <w:rPr>
                <w:rFonts w:ascii="Arial" w:cs="Arial" w:eastAsia="Arial" w:hAnsi="Arial"/>
                <w:sz w:val="16"/>
                <w:szCs w:val="16"/>
                <w:color w:val="auto"/>
              </w:rPr>
              <w:t>31</w:t>
            </w:r>
          </w:p>
        </w:tc>
        <w:tc>
          <w:tcPr>
            <w:tcW w:w="200" w:type="dxa"/>
            <w:vAlign w:val="bottom"/>
          </w:tcPr>
          <w:p>
            <w:pPr>
              <w:spacing w:after="0"/>
              <w:rPr>
                <w:sz w:val="16"/>
                <w:szCs w:val="16"/>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253</w:t>
            </w:r>
          </w:p>
        </w:tc>
        <w:tc>
          <w:tcPr>
            <w:tcW w:w="940" w:type="dxa"/>
            <w:vAlign w:val="bottom"/>
          </w:tcPr>
          <w:p>
            <w:pPr>
              <w:jc w:val="right"/>
              <w:spacing w:after="0"/>
              <w:rPr>
                <w:sz w:val="20"/>
                <w:szCs w:val="20"/>
                <w:color w:val="auto"/>
              </w:rPr>
            </w:pPr>
            <w:r>
              <w:rPr>
                <w:rFonts w:ascii="Arial" w:cs="Arial" w:eastAsia="Arial" w:hAnsi="Arial"/>
                <w:sz w:val="16"/>
                <w:szCs w:val="16"/>
                <w:color w:val="auto"/>
              </w:rPr>
              <w:t>66</w:t>
            </w:r>
          </w:p>
        </w:tc>
        <w:tc>
          <w:tcPr>
            <w:tcW w:w="900" w:type="dxa"/>
            <w:vAlign w:val="bottom"/>
          </w:tcPr>
          <w:p>
            <w:pPr>
              <w:spacing w:after="0"/>
              <w:rPr>
                <w:sz w:val="16"/>
                <w:szCs w:val="16"/>
                <w:color w:val="auto"/>
              </w:rPr>
            </w:pP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59</w:t>
            </w:r>
          </w:p>
        </w:tc>
        <w:tc>
          <w:tcPr>
            <w:tcW w:w="960" w:type="dxa"/>
            <w:vAlign w:val="bottom"/>
          </w:tcPr>
          <w:p>
            <w:pPr>
              <w:jc w:val="right"/>
              <w:spacing w:after="0"/>
              <w:rPr>
                <w:sz w:val="20"/>
                <w:szCs w:val="20"/>
                <w:color w:val="auto"/>
              </w:rPr>
            </w:pPr>
            <w:r>
              <w:rPr>
                <w:rFonts w:ascii="Arial" w:cs="Arial" w:eastAsia="Arial" w:hAnsi="Arial"/>
                <w:sz w:val="16"/>
                <w:szCs w:val="16"/>
                <w:color w:val="auto"/>
              </w:rPr>
              <w:t>97</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312</w:t>
            </w:r>
          </w:p>
        </w:tc>
      </w:tr>
      <w:tr>
        <w:trPr>
          <w:trHeight w:val="189"/>
        </w:trPr>
        <w:tc>
          <w:tcPr>
            <w:tcW w:w="2840" w:type="dxa"/>
            <w:vAlign w:val="bottom"/>
          </w:tcPr>
          <w:p>
            <w:pPr>
              <w:ind w:left="180"/>
              <w:spacing w:after="0"/>
              <w:rPr>
                <w:sz w:val="20"/>
                <w:szCs w:val="20"/>
                <w:color w:val="auto"/>
              </w:rPr>
            </w:pPr>
            <w:r>
              <w:rPr>
                <w:rFonts w:ascii="Arial" w:cs="Arial" w:eastAsia="Arial" w:hAnsi="Arial"/>
                <w:sz w:val="16"/>
                <w:szCs w:val="16"/>
                <w:color w:val="auto"/>
              </w:rPr>
              <w:t>Electric generation plants</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35</w:t>
            </w:r>
          </w:p>
        </w:tc>
        <w:tc>
          <w:tcPr>
            <w:tcW w:w="900" w:type="dxa"/>
            <w:vAlign w:val="bottom"/>
          </w:tcPr>
          <w:p>
            <w:pPr>
              <w:spacing w:after="0"/>
              <w:rPr>
                <w:sz w:val="16"/>
                <w:szCs w:val="16"/>
                <w:color w:val="auto"/>
              </w:rPr>
            </w:pP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9</w:t>
            </w:r>
          </w:p>
        </w:tc>
        <w:tc>
          <w:tcPr>
            <w:tcW w:w="960" w:type="dxa"/>
            <w:vAlign w:val="bottom"/>
          </w:tcPr>
          <w:p>
            <w:pPr>
              <w:jc w:val="right"/>
              <w:spacing w:after="0"/>
              <w:rPr>
                <w:sz w:val="20"/>
                <w:szCs w:val="20"/>
                <w:color w:val="auto"/>
              </w:rPr>
            </w:pPr>
            <w:r>
              <w:rPr>
                <w:rFonts w:ascii="Arial" w:cs="Arial" w:eastAsia="Arial" w:hAnsi="Arial"/>
                <w:sz w:val="16"/>
                <w:szCs w:val="16"/>
                <w:color w:val="auto"/>
              </w:rPr>
              <w:t>35</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187"/>
        </w:trPr>
        <w:tc>
          <w:tcPr>
            <w:tcW w:w="2840" w:type="dxa"/>
            <w:vAlign w:val="bottom"/>
          </w:tcPr>
          <w:p>
            <w:pPr>
              <w:ind w:left="180"/>
              <w:spacing w:after="0"/>
              <w:rPr>
                <w:sz w:val="20"/>
                <w:szCs w:val="20"/>
                <w:color w:val="auto"/>
              </w:rPr>
            </w:pPr>
            <w:r>
              <w:rPr>
                <w:rFonts w:ascii="Arial" w:cs="Arial" w:eastAsia="Arial" w:hAnsi="Arial"/>
                <w:sz w:val="16"/>
                <w:szCs w:val="16"/>
                <w:color w:val="auto"/>
              </w:rPr>
              <w:t>Wholesale</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9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184"/>
        </w:trPr>
        <w:tc>
          <w:tcPr>
            <w:tcW w:w="28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116</w:t>
            </w:r>
          </w:p>
        </w:tc>
        <w:tc>
          <w:tcPr>
            <w:tcW w:w="200" w:type="dxa"/>
            <w:vAlign w:val="bottom"/>
          </w:tcPr>
          <w:p>
            <w:pPr>
              <w:jc w:val="center"/>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1,098</w:t>
            </w:r>
          </w:p>
        </w:tc>
        <w:tc>
          <w:tcPr>
            <w:tcW w:w="940" w:type="dxa"/>
            <w:vAlign w:val="bottom"/>
          </w:tcPr>
          <w:p>
            <w:pPr>
              <w:jc w:val="right"/>
              <w:spacing w:after="0"/>
              <w:rPr>
                <w:sz w:val="20"/>
                <w:szCs w:val="20"/>
                <w:color w:val="auto"/>
              </w:rPr>
            </w:pPr>
            <w:r>
              <w:rPr>
                <w:rFonts w:ascii="Arial" w:cs="Arial" w:eastAsia="Arial" w:hAnsi="Arial"/>
                <w:sz w:val="16"/>
                <w:szCs w:val="16"/>
                <w:color w:val="auto"/>
              </w:rPr>
              <w:t>146</w:t>
            </w:r>
          </w:p>
        </w:tc>
        <w:tc>
          <w:tcPr>
            <w:tcW w:w="900" w:type="dxa"/>
            <w:vAlign w:val="bottom"/>
          </w:tcPr>
          <w:p>
            <w:pPr>
              <w:jc w:val="right"/>
              <w:ind w:right="721"/>
              <w:spacing w:after="0"/>
              <w:rPr>
                <w:sz w:val="20"/>
                <w:szCs w:val="20"/>
                <w:color w:val="auto"/>
              </w:rPr>
            </w:pPr>
            <w:r>
              <w:rPr>
                <w:rFonts w:ascii="Arial" w:cs="Arial" w:eastAsia="Arial" w:hAnsi="Arial"/>
                <w:sz w:val="16"/>
                <w:szCs w:val="16"/>
                <w:color w:val="auto"/>
                <w:w w:val="89"/>
              </w:rPr>
              <w:t>$</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73</w:t>
            </w:r>
          </w:p>
        </w:tc>
        <w:tc>
          <w:tcPr>
            <w:tcW w:w="960" w:type="dxa"/>
            <w:vAlign w:val="bottom"/>
          </w:tcPr>
          <w:p>
            <w:pPr>
              <w:jc w:val="right"/>
              <w:spacing w:after="0"/>
              <w:rPr>
                <w:sz w:val="20"/>
                <w:szCs w:val="20"/>
                <w:color w:val="auto"/>
              </w:rPr>
            </w:pPr>
            <w:r>
              <w:rPr>
                <w:rFonts w:ascii="Arial" w:cs="Arial" w:eastAsia="Arial" w:hAnsi="Arial"/>
                <w:sz w:val="16"/>
                <w:szCs w:val="16"/>
                <w:color w:val="auto"/>
              </w:rPr>
              <w:t>262</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1,171</w:t>
            </w:r>
          </w:p>
        </w:tc>
      </w:tr>
      <w:tr>
        <w:trPr>
          <w:trHeight w:val="189"/>
        </w:trPr>
        <w:tc>
          <w:tcPr>
            <w:tcW w:w="2840" w:type="dxa"/>
            <w:vAlign w:val="bottom"/>
          </w:tcPr>
          <w:p>
            <w:pPr>
              <w:ind w:left="180"/>
              <w:spacing w:after="0"/>
              <w:rPr>
                <w:sz w:val="20"/>
                <w:szCs w:val="20"/>
                <w:color w:val="auto"/>
              </w:rPr>
            </w:pPr>
            <w:r>
              <w:rPr>
                <w:rFonts w:ascii="Arial" w:cs="Arial" w:eastAsia="Arial" w:hAnsi="Arial"/>
                <w:sz w:val="16"/>
                <w:szCs w:val="16"/>
                <w:color w:val="auto"/>
              </w:rPr>
              <w:t>Other revenues</w:t>
            </w: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187"/>
        </w:trPr>
        <w:tc>
          <w:tcPr>
            <w:tcW w:w="2840" w:type="dxa"/>
            <w:vAlign w:val="bottom"/>
          </w:tcPr>
          <w:p>
            <w:pPr>
              <w:ind w:left="180"/>
              <w:spacing w:after="0"/>
              <w:rPr>
                <w:sz w:val="20"/>
                <w:szCs w:val="20"/>
                <w:color w:val="auto"/>
              </w:rPr>
            </w:pPr>
            <w:r>
              <w:rPr>
                <w:rFonts w:ascii="Arial" w:cs="Arial" w:eastAsia="Arial" w:hAnsi="Arial"/>
                <w:sz w:val="16"/>
                <w:szCs w:val="16"/>
                <w:color w:val="auto"/>
              </w:rPr>
              <w:t>Balancing accounts</w:t>
            </w: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183"/>
        </w:trPr>
        <w:tc>
          <w:tcPr>
            <w:tcW w:w="2840" w:type="dxa"/>
            <w:vAlign w:val="bottom"/>
          </w:tcPr>
          <w:p>
            <w:pPr>
              <w:ind w:left="360"/>
              <w:spacing w:after="0" w:line="183" w:lineRule="exact"/>
              <w:rPr>
                <w:sz w:val="20"/>
                <w:szCs w:val="20"/>
                <w:color w:val="auto"/>
              </w:rPr>
            </w:pPr>
            <w:r>
              <w:rPr>
                <w:rFonts w:ascii="Arial" w:cs="Arial" w:eastAsia="Arial" w:hAnsi="Arial"/>
                <w:sz w:val="16"/>
                <w:szCs w:val="16"/>
                <w:color w:val="auto"/>
              </w:rPr>
              <w:t>Total(1)</w:t>
            </w: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jc w:val="center"/>
              <w:ind w:right="59"/>
              <w:spacing w:after="0" w:line="183" w:lineRule="exact"/>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1,182</w:t>
            </w:r>
          </w:p>
        </w:tc>
      </w:tr>
      <w:tr>
        <w:trPr>
          <w:trHeight w:val="81"/>
        </w:trPr>
        <w:tc>
          <w:tcPr>
            <w:tcW w:w="2840" w:type="dxa"/>
            <w:vAlign w:val="bottom"/>
            <w:shd w:val="clear" w:color="auto" w:fill="000000"/>
          </w:tcPr>
          <w:p>
            <w:pPr>
              <w:spacing w:after="0"/>
              <w:rPr>
                <w:sz w:val="7"/>
                <w:szCs w:val="7"/>
                <w:color w:val="auto"/>
              </w:rPr>
            </w:pPr>
          </w:p>
        </w:tc>
        <w:tc>
          <w:tcPr>
            <w:tcW w:w="1020" w:type="dxa"/>
            <w:vAlign w:val="bottom"/>
            <w:shd w:val="clear" w:color="auto" w:fill="000000"/>
          </w:tcPr>
          <w:p>
            <w:pPr>
              <w:spacing w:after="0"/>
              <w:rPr>
                <w:sz w:val="7"/>
                <w:szCs w:val="7"/>
                <w:color w:val="auto"/>
              </w:rPr>
            </w:pPr>
          </w:p>
        </w:tc>
        <w:tc>
          <w:tcPr>
            <w:tcW w:w="200" w:type="dxa"/>
            <w:vAlign w:val="bottom"/>
            <w:shd w:val="clear" w:color="auto" w:fill="000000"/>
          </w:tcPr>
          <w:p>
            <w:pPr>
              <w:spacing w:after="0"/>
              <w:rPr>
                <w:sz w:val="7"/>
                <w:szCs w:val="7"/>
                <w:color w:val="auto"/>
              </w:rPr>
            </w:pPr>
          </w:p>
        </w:tc>
        <w:tc>
          <w:tcPr>
            <w:tcW w:w="1040" w:type="dxa"/>
            <w:vAlign w:val="bottom"/>
            <w:shd w:val="clear" w:color="auto" w:fill="000000"/>
          </w:tcPr>
          <w:p>
            <w:pPr>
              <w:spacing w:after="0"/>
              <w:rPr>
                <w:sz w:val="7"/>
                <w:szCs w:val="7"/>
                <w:color w:val="auto"/>
              </w:rPr>
            </w:pPr>
          </w:p>
        </w:tc>
        <w:tc>
          <w:tcPr>
            <w:tcW w:w="940" w:type="dxa"/>
            <w:vAlign w:val="bottom"/>
            <w:shd w:val="clear" w:color="auto" w:fill="000000"/>
          </w:tcPr>
          <w:p>
            <w:pPr>
              <w:spacing w:after="0"/>
              <w:rPr>
                <w:sz w:val="7"/>
                <w:szCs w:val="7"/>
                <w:color w:val="auto"/>
              </w:rPr>
            </w:pPr>
          </w:p>
        </w:tc>
        <w:tc>
          <w:tcPr>
            <w:tcW w:w="90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96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900" w:type="dxa"/>
            <w:vAlign w:val="bottom"/>
            <w:shd w:val="clear" w:color="auto" w:fill="000000"/>
          </w:tcPr>
          <w:p>
            <w:pPr>
              <w:spacing w:after="0"/>
              <w:rPr>
                <w:sz w:val="7"/>
                <w:szCs w:val="7"/>
                <w:color w:val="auto"/>
              </w:rPr>
            </w:pPr>
          </w:p>
        </w:tc>
      </w:tr>
      <w:tr>
        <w:trPr>
          <w:trHeight w:val="191"/>
        </w:trPr>
        <w:tc>
          <w:tcPr>
            <w:tcW w:w="2840" w:type="dxa"/>
            <w:vAlign w:val="bottom"/>
          </w:tcPr>
          <w:p>
            <w:pPr>
              <w:spacing w:after="0"/>
              <w:rPr>
                <w:sz w:val="20"/>
                <w:szCs w:val="20"/>
                <w:color w:val="auto"/>
              </w:rPr>
            </w:pPr>
            <w:r>
              <w:rPr>
                <w:rFonts w:ascii="Arial" w:cs="Arial" w:eastAsia="Arial" w:hAnsi="Arial"/>
                <w:sz w:val="16"/>
                <w:szCs w:val="16"/>
                <w:color w:val="auto"/>
              </w:rPr>
              <w:t>2009:</w:t>
            </w: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9"/>
        </w:trPr>
        <w:tc>
          <w:tcPr>
            <w:tcW w:w="2840" w:type="dxa"/>
            <w:vAlign w:val="bottom"/>
          </w:tcPr>
          <w:p>
            <w:pPr>
              <w:ind w:left="180"/>
              <w:spacing w:after="0"/>
              <w:rPr>
                <w:sz w:val="20"/>
                <w:szCs w:val="20"/>
                <w:color w:val="auto"/>
              </w:rPr>
            </w:pPr>
            <w:r>
              <w:rPr>
                <w:rFonts w:ascii="Arial" w:cs="Arial" w:eastAsia="Arial" w:hAnsi="Arial"/>
                <w:sz w:val="16"/>
                <w:szCs w:val="16"/>
                <w:color w:val="auto"/>
              </w:rPr>
              <w:t>Residential</w:t>
            </w:r>
          </w:p>
        </w:tc>
        <w:tc>
          <w:tcPr>
            <w:tcW w:w="1020" w:type="dxa"/>
            <w:vAlign w:val="bottom"/>
          </w:tcPr>
          <w:p>
            <w:pPr>
              <w:jc w:val="right"/>
              <w:spacing w:after="0"/>
              <w:rPr>
                <w:sz w:val="20"/>
                <w:szCs w:val="20"/>
                <w:color w:val="auto"/>
              </w:rPr>
            </w:pPr>
            <w:r>
              <w:rPr>
                <w:rFonts w:ascii="Arial" w:cs="Arial" w:eastAsia="Arial" w:hAnsi="Arial"/>
                <w:sz w:val="16"/>
                <w:szCs w:val="16"/>
                <w:color w:val="auto"/>
              </w:rPr>
              <w:t>84</w:t>
            </w:r>
          </w:p>
        </w:tc>
        <w:tc>
          <w:tcPr>
            <w:tcW w:w="200" w:type="dxa"/>
            <w:vAlign w:val="bottom"/>
          </w:tcPr>
          <w:p>
            <w:pPr>
              <w:jc w:val="center"/>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724</w:t>
            </w:r>
          </w:p>
        </w:tc>
        <w:tc>
          <w:tcPr>
            <w:tcW w:w="1840" w:type="dxa"/>
            <w:vAlign w:val="bottom"/>
            <w:gridSpan w:val="2"/>
          </w:tcPr>
          <w:p>
            <w:pPr>
              <w:jc w:val="right"/>
              <w:ind w:right="721"/>
              <w:spacing w:after="0"/>
              <w:rPr>
                <w:sz w:val="20"/>
                <w:szCs w:val="20"/>
                <w:color w:val="auto"/>
              </w:rPr>
            </w:pPr>
            <w:r>
              <w:rPr>
                <w:rFonts w:ascii="Arial" w:cs="Arial" w:eastAsia="Arial" w:hAnsi="Arial"/>
                <w:sz w:val="16"/>
                <w:szCs w:val="16"/>
                <w:color w:val="auto"/>
              </w:rPr>
              <w:t>- $</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960" w:type="dxa"/>
            <w:vAlign w:val="bottom"/>
          </w:tcPr>
          <w:p>
            <w:pPr>
              <w:jc w:val="right"/>
              <w:spacing w:after="0"/>
              <w:rPr>
                <w:sz w:val="20"/>
                <w:szCs w:val="20"/>
                <w:color w:val="auto"/>
              </w:rPr>
            </w:pPr>
            <w:r>
              <w:rPr>
                <w:rFonts w:ascii="Arial" w:cs="Arial" w:eastAsia="Arial" w:hAnsi="Arial"/>
                <w:sz w:val="16"/>
                <w:szCs w:val="16"/>
                <w:color w:val="auto"/>
              </w:rPr>
              <w:t>84</w:t>
            </w:r>
          </w:p>
        </w:tc>
        <w:tc>
          <w:tcPr>
            <w:tcW w:w="220" w:type="dxa"/>
            <w:vAlign w:val="bottom"/>
          </w:tcPr>
          <w:p>
            <w:pPr>
              <w:jc w:val="center"/>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725</w:t>
            </w:r>
          </w:p>
        </w:tc>
      </w:tr>
      <w:tr>
        <w:trPr>
          <w:trHeight w:val="189"/>
        </w:trPr>
        <w:tc>
          <w:tcPr>
            <w:tcW w:w="2840" w:type="dxa"/>
            <w:vAlign w:val="bottom"/>
          </w:tcPr>
          <w:p>
            <w:pPr>
              <w:ind w:left="180"/>
              <w:spacing w:after="0"/>
              <w:rPr>
                <w:sz w:val="20"/>
                <w:szCs w:val="20"/>
                <w:color w:val="auto"/>
              </w:rPr>
            </w:pPr>
            <w:r>
              <w:rPr>
                <w:rFonts w:ascii="Arial" w:cs="Arial" w:eastAsia="Arial" w:hAnsi="Arial"/>
                <w:sz w:val="16"/>
                <w:szCs w:val="16"/>
                <w:color w:val="auto"/>
              </w:rPr>
              <w:t>Commercial and industrial</w:t>
            </w:r>
          </w:p>
        </w:tc>
        <w:tc>
          <w:tcPr>
            <w:tcW w:w="1020" w:type="dxa"/>
            <w:vAlign w:val="bottom"/>
          </w:tcPr>
          <w:p>
            <w:pPr>
              <w:jc w:val="right"/>
              <w:spacing w:after="0"/>
              <w:rPr>
                <w:sz w:val="20"/>
                <w:szCs w:val="20"/>
                <w:color w:val="auto"/>
              </w:rPr>
            </w:pPr>
            <w:r>
              <w:rPr>
                <w:rFonts w:ascii="Arial" w:cs="Arial" w:eastAsia="Arial" w:hAnsi="Arial"/>
                <w:sz w:val="16"/>
                <w:szCs w:val="16"/>
                <w:color w:val="auto"/>
              </w:rPr>
              <w:t>31</w:t>
            </w:r>
          </w:p>
        </w:tc>
        <w:tc>
          <w:tcPr>
            <w:tcW w:w="200" w:type="dxa"/>
            <w:vAlign w:val="bottom"/>
          </w:tcPr>
          <w:p>
            <w:pPr>
              <w:spacing w:after="0"/>
              <w:rPr>
                <w:sz w:val="16"/>
                <w:szCs w:val="16"/>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227</w:t>
            </w:r>
          </w:p>
        </w:tc>
        <w:tc>
          <w:tcPr>
            <w:tcW w:w="940" w:type="dxa"/>
            <w:vAlign w:val="bottom"/>
          </w:tcPr>
          <w:p>
            <w:pPr>
              <w:jc w:val="right"/>
              <w:spacing w:after="0"/>
              <w:rPr>
                <w:sz w:val="20"/>
                <w:szCs w:val="20"/>
                <w:color w:val="auto"/>
              </w:rPr>
            </w:pPr>
            <w:r>
              <w:rPr>
                <w:rFonts w:ascii="Arial" w:cs="Arial" w:eastAsia="Arial" w:hAnsi="Arial"/>
                <w:sz w:val="16"/>
                <w:szCs w:val="16"/>
                <w:color w:val="auto"/>
              </w:rPr>
              <w:t>64</w:t>
            </w:r>
          </w:p>
        </w:tc>
        <w:tc>
          <w:tcPr>
            <w:tcW w:w="900" w:type="dxa"/>
            <w:vAlign w:val="bottom"/>
          </w:tcPr>
          <w:p>
            <w:pPr>
              <w:spacing w:after="0"/>
              <w:rPr>
                <w:sz w:val="16"/>
                <w:szCs w:val="16"/>
                <w:color w:val="auto"/>
              </w:rPr>
            </w:pP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48</w:t>
            </w:r>
          </w:p>
        </w:tc>
        <w:tc>
          <w:tcPr>
            <w:tcW w:w="960" w:type="dxa"/>
            <w:vAlign w:val="bottom"/>
          </w:tcPr>
          <w:p>
            <w:pPr>
              <w:jc w:val="right"/>
              <w:spacing w:after="0"/>
              <w:rPr>
                <w:sz w:val="20"/>
                <w:szCs w:val="20"/>
                <w:color w:val="auto"/>
              </w:rPr>
            </w:pPr>
            <w:r>
              <w:rPr>
                <w:rFonts w:ascii="Arial" w:cs="Arial" w:eastAsia="Arial" w:hAnsi="Arial"/>
                <w:sz w:val="16"/>
                <w:szCs w:val="16"/>
                <w:color w:val="auto"/>
              </w:rPr>
              <w:t>95</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275</w:t>
            </w:r>
          </w:p>
        </w:tc>
      </w:tr>
      <w:tr>
        <w:trPr>
          <w:trHeight w:val="189"/>
        </w:trPr>
        <w:tc>
          <w:tcPr>
            <w:tcW w:w="2840" w:type="dxa"/>
            <w:vAlign w:val="bottom"/>
          </w:tcPr>
          <w:p>
            <w:pPr>
              <w:ind w:left="180"/>
              <w:spacing w:after="0"/>
              <w:rPr>
                <w:sz w:val="20"/>
                <w:szCs w:val="20"/>
                <w:color w:val="auto"/>
              </w:rPr>
            </w:pPr>
            <w:r>
              <w:rPr>
                <w:rFonts w:ascii="Arial" w:cs="Arial" w:eastAsia="Arial" w:hAnsi="Arial"/>
                <w:sz w:val="16"/>
                <w:szCs w:val="16"/>
                <w:color w:val="auto"/>
              </w:rPr>
              <w:t>Electric generation plants</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38</w:t>
            </w:r>
          </w:p>
        </w:tc>
        <w:tc>
          <w:tcPr>
            <w:tcW w:w="900" w:type="dxa"/>
            <w:vAlign w:val="bottom"/>
          </w:tcPr>
          <w:p>
            <w:pPr>
              <w:spacing w:after="0"/>
              <w:rPr>
                <w:sz w:val="16"/>
                <w:szCs w:val="16"/>
                <w:color w:val="auto"/>
              </w:rPr>
            </w:pP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9</w:t>
            </w:r>
          </w:p>
        </w:tc>
        <w:tc>
          <w:tcPr>
            <w:tcW w:w="960" w:type="dxa"/>
            <w:vAlign w:val="bottom"/>
          </w:tcPr>
          <w:p>
            <w:pPr>
              <w:jc w:val="right"/>
              <w:spacing w:after="0"/>
              <w:rPr>
                <w:sz w:val="20"/>
                <w:szCs w:val="20"/>
                <w:color w:val="auto"/>
              </w:rPr>
            </w:pPr>
            <w:r>
              <w:rPr>
                <w:rFonts w:ascii="Arial" w:cs="Arial" w:eastAsia="Arial" w:hAnsi="Arial"/>
                <w:sz w:val="16"/>
                <w:szCs w:val="16"/>
                <w:color w:val="auto"/>
              </w:rPr>
              <w:t>38</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187"/>
        </w:trPr>
        <w:tc>
          <w:tcPr>
            <w:tcW w:w="2840" w:type="dxa"/>
            <w:vAlign w:val="bottom"/>
          </w:tcPr>
          <w:p>
            <w:pPr>
              <w:ind w:left="180"/>
              <w:spacing w:after="0"/>
              <w:rPr>
                <w:sz w:val="20"/>
                <w:szCs w:val="20"/>
                <w:color w:val="auto"/>
              </w:rPr>
            </w:pPr>
            <w:r>
              <w:rPr>
                <w:rFonts w:ascii="Arial" w:cs="Arial" w:eastAsia="Arial" w:hAnsi="Arial"/>
                <w:sz w:val="16"/>
                <w:szCs w:val="16"/>
                <w:color w:val="auto"/>
              </w:rPr>
              <w:t>Wholesale</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9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184"/>
        </w:trPr>
        <w:tc>
          <w:tcPr>
            <w:tcW w:w="28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115</w:t>
            </w:r>
          </w:p>
        </w:tc>
        <w:tc>
          <w:tcPr>
            <w:tcW w:w="200" w:type="dxa"/>
            <w:vAlign w:val="bottom"/>
          </w:tcPr>
          <w:p>
            <w:pPr>
              <w:jc w:val="center"/>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951</w:t>
            </w:r>
          </w:p>
        </w:tc>
        <w:tc>
          <w:tcPr>
            <w:tcW w:w="940" w:type="dxa"/>
            <w:vAlign w:val="bottom"/>
          </w:tcPr>
          <w:p>
            <w:pPr>
              <w:jc w:val="right"/>
              <w:spacing w:after="0"/>
              <w:rPr>
                <w:sz w:val="20"/>
                <w:szCs w:val="20"/>
                <w:color w:val="auto"/>
              </w:rPr>
            </w:pPr>
            <w:r>
              <w:rPr>
                <w:rFonts w:ascii="Arial" w:cs="Arial" w:eastAsia="Arial" w:hAnsi="Arial"/>
                <w:sz w:val="16"/>
                <w:szCs w:val="16"/>
                <w:color w:val="auto"/>
              </w:rPr>
              <w:t>142</w:t>
            </w:r>
          </w:p>
        </w:tc>
        <w:tc>
          <w:tcPr>
            <w:tcW w:w="900" w:type="dxa"/>
            <w:vAlign w:val="bottom"/>
          </w:tcPr>
          <w:p>
            <w:pPr>
              <w:jc w:val="right"/>
              <w:ind w:right="721"/>
              <w:spacing w:after="0"/>
              <w:rPr>
                <w:sz w:val="20"/>
                <w:szCs w:val="20"/>
                <w:color w:val="auto"/>
              </w:rPr>
            </w:pPr>
            <w:r>
              <w:rPr>
                <w:rFonts w:ascii="Arial" w:cs="Arial" w:eastAsia="Arial" w:hAnsi="Arial"/>
                <w:sz w:val="16"/>
                <w:szCs w:val="16"/>
                <w:color w:val="auto"/>
                <w:w w:val="89"/>
              </w:rPr>
              <w:t>$</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62</w:t>
            </w:r>
          </w:p>
        </w:tc>
        <w:tc>
          <w:tcPr>
            <w:tcW w:w="960" w:type="dxa"/>
            <w:vAlign w:val="bottom"/>
          </w:tcPr>
          <w:p>
            <w:pPr>
              <w:jc w:val="right"/>
              <w:spacing w:after="0"/>
              <w:rPr>
                <w:sz w:val="20"/>
                <w:szCs w:val="20"/>
                <w:color w:val="auto"/>
              </w:rPr>
            </w:pPr>
            <w:r>
              <w:rPr>
                <w:rFonts w:ascii="Arial" w:cs="Arial" w:eastAsia="Arial" w:hAnsi="Arial"/>
                <w:sz w:val="16"/>
                <w:szCs w:val="16"/>
                <w:color w:val="auto"/>
              </w:rPr>
              <w:t>257</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1,013</w:t>
            </w:r>
          </w:p>
        </w:tc>
      </w:tr>
      <w:tr>
        <w:trPr>
          <w:trHeight w:val="189"/>
        </w:trPr>
        <w:tc>
          <w:tcPr>
            <w:tcW w:w="2840" w:type="dxa"/>
            <w:vAlign w:val="bottom"/>
          </w:tcPr>
          <w:p>
            <w:pPr>
              <w:ind w:left="180"/>
              <w:spacing w:after="0"/>
              <w:rPr>
                <w:sz w:val="20"/>
                <w:szCs w:val="20"/>
                <w:color w:val="auto"/>
              </w:rPr>
            </w:pPr>
            <w:r>
              <w:rPr>
                <w:rFonts w:ascii="Arial" w:cs="Arial" w:eastAsia="Arial" w:hAnsi="Arial"/>
                <w:sz w:val="16"/>
                <w:szCs w:val="16"/>
                <w:color w:val="auto"/>
              </w:rPr>
              <w:t>Other revenues</w:t>
            </w: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187"/>
        </w:trPr>
        <w:tc>
          <w:tcPr>
            <w:tcW w:w="2840" w:type="dxa"/>
            <w:vAlign w:val="bottom"/>
          </w:tcPr>
          <w:p>
            <w:pPr>
              <w:ind w:left="180"/>
              <w:spacing w:after="0"/>
              <w:rPr>
                <w:sz w:val="20"/>
                <w:szCs w:val="20"/>
                <w:color w:val="auto"/>
              </w:rPr>
            </w:pPr>
            <w:r>
              <w:rPr>
                <w:rFonts w:ascii="Arial" w:cs="Arial" w:eastAsia="Arial" w:hAnsi="Arial"/>
                <w:sz w:val="16"/>
                <w:szCs w:val="16"/>
                <w:color w:val="auto"/>
              </w:rPr>
              <w:t>Balancing accounts</w:t>
            </w: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w:t>
            </w:r>
          </w:p>
        </w:tc>
      </w:tr>
      <w:tr>
        <w:trPr>
          <w:trHeight w:val="183"/>
        </w:trPr>
        <w:tc>
          <w:tcPr>
            <w:tcW w:w="2840" w:type="dxa"/>
            <w:vAlign w:val="bottom"/>
          </w:tcPr>
          <w:p>
            <w:pPr>
              <w:ind w:left="360"/>
              <w:spacing w:after="0" w:line="183" w:lineRule="exact"/>
              <w:rPr>
                <w:sz w:val="20"/>
                <w:szCs w:val="20"/>
                <w:color w:val="auto"/>
              </w:rPr>
            </w:pPr>
            <w:r>
              <w:rPr>
                <w:rFonts w:ascii="Arial" w:cs="Arial" w:eastAsia="Arial" w:hAnsi="Arial"/>
                <w:sz w:val="16"/>
                <w:szCs w:val="16"/>
                <w:color w:val="auto"/>
              </w:rPr>
              <w:t>Total(1)</w:t>
            </w: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jc w:val="center"/>
              <w:ind w:right="59"/>
              <w:spacing w:after="0" w:line="183" w:lineRule="exact"/>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920</w:t>
            </w:r>
          </w:p>
        </w:tc>
      </w:tr>
      <w:tr>
        <w:trPr>
          <w:trHeight w:val="81"/>
        </w:trPr>
        <w:tc>
          <w:tcPr>
            <w:tcW w:w="2840" w:type="dxa"/>
            <w:vAlign w:val="bottom"/>
            <w:shd w:val="clear" w:color="auto" w:fill="000000"/>
          </w:tcPr>
          <w:p>
            <w:pPr>
              <w:spacing w:after="0"/>
              <w:rPr>
                <w:sz w:val="7"/>
                <w:szCs w:val="7"/>
                <w:color w:val="auto"/>
              </w:rPr>
            </w:pPr>
          </w:p>
        </w:tc>
        <w:tc>
          <w:tcPr>
            <w:tcW w:w="1020" w:type="dxa"/>
            <w:vAlign w:val="bottom"/>
            <w:shd w:val="clear" w:color="auto" w:fill="000000"/>
          </w:tcPr>
          <w:p>
            <w:pPr>
              <w:spacing w:after="0"/>
              <w:rPr>
                <w:sz w:val="7"/>
                <w:szCs w:val="7"/>
                <w:color w:val="auto"/>
              </w:rPr>
            </w:pPr>
          </w:p>
        </w:tc>
        <w:tc>
          <w:tcPr>
            <w:tcW w:w="200" w:type="dxa"/>
            <w:vAlign w:val="bottom"/>
            <w:shd w:val="clear" w:color="auto" w:fill="000000"/>
          </w:tcPr>
          <w:p>
            <w:pPr>
              <w:spacing w:after="0"/>
              <w:rPr>
                <w:sz w:val="7"/>
                <w:szCs w:val="7"/>
                <w:color w:val="auto"/>
              </w:rPr>
            </w:pPr>
          </w:p>
        </w:tc>
        <w:tc>
          <w:tcPr>
            <w:tcW w:w="1040" w:type="dxa"/>
            <w:vAlign w:val="bottom"/>
            <w:shd w:val="clear" w:color="auto" w:fill="000000"/>
          </w:tcPr>
          <w:p>
            <w:pPr>
              <w:spacing w:after="0"/>
              <w:rPr>
                <w:sz w:val="7"/>
                <w:szCs w:val="7"/>
                <w:color w:val="auto"/>
              </w:rPr>
            </w:pPr>
          </w:p>
        </w:tc>
        <w:tc>
          <w:tcPr>
            <w:tcW w:w="940" w:type="dxa"/>
            <w:vAlign w:val="bottom"/>
            <w:shd w:val="clear" w:color="auto" w:fill="000000"/>
          </w:tcPr>
          <w:p>
            <w:pPr>
              <w:spacing w:after="0"/>
              <w:rPr>
                <w:sz w:val="7"/>
                <w:szCs w:val="7"/>
                <w:color w:val="auto"/>
              </w:rPr>
            </w:pPr>
          </w:p>
        </w:tc>
        <w:tc>
          <w:tcPr>
            <w:tcW w:w="90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96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900" w:type="dxa"/>
            <w:vAlign w:val="bottom"/>
            <w:shd w:val="clear" w:color="auto" w:fill="000000"/>
          </w:tcPr>
          <w:p>
            <w:pPr>
              <w:spacing w:after="0"/>
              <w:rPr>
                <w:sz w:val="7"/>
                <w:szCs w:val="7"/>
                <w:color w:val="auto"/>
              </w:rPr>
            </w:pPr>
          </w:p>
        </w:tc>
      </w:tr>
    </w:tbl>
    <w:p>
      <w:pPr>
        <w:spacing w:after="0"/>
        <w:rPr>
          <w:sz w:val="20"/>
          <w:szCs w:val="20"/>
          <w:color w:val="auto"/>
        </w:rPr>
      </w:pPr>
      <w:r>
        <w:rPr>
          <w:rFonts w:ascii="Arial" w:cs="Arial" w:eastAsia="Arial" w:hAnsi="Arial"/>
          <w:sz w:val="14"/>
          <w:szCs w:val="14"/>
          <w:i w:val="1"/>
          <w:iCs w:val="1"/>
          <w:color w:val="auto"/>
        </w:rPr>
        <w:t>(1) Includes sales to affiliates of $11 million in 2010 and $8 million in 2009.</w:t>
      </w:r>
    </w:p>
    <w:p>
      <w:pPr>
        <w:spacing w:after="0" w:line="209" w:lineRule="exact"/>
        <w:rPr>
          <w:sz w:val="20"/>
          <w:szCs w:val="20"/>
          <w:color w:val="auto"/>
        </w:rPr>
      </w:pPr>
    </w:p>
    <w:p>
      <w:pPr>
        <w:ind w:right="539"/>
        <w:spacing w:after="0" w:line="223" w:lineRule="auto"/>
        <w:rPr>
          <w:sz w:val="20"/>
          <w:szCs w:val="20"/>
          <w:color w:val="auto"/>
        </w:rPr>
      </w:pPr>
      <w:r>
        <w:rPr>
          <w:rFonts w:ascii="Arial" w:cs="Arial" w:eastAsia="Arial" w:hAnsi="Arial"/>
          <w:sz w:val="22"/>
          <w:szCs w:val="22"/>
          <w:color w:val="auto"/>
        </w:rPr>
        <w:t>During the three months ended March 31, 2010, SoCalGas' natural gas revenues increased by $262 million (28%) to $1.2 billion, and the cost of natural gas increased by $219 million (48%) to $674 million. The increase in revenues was primarily due to:</w:t>
      </w:r>
    </w:p>
    <w:p>
      <w:pPr>
        <w:spacing w:after="0" w:line="2" w:lineRule="exact"/>
        <w:rPr>
          <w:sz w:val="20"/>
          <w:szCs w:val="20"/>
          <w:color w:val="auto"/>
        </w:rPr>
      </w:pPr>
    </w:p>
    <w:p>
      <w:pPr>
        <w:ind w:left="180" w:right="1939" w:hanging="172"/>
        <w:spacing w:after="0" w:line="224" w:lineRule="auto"/>
        <w:tabs>
          <w:tab w:leader="none" w:pos="153" w:val="left"/>
        </w:tabs>
        <w:numPr>
          <w:ilvl w:val="0"/>
          <w:numId w:val="43"/>
        </w:numPr>
        <w:rPr>
          <w:rFonts w:ascii="Arial" w:cs="Arial" w:eastAsia="Arial" w:hAnsi="Arial"/>
          <w:sz w:val="22"/>
          <w:szCs w:val="22"/>
          <w:color w:val="auto"/>
        </w:rPr>
      </w:pPr>
      <w:r>
        <w:rPr>
          <w:rFonts w:ascii="Arial" w:cs="Arial" w:eastAsia="Arial" w:hAnsi="Arial"/>
          <w:sz w:val="22"/>
          <w:szCs w:val="22"/>
          <w:color w:val="auto"/>
        </w:rPr>
        <w:t>the increase in cost of natural gas, which was caused primarily by higher natural gas prices, as we discuss below;</w:t>
      </w:r>
    </w:p>
    <w:p>
      <w:pPr>
        <w:ind w:left="180" w:right="1839" w:hanging="172"/>
        <w:spacing w:after="0" w:line="230" w:lineRule="auto"/>
        <w:tabs>
          <w:tab w:leader="none" w:pos="153" w:val="left"/>
        </w:tabs>
        <w:numPr>
          <w:ilvl w:val="0"/>
          <w:numId w:val="43"/>
        </w:numPr>
        <w:rPr>
          <w:rFonts w:ascii="Arial" w:cs="Arial" w:eastAsia="Arial" w:hAnsi="Arial"/>
          <w:sz w:val="22"/>
          <w:szCs w:val="22"/>
          <w:color w:val="auto"/>
        </w:rPr>
      </w:pPr>
      <w:r>
        <w:rPr>
          <w:rFonts w:ascii="Arial" w:cs="Arial" w:eastAsia="Arial" w:hAnsi="Arial"/>
          <w:sz w:val="22"/>
          <w:szCs w:val="22"/>
          <w:color w:val="auto"/>
        </w:rPr>
        <w:t>$13 million higher authorized base margin in accordance with the CPUC's 2008 GRC decision; and</w:t>
      </w:r>
    </w:p>
    <w:p>
      <w:pPr>
        <w:spacing w:after="0" w:line="1" w:lineRule="exact"/>
        <w:rPr>
          <w:rFonts w:ascii="Arial" w:cs="Arial" w:eastAsia="Arial" w:hAnsi="Arial"/>
          <w:sz w:val="22"/>
          <w:szCs w:val="22"/>
          <w:color w:val="auto"/>
        </w:rPr>
      </w:pPr>
    </w:p>
    <w:p>
      <w:pPr>
        <w:ind w:left="180" w:right="2319" w:hanging="172"/>
        <w:spacing w:after="0" w:line="224" w:lineRule="auto"/>
        <w:tabs>
          <w:tab w:leader="none" w:pos="153" w:val="left"/>
        </w:tabs>
        <w:numPr>
          <w:ilvl w:val="0"/>
          <w:numId w:val="43"/>
        </w:numPr>
        <w:rPr>
          <w:rFonts w:ascii="Arial" w:cs="Arial" w:eastAsia="Arial" w:hAnsi="Arial"/>
          <w:sz w:val="22"/>
          <w:szCs w:val="22"/>
          <w:color w:val="auto"/>
        </w:rPr>
      </w:pPr>
      <w:r>
        <w:rPr>
          <w:rFonts w:ascii="Arial" w:cs="Arial" w:eastAsia="Arial" w:hAnsi="Arial"/>
          <w:sz w:val="22"/>
          <w:szCs w:val="22"/>
          <w:color w:val="auto"/>
        </w:rPr>
        <w:t>$13 million higher recovery of CPUC-authorized costs, which revenues are fully offset in operation and maintenance expenses.</w:t>
      </w:r>
    </w:p>
    <w:p>
      <w:pPr>
        <w:spacing w:after="0" w:line="77" w:lineRule="exact"/>
        <w:rPr>
          <w:sz w:val="20"/>
          <w:szCs w:val="20"/>
          <w:color w:val="auto"/>
        </w:rPr>
      </w:pPr>
    </w:p>
    <w:p>
      <w:pPr>
        <w:spacing w:after="0"/>
        <w:rPr>
          <w:sz w:val="20"/>
          <w:szCs w:val="20"/>
          <w:color w:val="auto"/>
        </w:rPr>
      </w:pPr>
      <w:r>
        <w:rPr>
          <w:rFonts w:ascii="Arial" w:cs="Arial" w:eastAsia="Arial" w:hAnsi="Arial"/>
          <w:sz w:val="19"/>
          <w:szCs w:val="19"/>
          <w:color w:val="auto"/>
        </w:rPr>
        <w:t>The average cost of natural gas for the three months ended March 31, 2010 was $5.81 per Mcf compared to</w:t>
      </w:r>
    </w:p>
    <w:p>
      <w:pPr>
        <w:spacing w:after="0" w:line="16" w:lineRule="exact"/>
        <w:rPr>
          <w:sz w:val="20"/>
          <w:szCs w:val="20"/>
          <w:color w:val="auto"/>
        </w:rPr>
      </w:pPr>
    </w:p>
    <w:p>
      <w:pPr>
        <w:ind w:right="599"/>
        <w:spacing w:after="0" w:line="224" w:lineRule="auto"/>
        <w:rPr>
          <w:sz w:val="20"/>
          <w:szCs w:val="20"/>
          <w:color w:val="auto"/>
        </w:rPr>
      </w:pPr>
      <w:r>
        <w:rPr>
          <w:rFonts w:ascii="Arial" w:cs="Arial" w:eastAsia="Arial" w:hAnsi="Arial"/>
          <w:sz w:val="22"/>
          <w:szCs w:val="22"/>
          <w:color w:val="auto"/>
        </w:rPr>
        <w:t>$3.95 per Mcf for the corresponding period in 2009, a 47-percent increase of $1.86 per Mcf, resulting in higher revenues and cost of $215 million.</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 and SDG&amp;E: Electric Revenues and Cost of Electric Fuel and Purchased Power</w:t>
      </w:r>
    </w:p>
    <w:p>
      <w:pPr>
        <w:spacing w:after="0" w:line="20" w:lineRule="exact"/>
        <w:rPr>
          <w:sz w:val="20"/>
          <w:szCs w:val="20"/>
          <w:color w:val="auto"/>
        </w:rPr>
      </w:pPr>
    </w:p>
    <w:p>
      <w:pPr>
        <w:jc w:val="both"/>
        <w:ind w:right="699"/>
        <w:spacing w:after="0" w:line="219" w:lineRule="auto"/>
        <w:rPr>
          <w:sz w:val="20"/>
          <w:szCs w:val="20"/>
          <w:color w:val="auto"/>
        </w:rPr>
      </w:pPr>
      <w:r>
        <w:rPr>
          <w:rFonts w:ascii="Arial" w:cs="Arial" w:eastAsia="Arial" w:hAnsi="Arial"/>
          <w:sz w:val="22"/>
          <w:szCs w:val="22"/>
          <w:color w:val="auto"/>
        </w:rPr>
        <w:t>The table below shows electric revenues for Sempra Energy and SDG&amp;E. Sempra Energy amounts are shown after eliminating intercompany transactions. Because the cost of electricity is substantially recovered in rates, changes in the cost are reflected in the changes in revenues.</w:t>
      </w:r>
    </w:p>
    <w:p>
      <w:pPr>
        <w:spacing w:after="0" w:line="38" w:lineRule="exact"/>
        <w:rPr>
          <w:sz w:val="20"/>
          <w:szCs w:val="20"/>
          <w:color w:val="auto"/>
        </w:rPr>
      </w:pPr>
    </w:p>
    <w:p>
      <w:pPr>
        <w:ind w:right="799"/>
        <w:spacing w:after="0" w:line="223" w:lineRule="auto"/>
        <w:rPr>
          <w:sz w:val="20"/>
          <w:szCs w:val="20"/>
          <w:color w:val="auto"/>
        </w:rPr>
      </w:pPr>
      <w:r>
        <w:rPr>
          <w:rFonts w:ascii="Arial" w:cs="Arial" w:eastAsia="Arial" w:hAnsi="Arial"/>
          <w:sz w:val="22"/>
          <w:szCs w:val="22"/>
          <w:color w:val="auto"/>
        </w:rPr>
        <w:t>During the three months ended March 31, 2010, electric revenues increased by $11 million (2%) to $562 million at Sempra Energy and by $10 million (2%) to $563 million at SDG&amp;E, while the cost of electric fuel and purchased power decreased by $23 million (13%) to $148 million.</w:t>
      </w:r>
    </w:p>
    <w:p>
      <w:pPr>
        <w:spacing w:after="0" w:line="38" w:lineRule="exact"/>
        <w:rPr>
          <w:sz w:val="20"/>
          <w:szCs w:val="20"/>
          <w:color w:val="auto"/>
        </w:rPr>
      </w:pPr>
    </w:p>
    <w:p>
      <w:pPr>
        <w:ind w:right="499"/>
        <w:spacing w:after="0" w:line="257" w:lineRule="auto"/>
        <w:rPr>
          <w:sz w:val="20"/>
          <w:szCs w:val="20"/>
          <w:color w:val="auto"/>
        </w:rPr>
      </w:pPr>
      <w:r>
        <w:rPr>
          <w:rFonts w:ascii="Arial" w:cs="Arial" w:eastAsia="Arial" w:hAnsi="Arial"/>
          <w:sz w:val="19"/>
          <w:szCs w:val="19"/>
          <w:color w:val="auto"/>
        </w:rPr>
        <w:t>The cost of electric fuel and purchased power decreased by $19 million due to a decrease in the amount of power purchased from third-party generators as a result of the start up of new power generation at Otay Mesa VIE, which commenced commercial operations in the fourth quarter of 2009. The lower cost of electric fuel and purchased power is primarily offset by operating costs and depreciation for Otay Mesa VIE.</w:t>
      </w:r>
    </w:p>
    <w:p>
      <w:pPr>
        <w:sectPr>
          <w:pgSz w:w="11900" w:h="16838" w:orient="portrait"/>
          <w:cols w:equalWidth="0" w:num="1">
            <w:col w:w="10219"/>
          </w:cols>
          <w:pgMar w:left="240" w:top="378" w:right="1440" w:bottom="1440" w:gutter="0" w:footer="0" w:header="0"/>
        </w:sectPr>
      </w:pPr>
    </w:p>
    <w:bookmarkStart w:id="72" w:name="page73"/>
    <w:bookmarkEnd w:id="72"/>
    <w:p>
      <w:pPr>
        <w:spacing w:after="0"/>
        <w:rPr>
          <w:sz w:val="20"/>
          <w:szCs w:val="20"/>
          <w:color w:val="auto"/>
        </w:rPr>
      </w:pPr>
      <w:r>
        <w:rPr>
          <w:rFonts w:ascii="Arial" w:cs="Arial" w:eastAsia="Arial" w:hAnsi="Arial"/>
          <w:sz w:val="16"/>
          <w:szCs w:val="16"/>
          <w:b w:val="1"/>
          <w:bCs w:val="1"/>
          <w:color w:val="auto"/>
        </w:rPr>
        <w:t>ELECTRIC DISTRIBUTION AND TRANSMISSION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5205730" cy="2317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205730" cy="23177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60" w:type="dxa"/>
            <w:vAlign w:val="bottom"/>
            <w:gridSpan w:val="2"/>
          </w:tcPr>
          <w:p>
            <w:pPr>
              <w:spacing w:after="0"/>
              <w:rPr>
                <w:sz w:val="20"/>
                <w:szCs w:val="20"/>
                <w:color w:val="auto"/>
              </w:rPr>
            </w:pPr>
            <w:r>
              <w:rPr>
                <w:rFonts w:ascii="Arial" w:cs="Arial" w:eastAsia="Arial" w:hAnsi="Arial"/>
                <w:sz w:val="14"/>
                <w:szCs w:val="14"/>
                <w:i w:val="1"/>
                <w:iCs w:val="1"/>
                <w:color w:val="auto"/>
              </w:rPr>
              <w:t>(Volumes in millions of kilowatt-hours, dollars in millions)</w:t>
            </w: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280" w:type="dxa"/>
            <w:vAlign w:val="bottom"/>
            <w:tcBorders>
              <w:bottom w:val="single" w:sz="8" w:color="auto"/>
            </w:tcBorders>
            <w:gridSpan w:val="2"/>
          </w:tcPr>
          <w:p>
            <w:pPr>
              <w:jc w:val="right"/>
              <w:spacing w:after="0" w:line="157" w:lineRule="exact"/>
              <w:rPr>
                <w:sz w:val="20"/>
                <w:szCs w:val="20"/>
                <w:color w:val="auto"/>
              </w:rPr>
            </w:pPr>
            <w:r>
              <w:rPr>
                <w:rFonts w:ascii="Arial" w:cs="Arial" w:eastAsia="Arial" w:hAnsi="Arial"/>
                <w:sz w:val="14"/>
                <w:szCs w:val="14"/>
                <w:color w:val="auto"/>
              </w:rPr>
              <w:t>2010</w:t>
            </w:r>
          </w:p>
        </w:tc>
        <w:tc>
          <w:tcPr>
            <w:tcW w:w="10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spacing w:after="0" w:line="157" w:lineRule="exact"/>
              <w:rPr>
                <w:sz w:val="20"/>
                <w:szCs w:val="20"/>
                <w:color w:val="auto"/>
              </w:rPr>
            </w:pPr>
            <w:r>
              <w:rPr>
                <w:rFonts w:ascii="Arial" w:cs="Arial" w:eastAsia="Arial" w:hAnsi="Arial"/>
                <w:sz w:val="14"/>
                <w:szCs w:val="14"/>
                <w:color w:val="auto"/>
              </w:rPr>
              <w:t>2009</w:t>
            </w:r>
          </w:p>
        </w:tc>
        <w:tc>
          <w:tcPr>
            <w:tcW w:w="9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6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Customer class</w:t>
            </w:r>
          </w:p>
        </w:tc>
        <w:tc>
          <w:tcPr>
            <w:tcW w:w="1020" w:type="dxa"/>
            <w:vAlign w:val="bottom"/>
            <w:tcBorders>
              <w:bottom w:val="single" w:sz="8" w:color="auto"/>
            </w:tcBorders>
          </w:tcPr>
          <w:p>
            <w:pPr>
              <w:jc w:val="right"/>
              <w:ind w:right="140"/>
              <w:spacing w:after="0" w:line="155" w:lineRule="exact"/>
              <w:rPr>
                <w:sz w:val="20"/>
                <w:szCs w:val="20"/>
                <w:color w:val="auto"/>
              </w:rPr>
            </w:pPr>
            <w:r>
              <w:rPr>
                <w:rFonts w:ascii="Arial" w:cs="Arial" w:eastAsia="Arial" w:hAnsi="Arial"/>
                <w:sz w:val="14"/>
                <w:szCs w:val="14"/>
                <w:color w:val="auto"/>
              </w:rPr>
              <w:t>Volumes</w:t>
            </w: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4"/>
                <w:szCs w:val="14"/>
                <w:color w:val="auto"/>
              </w:rPr>
              <w:t>Revenue</w:t>
            </w:r>
          </w:p>
        </w:tc>
        <w:tc>
          <w:tcPr>
            <w:tcW w:w="900" w:type="dxa"/>
            <w:vAlign w:val="bottom"/>
            <w:tcBorders>
              <w:bottom w:val="single" w:sz="8" w:color="auto"/>
            </w:tcBorders>
          </w:tcPr>
          <w:p>
            <w:pPr>
              <w:jc w:val="right"/>
              <w:ind w:right="140"/>
              <w:spacing w:after="0" w:line="155" w:lineRule="exact"/>
              <w:rPr>
                <w:sz w:val="20"/>
                <w:szCs w:val="20"/>
                <w:color w:val="auto"/>
              </w:rPr>
            </w:pPr>
            <w:r>
              <w:rPr>
                <w:rFonts w:ascii="Arial" w:cs="Arial" w:eastAsia="Arial" w:hAnsi="Arial"/>
                <w:sz w:val="14"/>
                <w:szCs w:val="14"/>
                <w:color w:val="auto"/>
              </w:rPr>
              <w:t>Volumes</w:t>
            </w: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79"/>
              <w:spacing w:after="0" w:line="155" w:lineRule="exact"/>
              <w:rPr>
                <w:sz w:val="20"/>
                <w:szCs w:val="20"/>
                <w:color w:val="auto"/>
              </w:rPr>
            </w:pPr>
            <w:r>
              <w:rPr>
                <w:rFonts w:ascii="Arial" w:cs="Arial" w:eastAsia="Arial" w:hAnsi="Arial"/>
                <w:sz w:val="14"/>
                <w:szCs w:val="14"/>
                <w:color w:val="auto"/>
              </w:rPr>
              <w:t>Revenue</w:t>
            </w:r>
          </w:p>
        </w:tc>
        <w:tc>
          <w:tcPr>
            <w:tcW w:w="0" w:type="dxa"/>
            <w:vAlign w:val="bottom"/>
          </w:tcPr>
          <w:p>
            <w:pPr>
              <w:spacing w:after="0"/>
              <w:rPr>
                <w:sz w:val="1"/>
                <w:szCs w:val="1"/>
                <w:color w:val="auto"/>
              </w:rPr>
            </w:pPr>
          </w:p>
        </w:tc>
      </w:tr>
      <w:tr>
        <w:trPr>
          <w:trHeight w:val="184"/>
        </w:trPr>
        <w:tc>
          <w:tcPr>
            <w:tcW w:w="3860" w:type="dxa"/>
            <w:vAlign w:val="bottom"/>
            <w:gridSpan w:val="2"/>
          </w:tcPr>
          <w:p>
            <w:pPr>
              <w:spacing w:after="0"/>
              <w:rPr>
                <w:sz w:val="20"/>
                <w:szCs w:val="20"/>
                <w:color w:val="auto"/>
              </w:rPr>
            </w:pPr>
            <w:r>
              <w:rPr>
                <w:rFonts w:ascii="Arial" w:cs="Arial" w:eastAsia="Arial" w:hAnsi="Arial"/>
                <w:sz w:val="16"/>
                <w:szCs w:val="16"/>
                <w:b w:val="1"/>
                <w:bCs w:val="1"/>
                <w:color w:val="auto"/>
              </w:rPr>
              <w:t>Sempra Energy Consolidated:</w:t>
            </w: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gridSpan w:val="2"/>
          </w:tcPr>
          <w:p>
            <w:pPr>
              <w:spacing w:after="0"/>
              <w:rPr>
                <w:sz w:val="20"/>
                <w:szCs w:val="20"/>
                <w:color w:val="auto"/>
              </w:rPr>
            </w:pPr>
            <w:r>
              <w:rPr>
                <w:rFonts w:ascii="Arial" w:cs="Arial" w:eastAsia="Arial" w:hAnsi="Arial"/>
                <w:sz w:val="16"/>
                <w:szCs w:val="16"/>
                <w:color w:val="auto"/>
              </w:rPr>
              <w:t>Residential</w:t>
            </w:r>
          </w:p>
        </w:tc>
        <w:tc>
          <w:tcPr>
            <w:tcW w:w="1020" w:type="dxa"/>
            <w:vAlign w:val="bottom"/>
          </w:tcPr>
          <w:p>
            <w:pPr>
              <w:jc w:val="right"/>
              <w:spacing w:after="0"/>
              <w:rPr>
                <w:sz w:val="20"/>
                <w:szCs w:val="20"/>
                <w:color w:val="auto"/>
              </w:rPr>
            </w:pPr>
            <w:r>
              <w:rPr>
                <w:rFonts w:ascii="Arial" w:cs="Arial" w:eastAsia="Arial" w:hAnsi="Arial"/>
                <w:sz w:val="16"/>
                <w:szCs w:val="16"/>
                <w:color w:val="auto"/>
              </w:rPr>
              <w:t>1,913</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276</w:t>
            </w:r>
          </w:p>
        </w:tc>
        <w:tc>
          <w:tcPr>
            <w:tcW w:w="900" w:type="dxa"/>
            <w:vAlign w:val="bottom"/>
          </w:tcPr>
          <w:p>
            <w:pPr>
              <w:jc w:val="right"/>
              <w:spacing w:after="0"/>
              <w:rPr>
                <w:sz w:val="20"/>
                <w:szCs w:val="20"/>
                <w:color w:val="auto"/>
              </w:rPr>
            </w:pPr>
            <w:r>
              <w:rPr>
                <w:rFonts w:ascii="Arial" w:cs="Arial" w:eastAsia="Arial" w:hAnsi="Arial"/>
                <w:sz w:val="16"/>
                <w:szCs w:val="16"/>
                <w:color w:val="auto"/>
              </w:rPr>
              <w:t>1,927</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269</w:t>
            </w:r>
          </w:p>
        </w:tc>
        <w:tc>
          <w:tcPr>
            <w:tcW w:w="0" w:type="dxa"/>
            <w:vAlign w:val="bottom"/>
          </w:tcPr>
          <w:p>
            <w:pPr>
              <w:spacing w:after="0"/>
              <w:rPr>
                <w:sz w:val="1"/>
                <w:szCs w:val="1"/>
                <w:color w:val="auto"/>
              </w:rPr>
            </w:pPr>
          </w:p>
        </w:tc>
      </w:tr>
      <w:tr>
        <w:trPr>
          <w:trHeight w:val="189"/>
        </w:trPr>
        <w:tc>
          <w:tcPr>
            <w:tcW w:w="3860" w:type="dxa"/>
            <w:vAlign w:val="bottom"/>
            <w:gridSpan w:val="2"/>
          </w:tcPr>
          <w:p>
            <w:pPr>
              <w:spacing w:after="0"/>
              <w:rPr>
                <w:sz w:val="20"/>
                <w:szCs w:val="20"/>
                <w:color w:val="auto"/>
              </w:rPr>
            </w:pPr>
            <w:r>
              <w:rPr>
                <w:rFonts w:ascii="Arial" w:cs="Arial" w:eastAsia="Arial" w:hAnsi="Arial"/>
                <w:sz w:val="16"/>
                <w:szCs w:val="16"/>
                <w:color w:val="auto"/>
              </w:rPr>
              <w:t>Commercial</w:t>
            </w:r>
          </w:p>
        </w:tc>
        <w:tc>
          <w:tcPr>
            <w:tcW w:w="1020" w:type="dxa"/>
            <w:vAlign w:val="bottom"/>
          </w:tcPr>
          <w:p>
            <w:pPr>
              <w:jc w:val="right"/>
              <w:spacing w:after="0"/>
              <w:rPr>
                <w:sz w:val="20"/>
                <w:szCs w:val="20"/>
                <w:color w:val="auto"/>
              </w:rPr>
            </w:pPr>
            <w:r>
              <w:rPr>
                <w:rFonts w:ascii="Arial" w:cs="Arial" w:eastAsia="Arial" w:hAnsi="Arial"/>
                <w:sz w:val="16"/>
                <w:szCs w:val="16"/>
                <w:color w:val="auto"/>
              </w:rPr>
              <w:t>1,595</w:t>
            </w:r>
          </w:p>
        </w:tc>
        <w:tc>
          <w:tcPr>
            <w:tcW w:w="260" w:type="dxa"/>
            <w:vAlign w:val="bottom"/>
          </w:tcPr>
          <w:p>
            <w:pPr>
              <w:spacing w:after="0"/>
              <w:rPr>
                <w:sz w:val="16"/>
                <w:szCs w:val="16"/>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200</w:t>
            </w:r>
          </w:p>
        </w:tc>
        <w:tc>
          <w:tcPr>
            <w:tcW w:w="900" w:type="dxa"/>
            <w:vAlign w:val="bottom"/>
          </w:tcPr>
          <w:p>
            <w:pPr>
              <w:jc w:val="right"/>
              <w:spacing w:after="0"/>
              <w:rPr>
                <w:sz w:val="20"/>
                <w:szCs w:val="20"/>
                <w:color w:val="auto"/>
              </w:rPr>
            </w:pPr>
            <w:r>
              <w:rPr>
                <w:rFonts w:ascii="Arial" w:cs="Arial" w:eastAsia="Arial" w:hAnsi="Arial"/>
                <w:sz w:val="16"/>
                <w:szCs w:val="16"/>
                <w:color w:val="auto"/>
              </w:rPr>
              <w:t>1,665</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189"/>
        </w:trPr>
        <w:tc>
          <w:tcPr>
            <w:tcW w:w="3860" w:type="dxa"/>
            <w:vAlign w:val="bottom"/>
            <w:gridSpan w:val="2"/>
          </w:tcPr>
          <w:p>
            <w:pPr>
              <w:spacing w:after="0"/>
              <w:rPr>
                <w:sz w:val="20"/>
                <w:szCs w:val="20"/>
                <w:color w:val="auto"/>
              </w:rPr>
            </w:pPr>
            <w:r>
              <w:rPr>
                <w:rFonts w:ascii="Arial" w:cs="Arial" w:eastAsia="Arial" w:hAnsi="Arial"/>
                <w:sz w:val="16"/>
                <w:szCs w:val="16"/>
                <w:color w:val="auto"/>
              </w:rPr>
              <w:t>Industrial</w:t>
            </w:r>
          </w:p>
        </w:tc>
        <w:tc>
          <w:tcPr>
            <w:tcW w:w="1020" w:type="dxa"/>
            <w:vAlign w:val="bottom"/>
          </w:tcPr>
          <w:p>
            <w:pPr>
              <w:jc w:val="right"/>
              <w:spacing w:after="0"/>
              <w:rPr>
                <w:sz w:val="20"/>
                <w:szCs w:val="20"/>
                <w:color w:val="auto"/>
              </w:rPr>
            </w:pPr>
            <w:r>
              <w:rPr>
                <w:rFonts w:ascii="Arial" w:cs="Arial" w:eastAsia="Arial" w:hAnsi="Arial"/>
                <w:sz w:val="16"/>
                <w:szCs w:val="16"/>
                <w:color w:val="auto"/>
              </w:rPr>
              <w:t>524</w:t>
            </w:r>
          </w:p>
        </w:tc>
        <w:tc>
          <w:tcPr>
            <w:tcW w:w="260" w:type="dxa"/>
            <w:vAlign w:val="bottom"/>
          </w:tcPr>
          <w:p>
            <w:pPr>
              <w:spacing w:after="0"/>
              <w:rPr>
                <w:sz w:val="16"/>
                <w:szCs w:val="16"/>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56</w:t>
            </w:r>
          </w:p>
        </w:tc>
        <w:tc>
          <w:tcPr>
            <w:tcW w:w="900" w:type="dxa"/>
            <w:vAlign w:val="bottom"/>
          </w:tcPr>
          <w:p>
            <w:pPr>
              <w:jc w:val="right"/>
              <w:spacing w:after="0"/>
              <w:rPr>
                <w:sz w:val="20"/>
                <w:szCs w:val="20"/>
                <w:color w:val="auto"/>
              </w:rPr>
            </w:pPr>
            <w:r>
              <w:rPr>
                <w:rFonts w:ascii="Arial" w:cs="Arial" w:eastAsia="Arial" w:hAnsi="Arial"/>
                <w:sz w:val="16"/>
                <w:szCs w:val="16"/>
                <w:color w:val="auto"/>
              </w:rPr>
              <w:t>545</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189"/>
        </w:trPr>
        <w:tc>
          <w:tcPr>
            <w:tcW w:w="3860" w:type="dxa"/>
            <w:vAlign w:val="bottom"/>
            <w:gridSpan w:val="2"/>
          </w:tcPr>
          <w:p>
            <w:pPr>
              <w:spacing w:after="0"/>
              <w:rPr>
                <w:sz w:val="20"/>
                <w:szCs w:val="20"/>
                <w:color w:val="auto"/>
              </w:rPr>
            </w:pPr>
            <w:r>
              <w:rPr>
                <w:rFonts w:ascii="Arial" w:cs="Arial" w:eastAsia="Arial" w:hAnsi="Arial"/>
                <w:sz w:val="16"/>
                <w:szCs w:val="16"/>
                <w:color w:val="auto"/>
              </w:rPr>
              <w:t>Direct access</w:t>
            </w:r>
          </w:p>
        </w:tc>
        <w:tc>
          <w:tcPr>
            <w:tcW w:w="1020" w:type="dxa"/>
            <w:vAlign w:val="bottom"/>
          </w:tcPr>
          <w:p>
            <w:pPr>
              <w:jc w:val="right"/>
              <w:spacing w:after="0"/>
              <w:rPr>
                <w:sz w:val="20"/>
                <w:szCs w:val="20"/>
                <w:color w:val="auto"/>
              </w:rPr>
            </w:pPr>
            <w:r>
              <w:rPr>
                <w:rFonts w:ascii="Arial" w:cs="Arial" w:eastAsia="Arial" w:hAnsi="Arial"/>
                <w:sz w:val="16"/>
                <w:szCs w:val="16"/>
                <w:color w:val="auto"/>
              </w:rPr>
              <w:t>720</w:t>
            </w:r>
          </w:p>
        </w:tc>
        <w:tc>
          <w:tcPr>
            <w:tcW w:w="260" w:type="dxa"/>
            <w:vAlign w:val="bottom"/>
          </w:tcPr>
          <w:p>
            <w:pPr>
              <w:spacing w:after="0"/>
              <w:rPr>
                <w:sz w:val="16"/>
                <w:szCs w:val="16"/>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25</w:t>
            </w:r>
          </w:p>
        </w:tc>
        <w:tc>
          <w:tcPr>
            <w:tcW w:w="900" w:type="dxa"/>
            <w:vAlign w:val="bottom"/>
          </w:tcPr>
          <w:p>
            <w:pPr>
              <w:jc w:val="right"/>
              <w:spacing w:after="0"/>
              <w:rPr>
                <w:sz w:val="20"/>
                <w:szCs w:val="20"/>
                <w:color w:val="auto"/>
              </w:rPr>
            </w:pPr>
            <w:r>
              <w:rPr>
                <w:rFonts w:ascii="Arial" w:cs="Arial" w:eastAsia="Arial" w:hAnsi="Arial"/>
                <w:sz w:val="16"/>
                <w:szCs w:val="16"/>
                <w:color w:val="auto"/>
              </w:rPr>
              <w:t>740</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87"/>
        </w:trPr>
        <w:tc>
          <w:tcPr>
            <w:tcW w:w="3860" w:type="dxa"/>
            <w:vAlign w:val="bottom"/>
            <w:gridSpan w:val="2"/>
          </w:tcPr>
          <w:p>
            <w:pPr>
              <w:spacing w:after="0"/>
              <w:rPr>
                <w:sz w:val="20"/>
                <w:szCs w:val="20"/>
                <w:color w:val="auto"/>
              </w:rPr>
            </w:pPr>
            <w:r>
              <w:rPr>
                <w:rFonts w:ascii="Arial" w:cs="Arial" w:eastAsia="Arial" w:hAnsi="Arial"/>
                <w:sz w:val="16"/>
                <w:szCs w:val="16"/>
                <w:color w:val="auto"/>
              </w:rPr>
              <w:t>Street and highway lighting</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4,775</w:t>
            </w:r>
          </w:p>
        </w:tc>
        <w:tc>
          <w:tcPr>
            <w:tcW w:w="260" w:type="dxa"/>
            <w:vAlign w:val="bottom"/>
          </w:tcPr>
          <w:p>
            <w:pPr>
              <w:spacing w:after="0"/>
              <w:rPr>
                <w:sz w:val="16"/>
                <w:szCs w:val="16"/>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560</w:t>
            </w:r>
          </w:p>
        </w:tc>
        <w:tc>
          <w:tcPr>
            <w:tcW w:w="900" w:type="dxa"/>
            <w:vAlign w:val="bottom"/>
          </w:tcPr>
          <w:p>
            <w:pPr>
              <w:jc w:val="right"/>
              <w:spacing w:after="0"/>
              <w:rPr>
                <w:sz w:val="20"/>
                <w:szCs w:val="20"/>
                <w:color w:val="auto"/>
              </w:rPr>
            </w:pPr>
            <w:r>
              <w:rPr>
                <w:rFonts w:ascii="Arial" w:cs="Arial" w:eastAsia="Arial" w:hAnsi="Arial"/>
                <w:sz w:val="16"/>
                <w:szCs w:val="16"/>
                <w:color w:val="auto"/>
              </w:rPr>
              <w:t>4,904</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559</w:t>
            </w:r>
          </w:p>
        </w:tc>
        <w:tc>
          <w:tcPr>
            <w:tcW w:w="0" w:type="dxa"/>
            <w:vAlign w:val="bottom"/>
          </w:tcPr>
          <w:p>
            <w:pPr>
              <w:spacing w:after="0"/>
              <w:rPr>
                <w:sz w:val="1"/>
                <w:szCs w:val="1"/>
                <w:color w:val="auto"/>
              </w:rPr>
            </w:pPr>
          </w:p>
        </w:tc>
      </w:tr>
      <w:tr>
        <w:trPr>
          <w:trHeight w:val="189"/>
        </w:trPr>
        <w:tc>
          <w:tcPr>
            <w:tcW w:w="3860" w:type="dxa"/>
            <w:vAlign w:val="bottom"/>
            <w:gridSpan w:val="2"/>
          </w:tcPr>
          <w:p>
            <w:pPr>
              <w:spacing w:after="0"/>
              <w:rPr>
                <w:sz w:val="20"/>
                <w:szCs w:val="20"/>
                <w:color w:val="auto"/>
              </w:rPr>
            </w:pPr>
            <w:r>
              <w:rPr>
                <w:rFonts w:ascii="Arial" w:cs="Arial" w:eastAsia="Arial" w:hAnsi="Arial"/>
                <w:sz w:val="16"/>
                <w:szCs w:val="16"/>
                <w:color w:val="auto"/>
              </w:rPr>
              <w:t>Other revenues</w:t>
            </w: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29</w:t>
            </w: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87"/>
        </w:trPr>
        <w:tc>
          <w:tcPr>
            <w:tcW w:w="3860" w:type="dxa"/>
            <w:vAlign w:val="bottom"/>
            <w:gridSpan w:val="2"/>
          </w:tcPr>
          <w:p>
            <w:pPr>
              <w:spacing w:after="0"/>
              <w:rPr>
                <w:sz w:val="20"/>
                <w:szCs w:val="20"/>
                <w:color w:val="auto"/>
              </w:rPr>
            </w:pPr>
            <w:r>
              <w:rPr>
                <w:rFonts w:ascii="Arial" w:cs="Arial" w:eastAsia="Arial" w:hAnsi="Arial"/>
                <w:sz w:val="16"/>
                <w:szCs w:val="16"/>
                <w:color w:val="auto"/>
              </w:rPr>
              <w:t>Balancing accounts</w:t>
            </w:r>
          </w:p>
        </w:tc>
        <w:tc>
          <w:tcPr>
            <w:tcW w:w="10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w:t>
            </w:r>
          </w:p>
        </w:tc>
        <w:tc>
          <w:tcPr>
            <w:tcW w:w="9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840" w:type="dxa"/>
            <w:vAlign w:val="bottom"/>
          </w:tcPr>
          <w:p>
            <w:pPr>
              <w:ind w:left="160"/>
              <w:spacing w:after="0" w:line="183" w:lineRule="exact"/>
              <w:rPr>
                <w:sz w:val="20"/>
                <w:szCs w:val="20"/>
                <w:color w:val="auto"/>
              </w:rPr>
            </w:pPr>
            <w:r>
              <w:rPr>
                <w:rFonts w:ascii="Arial" w:cs="Arial" w:eastAsia="Arial" w:hAnsi="Arial"/>
                <w:sz w:val="16"/>
                <w:szCs w:val="16"/>
                <w:color w:val="auto"/>
              </w:rPr>
              <w:t>Total</w:t>
            </w:r>
          </w:p>
        </w:tc>
        <w:tc>
          <w:tcPr>
            <w:tcW w:w="1020" w:type="dxa"/>
            <w:vAlign w:val="bottom"/>
          </w:tcPr>
          <w:p>
            <w:pPr>
              <w:spacing w:after="0"/>
              <w:rPr>
                <w:sz w:val="15"/>
                <w:szCs w:val="15"/>
                <w:color w:val="auto"/>
              </w:rPr>
            </w:pPr>
          </w:p>
        </w:tc>
        <w:tc>
          <w:tcPr>
            <w:tcW w:w="260" w:type="dxa"/>
            <w:vAlign w:val="bottom"/>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020" w:type="dxa"/>
            <w:vAlign w:val="bottom"/>
          </w:tcPr>
          <w:p>
            <w:pPr>
              <w:jc w:val="right"/>
              <w:ind w:right="99"/>
              <w:spacing w:after="0" w:line="183" w:lineRule="exact"/>
              <w:rPr>
                <w:sz w:val="20"/>
                <w:szCs w:val="20"/>
                <w:color w:val="auto"/>
              </w:rPr>
            </w:pPr>
            <w:r>
              <w:rPr>
                <w:rFonts w:ascii="Arial" w:cs="Arial" w:eastAsia="Arial" w:hAnsi="Arial"/>
                <w:sz w:val="16"/>
                <w:szCs w:val="16"/>
                <w:color w:val="auto"/>
              </w:rPr>
              <w:t>562</w:t>
            </w:r>
          </w:p>
        </w:tc>
        <w:tc>
          <w:tcPr>
            <w:tcW w:w="900" w:type="dxa"/>
            <w:vAlign w:val="bottom"/>
          </w:tcPr>
          <w:p>
            <w:pPr>
              <w:spacing w:after="0"/>
              <w:rPr>
                <w:sz w:val="15"/>
                <w:szCs w:val="15"/>
                <w:color w:val="auto"/>
              </w:rPr>
            </w:pPr>
          </w:p>
        </w:tc>
        <w:tc>
          <w:tcPr>
            <w:tcW w:w="240" w:type="dxa"/>
            <w:vAlign w:val="bottom"/>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551</w:t>
            </w: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3840" w:type="dxa"/>
            <w:vAlign w:val="bottom"/>
            <w:shd w:val="clear" w:color="auto" w:fill="000000"/>
          </w:tcPr>
          <w:p>
            <w:pPr>
              <w:spacing w:after="0"/>
              <w:rPr>
                <w:sz w:val="7"/>
                <w:szCs w:val="7"/>
                <w:color w:val="auto"/>
              </w:rPr>
            </w:pPr>
          </w:p>
        </w:tc>
        <w:tc>
          <w:tcPr>
            <w:tcW w:w="102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1020" w:type="dxa"/>
            <w:vAlign w:val="bottom"/>
            <w:shd w:val="clear" w:color="auto" w:fill="000000"/>
          </w:tcPr>
          <w:p>
            <w:pPr>
              <w:spacing w:after="0"/>
              <w:rPr>
                <w:sz w:val="7"/>
                <w:szCs w:val="7"/>
                <w:color w:val="auto"/>
              </w:rPr>
            </w:pPr>
          </w:p>
        </w:tc>
        <w:tc>
          <w:tcPr>
            <w:tcW w:w="900" w:type="dxa"/>
            <w:vAlign w:val="bottom"/>
            <w:shd w:val="clear" w:color="auto" w:fill="000000"/>
          </w:tcPr>
          <w:p>
            <w:pPr>
              <w:spacing w:after="0"/>
              <w:rPr>
                <w:sz w:val="7"/>
                <w:szCs w:val="7"/>
                <w:color w:val="auto"/>
              </w:rPr>
            </w:pPr>
          </w:p>
        </w:tc>
        <w:tc>
          <w:tcPr>
            <w:tcW w:w="240" w:type="dxa"/>
            <w:vAlign w:val="bottom"/>
            <w:shd w:val="clear" w:color="auto" w:fill="000000"/>
          </w:tcPr>
          <w:p>
            <w:pPr>
              <w:spacing w:after="0"/>
              <w:rPr>
                <w:sz w:val="7"/>
                <w:szCs w:val="7"/>
                <w:color w:val="auto"/>
              </w:rPr>
            </w:pPr>
          </w:p>
        </w:tc>
        <w:tc>
          <w:tcPr>
            <w:tcW w:w="90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384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gridSpan w:val="2"/>
          </w:tcPr>
          <w:p>
            <w:pPr>
              <w:spacing w:after="0"/>
              <w:rPr>
                <w:sz w:val="20"/>
                <w:szCs w:val="20"/>
                <w:color w:val="auto"/>
              </w:rPr>
            </w:pPr>
            <w:r>
              <w:rPr>
                <w:rFonts w:ascii="Arial" w:cs="Arial" w:eastAsia="Arial" w:hAnsi="Arial"/>
                <w:sz w:val="16"/>
                <w:szCs w:val="16"/>
                <w:color w:val="auto"/>
              </w:rPr>
              <w:t>Residential</w:t>
            </w:r>
          </w:p>
        </w:tc>
        <w:tc>
          <w:tcPr>
            <w:tcW w:w="1020" w:type="dxa"/>
            <w:vAlign w:val="bottom"/>
          </w:tcPr>
          <w:p>
            <w:pPr>
              <w:jc w:val="right"/>
              <w:spacing w:after="0"/>
              <w:rPr>
                <w:sz w:val="20"/>
                <w:szCs w:val="20"/>
                <w:color w:val="auto"/>
              </w:rPr>
            </w:pPr>
            <w:r>
              <w:rPr>
                <w:rFonts w:ascii="Arial" w:cs="Arial" w:eastAsia="Arial" w:hAnsi="Arial"/>
                <w:sz w:val="16"/>
                <w:szCs w:val="16"/>
                <w:color w:val="auto"/>
              </w:rPr>
              <w:t>1,913</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276</w:t>
            </w:r>
          </w:p>
        </w:tc>
        <w:tc>
          <w:tcPr>
            <w:tcW w:w="900" w:type="dxa"/>
            <w:vAlign w:val="bottom"/>
          </w:tcPr>
          <w:p>
            <w:pPr>
              <w:jc w:val="right"/>
              <w:spacing w:after="0"/>
              <w:rPr>
                <w:sz w:val="20"/>
                <w:szCs w:val="20"/>
                <w:color w:val="auto"/>
              </w:rPr>
            </w:pPr>
            <w:r>
              <w:rPr>
                <w:rFonts w:ascii="Arial" w:cs="Arial" w:eastAsia="Arial" w:hAnsi="Arial"/>
                <w:sz w:val="16"/>
                <w:szCs w:val="16"/>
                <w:color w:val="auto"/>
              </w:rPr>
              <w:t>1,927</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269</w:t>
            </w:r>
          </w:p>
        </w:tc>
        <w:tc>
          <w:tcPr>
            <w:tcW w:w="0" w:type="dxa"/>
            <w:vAlign w:val="bottom"/>
          </w:tcPr>
          <w:p>
            <w:pPr>
              <w:spacing w:after="0"/>
              <w:rPr>
                <w:sz w:val="1"/>
                <w:szCs w:val="1"/>
                <w:color w:val="auto"/>
              </w:rPr>
            </w:pPr>
          </w:p>
        </w:tc>
      </w:tr>
      <w:tr>
        <w:trPr>
          <w:trHeight w:val="189"/>
        </w:trPr>
        <w:tc>
          <w:tcPr>
            <w:tcW w:w="3860" w:type="dxa"/>
            <w:vAlign w:val="bottom"/>
            <w:gridSpan w:val="2"/>
          </w:tcPr>
          <w:p>
            <w:pPr>
              <w:spacing w:after="0"/>
              <w:rPr>
                <w:sz w:val="20"/>
                <w:szCs w:val="20"/>
                <w:color w:val="auto"/>
              </w:rPr>
            </w:pPr>
            <w:r>
              <w:rPr>
                <w:rFonts w:ascii="Arial" w:cs="Arial" w:eastAsia="Arial" w:hAnsi="Arial"/>
                <w:sz w:val="16"/>
                <w:szCs w:val="16"/>
                <w:color w:val="auto"/>
              </w:rPr>
              <w:t>Commercial</w:t>
            </w:r>
          </w:p>
        </w:tc>
        <w:tc>
          <w:tcPr>
            <w:tcW w:w="1020" w:type="dxa"/>
            <w:vAlign w:val="bottom"/>
          </w:tcPr>
          <w:p>
            <w:pPr>
              <w:jc w:val="right"/>
              <w:spacing w:after="0"/>
              <w:rPr>
                <w:sz w:val="20"/>
                <w:szCs w:val="20"/>
                <w:color w:val="auto"/>
              </w:rPr>
            </w:pPr>
            <w:r>
              <w:rPr>
                <w:rFonts w:ascii="Arial" w:cs="Arial" w:eastAsia="Arial" w:hAnsi="Arial"/>
                <w:sz w:val="16"/>
                <w:szCs w:val="16"/>
                <w:color w:val="auto"/>
              </w:rPr>
              <w:t>1,595</w:t>
            </w:r>
          </w:p>
        </w:tc>
        <w:tc>
          <w:tcPr>
            <w:tcW w:w="260" w:type="dxa"/>
            <w:vAlign w:val="bottom"/>
          </w:tcPr>
          <w:p>
            <w:pPr>
              <w:spacing w:after="0"/>
              <w:rPr>
                <w:sz w:val="16"/>
                <w:szCs w:val="16"/>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200</w:t>
            </w:r>
          </w:p>
        </w:tc>
        <w:tc>
          <w:tcPr>
            <w:tcW w:w="900" w:type="dxa"/>
            <w:vAlign w:val="bottom"/>
          </w:tcPr>
          <w:p>
            <w:pPr>
              <w:jc w:val="right"/>
              <w:spacing w:after="0"/>
              <w:rPr>
                <w:sz w:val="20"/>
                <w:szCs w:val="20"/>
                <w:color w:val="auto"/>
              </w:rPr>
            </w:pPr>
            <w:r>
              <w:rPr>
                <w:rFonts w:ascii="Arial" w:cs="Arial" w:eastAsia="Arial" w:hAnsi="Arial"/>
                <w:sz w:val="16"/>
                <w:szCs w:val="16"/>
                <w:color w:val="auto"/>
              </w:rPr>
              <w:t>1,665</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189"/>
        </w:trPr>
        <w:tc>
          <w:tcPr>
            <w:tcW w:w="3860" w:type="dxa"/>
            <w:vAlign w:val="bottom"/>
            <w:gridSpan w:val="2"/>
          </w:tcPr>
          <w:p>
            <w:pPr>
              <w:spacing w:after="0"/>
              <w:rPr>
                <w:sz w:val="20"/>
                <w:szCs w:val="20"/>
                <w:color w:val="auto"/>
              </w:rPr>
            </w:pPr>
            <w:r>
              <w:rPr>
                <w:rFonts w:ascii="Arial" w:cs="Arial" w:eastAsia="Arial" w:hAnsi="Arial"/>
                <w:sz w:val="16"/>
                <w:szCs w:val="16"/>
                <w:color w:val="auto"/>
              </w:rPr>
              <w:t>Industrial</w:t>
            </w:r>
          </w:p>
        </w:tc>
        <w:tc>
          <w:tcPr>
            <w:tcW w:w="1020" w:type="dxa"/>
            <w:vAlign w:val="bottom"/>
          </w:tcPr>
          <w:p>
            <w:pPr>
              <w:jc w:val="right"/>
              <w:spacing w:after="0"/>
              <w:rPr>
                <w:sz w:val="20"/>
                <w:szCs w:val="20"/>
                <w:color w:val="auto"/>
              </w:rPr>
            </w:pPr>
            <w:r>
              <w:rPr>
                <w:rFonts w:ascii="Arial" w:cs="Arial" w:eastAsia="Arial" w:hAnsi="Arial"/>
                <w:sz w:val="16"/>
                <w:szCs w:val="16"/>
                <w:color w:val="auto"/>
              </w:rPr>
              <w:t>527</w:t>
            </w:r>
          </w:p>
        </w:tc>
        <w:tc>
          <w:tcPr>
            <w:tcW w:w="260" w:type="dxa"/>
            <w:vAlign w:val="bottom"/>
          </w:tcPr>
          <w:p>
            <w:pPr>
              <w:spacing w:after="0"/>
              <w:rPr>
                <w:sz w:val="16"/>
                <w:szCs w:val="16"/>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56</w:t>
            </w:r>
          </w:p>
        </w:tc>
        <w:tc>
          <w:tcPr>
            <w:tcW w:w="900" w:type="dxa"/>
            <w:vAlign w:val="bottom"/>
          </w:tcPr>
          <w:p>
            <w:pPr>
              <w:jc w:val="right"/>
              <w:spacing w:after="0"/>
              <w:rPr>
                <w:sz w:val="20"/>
                <w:szCs w:val="20"/>
                <w:color w:val="auto"/>
              </w:rPr>
            </w:pPr>
            <w:r>
              <w:rPr>
                <w:rFonts w:ascii="Arial" w:cs="Arial" w:eastAsia="Arial" w:hAnsi="Arial"/>
                <w:sz w:val="16"/>
                <w:szCs w:val="16"/>
                <w:color w:val="auto"/>
              </w:rPr>
              <w:t>548</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189"/>
        </w:trPr>
        <w:tc>
          <w:tcPr>
            <w:tcW w:w="3860" w:type="dxa"/>
            <w:vAlign w:val="bottom"/>
            <w:gridSpan w:val="2"/>
          </w:tcPr>
          <w:p>
            <w:pPr>
              <w:spacing w:after="0"/>
              <w:rPr>
                <w:sz w:val="20"/>
                <w:szCs w:val="20"/>
                <w:color w:val="auto"/>
              </w:rPr>
            </w:pPr>
            <w:r>
              <w:rPr>
                <w:rFonts w:ascii="Arial" w:cs="Arial" w:eastAsia="Arial" w:hAnsi="Arial"/>
                <w:sz w:val="16"/>
                <w:szCs w:val="16"/>
                <w:color w:val="auto"/>
              </w:rPr>
              <w:t>Direct access</w:t>
            </w:r>
          </w:p>
        </w:tc>
        <w:tc>
          <w:tcPr>
            <w:tcW w:w="1020" w:type="dxa"/>
            <w:vAlign w:val="bottom"/>
          </w:tcPr>
          <w:p>
            <w:pPr>
              <w:jc w:val="right"/>
              <w:spacing w:after="0"/>
              <w:rPr>
                <w:sz w:val="20"/>
                <w:szCs w:val="20"/>
                <w:color w:val="auto"/>
              </w:rPr>
            </w:pPr>
            <w:r>
              <w:rPr>
                <w:rFonts w:ascii="Arial" w:cs="Arial" w:eastAsia="Arial" w:hAnsi="Arial"/>
                <w:sz w:val="16"/>
                <w:szCs w:val="16"/>
                <w:color w:val="auto"/>
              </w:rPr>
              <w:t>720</w:t>
            </w:r>
          </w:p>
        </w:tc>
        <w:tc>
          <w:tcPr>
            <w:tcW w:w="260" w:type="dxa"/>
            <w:vAlign w:val="bottom"/>
          </w:tcPr>
          <w:p>
            <w:pPr>
              <w:spacing w:after="0"/>
              <w:rPr>
                <w:sz w:val="16"/>
                <w:szCs w:val="16"/>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25</w:t>
            </w:r>
          </w:p>
        </w:tc>
        <w:tc>
          <w:tcPr>
            <w:tcW w:w="900" w:type="dxa"/>
            <w:vAlign w:val="bottom"/>
          </w:tcPr>
          <w:p>
            <w:pPr>
              <w:jc w:val="right"/>
              <w:spacing w:after="0"/>
              <w:rPr>
                <w:sz w:val="20"/>
                <w:szCs w:val="20"/>
                <w:color w:val="auto"/>
              </w:rPr>
            </w:pPr>
            <w:r>
              <w:rPr>
                <w:rFonts w:ascii="Arial" w:cs="Arial" w:eastAsia="Arial" w:hAnsi="Arial"/>
                <w:sz w:val="16"/>
                <w:szCs w:val="16"/>
                <w:color w:val="auto"/>
              </w:rPr>
              <w:t>740</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87"/>
        </w:trPr>
        <w:tc>
          <w:tcPr>
            <w:tcW w:w="3860" w:type="dxa"/>
            <w:vAlign w:val="bottom"/>
            <w:gridSpan w:val="2"/>
          </w:tcPr>
          <w:p>
            <w:pPr>
              <w:spacing w:after="0"/>
              <w:rPr>
                <w:sz w:val="20"/>
                <w:szCs w:val="20"/>
                <w:color w:val="auto"/>
              </w:rPr>
            </w:pPr>
            <w:r>
              <w:rPr>
                <w:rFonts w:ascii="Arial" w:cs="Arial" w:eastAsia="Arial" w:hAnsi="Arial"/>
                <w:sz w:val="16"/>
                <w:szCs w:val="16"/>
                <w:color w:val="auto"/>
              </w:rPr>
              <w:t>Street and highway lighting</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4,778</w:t>
            </w:r>
          </w:p>
        </w:tc>
        <w:tc>
          <w:tcPr>
            <w:tcW w:w="260" w:type="dxa"/>
            <w:vAlign w:val="bottom"/>
          </w:tcPr>
          <w:p>
            <w:pPr>
              <w:spacing w:after="0"/>
              <w:rPr>
                <w:sz w:val="16"/>
                <w:szCs w:val="16"/>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560</w:t>
            </w:r>
          </w:p>
        </w:tc>
        <w:tc>
          <w:tcPr>
            <w:tcW w:w="900" w:type="dxa"/>
            <w:vAlign w:val="bottom"/>
          </w:tcPr>
          <w:p>
            <w:pPr>
              <w:jc w:val="right"/>
              <w:spacing w:after="0"/>
              <w:rPr>
                <w:sz w:val="20"/>
                <w:szCs w:val="20"/>
                <w:color w:val="auto"/>
              </w:rPr>
            </w:pPr>
            <w:r>
              <w:rPr>
                <w:rFonts w:ascii="Arial" w:cs="Arial" w:eastAsia="Arial" w:hAnsi="Arial"/>
                <w:sz w:val="16"/>
                <w:szCs w:val="16"/>
                <w:color w:val="auto"/>
              </w:rPr>
              <w:t>4,907</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559</w:t>
            </w:r>
          </w:p>
        </w:tc>
        <w:tc>
          <w:tcPr>
            <w:tcW w:w="0" w:type="dxa"/>
            <w:vAlign w:val="bottom"/>
          </w:tcPr>
          <w:p>
            <w:pPr>
              <w:spacing w:after="0"/>
              <w:rPr>
                <w:sz w:val="1"/>
                <w:szCs w:val="1"/>
                <w:color w:val="auto"/>
              </w:rPr>
            </w:pPr>
          </w:p>
        </w:tc>
      </w:tr>
      <w:tr>
        <w:trPr>
          <w:trHeight w:val="189"/>
        </w:trPr>
        <w:tc>
          <w:tcPr>
            <w:tcW w:w="3860" w:type="dxa"/>
            <w:vAlign w:val="bottom"/>
            <w:gridSpan w:val="2"/>
          </w:tcPr>
          <w:p>
            <w:pPr>
              <w:spacing w:after="0"/>
              <w:rPr>
                <w:sz w:val="20"/>
                <w:szCs w:val="20"/>
                <w:color w:val="auto"/>
              </w:rPr>
            </w:pPr>
            <w:r>
              <w:rPr>
                <w:rFonts w:ascii="Arial" w:cs="Arial" w:eastAsia="Arial" w:hAnsi="Arial"/>
                <w:sz w:val="16"/>
                <w:szCs w:val="16"/>
                <w:color w:val="auto"/>
              </w:rPr>
              <w:t>Other revenues</w:t>
            </w: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30</w:t>
            </w: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87"/>
        </w:trPr>
        <w:tc>
          <w:tcPr>
            <w:tcW w:w="3860" w:type="dxa"/>
            <w:vAlign w:val="bottom"/>
            <w:gridSpan w:val="2"/>
          </w:tcPr>
          <w:p>
            <w:pPr>
              <w:spacing w:after="0"/>
              <w:rPr>
                <w:sz w:val="20"/>
                <w:szCs w:val="20"/>
                <w:color w:val="auto"/>
              </w:rPr>
            </w:pPr>
            <w:r>
              <w:rPr>
                <w:rFonts w:ascii="Arial" w:cs="Arial" w:eastAsia="Arial" w:hAnsi="Arial"/>
                <w:sz w:val="16"/>
                <w:szCs w:val="16"/>
                <w:color w:val="auto"/>
              </w:rPr>
              <w:t>Balancing accounts</w:t>
            </w:r>
          </w:p>
        </w:tc>
        <w:tc>
          <w:tcPr>
            <w:tcW w:w="10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w:t>
            </w:r>
          </w:p>
        </w:tc>
        <w:tc>
          <w:tcPr>
            <w:tcW w:w="9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840" w:type="dxa"/>
            <w:vAlign w:val="bottom"/>
          </w:tcPr>
          <w:p>
            <w:pPr>
              <w:ind w:left="160"/>
              <w:spacing w:after="0" w:line="183" w:lineRule="exact"/>
              <w:rPr>
                <w:sz w:val="20"/>
                <w:szCs w:val="20"/>
                <w:color w:val="auto"/>
              </w:rPr>
            </w:pPr>
            <w:r>
              <w:rPr>
                <w:rFonts w:ascii="Arial" w:cs="Arial" w:eastAsia="Arial" w:hAnsi="Arial"/>
                <w:sz w:val="16"/>
                <w:szCs w:val="16"/>
                <w:color w:val="auto"/>
              </w:rPr>
              <w:t>Total(1)</w:t>
            </w:r>
          </w:p>
        </w:tc>
        <w:tc>
          <w:tcPr>
            <w:tcW w:w="1020" w:type="dxa"/>
            <w:vAlign w:val="bottom"/>
          </w:tcPr>
          <w:p>
            <w:pPr>
              <w:spacing w:after="0"/>
              <w:rPr>
                <w:sz w:val="15"/>
                <w:szCs w:val="15"/>
                <w:color w:val="auto"/>
              </w:rPr>
            </w:pPr>
          </w:p>
        </w:tc>
        <w:tc>
          <w:tcPr>
            <w:tcW w:w="260" w:type="dxa"/>
            <w:vAlign w:val="bottom"/>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020" w:type="dxa"/>
            <w:vAlign w:val="bottom"/>
          </w:tcPr>
          <w:p>
            <w:pPr>
              <w:jc w:val="right"/>
              <w:ind w:right="99"/>
              <w:spacing w:after="0" w:line="183" w:lineRule="exact"/>
              <w:rPr>
                <w:sz w:val="20"/>
                <w:szCs w:val="20"/>
                <w:color w:val="auto"/>
              </w:rPr>
            </w:pPr>
            <w:r>
              <w:rPr>
                <w:rFonts w:ascii="Arial" w:cs="Arial" w:eastAsia="Arial" w:hAnsi="Arial"/>
                <w:sz w:val="16"/>
                <w:szCs w:val="16"/>
                <w:color w:val="auto"/>
              </w:rPr>
              <w:t>563</w:t>
            </w:r>
          </w:p>
        </w:tc>
        <w:tc>
          <w:tcPr>
            <w:tcW w:w="900" w:type="dxa"/>
            <w:vAlign w:val="bottom"/>
          </w:tcPr>
          <w:p>
            <w:pPr>
              <w:spacing w:after="0"/>
              <w:rPr>
                <w:sz w:val="15"/>
                <w:szCs w:val="15"/>
                <w:color w:val="auto"/>
              </w:rPr>
            </w:pPr>
          </w:p>
        </w:tc>
        <w:tc>
          <w:tcPr>
            <w:tcW w:w="240" w:type="dxa"/>
            <w:vAlign w:val="bottom"/>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553</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840" w:type="dxa"/>
            <w:vAlign w:val="bottom"/>
            <w:shd w:val="clear" w:color="auto" w:fill="000000"/>
          </w:tcPr>
          <w:p>
            <w:pPr>
              <w:spacing w:after="0"/>
              <w:rPr>
                <w:sz w:val="7"/>
                <w:szCs w:val="7"/>
                <w:color w:val="auto"/>
              </w:rPr>
            </w:pPr>
          </w:p>
        </w:tc>
        <w:tc>
          <w:tcPr>
            <w:tcW w:w="102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1020" w:type="dxa"/>
            <w:vAlign w:val="bottom"/>
            <w:shd w:val="clear" w:color="auto" w:fill="000000"/>
          </w:tcPr>
          <w:p>
            <w:pPr>
              <w:spacing w:after="0"/>
              <w:rPr>
                <w:sz w:val="7"/>
                <w:szCs w:val="7"/>
                <w:color w:val="auto"/>
              </w:rPr>
            </w:pPr>
          </w:p>
        </w:tc>
        <w:tc>
          <w:tcPr>
            <w:tcW w:w="900" w:type="dxa"/>
            <w:vAlign w:val="bottom"/>
            <w:shd w:val="clear" w:color="auto" w:fill="000000"/>
          </w:tcPr>
          <w:p>
            <w:pPr>
              <w:spacing w:after="0"/>
              <w:rPr>
                <w:sz w:val="7"/>
                <w:szCs w:val="7"/>
                <w:color w:val="auto"/>
              </w:rPr>
            </w:pPr>
          </w:p>
        </w:tc>
        <w:tc>
          <w:tcPr>
            <w:tcW w:w="240" w:type="dxa"/>
            <w:vAlign w:val="bottom"/>
            <w:shd w:val="clear" w:color="auto" w:fill="000000"/>
          </w:tcPr>
          <w:p>
            <w:pPr>
              <w:spacing w:after="0"/>
              <w:rPr>
                <w:sz w:val="7"/>
                <w:szCs w:val="7"/>
                <w:color w:val="auto"/>
              </w:rPr>
            </w:pPr>
          </w:p>
        </w:tc>
        <w:tc>
          <w:tcPr>
            <w:tcW w:w="90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(1) Includes sales to affiliates of $1 million in 2010 and $2 million in 2009.</w:t>
      </w:r>
    </w:p>
    <w:p>
      <w:pPr>
        <w:spacing w:after="0" w:line="200" w:lineRule="exact"/>
        <w:rPr>
          <w:sz w:val="20"/>
          <w:szCs w:val="20"/>
          <w:color w:val="auto"/>
        </w:rPr>
      </w:pPr>
    </w:p>
    <w:p>
      <w:pPr>
        <w:spacing w:after="0" w:line="252" w:lineRule="exact"/>
        <w:rPr>
          <w:sz w:val="20"/>
          <w:szCs w:val="20"/>
          <w:color w:val="auto"/>
        </w:rPr>
      </w:pPr>
    </w:p>
    <w:p>
      <w:pPr>
        <w:ind w:right="579"/>
        <w:spacing w:after="0" w:line="216" w:lineRule="auto"/>
        <w:rPr>
          <w:sz w:val="20"/>
          <w:szCs w:val="20"/>
          <w:color w:val="auto"/>
        </w:rPr>
      </w:pPr>
      <w:r>
        <w:rPr>
          <w:rFonts w:ascii="Arial" w:cs="Arial" w:eastAsia="Arial" w:hAnsi="Arial"/>
          <w:sz w:val="22"/>
          <w:szCs w:val="22"/>
          <w:color w:val="auto"/>
        </w:rPr>
        <w:t>We do not include in the Condensed Consolidated Statements of Operations the commodity costs (and the revenues to recover those costs) associated with long-term contracts that are allocated to SDG&amp;E by the California Department of Water Resources (DWR). However, we do include the associated volumes and distribution revenues in the table above. We provide further discussion of these contracts in Note 1 of the Notes to Consolidated Financial Statements in the Annual Report.</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Global and Parent Revenues and Cost of Sales</w:t>
      </w:r>
    </w:p>
    <w:p>
      <w:pPr>
        <w:spacing w:after="0" w:line="20" w:lineRule="exact"/>
        <w:rPr>
          <w:sz w:val="20"/>
          <w:szCs w:val="20"/>
          <w:color w:val="auto"/>
        </w:rPr>
      </w:pPr>
    </w:p>
    <w:p>
      <w:pPr>
        <w:ind w:right="659"/>
        <w:spacing w:after="0" w:line="247" w:lineRule="auto"/>
        <w:rPr>
          <w:sz w:val="20"/>
          <w:szCs w:val="20"/>
          <w:color w:val="auto"/>
        </w:rPr>
      </w:pPr>
      <w:r>
        <w:rPr>
          <w:rFonts w:ascii="Arial" w:cs="Arial" w:eastAsia="Arial" w:hAnsi="Arial"/>
          <w:sz w:val="19"/>
          <w:szCs w:val="19"/>
          <w:color w:val="auto"/>
        </w:rPr>
        <w:t>During the three months ended March 31, 2010, our Sempra Global and Parent revenues increased by $156 million (33%) to $622 million. The increase included $173 million higher revenues at Sempra LNG, primarily due to increased marketing operations and the start up of operations at its Cameron LNG receipt terminal. The increase was partially offset by $22 million lower revenues at Sempra Pipelines &amp; Storage due to the completion of the Comisión Federal de Electricidad (CFE) contract. At the completion of the contract, Sempra LNG began supplying the CFE under a separate contract ending December 2022.</w:t>
      </w:r>
    </w:p>
    <w:p>
      <w:pPr>
        <w:spacing w:after="0" w:line="43" w:lineRule="exact"/>
        <w:rPr>
          <w:sz w:val="20"/>
          <w:szCs w:val="20"/>
          <w:color w:val="auto"/>
        </w:rPr>
      </w:pPr>
    </w:p>
    <w:p>
      <w:pPr>
        <w:ind w:right="619"/>
        <w:spacing w:after="0" w:line="218" w:lineRule="auto"/>
        <w:rPr>
          <w:sz w:val="20"/>
          <w:szCs w:val="20"/>
          <w:color w:val="auto"/>
        </w:rPr>
      </w:pPr>
      <w:r>
        <w:rPr>
          <w:rFonts w:ascii="Arial" w:cs="Arial" w:eastAsia="Arial" w:hAnsi="Arial"/>
          <w:sz w:val="22"/>
          <w:szCs w:val="22"/>
          <w:color w:val="auto"/>
        </w:rPr>
        <w:t>During the three months ended March 31, 2010, our cost of natural gas, electric fuel and purchased power increased by $70 million (26%) to $338 million primarily associated with the higher revenues at Sempra LNG, offset partially by lower costs at Sempra Pipelines &amp; Storage resulting primarily from the completion of the CFE contract.</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Litigation Expense</w:t>
      </w:r>
    </w:p>
    <w:p>
      <w:pPr>
        <w:spacing w:after="0" w:line="22" w:lineRule="exact"/>
        <w:rPr>
          <w:sz w:val="20"/>
          <w:szCs w:val="20"/>
          <w:color w:val="auto"/>
        </w:rPr>
      </w:pPr>
    </w:p>
    <w:p>
      <w:pPr>
        <w:ind w:right="959"/>
        <w:spacing w:after="0" w:line="268" w:lineRule="auto"/>
        <w:rPr>
          <w:sz w:val="20"/>
          <w:szCs w:val="20"/>
          <w:color w:val="auto"/>
        </w:rPr>
      </w:pPr>
      <w:r>
        <w:rPr>
          <w:rFonts w:ascii="Arial" w:cs="Arial" w:eastAsia="Arial" w:hAnsi="Arial"/>
          <w:sz w:val="19"/>
          <w:szCs w:val="19"/>
          <w:color w:val="auto"/>
        </w:rPr>
        <w:t>We recorded $168 million in litigation expense in the three months ended March 31, 2010 compared to a favorable litigation adjustment of $7 million in the corresponding period of 2009. The litigation expense in 2010 included $159 million related to the agreement in principle to settle certain energy crisis litigation.</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Operation and Maintenance</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 Consolidated</w:t>
      </w:r>
    </w:p>
    <w:p>
      <w:pPr>
        <w:spacing w:after="0" w:line="63" w:lineRule="exact"/>
        <w:rPr>
          <w:sz w:val="20"/>
          <w:szCs w:val="20"/>
          <w:color w:val="auto"/>
        </w:rPr>
      </w:pPr>
    </w:p>
    <w:p>
      <w:pPr>
        <w:ind w:right="599"/>
        <w:spacing w:after="0" w:line="252" w:lineRule="auto"/>
        <w:rPr>
          <w:sz w:val="20"/>
          <w:szCs w:val="20"/>
          <w:color w:val="auto"/>
        </w:rPr>
      </w:pPr>
      <w:r>
        <w:rPr>
          <w:rFonts w:ascii="Arial" w:cs="Arial" w:eastAsia="Arial" w:hAnsi="Arial"/>
          <w:sz w:val="19"/>
          <w:szCs w:val="19"/>
          <w:color w:val="auto"/>
        </w:rPr>
        <w:t>For the three months ended March 31, 2010, our other operation and maintenance expenses increased by $53 million (10%) to $576 million. The increase included higher operation and maintenance expenses at SDG&amp;E, which we discuss below, of $36 million (which excludes the $15 million of higher litigation expense separately reported as Litigation Expense on the Sempra Energy Condensed Consolidated Statements of Operations), and $11 million at SoCalGas, primarily due to higher recoverable expenses.</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Operation and Maintenance</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SDG&amp;E</w:t>
      </w:r>
    </w:p>
    <w:p>
      <w:pPr>
        <w:spacing w:after="0" w:line="63" w:lineRule="exact"/>
        <w:rPr>
          <w:sz w:val="20"/>
          <w:szCs w:val="20"/>
          <w:color w:val="auto"/>
        </w:rPr>
      </w:pPr>
    </w:p>
    <w:p>
      <w:pPr>
        <w:ind w:right="719"/>
        <w:spacing w:after="0" w:line="232" w:lineRule="auto"/>
        <w:rPr>
          <w:sz w:val="20"/>
          <w:szCs w:val="20"/>
          <w:color w:val="auto"/>
        </w:rPr>
      </w:pPr>
      <w:r>
        <w:rPr>
          <w:rFonts w:ascii="Arial" w:cs="Arial" w:eastAsia="Arial" w:hAnsi="Arial"/>
          <w:sz w:val="22"/>
          <w:szCs w:val="22"/>
          <w:color w:val="auto"/>
        </w:rPr>
        <w:t>For the three months ended March 31, 2010, SDG&amp;E's operation and maintenance expenses increased by $51 million (28%) to $232 million. The increase was due to:</w:t>
      </w:r>
    </w:p>
    <w:p>
      <w:pPr>
        <w:spacing w:after="0" w:line="38" w:lineRule="exact"/>
        <w:rPr>
          <w:sz w:val="20"/>
          <w:szCs w:val="20"/>
          <w:color w:val="auto"/>
        </w:rPr>
      </w:pPr>
    </w:p>
    <w:p>
      <w:pPr>
        <w:jc w:val="both"/>
        <w:ind w:left="180" w:right="2159" w:hanging="172"/>
        <w:spacing w:after="0" w:line="223" w:lineRule="auto"/>
        <w:tabs>
          <w:tab w:leader="none" w:pos="153" w:val="left"/>
        </w:tabs>
        <w:numPr>
          <w:ilvl w:val="0"/>
          <w:numId w:val="44"/>
        </w:numPr>
        <w:rPr>
          <w:rFonts w:ascii="Arial" w:cs="Arial" w:eastAsia="Arial" w:hAnsi="Arial"/>
          <w:sz w:val="22"/>
          <w:szCs w:val="22"/>
          <w:color w:val="auto"/>
        </w:rPr>
      </w:pPr>
      <w:r>
        <w:rPr>
          <w:rFonts w:ascii="Arial" w:cs="Arial" w:eastAsia="Arial" w:hAnsi="Arial"/>
          <w:sz w:val="22"/>
          <w:szCs w:val="22"/>
          <w:color w:val="auto"/>
        </w:rPr>
        <w:t>$22 million higher other operational and maintenance costs, including $8 million of higher liability insurance premiums for wildfire coverage and $4 million at Otay Mesa VIE due to commencement of plant operation in October 2009;</w:t>
      </w:r>
    </w:p>
    <w:p>
      <w:pPr>
        <w:spacing w:after="0" w:line="1" w:lineRule="exact"/>
        <w:rPr>
          <w:rFonts w:ascii="Arial" w:cs="Arial" w:eastAsia="Arial" w:hAnsi="Arial"/>
          <w:sz w:val="22"/>
          <w:szCs w:val="22"/>
          <w:color w:val="auto"/>
        </w:rPr>
      </w:pPr>
    </w:p>
    <w:p>
      <w:pPr>
        <w:ind w:left="140" w:hanging="132"/>
        <w:spacing w:after="0"/>
        <w:tabs>
          <w:tab w:leader="none" w:pos="140" w:val="left"/>
        </w:tabs>
        <w:numPr>
          <w:ilvl w:val="0"/>
          <w:numId w:val="44"/>
        </w:numPr>
        <w:rPr>
          <w:rFonts w:ascii="Arial" w:cs="Arial" w:eastAsia="Arial" w:hAnsi="Arial"/>
          <w:sz w:val="22"/>
          <w:szCs w:val="22"/>
          <w:color w:val="auto"/>
        </w:rPr>
      </w:pPr>
      <w:r>
        <w:rPr>
          <w:rFonts w:ascii="Arial" w:cs="Arial" w:eastAsia="Arial" w:hAnsi="Arial"/>
          <w:sz w:val="22"/>
          <w:szCs w:val="22"/>
          <w:color w:val="auto"/>
        </w:rPr>
        <w:t>$14 million higher recoverable expenses; and</w:t>
      </w:r>
    </w:p>
    <w:p>
      <w:pPr>
        <w:spacing w:after="0" w:line="3" w:lineRule="exact"/>
        <w:rPr>
          <w:rFonts w:ascii="Arial" w:cs="Arial" w:eastAsia="Arial" w:hAnsi="Arial"/>
          <w:sz w:val="22"/>
          <w:szCs w:val="22"/>
          <w:color w:val="auto"/>
        </w:rPr>
      </w:pPr>
    </w:p>
    <w:p>
      <w:pPr>
        <w:ind w:left="180" w:right="1939" w:hanging="172"/>
        <w:spacing w:after="0" w:line="224" w:lineRule="auto"/>
        <w:tabs>
          <w:tab w:leader="none" w:pos="153" w:val="left"/>
        </w:tabs>
        <w:numPr>
          <w:ilvl w:val="0"/>
          <w:numId w:val="44"/>
        </w:numPr>
        <w:rPr>
          <w:rFonts w:ascii="Arial" w:cs="Arial" w:eastAsia="Arial" w:hAnsi="Arial"/>
          <w:sz w:val="22"/>
          <w:szCs w:val="22"/>
          <w:color w:val="auto"/>
        </w:rPr>
      </w:pPr>
      <w:r>
        <w:rPr>
          <w:rFonts w:ascii="Arial" w:cs="Arial" w:eastAsia="Arial" w:hAnsi="Arial"/>
          <w:sz w:val="22"/>
          <w:szCs w:val="22"/>
          <w:color w:val="auto"/>
        </w:rPr>
        <w:t>$15 million higher litigation expense, primarily from an increase in litigation reserves in 2010 compared to the favorable resolution of litigation in 2009.</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Equity Earnings (Losses) Before Income Taxes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 Consolidated</w:t>
      </w:r>
    </w:p>
    <w:p>
      <w:pPr>
        <w:sectPr>
          <w:pgSz w:w="11900" w:h="16838" w:orient="portrait"/>
          <w:cols w:equalWidth="0" w:num="1">
            <w:col w:w="10219"/>
          </w:cols>
          <w:pgMar w:left="240" w:top="378" w:right="1440" w:bottom="0" w:gutter="0" w:footer="0" w:header="0"/>
        </w:sectPr>
      </w:pPr>
    </w:p>
    <w:p>
      <w:pPr>
        <w:spacing w:after="0" w:line="63" w:lineRule="exact"/>
        <w:rPr>
          <w:sz w:val="20"/>
          <w:szCs w:val="20"/>
          <w:color w:val="auto"/>
        </w:rPr>
      </w:pPr>
    </w:p>
    <w:p>
      <w:pPr>
        <w:ind w:right="619"/>
        <w:spacing w:after="0" w:line="298" w:lineRule="auto"/>
        <w:rPr>
          <w:sz w:val="20"/>
          <w:szCs w:val="20"/>
          <w:color w:val="auto"/>
        </w:rPr>
      </w:pPr>
      <w:r>
        <w:rPr>
          <w:rFonts w:ascii="Arial" w:cs="Arial" w:eastAsia="Arial" w:hAnsi="Arial"/>
          <w:sz w:val="19"/>
          <w:szCs w:val="19"/>
          <w:color w:val="auto"/>
        </w:rPr>
        <w:t>In the three months ended March 31, 2010 and 2009, the pretax equity earnings from our investment in RBS Sempra Commodities were $7 million and $153 million, respectively. We provide additional information about</w:t>
      </w:r>
    </w:p>
    <w:p>
      <w:pPr>
        <w:sectPr>
          <w:pgSz w:w="11900" w:h="16838" w:orient="portrait"/>
          <w:cols w:equalWidth="0" w:num="1">
            <w:col w:w="10219"/>
          </w:cols>
          <w:pgMar w:left="240" w:top="378" w:right="1440" w:bottom="0" w:gutter="0" w:footer="0" w:header="0"/>
          <w:type w:val="continuous"/>
        </w:sectPr>
      </w:pPr>
    </w:p>
    <w:bookmarkStart w:id="73" w:name="page74"/>
    <w:bookmarkEnd w:id="73"/>
    <w:p>
      <w:pPr>
        <w:ind w:right="659"/>
        <w:spacing w:after="0" w:line="233" w:lineRule="auto"/>
        <w:rPr>
          <w:sz w:val="20"/>
          <w:szCs w:val="20"/>
          <w:color w:val="auto"/>
        </w:rPr>
      </w:pPr>
      <w:r>
        <w:rPr>
          <w:rFonts w:ascii="Arial" w:cs="Arial" w:eastAsia="Arial" w:hAnsi="Arial"/>
          <w:sz w:val="22"/>
          <w:szCs w:val="22"/>
          <w:color w:val="auto"/>
        </w:rPr>
        <w:t>the determination and allocation of this investment's earnings in Note 4 of the Notes to Consolidated Financial Statements in the Annual Report.</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Interest Expense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 Consolidated</w:t>
      </w:r>
    </w:p>
    <w:p>
      <w:pPr>
        <w:spacing w:after="0" w:line="76" w:lineRule="exact"/>
        <w:rPr>
          <w:sz w:val="20"/>
          <w:szCs w:val="20"/>
          <w:color w:val="auto"/>
        </w:rPr>
      </w:pPr>
    </w:p>
    <w:p>
      <w:pPr>
        <w:ind w:right="779"/>
        <w:spacing w:after="0" w:line="232" w:lineRule="auto"/>
        <w:rPr>
          <w:sz w:val="20"/>
          <w:szCs w:val="20"/>
          <w:color w:val="auto"/>
        </w:rPr>
      </w:pPr>
      <w:r>
        <w:rPr>
          <w:rFonts w:ascii="Arial" w:cs="Arial" w:eastAsia="Arial" w:hAnsi="Arial"/>
          <w:sz w:val="22"/>
          <w:szCs w:val="22"/>
          <w:color w:val="auto"/>
        </w:rPr>
        <w:t>During the three months ended March 31, 2010, our interest expense increased by $27 million (33%) to $109 million. The increase was primarily due to:</w:t>
      </w:r>
    </w:p>
    <w:p>
      <w:pPr>
        <w:spacing w:after="0" w:line="2" w:lineRule="exact"/>
        <w:rPr>
          <w:sz w:val="20"/>
          <w:szCs w:val="20"/>
          <w:color w:val="auto"/>
        </w:rPr>
      </w:pPr>
    </w:p>
    <w:p>
      <w:pPr>
        <w:ind w:left="140" w:hanging="132"/>
        <w:spacing w:after="0"/>
        <w:tabs>
          <w:tab w:leader="none" w:pos="140" w:val="left"/>
        </w:tabs>
        <w:numPr>
          <w:ilvl w:val="0"/>
          <w:numId w:val="45"/>
        </w:numPr>
        <w:rPr>
          <w:rFonts w:ascii="Arial" w:cs="Arial" w:eastAsia="Arial" w:hAnsi="Arial"/>
          <w:sz w:val="22"/>
          <w:szCs w:val="22"/>
          <w:color w:val="auto"/>
        </w:rPr>
      </w:pPr>
      <w:r>
        <w:rPr>
          <w:rFonts w:ascii="Arial" w:cs="Arial" w:eastAsia="Arial" w:hAnsi="Arial"/>
          <w:sz w:val="22"/>
          <w:szCs w:val="22"/>
          <w:color w:val="auto"/>
        </w:rPr>
        <w:t>$22 million higher interest expense, primarily from long-term debt issued in 2009; and</w:t>
      </w:r>
    </w:p>
    <w:p>
      <w:pPr>
        <w:spacing w:after="0" w:line="3" w:lineRule="exact"/>
        <w:rPr>
          <w:rFonts w:ascii="Arial" w:cs="Arial" w:eastAsia="Arial" w:hAnsi="Arial"/>
          <w:sz w:val="22"/>
          <w:szCs w:val="22"/>
          <w:color w:val="auto"/>
        </w:rPr>
      </w:pPr>
    </w:p>
    <w:p>
      <w:pPr>
        <w:ind w:left="180" w:right="1839" w:hanging="172"/>
        <w:spacing w:after="0" w:line="224" w:lineRule="auto"/>
        <w:tabs>
          <w:tab w:leader="none" w:pos="153" w:val="left"/>
        </w:tabs>
        <w:numPr>
          <w:ilvl w:val="0"/>
          <w:numId w:val="45"/>
        </w:numPr>
        <w:rPr>
          <w:rFonts w:ascii="Arial" w:cs="Arial" w:eastAsia="Arial" w:hAnsi="Arial"/>
          <w:sz w:val="22"/>
          <w:szCs w:val="22"/>
          <w:color w:val="auto"/>
        </w:rPr>
      </w:pPr>
      <w:r>
        <w:rPr>
          <w:rFonts w:ascii="Arial" w:cs="Arial" w:eastAsia="Arial" w:hAnsi="Arial"/>
          <w:sz w:val="22"/>
          <w:szCs w:val="22"/>
          <w:color w:val="auto"/>
        </w:rPr>
        <w:t xml:space="preserve">$14 million lower capitalized interest, including $11 million at Sempra LNG due to completion of construction projects; </w:t>
      </w:r>
      <w:r>
        <w:rPr>
          <w:rFonts w:ascii="Arial" w:cs="Arial" w:eastAsia="Arial" w:hAnsi="Arial"/>
          <w:sz w:val="22"/>
          <w:szCs w:val="22"/>
          <w:b w:val="1"/>
          <w:bCs w:val="1"/>
          <w:color w:val="auto"/>
        </w:rPr>
        <w:t>offset by</w:t>
      </w:r>
    </w:p>
    <w:p>
      <w:pPr>
        <w:ind w:left="180" w:right="2259" w:hanging="172"/>
        <w:spacing w:after="0" w:line="230" w:lineRule="auto"/>
        <w:tabs>
          <w:tab w:leader="none" w:pos="153" w:val="left"/>
        </w:tabs>
        <w:numPr>
          <w:ilvl w:val="0"/>
          <w:numId w:val="45"/>
        </w:numPr>
        <w:rPr>
          <w:rFonts w:ascii="Arial" w:cs="Arial" w:eastAsia="Arial" w:hAnsi="Arial"/>
          <w:sz w:val="22"/>
          <w:szCs w:val="22"/>
          <w:color w:val="auto"/>
        </w:rPr>
      </w:pPr>
      <w:r>
        <w:rPr>
          <w:rFonts w:ascii="Arial" w:cs="Arial" w:eastAsia="Arial" w:hAnsi="Arial"/>
          <w:sz w:val="22"/>
          <w:szCs w:val="22"/>
          <w:color w:val="auto"/>
        </w:rPr>
        <w:t>$9 million lower short-term debt interest expense, primarily from lower commercial paper borrowings and lower interest rates at Parent and Other.</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Income Taxes</w:t>
      </w:r>
    </w:p>
    <w:p>
      <w:pPr>
        <w:spacing w:after="0" w:line="22" w:lineRule="exact"/>
        <w:rPr>
          <w:sz w:val="20"/>
          <w:szCs w:val="20"/>
          <w:color w:val="auto"/>
        </w:rPr>
      </w:pPr>
    </w:p>
    <w:p>
      <w:pPr>
        <w:ind w:right="619"/>
        <w:spacing w:after="0" w:line="232" w:lineRule="auto"/>
        <w:rPr>
          <w:sz w:val="20"/>
          <w:szCs w:val="20"/>
          <w:color w:val="auto"/>
        </w:rPr>
      </w:pPr>
      <w:r>
        <w:rPr>
          <w:rFonts w:ascii="Arial" w:cs="Arial" w:eastAsia="Arial" w:hAnsi="Arial"/>
          <w:sz w:val="22"/>
          <w:szCs w:val="22"/>
          <w:color w:val="auto"/>
        </w:rPr>
        <w:t>The table below shows the income tax expense and effective income tax rates for Sempra Energy, SDG&amp;E, PE and SoCalGas.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 EXPENSE AND EFFECTIVE INCOME TAX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4827905" cy="2317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827905" cy="23177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4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57"/>
        </w:trPr>
        <w:tc>
          <w:tcPr>
            <w:tcW w:w="2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gridSpan w:val="3"/>
          </w:tcPr>
          <w:p>
            <w:pPr>
              <w:jc w:val="right"/>
              <w:spacing w:after="0" w:line="157" w:lineRule="exact"/>
              <w:rPr>
                <w:sz w:val="20"/>
                <w:szCs w:val="20"/>
                <w:color w:val="auto"/>
              </w:rPr>
            </w:pPr>
            <w:r>
              <w:rPr>
                <w:rFonts w:ascii="Arial" w:cs="Arial" w:eastAsia="Arial" w:hAnsi="Arial"/>
                <w:sz w:val="14"/>
                <w:szCs w:val="14"/>
                <w:color w:val="auto"/>
              </w:rPr>
              <w:t>Three months ended March 31,</w:t>
            </w:r>
          </w:p>
        </w:tc>
        <w:tc>
          <w:tcPr>
            <w:tcW w:w="1360" w:type="dxa"/>
            <w:vAlign w:val="bottom"/>
            <w:tcBorders>
              <w:bottom w:val="single" w:sz="8" w:color="auto"/>
            </w:tcBorders>
          </w:tcPr>
          <w:p>
            <w:pPr>
              <w:spacing w:after="0"/>
              <w:rPr>
                <w:sz w:val="13"/>
                <w:szCs w:val="13"/>
                <w:color w:val="auto"/>
              </w:rPr>
            </w:pPr>
          </w:p>
        </w:tc>
      </w:tr>
      <w:tr>
        <w:trPr>
          <w:trHeight w:val="169"/>
        </w:trPr>
        <w:tc>
          <w:tcPr>
            <w:tcW w:w="2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2010</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2009</w:t>
            </w:r>
          </w:p>
        </w:tc>
      </w:tr>
      <w:tr>
        <w:trPr>
          <w:trHeight w:val="160"/>
        </w:trPr>
        <w:tc>
          <w:tcPr>
            <w:tcW w:w="2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Effective</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60" w:type="dxa"/>
            <w:vAlign w:val="bottom"/>
          </w:tcPr>
          <w:p>
            <w:pPr>
              <w:jc w:val="center"/>
              <w:ind w:right="23"/>
              <w:spacing w:after="0"/>
              <w:rPr>
                <w:sz w:val="20"/>
                <w:szCs w:val="20"/>
                <w:color w:val="auto"/>
              </w:rPr>
            </w:pPr>
            <w:r>
              <w:rPr>
                <w:rFonts w:ascii="Arial" w:cs="Arial" w:eastAsia="Arial" w:hAnsi="Arial"/>
                <w:sz w:val="14"/>
                <w:szCs w:val="14"/>
                <w:color w:val="auto"/>
              </w:rPr>
              <w:t>Effective</w:t>
            </w:r>
          </w:p>
        </w:tc>
      </w:tr>
      <w:tr>
        <w:trPr>
          <w:trHeight w:val="172"/>
        </w:trPr>
        <w:tc>
          <w:tcPr>
            <w:tcW w:w="2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jc w:val="right"/>
              <w:ind w:right="2"/>
              <w:spacing w:after="0"/>
              <w:rPr>
                <w:sz w:val="20"/>
                <w:szCs w:val="20"/>
                <w:color w:val="auto"/>
              </w:rPr>
            </w:pPr>
            <w:r>
              <w:rPr>
                <w:rFonts w:ascii="Arial" w:cs="Arial" w:eastAsia="Arial" w:hAnsi="Arial"/>
                <w:sz w:val="14"/>
                <w:szCs w:val="14"/>
                <w:color w:val="auto"/>
              </w:rPr>
              <w:t>Income Tax</w:t>
            </w:r>
          </w:p>
        </w:tc>
        <w:tc>
          <w:tcPr>
            <w:tcW w:w="1380" w:type="dxa"/>
            <w:vAlign w:val="bottom"/>
          </w:tcPr>
          <w:p>
            <w:pPr>
              <w:jc w:val="center"/>
              <w:spacing w:after="0"/>
              <w:rPr>
                <w:sz w:val="20"/>
                <w:szCs w:val="20"/>
                <w:color w:val="auto"/>
              </w:rPr>
            </w:pPr>
            <w:r>
              <w:rPr>
                <w:rFonts w:ascii="Arial" w:cs="Arial" w:eastAsia="Arial" w:hAnsi="Arial"/>
                <w:sz w:val="14"/>
                <w:szCs w:val="14"/>
                <w:color w:val="auto"/>
              </w:rPr>
              <w:t>Income</w:t>
            </w:r>
          </w:p>
        </w:tc>
        <w:tc>
          <w:tcPr>
            <w:tcW w:w="240" w:type="dxa"/>
            <w:vAlign w:val="bottom"/>
          </w:tcPr>
          <w:p>
            <w:pPr>
              <w:spacing w:after="0"/>
              <w:rPr>
                <w:sz w:val="14"/>
                <w:szCs w:val="14"/>
                <w:color w:val="auto"/>
              </w:rPr>
            </w:pPr>
          </w:p>
        </w:tc>
        <w:tc>
          <w:tcPr>
            <w:tcW w:w="900" w:type="dxa"/>
            <w:vAlign w:val="bottom"/>
          </w:tcPr>
          <w:p>
            <w:pPr>
              <w:jc w:val="right"/>
              <w:ind w:right="62"/>
              <w:spacing w:after="0"/>
              <w:rPr>
                <w:sz w:val="20"/>
                <w:szCs w:val="20"/>
                <w:color w:val="auto"/>
              </w:rPr>
            </w:pPr>
            <w:r>
              <w:rPr>
                <w:rFonts w:ascii="Arial" w:cs="Arial" w:eastAsia="Arial" w:hAnsi="Arial"/>
                <w:sz w:val="14"/>
                <w:szCs w:val="14"/>
                <w:color w:val="auto"/>
              </w:rPr>
              <w:t>Income Tax</w:t>
            </w:r>
          </w:p>
        </w:tc>
        <w:tc>
          <w:tcPr>
            <w:tcW w:w="1360" w:type="dxa"/>
            <w:vAlign w:val="bottom"/>
          </w:tcPr>
          <w:p>
            <w:pPr>
              <w:jc w:val="center"/>
              <w:ind w:right="23"/>
              <w:spacing w:after="0"/>
              <w:rPr>
                <w:sz w:val="20"/>
                <w:szCs w:val="20"/>
                <w:color w:val="auto"/>
              </w:rPr>
            </w:pPr>
            <w:r>
              <w:rPr>
                <w:rFonts w:ascii="Arial" w:cs="Arial" w:eastAsia="Arial" w:hAnsi="Arial"/>
                <w:sz w:val="14"/>
                <w:szCs w:val="14"/>
                <w:color w:val="auto"/>
              </w:rPr>
              <w:t>Income</w:t>
            </w:r>
          </w:p>
        </w:tc>
      </w:tr>
      <w:tr>
        <w:trPr>
          <w:trHeight w:val="174"/>
        </w:trPr>
        <w:tc>
          <w:tcPr>
            <w:tcW w:w="24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color w:val="auto"/>
              </w:rPr>
              <w:t>Expense</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Tax Rate</w:t>
            </w: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Expense</w:t>
            </w:r>
          </w:p>
        </w:tc>
        <w:tc>
          <w:tcPr>
            <w:tcW w:w="136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color w:val="auto"/>
              </w:rPr>
              <w:t>Tax Rate</w:t>
            </w:r>
          </w:p>
        </w:tc>
      </w:tr>
      <w:tr>
        <w:trPr>
          <w:trHeight w:val="184"/>
        </w:trPr>
        <w:tc>
          <w:tcPr>
            <w:tcW w:w="2440" w:type="dxa"/>
            <w:vAlign w:val="bottom"/>
          </w:tcPr>
          <w:p>
            <w:pPr>
              <w:spacing w:after="0"/>
              <w:rPr>
                <w:sz w:val="20"/>
                <w:szCs w:val="20"/>
                <w:color w:val="auto"/>
              </w:rPr>
            </w:pPr>
            <w:r>
              <w:rPr>
                <w:rFonts w:ascii="Arial" w:cs="Arial" w:eastAsia="Arial" w:hAnsi="Arial"/>
                <w:sz w:val="16"/>
                <w:szCs w:val="16"/>
                <w:color w:val="auto"/>
              </w:rPr>
              <w:t>Sempra Energy Consolidated</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58</w:t>
            </w:r>
          </w:p>
        </w:tc>
        <w:tc>
          <w:tcPr>
            <w:tcW w:w="1380" w:type="dxa"/>
            <w:vAlign w:val="bottom"/>
          </w:tcPr>
          <w:p>
            <w:pPr>
              <w:ind w:left="880"/>
              <w:spacing w:after="0"/>
              <w:rPr>
                <w:sz w:val="20"/>
                <w:szCs w:val="20"/>
                <w:color w:val="auto"/>
              </w:rPr>
            </w:pPr>
            <w:r>
              <w:rPr>
                <w:rFonts w:ascii="Arial" w:cs="Arial" w:eastAsia="Arial" w:hAnsi="Arial"/>
                <w:sz w:val="16"/>
                <w:szCs w:val="16"/>
                <w:color w:val="auto"/>
              </w:rPr>
              <w:t>42 %</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109</w:t>
            </w:r>
          </w:p>
        </w:tc>
        <w:tc>
          <w:tcPr>
            <w:tcW w:w="1360" w:type="dxa"/>
            <w:vAlign w:val="bottom"/>
          </w:tcPr>
          <w:p>
            <w:pPr>
              <w:ind w:left="840"/>
              <w:spacing w:after="0"/>
              <w:rPr>
                <w:sz w:val="20"/>
                <w:szCs w:val="20"/>
                <w:color w:val="auto"/>
              </w:rPr>
            </w:pPr>
            <w:r>
              <w:rPr>
                <w:rFonts w:ascii="Arial" w:cs="Arial" w:eastAsia="Arial" w:hAnsi="Arial"/>
                <w:sz w:val="16"/>
                <w:szCs w:val="16"/>
                <w:color w:val="auto"/>
              </w:rPr>
              <w:t>26 %</w:t>
            </w:r>
          </w:p>
        </w:tc>
      </w:tr>
      <w:tr>
        <w:trPr>
          <w:trHeight w:val="189"/>
        </w:trPr>
        <w:tc>
          <w:tcPr>
            <w:tcW w:w="2440" w:type="dxa"/>
            <w:vAlign w:val="bottom"/>
          </w:tcPr>
          <w:p>
            <w:pPr>
              <w:spacing w:after="0"/>
              <w:rPr>
                <w:sz w:val="20"/>
                <w:szCs w:val="20"/>
                <w:color w:val="auto"/>
              </w:rPr>
            </w:pPr>
            <w:r>
              <w:rPr>
                <w:rFonts w:ascii="Arial" w:cs="Arial" w:eastAsia="Arial" w:hAnsi="Arial"/>
                <w:sz w:val="16"/>
                <w:szCs w:val="16"/>
                <w:color w:val="auto"/>
              </w:rPr>
              <w:t>SDG&amp;E</w:t>
            </w:r>
          </w:p>
        </w:tc>
        <w:tc>
          <w:tcPr>
            <w:tcW w:w="4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w:t>
            </w:r>
          </w:p>
        </w:tc>
        <w:tc>
          <w:tcPr>
            <w:tcW w:w="1380" w:type="dxa"/>
            <w:vAlign w:val="bottom"/>
          </w:tcPr>
          <w:p>
            <w:pPr>
              <w:ind w:left="880"/>
              <w:spacing w:after="0"/>
              <w:rPr>
                <w:sz w:val="20"/>
                <w:szCs w:val="20"/>
                <w:color w:val="auto"/>
              </w:rPr>
            </w:pPr>
            <w:r>
              <w:rPr>
                <w:rFonts w:ascii="Arial" w:cs="Arial" w:eastAsia="Arial" w:hAnsi="Arial"/>
                <w:sz w:val="16"/>
                <w:szCs w:val="16"/>
                <w:color w:val="auto"/>
              </w:rPr>
              <w:t>29</w:t>
            </w:r>
          </w:p>
        </w:tc>
        <w:tc>
          <w:tcPr>
            <w:tcW w:w="240" w:type="dxa"/>
            <w:vAlign w:val="bottom"/>
          </w:tcPr>
          <w:p>
            <w:pPr>
              <w:spacing w:after="0"/>
              <w:rPr>
                <w:sz w:val="16"/>
                <w:szCs w:val="16"/>
                <w:color w:val="auto"/>
              </w:rPr>
            </w:pP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60</w:t>
            </w:r>
          </w:p>
        </w:tc>
        <w:tc>
          <w:tcPr>
            <w:tcW w:w="1360" w:type="dxa"/>
            <w:vAlign w:val="bottom"/>
          </w:tcPr>
          <w:p>
            <w:pPr>
              <w:ind w:left="840"/>
              <w:spacing w:after="0"/>
              <w:rPr>
                <w:sz w:val="20"/>
                <w:szCs w:val="20"/>
                <w:color w:val="auto"/>
              </w:rPr>
            </w:pPr>
            <w:r>
              <w:rPr>
                <w:rFonts w:ascii="Arial" w:cs="Arial" w:eastAsia="Arial" w:hAnsi="Arial"/>
                <w:sz w:val="16"/>
                <w:szCs w:val="16"/>
                <w:color w:val="auto"/>
              </w:rPr>
              <w:t>36</w:t>
            </w:r>
          </w:p>
        </w:tc>
      </w:tr>
      <w:tr>
        <w:trPr>
          <w:trHeight w:val="189"/>
        </w:trPr>
        <w:tc>
          <w:tcPr>
            <w:tcW w:w="2440" w:type="dxa"/>
            <w:vAlign w:val="bottom"/>
          </w:tcPr>
          <w:p>
            <w:pPr>
              <w:spacing w:after="0"/>
              <w:rPr>
                <w:sz w:val="20"/>
                <w:szCs w:val="20"/>
                <w:color w:val="auto"/>
              </w:rPr>
            </w:pPr>
            <w:r>
              <w:rPr>
                <w:rFonts w:ascii="Arial" w:cs="Arial" w:eastAsia="Arial" w:hAnsi="Arial"/>
                <w:sz w:val="16"/>
                <w:szCs w:val="16"/>
                <w:color w:val="auto"/>
              </w:rPr>
              <w:t>PE</w:t>
            </w:r>
          </w:p>
        </w:tc>
        <w:tc>
          <w:tcPr>
            <w:tcW w:w="4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57</w:t>
            </w:r>
          </w:p>
        </w:tc>
        <w:tc>
          <w:tcPr>
            <w:tcW w:w="1380" w:type="dxa"/>
            <w:vAlign w:val="bottom"/>
          </w:tcPr>
          <w:p>
            <w:pPr>
              <w:ind w:left="880"/>
              <w:spacing w:after="0"/>
              <w:rPr>
                <w:sz w:val="20"/>
                <w:szCs w:val="20"/>
                <w:color w:val="auto"/>
              </w:rPr>
            </w:pPr>
            <w:r>
              <w:rPr>
                <w:rFonts w:ascii="Arial" w:cs="Arial" w:eastAsia="Arial" w:hAnsi="Arial"/>
                <w:sz w:val="16"/>
                <w:szCs w:val="16"/>
                <w:color w:val="auto"/>
              </w:rPr>
              <w:t>47</w:t>
            </w:r>
          </w:p>
        </w:tc>
        <w:tc>
          <w:tcPr>
            <w:tcW w:w="240" w:type="dxa"/>
            <w:vAlign w:val="bottom"/>
          </w:tcPr>
          <w:p>
            <w:pPr>
              <w:spacing w:after="0"/>
              <w:rPr>
                <w:sz w:val="16"/>
                <w:szCs w:val="16"/>
                <w:color w:val="auto"/>
              </w:rPr>
            </w:pP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36</w:t>
            </w:r>
          </w:p>
        </w:tc>
        <w:tc>
          <w:tcPr>
            <w:tcW w:w="1360" w:type="dxa"/>
            <w:vAlign w:val="bottom"/>
          </w:tcPr>
          <w:p>
            <w:pPr>
              <w:ind w:left="840"/>
              <w:spacing w:after="0"/>
              <w:rPr>
                <w:sz w:val="20"/>
                <w:szCs w:val="20"/>
                <w:color w:val="auto"/>
              </w:rPr>
            </w:pPr>
            <w:r>
              <w:rPr>
                <w:rFonts w:ascii="Arial" w:cs="Arial" w:eastAsia="Arial" w:hAnsi="Arial"/>
                <w:sz w:val="16"/>
                <w:szCs w:val="16"/>
                <w:color w:val="auto"/>
              </w:rPr>
              <w:t>38</w:t>
            </w:r>
          </w:p>
        </w:tc>
      </w:tr>
      <w:tr>
        <w:trPr>
          <w:trHeight w:val="187"/>
        </w:trPr>
        <w:tc>
          <w:tcPr>
            <w:tcW w:w="2440" w:type="dxa"/>
            <w:vAlign w:val="bottom"/>
          </w:tcPr>
          <w:p>
            <w:pPr>
              <w:spacing w:after="0"/>
              <w:rPr>
                <w:sz w:val="20"/>
                <w:szCs w:val="20"/>
                <w:color w:val="auto"/>
              </w:rPr>
            </w:pPr>
            <w:r>
              <w:rPr>
                <w:rFonts w:ascii="Arial" w:cs="Arial" w:eastAsia="Arial" w:hAnsi="Arial"/>
                <w:sz w:val="16"/>
                <w:szCs w:val="16"/>
                <w:color w:val="auto"/>
              </w:rPr>
              <w:t>SoCalGas</w:t>
            </w:r>
          </w:p>
        </w:tc>
        <w:tc>
          <w:tcPr>
            <w:tcW w:w="4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56</w:t>
            </w:r>
          </w:p>
        </w:tc>
        <w:tc>
          <w:tcPr>
            <w:tcW w:w="1380" w:type="dxa"/>
            <w:vAlign w:val="bottom"/>
          </w:tcPr>
          <w:p>
            <w:pPr>
              <w:ind w:left="880"/>
              <w:spacing w:after="0"/>
              <w:rPr>
                <w:sz w:val="20"/>
                <w:szCs w:val="20"/>
                <w:color w:val="auto"/>
              </w:rPr>
            </w:pPr>
            <w:r>
              <w:rPr>
                <w:rFonts w:ascii="Arial" w:cs="Arial" w:eastAsia="Arial" w:hAnsi="Arial"/>
                <w:sz w:val="16"/>
                <w:szCs w:val="16"/>
                <w:color w:val="auto"/>
              </w:rPr>
              <w:t>46</w:t>
            </w:r>
          </w:p>
        </w:tc>
        <w:tc>
          <w:tcPr>
            <w:tcW w:w="240" w:type="dxa"/>
            <w:vAlign w:val="bottom"/>
          </w:tcPr>
          <w:p>
            <w:pPr>
              <w:spacing w:after="0"/>
              <w:rPr>
                <w:sz w:val="16"/>
                <w:szCs w:val="16"/>
                <w:color w:val="auto"/>
              </w:rPr>
            </w:pP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36</w:t>
            </w:r>
          </w:p>
        </w:tc>
        <w:tc>
          <w:tcPr>
            <w:tcW w:w="1360" w:type="dxa"/>
            <w:vAlign w:val="bottom"/>
          </w:tcPr>
          <w:p>
            <w:pPr>
              <w:ind w:left="840"/>
              <w:spacing w:after="0"/>
              <w:rPr>
                <w:sz w:val="20"/>
                <w:szCs w:val="20"/>
                <w:color w:val="auto"/>
              </w:rPr>
            </w:pPr>
            <w:r>
              <w:rPr>
                <w:rFonts w:ascii="Arial" w:cs="Arial" w:eastAsia="Arial" w:hAnsi="Arial"/>
                <w:sz w:val="16"/>
                <w:szCs w:val="16"/>
                <w:color w:val="auto"/>
              </w:rPr>
              <w:t>38</w:t>
            </w:r>
          </w:p>
        </w:tc>
      </w:tr>
      <w:tr>
        <w:trPr>
          <w:trHeight w:val="81"/>
        </w:trPr>
        <w:tc>
          <w:tcPr>
            <w:tcW w:w="2440" w:type="dxa"/>
            <w:vAlign w:val="bottom"/>
            <w:shd w:val="clear" w:color="auto" w:fill="DFDFDF"/>
          </w:tcPr>
          <w:p>
            <w:pPr>
              <w:spacing w:after="0"/>
              <w:rPr>
                <w:sz w:val="7"/>
                <w:szCs w:val="7"/>
                <w:color w:val="auto"/>
              </w:rPr>
            </w:pPr>
          </w:p>
        </w:tc>
        <w:tc>
          <w:tcPr>
            <w:tcW w:w="420" w:type="dxa"/>
            <w:vAlign w:val="bottom"/>
            <w:shd w:val="clear" w:color="auto" w:fill="DFDFDF"/>
          </w:tcPr>
          <w:p>
            <w:pPr>
              <w:spacing w:after="0"/>
              <w:rPr>
                <w:sz w:val="7"/>
                <w:szCs w:val="7"/>
                <w:color w:val="auto"/>
              </w:rPr>
            </w:pPr>
          </w:p>
        </w:tc>
        <w:tc>
          <w:tcPr>
            <w:tcW w:w="880" w:type="dxa"/>
            <w:vAlign w:val="bottom"/>
            <w:shd w:val="clear" w:color="auto" w:fill="DFDFDF"/>
          </w:tcPr>
          <w:p>
            <w:pPr>
              <w:spacing w:after="0"/>
              <w:rPr>
                <w:sz w:val="7"/>
                <w:szCs w:val="7"/>
                <w:color w:val="auto"/>
              </w:rPr>
            </w:pPr>
          </w:p>
        </w:tc>
        <w:tc>
          <w:tcPr>
            <w:tcW w:w="1380" w:type="dxa"/>
            <w:vAlign w:val="bottom"/>
            <w:shd w:val="clear" w:color="auto" w:fill="DFDFDF"/>
          </w:tcPr>
          <w:p>
            <w:pPr>
              <w:spacing w:after="0"/>
              <w:rPr>
                <w:sz w:val="7"/>
                <w:szCs w:val="7"/>
                <w:color w:val="auto"/>
              </w:rPr>
            </w:pPr>
          </w:p>
        </w:tc>
        <w:tc>
          <w:tcPr>
            <w:tcW w:w="240" w:type="dxa"/>
            <w:vAlign w:val="bottom"/>
            <w:shd w:val="clear" w:color="auto" w:fill="DFDFDF"/>
          </w:tcPr>
          <w:p>
            <w:pPr>
              <w:spacing w:after="0"/>
              <w:rPr>
                <w:sz w:val="7"/>
                <w:szCs w:val="7"/>
                <w:color w:val="auto"/>
              </w:rPr>
            </w:pPr>
          </w:p>
        </w:tc>
        <w:tc>
          <w:tcPr>
            <w:tcW w:w="900" w:type="dxa"/>
            <w:vAlign w:val="bottom"/>
            <w:shd w:val="clear" w:color="auto" w:fill="DFDFDF"/>
          </w:tcPr>
          <w:p>
            <w:pPr>
              <w:spacing w:after="0"/>
              <w:rPr>
                <w:sz w:val="7"/>
                <w:szCs w:val="7"/>
                <w:color w:val="auto"/>
              </w:rPr>
            </w:pPr>
          </w:p>
        </w:tc>
        <w:tc>
          <w:tcPr>
            <w:tcW w:w="1360" w:type="dxa"/>
            <w:vAlign w:val="bottom"/>
            <w:shd w:val="clear" w:color="auto" w:fill="DFDFDF"/>
          </w:tcPr>
          <w:p>
            <w:pPr>
              <w:spacing w:after="0"/>
              <w:rPr>
                <w:sz w:val="7"/>
                <w:szCs w:val="7"/>
                <w:color w:val="auto"/>
              </w:rPr>
            </w:pPr>
          </w:p>
        </w:tc>
      </w:tr>
    </w:tbl>
    <w:p>
      <w:pPr>
        <w:sectPr>
          <w:pgSz w:w="11900" w:h="16838" w:orient="portrait"/>
          <w:cols w:equalWidth="0" w:num="1">
            <w:col w:w="10219"/>
          </w:cols>
          <w:pgMar w:left="240" w:top="104" w:right="1440" w:bottom="1440" w:gutter="0" w:footer="0" w:header="0"/>
        </w:sectPr>
      </w:pPr>
    </w:p>
    <w:bookmarkStart w:id="74" w:name="page75"/>
    <w:bookmarkEnd w:id="74"/>
    <w:p>
      <w:pPr>
        <w:spacing w:after="0"/>
        <w:rPr>
          <w:sz w:val="20"/>
          <w:szCs w:val="20"/>
          <w:color w:val="auto"/>
        </w:rPr>
      </w:pPr>
      <w:r>
        <w:rPr>
          <w:rFonts w:ascii="Arial" w:cs="Arial" w:eastAsia="Arial" w:hAnsi="Arial"/>
          <w:sz w:val="20"/>
          <w:szCs w:val="20"/>
          <w:i w:val="1"/>
          <w:iCs w:val="1"/>
          <w:color w:val="auto"/>
        </w:rPr>
        <w:t>Sempra Energy Consolidated</w:t>
      </w:r>
    </w:p>
    <w:p>
      <w:pPr>
        <w:spacing w:after="0" w:line="64" w:lineRule="exact"/>
        <w:rPr>
          <w:sz w:val="20"/>
          <w:szCs w:val="20"/>
          <w:color w:val="auto"/>
        </w:rPr>
      </w:pPr>
    </w:p>
    <w:p>
      <w:pPr>
        <w:ind w:right="759"/>
        <w:spacing w:after="0" w:line="223" w:lineRule="auto"/>
        <w:rPr>
          <w:sz w:val="20"/>
          <w:szCs w:val="20"/>
          <w:color w:val="auto"/>
        </w:rPr>
      </w:pPr>
      <w:r>
        <w:rPr>
          <w:rFonts w:ascii="Arial" w:cs="Arial" w:eastAsia="Arial" w:hAnsi="Arial"/>
          <w:sz w:val="22"/>
          <w:szCs w:val="22"/>
          <w:color w:val="auto"/>
        </w:rPr>
        <w:t>In the three months ended March 31, 2010, Sempra Energy's income tax expense decreased by $51 million (47%) primarily due to lower pretax income, partially offset by a higher effective income tax rate. The higher effective income tax rate was primarily due to:</w:t>
      </w:r>
    </w:p>
    <w:p>
      <w:pPr>
        <w:spacing w:after="0" w:line="2" w:lineRule="exact"/>
        <w:rPr>
          <w:sz w:val="20"/>
          <w:szCs w:val="20"/>
          <w:color w:val="auto"/>
        </w:rPr>
      </w:pPr>
    </w:p>
    <w:p>
      <w:pPr>
        <w:ind w:left="140" w:hanging="132"/>
        <w:spacing w:after="0"/>
        <w:tabs>
          <w:tab w:leader="none" w:pos="140" w:val="left"/>
        </w:tabs>
        <w:numPr>
          <w:ilvl w:val="0"/>
          <w:numId w:val="46"/>
        </w:numPr>
        <w:rPr>
          <w:rFonts w:ascii="Arial" w:cs="Arial" w:eastAsia="Arial" w:hAnsi="Arial"/>
          <w:sz w:val="22"/>
          <w:szCs w:val="22"/>
          <w:color w:val="auto"/>
        </w:rPr>
      </w:pPr>
      <w:r>
        <w:rPr>
          <w:rFonts w:ascii="Arial" w:cs="Arial" w:eastAsia="Arial" w:hAnsi="Arial"/>
          <w:sz w:val="22"/>
          <w:szCs w:val="22"/>
          <w:color w:val="auto"/>
        </w:rPr>
        <w:t>lower pretax income in countries with lower statutory rates;</w:t>
      </w:r>
    </w:p>
    <w:p>
      <w:pPr>
        <w:spacing w:after="0" w:line="17" w:lineRule="exact"/>
        <w:rPr>
          <w:rFonts w:ascii="Arial" w:cs="Arial" w:eastAsia="Arial" w:hAnsi="Arial"/>
          <w:sz w:val="22"/>
          <w:szCs w:val="22"/>
          <w:color w:val="auto"/>
        </w:rPr>
      </w:pPr>
    </w:p>
    <w:p>
      <w:pPr>
        <w:ind w:left="180" w:right="1979" w:hanging="172"/>
        <w:spacing w:after="0" w:line="224" w:lineRule="auto"/>
        <w:tabs>
          <w:tab w:leader="none" w:pos="153" w:val="left"/>
        </w:tabs>
        <w:numPr>
          <w:ilvl w:val="0"/>
          <w:numId w:val="46"/>
        </w:numPr>
        <w:rPr>
          <w:rFonts w:ascii="Arial" w:cs="Arial" w:eastAsia="Arial" w:hAnsi="Arial"/>
          <w:sz w:val="22"/>
          <w:szCs w:val="22"/>
          <w:color w:val="auto"/>
        </w:rPr>
      </w:pPr>
      <w:r>
        <w:rPr>
          <w:rFonts w:ascii="Arial" w:cs="Arial" w:eastAsia="Arial" w:hAnsi="Arial"/>
          <w:sz w:val="22"/>
          <w:szCs w:val="22"/>
          <w:color w:val="auto"/>
        </w:rPr>
        <w:t>$12 million tax expense in 2010 compared to a $9 million tax benefit in 2009 due to Mexican currency translation and inflation adjustments; and</w:t>
      </w:r>
    </w:p>
    <w:p>
      <w:pPr>
        <w:ind w:left="180" w:right="1799" w:hanging="172"/>
        <w:spacing w:after="0" w:line="228" w:lineRule="auto"/>
        <w:tabs>
          <w:tab w:leader="none" w:pos="153" w:val="left"/>
        </w:tabs>
        <w:numPr>
          <w:ilvl w:val="0"/>
          <w:numId w:val="46"/>
        </w:numPr>
        <w:rPr>
          <w:rFonts w:ascii="Arial" w:cs="Arial" w:eastAsia="Arial" w:hAnsi="Arial"/>
          <w:sz w:val="21"/>
          <w:szCs w:val="21"/>
          <w:color w:val="auto"/>
        </w:rPr>
      </w:pPr>
      <w:r>
        <w:rPr>
          <w:rFonts w:ascii="Arial" w:cs="Arial" w:eastAsia="Arial" w:hAnsi="Arial"/>
          <w:sz w:val="21"/>
          <w:szCs w:val="21"/>
          <w:color w:val="auto"/>
        </w:rPr>
        <w:t xml:space="preserve">a $16 million write-down of deferred tax assets related to other post employment benefits, as a result of a change in U.S. tax law that eliminates a future deduction, starting in 2013, for retiree healthcare funded by the Medicare Part D subsidy; </w:t>
      </w:r>
      <w:r>
        <w:rPr>
          <w:rFonts w:ascii="Arial" w:cs="Arial" w:eastAsia="Arial" w:hAnsi="Arial"/>
          <w:sz w:val="21"/>
          <w:szCs w:val="21"/>
          <w:b w:val="1"/>
          <w:bCs w:val="1"/>
          <w:color w:val="auto"/>
        </w:rPr>
        <w:t>offset by</w:t>
      </w:r>
    </w:p>
    <w:p>
      <w:pPr>
        <w:ind w:left="140" w:hanging="132"/>
        <w:spacing w:after="0"/>
        <w:tabs>
          <w:tab w:leader="none" w:pos="140" w:val="left"/>
        </w:tabs>
        <w:numPr>
          <w:ilvl w:val="0"/>
          <w:numId w:val="46"/>
        </w:numPr>
        <w:rPr>
          <w:rFonts w:ascii="Arial" w:cs="Arial" w:eastAsia="Arial" w:hAnsi="Arial"/>
          <w:sz w:val="22"/>
          <w:szCs w:val="22"/>
          <w:color w:val="auto"/>
        </w:rPr>
      </w:pPr>
      <w:r>
        <w:rPr>
          <w:rFonts w:ascii="Arial" w:cs="Arial" w:eastAsia="Arial" w:hAnsi="Arial"/>
          <w:sz w:val="22"/>
          <w:szCs w:val="22"/>
          <w:color w:val="auto"/>
        </w:rPr>
        <w:t>higher tax deductions for self-developed software costs;</w:t>
      </w:r>
    </w:p>
    <w:p>
      <w:pPr>
        <w:spacing w:after="0" w:line="17" w:lineRule="exact"/>
        <w:rPr>
          <w:rFonts w:ascii="Arial" w:cs="Arial" w:eastAsia="Arial" w:hAnsi="Arial"/>
          <w:sz w:val="22"/>
          <w:szCs w:val="22"/>
          <w:color w:val="auto"/>
        </w:rPr>
      </w:pPr>
    </w:p>
    <w:p>
      <w:pPr>
        <w:ind w:left="140" w:hanging="132"/>
        <w:spacing w:after="0"/>
        <w:tabs>
          <w:tab w:leader="none" w:pos="140" w:val="left"/>
        </w:tabs>
        <w:numPr>
          <w:ilvl w:val="0"/>
          <w:numId w:val="46"/>
        </w:numPr>
        <w:rPr>
          <w:rFonts w:ascii="Arial" w:cs="Arial" w:eastAsia="Arial" w:hAnsi="Arial"/>
          <w:sz w:val="22"/>
          <w:szCs w:val="22"/>
          <w:color w:val="auto"/>
        </w:rPr>
      </w:pPr>
      <w:r>
        <w:rPr>
          <w:rFonts w:ascii="Arial" w:cs="Arial" w:eastAsia="Arial" w:hAnsi="Arial"/>
          <w:sz w:val="22"/>
          <w:szCs w:val="22"/>
          <w:color w:val="auto"/>
        </w:rPr>
        <w:t>higher favorable impact from the resolution of prior years' income tax issues; and</w:t>
      </w:r>
    </w:p>
    <w:p>
      <w:pPr>
        <w:spacing w:after="0" w:line="3" w:lineRule="exact"/>
        <w:rPr>
          <w:rFonts w:ascii="Arial" w:cs="Arial" w:eastAsia="Arial" w:hAnsi="Arial"/>
          <w:sz w:val="22"/>
          <w:szCs w:val="22"/>
          <w:color w:val="auto"/>
        </w:rPr>
      </w:pPr>
    </w:p>
    <w:p>
      <w:pPr>
        <w:ind w:left="140" w:hanging="132"/>
        <w:spacing w:after="0"/>
        <w:tabs>
          <w:tab w:leader="none" w:pos="140" w:val="left"/>
        </w:tabs>
        <w:numPr>
          <w:ilvl w:val="0"/>
          <w:numId w:val="46"/>
        </w:numPr>
        <w:rPr>
          <w:rFonts w:ascii="Arial" w:cs="Arial" w:eastAsia="Arial" w:hAnsi="Arial"/>
          <w:sz w:val="22"/>
          <w:szCs w:val="22"/>
          <w:color w:val="auto"/>
        </w:rPr>
      </w:pPr>
      <w:r>
        <w:rPr>
          <w:rFonts w:ascii="Arial" w:cs="Arial" w:eastAsia="Arial" w:hAnsi="Arial"/>
          <w:sz w:val="22"/>
          <w:szCs w:val="22"/>
          <w:color w:val="auto"/>
        </w:rPr>
        <w:t>higher planned investment tax credits.</w:t>
      </w:r>
    </w:p>
    <w:p>
      <w:pPr>
        <w:spacing w:after="0" w:line="9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SDG&amp;E</w:t>
      </w:r>
    </w:p>
    <w:p>
      <w:pPr>
        <w:spacing w:after="0" w:line="76" w:lineRule="exact"/>
        <w:rPr>
          <w:sz w:val="20"/>
          <w:szCs w:val="20"/>
          <w:color w:val="auto"/>
        </w:rPr>
      </w:pPr>
    </w:p>
    <w:p>
      <w:pPr>
        <w:spacing w:after="0"/>
        <w:rPr>
          <w:sz w:val="20"/>
          <w:szCs w:val="20"/>
          <w:color w:val="auto"/>
        </w:rPr>
      </w:pPr>
      <w:r>
        <w:rPr>
          <w:rFonts w:ascii="Arial" w:cs="Arial" w:eastAsia="Arial" w:hAnsi="Arial"/>
          <w:sz w:val="19"/>
          <w:szCs w:val="19"/>
          <w:color w:val="auto"/>
        </w:rPr>
        <w:t>In the three months ended March 31, 2010, SDG&amp;E's income tax expense decreased by $29 million (48%)</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primarily from lower pretax income and a lower effective income tax rate resulting primarily from:</w:t>
      </w:r>
    </w:p>
    <w:p>
      <w:pPr>
        <w:spacing w:after="0" w:line="4" w:lineRule="exact"/>
        <w:rPr>
          <w:sz w:val="20"/>
          <w:szCs w:val="20"/>
          <w:color w:val="auto"/>
        </w:rPr>
      </w:pPr>
    </w:p>
    <w:p>
      <w:pPr>
        <w:ind w:left="140" w:hanging="132"/>
        <w:spacing w:after="0"/>
        <w:tabs>
          <w:tab w:leader="none" w:pos="140" w:val="left"/>
        </w:tabs>
        <w:numPr>
          <w:ilvl w:val="0"/>
          <w:numId w:val="47"/>
        </w:numPr>
        <w:rPr>
          <w:rFonts w:ascii="Arial" w:cs="Arial" w:eastAsia="Arial" w:hAnsi="Arial"/>
          <w:sz w:val="22"/>
          <w:szCs w:val="22"/>
          <w:color w:val="auto"/>
        </w:rPr>
      </w:pPr>
      <w:r>
        <w:rPr>
          <w:rFonts w:ascii="Arial" w:cs="Arial" w:eastAsia="Arial" w:hAnsi="Arial"/>
          <w:sz w:val="22"/>
          <w:szCs w:val="22"/>
          <w:color w:val="auto"/>
        </w:rPr>
        <w:t>higher favorable impact from the resolution of prior years' income tax issues;</w:t>
      </w:r>
    </w:p>
    <w:p>
      <w:pPr>
        <w:spacing w:after="0" w:line="3" w:lineRule="exact"/>
        <w:rPr>
          <w:rFonts w:ascii="Arial" w:cs="Arial" w:eastAsia="Arial" w:hAnsi="Arial"/>
          <w:sz w:val="22"/>
          <w:szCs w:val="22"/>
          <w:color w:val="auto"/>
        </w:rPr>
      </w:pPr>
    </w:p>
    <w:p>
      <w:pPr>
        <w:ind w:left="140" w:hanging="132"/>
        <w:spacing w:after="0"/>
        <w:tabs>
          <w:tab w:leader="none" w:pos="140" w:val="left"/>
        </w:tabs>
        <w:numPr>
          <w:ilvl w:val="0"/>
          <w:numId w:val="47"/>
        </w:numPr>
        <w:rPr>
          <w:rFonts w:ascii="Arial" w:cs="Arial" w:eastAsia="Arial" w:hAnsi="Arial"/>
          <w:sz w:val="22"/>
          <w:szCs w:val="22"/>
          <w:color w:val="auto"/>
        </w:rPr>
      </w:pPr>
      <w:r>
        <w:rPr>
          <w:rFonts w:ascii="Arial" w:cs="Arial" w:eastAsia="Arial" w:hAnsi="Arial"/>
          <w:sz w:val="22"/>
          <w:szCs w:val="22"/>
          <w:color w:val="auto"/>
        </w:rPr>
        <w:t>higher deductions for self-developed software costs; and</w:t>
      </w:r>
    </w:p>
    <w:p>
      <w:pPr>
        <w:spacing w:after="0" w:line="3" w:lineRule="exact"/>
        <w:rPr>
          <w:rFonts w:ascii="Arial" w:cs="Arial" w:eastAsia="Arial" w:hAnsi="Arial"/>
          <w:sz w:val="22"/>
          <w:szCs w:val="22"/>
          <w:color w:val="auto"/>
        </w:rPr>
      </w:pPr>
    </w:p>
    <w:p>
      <w:pPr>
        <w:ind w:left="140" w:hanging="132"/>
        <w:spacing w:after="0"/>
        <w:tabs>
          <w:tab w:leader="none" w:pos="140" w:val="left"/>
        </w:tabs>
        <w:numPr>
          <w:ilvl w:val="0"/>
          <w:numId w:val="47"/>
        </w:numPr>
        <w:rPr>
          <w:rFonts w:ascii="Arial" w:cs="Arial" w:eastAsia="Arial" w:hAnsi="Arial"/>
          <w:sz w:val="22"/>
          <w:szCs w:val="22"/>
          <w:color w:val="auto"/>
        </w:rPr>
      </w:pPr>
      <w:r>
        <w:rPr>
          <w:rFonts w:ascii="Arial" w:cs="Arial" w:eastAsia="Arial" w:hAnsi="Arial"/>
          <w:sz w:val="22"/>
          <w:szCs w:val="22"/>
          <w:color w:val="auto"/>
        </w:rPr>
        <w:t xml:space="preserve">lower state and local tax expense; </w:t>
      </w:r>
      <w:r>
        <w:rPr>
          <w:rFonts w:ascii="Arial" w:cs="Arial" w:eastAsia="Arial" w:hAnsi="Arial"/>
          <w:sz w:val="22"/>
          <w:szCs w:val="22"/>
          <w:b w:val="1"/>
          <w:bCs w:val="1"/>
          <w:color w:val="auto"/>
        </w:rPr>
        <w:t>offset by</w:t>
      </w:r>
    </w:p>
    <w:p>
      <w:pPr>
        <w:spacing w:after="0" w:line="17" w:lineRule="exact"/>
        <w:rPr>
          <w:rFonts w:ascii="Arial" w:cs="Arial" w:eastAsia="Arial" w:hAnsi="Arial"/>
          <w:sz w:val="22"/>
          <w:szCs w:val="22"/>
          <w:color w:val="auto"/>
        </w:rPr>
      </w:pPr>
    </w:p>
    <w:p>
      <w:pPr>
        <w:ind w:left="180" w:right="1999" w:hanging="172"/>
        <w:spacing w:after="0" w:line="224" w:lineRule="auto"/>
        <w:tabs>
          <w:tab w:leader="none" w:pos="153" w:val="left"/>
        </w:tabs>
        <w:numPr>
          <w:ilvl w:val="0"/>
          <w:numId w:val="47"/>
        </w:numPr>
        <w:rPr>
          <w:rFonts w:ascii="Arial" w:cs="Arial" w:eastAsia="Arial" w:hAnsi="Arial"/>
          <w:sz w:val="22"/>
          <w:szCs w:val="22"/>
          <w:color w:val="auto"/>
        </w:rPr>
      </w:pPr>
      <w:r>
        <w:rPr>
          <w:rFonts w:ascii="Arial" w:cs="Arial" w:eastAsia="Arial" w:hAnsi="Arial"/>
          <w:sz w:val="22"/>
          <w:szCs w:val="22"/>
          <w:color w:val="auto"/>
        </w:rPr>
        <w:t>a $3 million write-down of deferred tax assets related to other post employment benefits, as a result of a change in U.S. tax law, as we discuss above.</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PE and SoCalGas</w:t>
      </w:r>
    </w:p>
    <w:p>
      <w:pPr>
        <w:spacing w:after="0" w:line="63" w:lineRule="exact"/>
        <w:rPr>
          <w:sz w:val="20"/>
          <w:szCs w:val="20"/>
          <w:color w:val="auto"/>
        </w:rPr>
      </w:pPr>
    </w:p>
    <w:p>
      <w:pPr>
        <w:ind w:right="679"/>
        <w:spacing w:after="0" w:line="223" w:lineRule="auto"/>
        <w:rPr>
          <w:sz w:val="20"/>
          <w:szCs w:val="20"/>
          <w:color w:val="auto"/>
        </w:rPr>
      </w:pPr>
      <w:r>
        <w:rPr>
          <w:rFonts w:ascii="Arial" w:cs="Arial" w:eastAsia="Arial" w:hAnsi="Arial"/>
          <w:sz w:val="22"/>
          <w:szCs w:val="22"/>
          <w:color w:val="auto"/>
        </w:rPr>
        <w:t>In the three months ended March 31, 2010, income tax expense increased by $21 million (58%) at PE and $20 million (56%) at SoCalGas primarily due to higher pretax income and a higher effective income tax rate resulting primarily from:</w:t>
      </w:r>
    </w:p>
    <w:p>
      <w:pPr>
        <w:spacing w:after="0" w:line="2" w:lineRule="exact"/>
        <w:rPr>
          <w:sz w:val="20"/>
          <w:szCs w:val="20"/>
          <w:color w:val="auto"/>
        </w:rPr>
      </w:pPr>
    </w:p>
    <w:p>
      <w:pPr>
        <w:ind w:left="180" w:right="1899" w:hanging="172"/>
        <w:spacing w:after="0" w:line="230" w:lineRule="auto"/>
        <w:tabs>
          <w:tab w:leader="none" w:pos="153" w:val="left"/>
        </w:tabs>
        <w:numPr>
          <w:ilvl w:val="0"/>
          <w:numId w:val="48"/>
        </w:numPr>
        <w:rPr>
          <w:rFonts w:ascii="Arial" w:cs="Arial" w:eastAsia="Arial" w:hAnsi="Arial"/>
          <w:sz w:val="22"/>
          <w:szCs w:val="22"/>
          <w:color w:val="auto"/>
        </w:rPr>
      </w:pPr>
      <w:r>
        <w:rPr>
          <w:rFonts w:ascii="Arial" w:cs="Arial" w:eastAsia="Arial" w:hAnsi="Arial"/>
          <w:sz w:val="22"/>
          <w:szCs w:val="22"/>
          <w:color w:val="auto"/>
        </w:rPr>
        <w:t xml:space="preserve">a $13 million write-down of deferred tax assets related to other post employment benefits, as a result of a change in U.S. tax law, as we discuss above; </w:t>
      </w:r>
      <w:r>
        <w:rPr>
          <w:rFonts w:ascii="Arial" w:cs="Arial" w:eastAsia="Arial" w:hAnsi="Arial"/>
          <w:sz w:val="22"/>
          <w:szCs w:val="22"/>
          <w:b w:val="1"/>
          <w:bCs w:val="1"/>
          <w:color w:val="auto"/>
        </w:rPr>
        <w:t>offset by</w:t>
      </w:r>
    </w:p>
    <w:p>
      <w:pPr>
        <w:spacing w:after="0" w:line="1" w:lineRule="exact"/>
        <w:rPr>
          <w:rFonts w:ascii="Arial" w:cs="Arial" w:eastAsia="Arial" w:hAnsi="Arial"/>
          <w:sz w:val="22"/>
          <w:szCs w:val="22"/>
          <w:color w:val="auto"/>
        </w:rPr>
      </w:pPr>
    </w:p>
    <w:p>
      <w:pPr>
        <w:ind w:left="140" w:hanging="132"/>
        <w:spacing w:after="0"/>
        <w:tabs>
          <w:tab w:leader="none" w:pos="140" w:val="left"/>
        </w:tabs>
        <w:numPr>
          <w:ilvl w:val="0"/>
          <w:numId w:val="48"/>
        </w:numPr>
        <w:rPr>
          <w:rFonts w:ascii="Arial" w:cs="Arial" w:eastAsia="Arial" w:hAnsi="Arial"/>
          <w:sz w:val="22"/>
          <w:szCs w:val="22"/>
          <w:color w:val="auto"/>
        </w:rPr>
      </w:pPr>
      <w:r>
        <w:rPr>
          <w:rFonts w:ascii="Arial" w:cs="Arial" w:eastAsia="Arial" w:hAnsi="Arial"/>
          <w:sz w:val="22"/>
          <w:szCs w:val="22"/>
          <w:color w:val="auto"/>
        </w:rPr>
        <w:t>higher deductions for self-developed software costs; and</w:t>
      </w:r>
    </w:p>
    <w:p>
      <w:pPr>
        <w:spacing w:after="0" w:line="3" w:lineRule="exact"/>
        <w:rPr>
          <w:rFonts w:ascii="Arial" w:cs="Arial" w:eastAsia="Arial" w:hAnsi="Arial"/>
          <w:sz w:val="22"/>
          <w:szCs w:val="22"/>
          <w:color w:val="auto"/>
        </w:rPr>
      </w:pPr>
    </w:p>
    <w:p>
      <w:pPr>
        <w:ind w:left="140" w:hanging="132"/>
        <w:spacing w:after="0"/>
        <w:tabs>
          <w:tab w:leader="none" w:pos="140" w:val="left"/>
        </w:tabs>
        <w:numPr>
          <w:ilvl w:val="0"/>
          <w:numId w:val="48"/>
        </w:numPr>
        <w:rPr>
          <w:rFonts w:ascii="Arial" w:cs="Arial" w:eastAsia="Arial" w:hAnsi="Arial"/>
          <w:sz w:val="22"/>
          <w:szCs w:val="22"/>
          <w:color w:val="auto"/>
        </w:rPr>
      </w:pPr>
      <w:r>
        <w:rPr>
          <w:rFonts w:ascii="Arial" w:cs="Arial" w:eastAsia="Arial" w:hAnsi="Arial"/>
          <w:sz w:val="22"/>
          <w:szCs w:val="22"/>
          <w:color w:val="auto"/>
        </w:rPr>
        <w:t>lower state and local tax expense.</w:t>
      </w:r>
    </w:p>
    <w:p>
      <w:pPr>
        <w:spacing w:after="0" w:line="34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Losses (Earnings) Attributable to Noncontrolling Interests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 Consolidated</w:t>
      </w:r>
    </w:p>
    <w:p>
      <w:pPr>
        <w:spacing w:after="0" w:line="63" w:lineRule="exact"/>
        <w:rPr>
          <w:sz w:val="20"/>
          <w:szCs w:val="20"/>
          <w:color w:val="auto"/>
        </w:rPr>
      </w:pPr>
    </w:p>
    <w:p>
      <w:pPr>
        <w:ind w:right="939"/>
        <w:spacing w:after="0" w:line="229" w:lineRule="auto"/>
        <w:rPr>
          <w:sz w:val="20"/>
          <w:szCs w:val="20"/>
          <w:color w:val="auto"/>
        </w:rPr>
      </w:pPr>
      <w:r>
        <w:rPr>
          <w:rFonts w:ascii="Arial" w:cs="Arial" w:eastAsia="Arial" w:hAnsi="Arial"/>
          <w:sz w:val="21"/>
          <w:szCs w:val="21"/>
          <w:color w:val="auto"/>
        </w:rPr>
        <w:t>At both Sempra Energy Consolidated and SDG&amp;E, losses attributable to noncontrolling interests were $8 million in the three months ended March 31, 2010 compared to earnings of $7 million in the corresponding period of 2009. The change was primarily due to $9 million in losses on interest rate swaps in 2010 at Otay Mesa VIE compared to $10 million in gains in 2009.</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Earnings</w:t>
      </w: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We discuss variations in Sempra Energy's earnings by business unit above in "Business Unit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17474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sectPr>
      </w:pPr>
    </w:p>
    <w:bookmarkStart w:id="75" w:name="page76"/>
    <w:bookmarkEnd w:id="75"/>
    <w:p>
      <w:pPr>
        <w:spacing w:after="0" w:line="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617474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CAPITAL RESOURCES AND LIQUIDITY</w:t>
      </w:r>
    </w:p>
    <w:p>
      <w:pPr>
        <w:spacing w:after="0" w:line="63" w:lineRule="exact"/>
        <w:rPr>
          <w:sz w:val="20"/>
          <w:szCs w:val="20"/>
          <w:color w:val="auto"/>
        </w:rPr>
      </w:pPr>
    </w:p>
    <w:p>
      <w:pPr>
        <w:ind w:right="759"/>
        <w:spacing w:after="0" w:line="218" w:lineRule="auto"/>
        <w:rPr>
          <w:sz w:val="20"/>
          <w:szCs w:val="20"/>
          <w:color w:val="auto"/>
        </w:rPr>
      </w:pPr>
      <w:r>
        <w:rPr>
          <w:rFonts w:ascii="Arial" w:cs="Arial" w:eastAsia="Arial" w:hAnsi="Arial"/>
          <w:sz w:val="22"/>
          <w:szCs w:val="22"/>
          <w:color w:val="auto"/>
        </w:rPr>
        <w:t>We expect our cash flows from operations to fund a substantial portion of our capital expenditures and dividends. In addition, we may meet our cash requirements through the issuance of short-term and long-term debt and the expected proceeds from the transaction to sell certain businesses within RBS Sempra Commodities, as we discuss below.</w:t>
      </w:r>
    </w:p>
    <w:p>
      <w:pPr>
        <w:spacing w:after="0" w:line="26" w:lineRule="exact"/>
        <w:rPr>
          <w:sz w:val="20"/>
          <w:szCs w:val="20"/>
          <w:color w:val="auto"/>
        </w:rPr>
      </w:pPr>
    </w:p>
    <w:p>
      <w:pPr>
        <w:ind w:right="559"/>
        <w:spacing w:after="0" w:line="268" w:lineRule="auto"/>
        <w:rPr>
          <w:sz w:val="20"/>
          <w:szCs w:val="20"/>
          <w:color w:val="auto"/>
        </w:rPr>
      </w:pPr>
      <w:r>
        <w:rPr>
          <w:rFonts w:ascii="Arial" w:cs="Arial" w:eastAsia="Arial" w:hAnsi="Arial"/>
          <w:sz w:val="19"/>
          <w:szCs w:val="19"/>
          <w:color w:val="auto"/>
        </w:rPr>
        <w:t>Our committed lines of credit provide liquidity and support commercial paper. They expire in August 2011. At Sempra Energy, they are syndicated broadly among 20 different banks and at the Sempra Utilities, among 17 different banks. No single bank has greater than an 11-percent share in any agreement.</w:t>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color w:val="auto"/>
        </w:rPr>
        <w:t>The table below shows the amount of available funds at March 31, 2010:</w:t>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AVAILABLE FUNDS AT MARCH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5025390" cy="2317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02539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jc w:val="right"/>
              <w:ind w:right="83"/>
              <w:spacing w:after="0"/>
              <w:rPr>
                <w:sz w:val="20"/>
                <w:szCs w:val="20"/>
                <w:color w:val="auto"/>
              </w:rPr>
            </w:pPr>
            <w:r>
              <w:rPr>
                <w:rFonts w:ascii="Arial" w:cs="Arial" w:eastAsia="Arial" w:hAnsi="Arial"/>
                <w:sz w:val="14"/>
                <w:szCs w:val="14"/>
                <w:color w:val="auto"/>
              </w:rPr>
              <w:t>Sempra Energy</w:t>
            </w: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4"/>
        </w:trPr>
        <w:tc>
          <w:tcPr>
            <w:tcW w:w="33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color w:val="auto"/>
              </w:rPr>
              <w:t>Consolidated</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color w:val="auto"/>
              </w:rPr>
              <w:t>SDG&amp;E</w:t>
            </w: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color w:val="auto"/>
              </w:rPr>
              <w:t>PE/SoCalGas</w:t>
            </w:r>
          </w:p>
        </w:tc>
      </w:tr>
      <w:tr>
        <w:trPr>
          <w:trHeight w:val="184"/>
        </w:trPr>
        <w:tc>
          <w:tcPr>
            <w:tcW w:w="3340" w:type="dxa"/>
            <w:vAlign w:val="bottom"/>
          </w:tcPr>
          <w:p>
            <w:pPr>
              <w:spacing w:after="0"/>
              <w:rPr>
                <w:sz w:val="20"/>
                <w:szCs w:val="20"/>
                <w:color w:val="auto"/>
              </w:rPr>
            </w:pPr>
            <w:r>
              <w:rPr>
                <w:rFonts w:ascii="Arial" w:cs="Arial" w:eastAsia="Arial" w:hAnsi="Arial"/>
                <w:sz w:val="16"/>
                <w:szCs w:val="16"/>
                <w:color w:val="auto"/>
              </w:rPr>
              <w:t>Unrestricted cash and cash equivalents</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222</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14</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180</w:t>
            </w:r>
          </w:p>
        </w:tc>
      </w:tr>
      <w:tr>
        <w:trPr>
          <w:trHeight w:val="187"/>
        </w:trPr>
        <w:tc>
          <w:tcPr>
            <w:tcW w:w="3340" w:type="dxa"/>
            <w:vAlign w:val="bottom"/>
          </w:tcPr>
          <w:p>
            <w:pPr>
              <w:spacing w:after="0"/>
              <w:rPr>
                <w:sz w:val="20"/>
                <w:szCs w:val="20"/>
                <w:color w:val="auto"/>
              </w:rPr>
            </w:pPr>
            <w:r>
              <w:rPr>
                <w:rFonts w:ascii="Arial" w:cs="Arial" w:eastAsia="Arial" w:hAnsi="Arial"/>
                <w:sz w:val="16"/>
                <w:szCs w:val="16"/>
                <w:color w:val="auto"/>
              </w:rPr>
              <w:t>Available unused credit(1)</w:t>
            </w:r>
          </w:p>
        </w:tc>
        <w:tc>
          <w:tcPr>
            <w:tcW w:w="6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3,276</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314</w:t>
            </w: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514</w:t>
            </w:r>
          </w:p>
        </w:tc>
      </w:tr>
      <w:tr>
        <w:trPr>
          <w:trHeight w:val="81"/>
        </w:trPr>
        <w:tc>
          <w:tcPr>
            <w:tcW w:w="3340" w:type="dxa"/>
            <w:vAlign w:val="bottom"/>
            <w:shd w:val="clear" w:color="auto" w:fill="DFDFDF"/>
          </w:tcPr>
          <w:p>
            <w:pPr>
              <w:spacing w:after="0"/>
              <w:rPr>
                <w:sz w:val="7"/>
                <w:szCs w:val="7"/>
                <w:color w:val="auto"/>
              </w:rPr>
            </w:pPr>
          </w:p>
        </w:tc>
        <w:tc>
          <w:tcPr>
            <w:tcW w:w="620" w:type="dxa"/>
            <w:vAlign w:val="bottom"/>
            <w:shd w:val="clear" w:color="auto" w:fill="DFDFDF"/>
          </w:tcPr>
          <w:p>
            <w:pPr>
              <w:spacing w:after="0"/>
              <w:rPr>
                <w:sz w:val="7"/>
                <w:szCs w:val="7"/>
                <w:color w:val="auto"/>
              </w:rPr>
            </w:pPr>
          </w:p>
        </w:tc>
        <w:tc>
          <w:tcPr>
            <w:tcW w:w="1220" w:type="dxa"/>
            <w:vAlign w:val="bottom"/>
            <w:shd w:val="clear" w:color="auto" w:fill="DFDFDF"/>
          </w:tcPr>
          <w:p>
            <w:pPr>
              <w:spacing w:after="0"/>
              <w:rPr>
                <w:sz w:val="7"/>
                <w:szCs w:val="7"/>
                <w:color w:val="auto"/>
              </w:rPr>
            </w:pPr>
          </w:p>
        </w:tc>
        <w:tc>
          <w:tcPr>
            <w:tcW w:w="280" w:type="dxa"/>
            <w:vAlign w:val="bottom"/>
            <w:shd w:val="clear" w:color="auto" w:fill="DFDFDF"/>
          </w:tcPr>
          <w:p>
            <w:pPr>
              <w:spacing w:after="0"/>
              <w:rPr>
                <w:sz w:val="7"/>
                <w:szCs w:val="7"/>
                <w:color w:val="auto"/>
              </w:rPr>
            </w:pPr>
          </w:p>
        </w:tc>
        <w:tc>
          <w:tcPr>
            <w:tcW w:w="1080" w:type="dxa"/>
            <w:vAlign w:val="bottom"/>
            <w:shd w:val="clear" w:color="auto" w:fill="DFDFDF"/>
          </w:tcPr>
          <w:p>
            <w:pPr>
              <w:spacing w:after="0"/>
              <w:rPr>
                <w:sz w:val="7"/>
                <w:szCs w:val="7"/>
                <w:color w:val="auto"/>
              </w:rPr>
            </w:pPr>
          </w:p>
        </w:tc>
        <w:tc>
          <w:tcPr>
            <w:tcW w:w="180" w:type="dxa"/>
            <w:vAlign w:val="bottom"/>
            <w:shd w:val="clear" w:color="auto" w:fill="DFDFDF"/>
          </w:tcPr>
          <w:p>
            <w:pPr>
              <w:spacing w:after="0"/>
              <w:rPr>
                <w:sz w:val="7"/>
                <w:szCs w:val="7"/>
                <w:color w:val="auto"/>
              </w:rPr>
            </w:pPr>
          </w:p>
        </w:tc>
        <w:tc>
          <w:tcPr>
            <w:tcW w:w="1200" w:type="dxa"/>
            <w:vAlign w:val="bottom"/>
            <w:shd w:val="clear" w:color="auto" w:fill="DFDFDF"/>
          </w:tcPr>
          <w:p>
            <w:pPr>
              <w:spacing w:after="0"/>
              <w:rPr>
                <w:sz w:val="7"/>
                <w:szCs w:val="7"/>
                <w:color w:val="auto"/>
              </w:rPr>
            </w:pPr>
          </w:p>
        </w:tc>
      </w:tr>
    </w:tbl>
    <w:p>
      <w:pPr>
        <w:ind w:left="460" w:right="2399" w:hanging="317"/>
        <w:spacing w:after="0" w:line="249" w:lineRule="auto"/>
        <w:tabs>
          <w:tab w:leader="none" w:pos="460" w:val="left"/>
        </w:tabs>
        <w:numPr>
          <w:ilvl w:val="0"/>
          <w:numId w:val="49"/>
        </w:numPr>
        <w:rPr>
          <w:rFonts w:ascii="Arial" w:cs="Arial" w:eastAsia="Arial" w:hAnsi="Arial"/>
          <w:sz w:val="14"/>
          <w:szCs w:val="14"/>
          <w:i w:val="1"/>
          <w:iCs w:val="1"/>
          <w:color w:val="auto"/>
        </w:rPr>
      </w:pPr>
      <w:r>
        <w:rPr>
          <w:rFonts w:ascii="Arial" w:cs="Arial" w:eastAsia="Arial" w:hAnsi="Arial"/>
          <w:sz w:val="14"/>
          <w:szCs w:val="14"/>
          <w:i w:val="1"/>
          <w:iCs w:val="1"/>
          <w:color w:val="auto"/>
        </w:rPr>
        <w:t>Borrowings on the shared line of credit at SDG&amp;E and SoCalGas are limited to $600 million for each utility and $800 million in total. SDG&amp;E's available funds reflect letters of credit outstanding of $25 million, variable-rate demand notes outstanding of $237 million and commercial paper of $24 million supported by the line. SoCalGas' availability reflects the impact of SDG&amp;E's use of the combined credit available on the line.</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 Consolidated</w:t>
      </w:r>
    </w:p>
    <w:p>
      <w:pPr>
        <w:spacing w:after="0" w:line="22" w:lineRule="exact"/>
        <w:rPr>
          <w:sz w:val="20"/>
          <w:szCs w:val="20"/>
          <w:color w:val="auto"/>
        </w:rPr>
      </w:pPr>
    </w:p>
    <w:p>
      <w:pPr>
        <w:ind w:right="1279"/>
        <w:spacing w:after="0" w:line="269" w:lineRule="auto"/>
        <w:rPr>
          <w:sz w:val="20"/>
          <w:szCs w:val="20"/>
          <w:color w:val="auto"/>
        </w:rPr>
      </w:pPr>
      <w:r>
        <w:rPr>
          <w:rFonts w:ascii="Arial" w:cs="Arial" w:eastAsia="Arial" w:hAnsi="Arial"/>
          <w:sz w:val="19"/>
          <w:szCs w:val="19"/>
          <w:color w:val="auto"/>
        </w:rPr>
        <w:t>We believe that these available funds and cash flows from operations, distributions from equity method investments and security issuances, combined with current cash balances, will be adequate to:</w:t>
      </w:r>
    </w:p>
    <w:p>
      <w:pPr>
        <w:spacing w:after="0" w:line="1" w:lineRule="exact"/>
        <w:rPr>
          <w:sz w:val="20"/>
          <w:szCs w:val="20"/>
          <w:color w:val="auto"/>
        </w:rPr>
      </w:pPr>
    </w:p>
    <w:p>
      <w:pPr>
        <w:ind w:left="140" w:hanging="132"/>
        <w:spacing w:after="0"/>
        <w:tabs>
          <w:tab w:leader="none" w:pos="140" w:val="left"/>
        </w:tabs>
        <w:numPr>
          <w:ilvl w:val="0"/>
          <w:numId w:val="50"/>
        </w:numPr>
        <w:rPr>
          <w:rFonts w:ascii="Arial" w:cs="Arial" w:eastAsia="Arial" w:hAnsi="Arial"/>
          <w:sz w:val="22"/>
          <w:szCs w:val="22"/>
          <w:color w:val="auto"/>
        </w:rPr>
      </w:pPr>
      <w:r>
        <w:rPr>
          <w:rFonts w:ascii="Arial" w:cs="Arial" w:eastAsia="Arial" w:hAnsi="Arial"/>
          <w:sz w:val="22"/>
          <w:szCs w:val="22"/>
          <w:color w:val="auto"/>
        </w:rPr>
        <w:t>finance capital expenditures</w:t>
      </w:r>
    </w:p>
    <w:p>
      <w:pPr>
        <w:spacing w:after="0" w:line="3" w:lineRule="exact"/>
        <w:rPr>
          <w:rFonts w:ascii="Arial" w:cs="Arial" w:eastAsia="Arial" w:hAnsi="Arial"/>
          <w:sz w:val="22"/>
          <w:szCs w:val="22"/>
          <w:color w:val="auto"/>
        </w:rPr>
      </w:pPr>
    </w:p>
    <w:p>
      <w:pPr>
        <w:ind w:left="140" w:hanging="132"/>
        <w:spacing w:after="0"/>
        <w:tabs>
          <w:tab w:leader="none" w:pos="140" w:val="left"/>
        </w:tabs>
        <w:numPr>
          <w:ilvl w:val="0"/>
          <w:numId w:val="50"/>
        </w:numPr>
        <w:rPr>
          <w:rFonts w:ascii="Arial" w:cs="Arial" w:eastAsia="Arial" w:hAnsi="Arial"/>
          <w:sz w:val="22"/>
          <w:szCs w:val="22"/>
          <w:color w:val="auto"/>
        </w:rPr>
      </w:pPr>
      <w:r>
        <w:rPr>
          <w:rFonts w:ascii="Arial" w:cs="Arial" w:eastAsia="Arial" w:hAnsi="Arial"/>
          <w:sz w:val="22"/>
          <w:szCs w:val="22"/>
          <w:color w:val="auto"/>
        </w:rPr>
        <w:t>meet liquidity requirements</w:t>
      </w:r>
    </w:p>
    <w:p>
      <w:pPr>
        <w:spacing w:after="0" w:line="3" w:lineRule="exact"/>
        <w:rPr>
          <w:rFonts w:ascii="Arial" w:cs="Arial" w:eastAsia="Arial" w:hAnsi="Arial"/>
          <w:sz w:val="22"/>
          <w:szCs w:val="22"/>
          <w:color w:val="auto"/>
        </w:rPr>
      </w:pPr>
    </w:p>
    <w:p>
      <w:pPr>
        <w:ind w:left="140" w:hanging="132"/>
        <w:spacing w:after="0"/>
        <w:tabs>
          <w:tab w:leader="none" w:pos="140" w:val="left"/>
        </w:tabs>
        <w:numPr>
          <w:ilvl w:val="0"/>
          <w:numId w:val="50"/>
        </w:numPr>
        <w:rPr>
          <w:rFonts w:ascii="Arial" w:cs="Arial" w:eastAsia="Arial" w:hAnsi="Arial"/>
          <w:sz w:val="22"/>
          <w:szCs w:val="22"/>
          <w:color w:val="auto"/>
        </w:rPr>
      </w:pPr>
      <w:r>
        <w:rPr>
          <w:rFonts w:ascii="Arial" w:cs="Arial" w:eastAsia="Arial" w:hAnsi="Arial"/>
          <w:sz w:val="22"/>
          <w:szCs w:val="22"/>
          <w:color w:val="auto"/>
        </w:rPr>
        <w:t>fund shareholder dividends</w:t>
      </w:r>
    </w:p>
    <w:p>
      <w:pPr>
        <w:spacing w:after="0" w:line="17" w:lineRule="exact"/>
        <w:rPr>
          <w:rFonts w:ascii="Arial" w:cs="Arial" w:eastAsia="Arial" w:hAnsi="Arial"/>
          <w:sz w:val="22"/>
          <w:szCs w:val="22"/>
          <w:color w:val="auto"/>
        </w:rPr>
      </w:pPr>
    </w:p>
    <w:p>
      <w:pPr>
        <w:ind w:left="140" w:hanging="132"/>
        <w:spacing w:after="0"/>
        <w:tabs>
          <w:tab w:leader="none" w:pos="140" w:val="left"/>
        </w:tabs>
        <w:numPr>
          <w:ilvl w:val="0"/>
          <w:numId w:val="50"/>
        </w:numPr>
        <w:rPr>
          <w:rFonts w:ascii="Arial" w:cs="Arial" w:eastAsia="Arial" w:hAnsi="Arial"/>
          <w:sz w:val="22"/>
          <w:szCs w:val="22"/>
          <w:color w:val="auto"/>
        </w:rPr>
      </w:pPr>
      <w:r>
        <w:rPr>
          <w:rFonts w:ascii="Arial" w:cs="Arial" w:eastAsia="Arial" w:hAnsi="Arial"/>
          <w:sz w:val="22"/>
          <w:szCs w:val="22"/>
          <w:color w:val="auto"/>
        </w:rPr>
        <w:t>fund any new business acquisitions or start-ups</w:t>
      </w:r>
    </w:p>
    <w:p>
      <w:pPr>
        <w:spacing w:after="0" w:line="80" w:lineRule="exact"/>
        <w:rPr>
          <w:sz w:val="20"/>
          <w:szCs w:val="20"/>
          <w:color w:val="auto"/>
        </w:rPr>
      </w:pPr>
    </w:p>
    <w:p>
      <w:pPr>
        <w:ind w:right="499"/>
        <w:spacing w:after="0" w:line="214" w:lineRule="auto"/>
        <w:rPr>
          <w:sz w:val="20"/>
          <w:szCs w:val="20"/>
          <w:color w:val="auto"/>
        </w:rPr>
      </w:pPr>
      <w:r>
        <w:rPr>
          <w:rFonts w:ascii="Arial" w:cs="Arial" w:eastAsia="Arial" w:hAnsi="Arial"/>
          <w:sz w:val="22"/>
          <w:szCs w:val="22"/>
          <w:color w:val="auto"/>
        </w:rPr>
        <w:t>As we discuss in Note 4 of the Notes to Condensed Consolidated Financial Statements herein, RBS Sempra Commodities has entered into an agreement to sell certain of its businesses in a transaction scheduled to close in summer 2010. We estimate the proceeds that we receive from this transaction will approximate $835 million, excluding undistributed partnership earnings through November 2009. We may use the proceeds to fund growth opportunities, to reduce debt or, if we exit the business entirely, for a possible repurchase of our common shares.</w:t>
      </w:r>
    </w:p>
    <w:p>
      <w:pPr>
        <w:spacing w:after="0" w:line="38" w:lineRule="exact"/>
        <w:rPr>
          <w:sz w:val="20"/>
          <w:szCs w:val="20"/>
          <w:color w:val="auto"/>
        </w:rPr>
      </w:pPr>
    </w:p>
    <w:p>
      <w:pPr>
        <w:ind w:right="679"/>
        <w:spacing w:after="0" w:line="245" w:lineRule="auto"/>
        <w:rPr>
          <w:sz w:val="20"/>
          <w:szCs w:val="20"/>
          <w:color w:val="auto"/>
        </w:rPr>
      </w:pPr>
      <w:r>
        <w:rPr>
          <w:rFonts w:ascii="Arial" w:cs="Arial" w:eastAsia="Arial" w:hAnsi="Arial"/>
          <w:sz w:val="19"/>
          <w:szCs w:val="19"/>
          <w:color w:val="auto"/>
        </w:rPr>
        <w:t>Both Sempra Energy and SDG&amp;E issued long-term debt in 2009. Changing economic conditions could affect the availability and cost of both short-term and long-term financing. If cash flows from operations were to be significantly reduced or we were to be unable to borrow under acceptable terms, we would reduce or postpone discretionary capital expenditures and investments in new businesses. If these measures were necessary, they would primarily impact our Sempra Global businesses, as credit availability for the Sempra Utilities has not been significantly impacted by the credit crisis. Discretionary expenditures at Sempra Global would include projects that we have not yet made firm commitments to build, primarily renewable generation facilities. We continuously monitor our ability to finance the needs of our operating, investing and financing activities in a manner consistent with our intention to maintain strong , investment-quality ratings.</w:t>
      </w:r>
    </w:p>
    <w:p>
      <w:pPr>
        <w:spacing w:after="0" w:line="18" w:lineRule="exact"/>
        <w:rPr>
          <w:sz w:val="20"/>
          <w:szCs w:val="20"/>
          <w:color w:val="auto"/>
        </w:rPr>
      </w:pPr>
    </w:p>
    <w:p>
      <w:pPr>
        <w:ind w:right="599"/>
        <w:spacing w:after="0" w:line="223" w:lineRule="auto"/>
        <w:rPr>
          <w:sz w:val="20"/>
          <w:szCs w:val="20"/>
          <w:color w:val="auto"/>
        </w:rPr>
      </w:pPr>
      <w:r>
        <w:rPr>
          <w:rFonts w:ascii="Arial" w:cs="Arial" w:eastAsia="Arial" w:hAnsi="Arial"/>
          <w:sz w:val="21"/>
          <w:szCs w:val="21"/>
          <w:color w:val="auto"/>
        </w:rPr>
        <w:t>We have significant investments in several trusts to provide for future payments of pensions and other postretirement benefits, and nuclear decommissioning. The value of the trust funds’ investments declined in 2008 and the first quarter of 2009 due to a decrease in the equity market and volatility in the fixed income market. Values increased from favorable market activity later in 2009. However, these markets continue to be volatile. The changes in asset values have not affected the funds’ abilities to make required payments, but may impact funding requirements for pension and other postretirement benefit plans. At the Sempra Utilities, funding requirements are generally recoverable in rates.</w:t>
      </w:r>
    </w:p>
    <w:p>
      <w:pPr>
        <w:spacing w:after="0" w:line="36" w:lineRule="exact"/>
        <w:rPr>
          <w:sz w:val="20"/>
          <w:szCs w:val="20"/>
          <w:color w:val="auto"/>
        </w:rPr>
      </w:pPr>
    </w:p>
    <w:p>
      <w:pPr>
        <w:ind w:right="959"/>
        <w:spacing w:after="0" w:line="223" w:lineRule="auto"/>
        <w:rPr>
          <w:sz w:val="20"/>
          <w:szCs w:val="20"/>
          <w:color w:val="auto"/>
        </w:rPr>
      </w:pPr>
      <w:r>
        <w:rPr>
          <w:rFonts w:ascii="Arial" w:cs="Arial" w:eastAsia="Arial" w:hAnsi="Arial"/>
          <w:sz w:val="22"/>
          <w:szCs w:val="22"/>
          <w:color w:val="auto"/>
        </w:rPr>
        <w:t>We discuss our principal credit agreements more fully in Note 6 of the Notes to Condensed Consolidated Financial Statements herein and in Note 6 of the Notes to Consolidated Financial Statements in the Annual Report.</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Utilities</w:t>
      </w:r>
    </w:p>
    <w:p>
      <w:pPr>
        <w:spacing w:after="0" w:line="20" w:lineRule="exact"/>
        <w:rPr>
          <w:sz w:val="20"/>
          <w:szCs w:val="20"/>
          <w:color w:val="auto"/>
        </w:rPr>
      </w:pPr>
    </w:p>
    <w:p>
      <w:pPr>
        <w:ind w:right="599"/>
        <w:spacing w:after="0" w:line="244" w:lineRule="auto"/>
        <w:rPr>
          <w:sz w:val="20"/>
          <w:szCs w:val="20"/>
          <w:color w:val="auto"/>
        </w:rPr>
      </w:pPr>
      <w:r>
        <w:rPr>
          <w:rFonts w:ascii="Arial" w:cs="Arial" w:eastAsia="Arial" w:hAnsi="Arial"/>
          <w:sz w:val="19"/>
          <w:szCs w:val="19"/>
          <w:color w:val="auto"/>
        </w:rPr>
        <w:t>The Sempra Utilities expect that cash flows from operations and debt issuances will continue to be adequate to meet utility capital expenditure requirements. Due to the extended review period associated with the Sunrise Powerlink project and the resultant delay in initiating construction activities, SDG&amp;E declared and paid a $150 million common dividend to Sempra Energy in the first quarter of 2009. However, the level of future common dividends from SDG&amp;E and SoCalGas may be reduced or eliminated during periods of increased capital expenditures. The level of future common dividends from PE is dependent upon common dividends paid by SoCalGas. Sempra Energy may from time to time make additional equity contributions to SDG&amp;E or SoCalGas to support the Sempra Utilities' capital expenditure programs.</w:t>
      </w:r>
    </w:p>
    <w:p>
      <w:pPr>
        <w:spacing w:after="0" w:line="34" w:lineRule="exact"/>
        <w:rPr>
          <w:sz w:val="20"/>
          <w:szCs w:val="20"/>
          <w:color w:val="auto"/>
        </w:rPr>
      </w:pPr>
    </w:p>
    <w:p>
      <w:pPr>
        <w:ind w:right="679"/>
        <w:spacing w:after="0" w:line="223" w:lineRule="auto"/>
        <w:rPr>
          <w:sz w:val="20"/>
          <w:szCs w:val="20"/>
          <w:color w:val="auto"/>
        </w:rPr>
      </w:pPr>
      <w:r>
        <w:rPr>
          <w:rFonts w:ascii="Arial" w:cs="Arial" w:eastAsia="Arial" w:hAnsi="Arial"/>
          <w:sz w:val="22"/>
          <w:szCs w:val="22"/>
          <w:color w:val="auto"/>
        </w:rPr>
        <w:t>As we discuss in Note 10 of the Notes to Condensed Consolidated Financial Statements herein, SDG&amp;E’s and therefore Sempra Energy’s cash flows are likely to be adversely impacted by cash flows related to the 2007 wildfire litigation.</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Commodities</w:t>
      </w:r>
    </w:p>
    <w:p>
      <w:pPr>
        <w:sectPr>
          <w:pgSz w:w="11900" w:h="16867" w:orient="portrait"/>
          <w:cols w:equalWidth="0" w:num="1">
            <w:col w:w="10219"/>
          </w:cols>
          <w:pgMar w:left="240" w:top="595" w:right="1440" w:bottom="0" w:gutter="0" w:footer="0" w:header="0"/>
        </w:sectPr>
      </w:pPr>
    </w:p>
    <w:p>
      <w:pPr>
        <w:spacing w:after="0" w:line="20" w:lineRule="exact"/>
        <w:rPr>
          <w:sz w:val="20"/>
          <w:szCs w:val="20"/>
          <w:color w:val="auto"/>
        </w:rPr>
      </w:pPr>
    </w:p>
    <w:p>
      <w:pPr>
        <w:ind w:right="719"/>
        <w:spacing w:after="0" w:line="285" w:lineRule="auto"/>
        <w:rPr>
          <w:sz w:val="20"/>
          <w:szCs w:val="20"/>
          <w:color w:val="auto"/>
        </w:rPr>
      </w:pPr>
      <w:r>
        <w:rPr>
          <w:rFonts w:ascii="Arial" w:cs="Arial" w:eastAsia="Arial" w:hAnsi="Arial"/>
          <w:sz w:val="19"/>
          <w:szCs w:val="19"/>
          <w:color w:val="auto"/>
        </w:rPr>
        <w:t>In 2008, we completed the formation of RBS Sempra Commodities, a partnership to own and operate Sempra Energy's commodities-marketing businesses, which generally comprised the Sempra Commodities business</w:t>
      </w:r>
    </w:p>
    <w:p>
      <w:pPr>
        <w:sectPr>
          <w:pgSz w:w="11900" w:h="16867" w:orient="portrait"/>
          <w:cols w:equalWidth="0" w:num="1">
            <w:col w:w="10219"/>
          </w:cols>
          <w:pgMar w:left="240" w:top="595" w:right="1440" w:bottom="0" w:gutter="0" w:footer="0" w:header="0"/>
          <w:type w:val="continuous"/>
        </w:sectPr>
      </w:pPr>
    </w:p>
    <w:bookmarkStart w:id="76" w:name="page77"/>
    <w:bookmarkEnd w:id="76"/>
    <w:p>
      <w:pPr>
        <w:ind w:right="759"/>
        <w:spacing w:after="0" w:line="219" w:lineRule="auto"/>
        <w:rPr>
          <w:sz w:val="20"/>
          <w:szCs w:val="20"/>
          <w:color w:val="auto"/>
        </w:rPr>
      </w:pPr>
      <w:r>
        <w:rPr>
          <w:rFonts w:ascii="Arial" w:cs="Arial" w:eastAsia="Arial" w:hAnsi="Arial"/>
          <w:sz w:val="22"/>
          <w:szCs w:val="22"/>
          <w:color w:val="auto"/>
        </w:rPr>
        <w:t>unit. RBS is obligated to provide the joint venture with all growth capital, working-capital requirements and credit support. However, we are providing transitional back-up guarantees and credit support, some of which may continue for a prolonged period of time. RBS has fully indemnified us for any claims or losses in connection with these arrangements.</w:t>
      </w:r>
    </w:p>
    <w:p>
      <w:pPr>
        <w:spacing w:after="0" w:line="36" w:lineRule="exact"/>
        <w:rPr>
          <w:sz w:val="20"/>
          <w:szCs w:val="20"/>
          <w:color w:val="auto"/>
        </w:rPr>
      </w:pPr>
    </w:p>
    <w:p>
      <w:pPr>
        <w:ind w:right="639"/>
        <w:spacing w:after="0" w:line="223" w:lineRule="auto"/>
        <w:rPr>
          <w:sz w:val="20"/>
          <w:szCs w:val="20"/>
          <w:color w:val="auto"/>
        </w:rPr>
      </w:pPr>
      <w:r>
        <w:rPr>
          <w:rFonts w:ascii="Arial" w:cs="Arial" w:eastAsia="Arial" w:hAnsi="Arial"/>
          <w:sz w:val="21"/>
          <w:szCs w:val="21"/>
          <w:color w:val="auto"/>
        </w:rPr>
        <w:t>We account for our investment in the partnership under the equity method. RBS Sempra Commodities intends to distribute all of its net income on an annual basis, although the distributions are within the discretion of the board of directors of the partnership. In limited cases, the partnership may retain earnings allocable to the partners to replenish capital depleted through losses. In March 2009, we received cash distributions from the partnership of $305 million. On April 30, 2010 the partnership made a cash distribution to us of $197 million. Based on the joint venture’s results for the first quarter of 2010, we currently do not expect to receive a distribution for 2010 results.</w:t>
      </w:r>
    </w:p>
    <w:p>
      <w:pPr>
        <w:spacing w:after="0" w:line="23" w:lineRule="exact"/>
        <w:rPr>
          <w:sz w:val="20"/>
          <w:szCs w:val="20"/>
          <w:color w:val="auto"/>
        </w:rPr>
      </w:pPr>
    </w:p>
    <w:p>
      <w:pPr>
        <w:ind w:right="539"/>
        <w:spacing w:after="0" w:line="246" w:lineRule="auto"/>
        <w:rPr>
          <w:sz w:val="20"/>
          <w:szCs w:val="20"/>
          <w:color w:val="auto"/>
        </w:rPr>
      </w:pPr>
      <w:r>
        <w:rPr>
          <w:rFonts w:ascii="Arial" w:cs="Arial" w:eastAsia="Arial" w:hAnsi="Arial"/>
          <w:sz w:val="19"/>
          <w:szCs w:val="19"/>
          <w:color w:val="auto"/>
        </w:rPr>
        <w:t>We discuss in Note 4 of the Notes to Condensed Consolidated Financial Statements the sale of certain businesses within RBS Sempra Commodities to J.P. Morgan Ventures and anticipated changes to certain provisions of the partnership agreement entered into by RBS and Sempra Commodities upon the formation of the joint venture. The impact of the transaction on future cash flows will depend on many factors, including the final proceeds received from the transaction and the date at which the transaction closes. RBS’ obligation to support the capital needs of the joint venture, and the need for us to provide transitional back-up guarantees and credit support are expected to continue after the closing of the transaction. However, we and RBS are actively marketing the businesses not being sold to J.P. Morgan Ventures.</w:t>
      </w:r>
    </w:p>
    <w:p>
      <w:pPr>
        <w:spacing w:after="0" w:line="32" w:lineRule="exact"/>
        <w:rPr>
          <w:sz w:val="20"/>
          <w:szCs w:val="20"/>
          <w:color w:val="auto"/>
        </w:rPr>
      </w:pPr>
    </w:p>
    <w:p>
      <w:pPr>
        <w:ind w:right="659"/>
        <w:spacing w:after="0" w:line="268" w:lineRule="auto"/>
        <w:rPr>
          <w:sz w:val="20"/>
          <w:szCs w:val="20"/>
          <w:color w:val="auto"/>
        </w:rPr>
      </w:pPr>
      <w:r>
        <w:rPr>
          <w:rFonts w:ascii="Arial" w:cs="Arial" w:eastAsia="Arial" w:hAnsi="Arial"/>
          <w:sz w:val="19"/>
          <w:szCs w:val="19"/>
          <w:color w:val="auto"/>
        </w:rPr>
        <w:t>We provide additional information about RBS Sempra Commodities and the pending transaction with J.P. Morgan Ventures in Notes 4 and 6 of the Notes to Condensed Consolidated Financial Statements herein and in Notes 3, 4, 6 and 20 of the Notes to Consolidated Financial Statements in the Annual Report.</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Generation</w:t>
      </w:r>
    </w:p>
    <w:p>
      <w:pPr>
        <w:spacing w:after="0" w:line="20" w:lineRule="exact"/>
        <w:rPr>
          <w:sz w:val="20"/>
          <w:szCs w:val="20"/>
          <w:color w:val="auto"/>
        </w:rPr>
      </w:pPr>
    </w:p>
    <w:p>
      <w:pPr>
        <w:ind w:right="559"/>
        <w:spacing w:after="0" w:line="245" w:lineRule="auto"/>
        <w:rPr>
          <w:sz w:val="20"/>
          <w:szCs w:val="20"/>
          <w:color w:val="auto"/>
        </w:rPr>
      </w:pPr>
      <w:r>
        <w:rPr>
          <w:rFonts w:ascii="Arial" w:cs="Arial" w:eastAsia="Arial" w:hAnsi="Arial"/>
          <w:sz w:val="19"/>
          <w:szCs w:val="19"/>
          <w:color w:val="auto"/>
        </w:rPr>
        <w:t>We expect Sempra Generation to require funds for the development of electric generation facilities, primarily renewable energy projects. Projects at Sempra Generation may be financed through a combination of operating cash flow, project financing, funds from the parent and external borrowings. Cash flows from operations at Sempra Generation are expected to decrease upon the expiration of their contract with the DWR in late 2011 due to less favorable pricing on replacement contracts. Also, Sempra Generation may not be able to replace all of the lost revenue. We expect the litigation settlement recorded in the first quarter of 2010 related to the DWR litigation to be funded from operations.</w:t>
      </w:r>
    </w:p>
    <w:p>
      <w:pPr>
        <w:spacing w:after="0" w:line="34" w:lineRule="exact"/>
        <w:rPr>
          <w:sz w:val="20"/>
          <w:szCs w:val="20"/>
          <w:color w:val="auto"/>
        </w:rPr>
      </w:pPr>
    </w:p>
    <w:p>
      <w:pPr>
        <w:ind w:right="499"/>
        <w:spacing w:after="0" w:line="212" w:lineRule="auto"/>
        <w:rPr>
          <w:sz w:val="20"/>
          <w:szCs w:val="20"/>
          <w:color w:val="auto"/>
        </w:rPr>
      </w:pPr>
      <w:r>
        <w:rPr>
          <w:rFonts w:ascii="Arial" w:cs="Arial" w:eastAsia="Arial" w:hAnsi="Arial"/>
          <w:sz w:val="22"/>
          <w:szCs w:val="22"/>
          <w:color w:val="auto"/>
        </w:rPr>
        <w:t>Sempra Generation's long-term power sale contracts may contain collateral requirements, although the DWR contract does not contain such requirements. The collateral arrangements require Sempra Generation and/or the counterparty to post cash, guarantees or letters of credit to the other party for exposure in excess of established thresholds. Sempra Generation may be required to provide collateral when market price movements adversely affect the counterparty's cost of replacement energy supplies if Sempra Generation fails to deliver the contracted amounts. Sempra Generation had no outstanding collateral requirements under such contracts at March 31, 2010.</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Pipelines &amp; Storage</w:t>
      </w:r>
    </w:p>
    <w:p>
      <w:pPr>
        <w:spacing w:after="0" w:line="20" w:lineRule="exact"/>
        <w:rPr>
          <w:sz w:val="20"/>
          <w:szCs w:val="20"/>
          <w:color w:val="auto"/>
        </w:rPr>
      </w:pPr>
    </w:p>
    <w:p>
      <w:pPr>
        <w:ind w:right="919"/>
        <w:spacing w:after="0" w:line="237" w:lineRule="auto"/>
        <w:rPr>
          <w:sz w:val="20"/>
          <w:szCs w:val="20"/>
          <w:color w:val="auto"/>
        </w:rPr>
      </w:pPr>
      <w:r>
        <w:rPr>
          <w:rFonts w:ascii="Arial" w:cs="Arial" w:eastAsia="Arial" w:hAnsi="Arial"/>
          <w:sz w:val="21"/>
          <w:szCs w:val="21"/>
          <w:color w:val="auto"/>
        </w:rPr>
        <w:t>Sempra Pipelines &amp; Storage is expected to require funding from the parent or from external sources to fund projects, including the development and expansion of its natural gas storage projects.</w:t>
      </w:r>
    </w:p>
    <w:p>
      <w:pPr>
        <w:spacing w:after="0" w:line="51" w:lineRule="exact"/>
        <w:rPr>
          <w:sz w:val="20"/>
          <w:szCs w:val="20"/>
          <w:color w:val="auto"/>
        </w:rPr>
      </w:pPr>
    </w:p>
    <w:p>
      <w:pPr>
        <w:ind w:right="1059"/>
        <w:spacing w:after="0" w:line="218" w:lineRule="auto"/>
        <w:rPr>
          <w:sz w:val="20"/>
          <w:szCs w:val="20"/>
          <w:color w:val="auto"/>
        </w:rPr>
      </w:pPr>
      <w:r>
        <w:rPr>
          <w:rFonts w:ascii="Arial" w:cs="Arial" w:eastAsia="Arial" w:hAnsi="Arial"/>
          <w:sz w:val="22"/>
          <w:szCs w:val="22"/>
          <w:color w:val="auto"/>
        </w:rPr>
        <w:t>Also, on April 30, 2010, Sempra Pipelines &amp; Storage acquired the Mexican pipeline and natural gas infrastructure assets of El Paso Corporation for $300 million ($260 million, net of cash acquired and debt assumed). We discuss the acquisition further in Note 3 of the Notes to Condensed Consolidated Financial Statements herein.</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LNG</w:t>
      </w:r>
    </w:p>
    <w:p>
      <w:pPr>
        <w:spacing w:after="0" w:line="22" w:lineRule="exact"/>
        <w:rPr>
          <w:sz w:val="20"/>
          <w:szCs w:val="20"/>
          <w:color w:val="auto"/>
        </w:rPr>
      </w:pPr>
    </w:p>
    <w:p>
      <w:pPr>
        <w:jc w:val="both"/>
        <w:ind w:right="959"/>
        <w:spacing w:after="0" w:line="234" w:lineRule="auto"/>
        <w:rPr>
          <w:sz w:val="20"/>
          <w:szCs w:val="20"/>
          <w:color w:val="auto"/>
        </w:rPr>
      </w:pPr>
      <w:r>
        <w:rPr>
          <w:rFonts w:ascii="Arial" w:cs="Arial" w:eastAsia="Arial" w:hAnsi="Arial"/>
          <w:sz w:val="21"/>
          <w:szCs w:val="21"/>
          <w:color w:val="auto"/>
        </w:rPr>
        <w:t>Sempra LNG required funding from 2004 through 2009 for its development of the Energía Costa Azul and Cameron LNG receipt terminals. As both of these facilities are now in service, Sempra LNG is expected to provide operating cash flow for further development within Sempra Global.</w:t>
      </w:r>
    </w:p>
    <w:p>
      <w:pPr>
        <w:spacing w:after="0" w:line="365" w:lineRule="exact"/>
        <w:rPr>
          <w:sz w:val="20"/>
          <w:szCs w:val="20"/>
          <w:color w:val="auto"/>
        </w:rPr>
      </w:pPr>
    </w:p>
    <w:p>
      <w:pPr>
        <w:spacing w:after="0"/>
        <w:rPr>
          <w:sz w:val="20"/>
          <w:szCs w:val="20"/>
          <w:color w:val="auto"/>
        </w:rPr>
      </w:pPr>
      <w:r>
        <w:rPr>
          <w:rFonts w:ascii="Arial" w:cs="Arial" w:eastAsia="Arial" w:hAnsi="Arial"/>
          <w:sz w:val="20"/>
          <w:szCs w:val="20"/>
          <w:color w:val="auto"/>
        </w:rPr>
        <w:t>CASH FLOWS FROM OPERATING ACTIVITIES</w:t>
      </w: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5308600" cy="2317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308600" cy="23177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0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2010</w:t>
            </w:r>
          </w:p>
        </w:tc>
        <w:tc>
          <w:tcPr>
            <w:tcW w:w="380" w:type="dxa"/>
            <w:vAlign w:val="bottom"/>
            <w:tcBorders>
              <w:bottom w:val="single" w:sz="8" w:color="auto"/>
              <w:right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2010 Change</w:t>
            </w:r>
          </w:p>
        </w:tc>
        <w:tc>
          <w:tcPr>
            <w:tcW w:w="42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color w:val="auto"/>
              </w:rPr>
              <w:t>2009</w:t>
            </w:r>
          </w:p>
        </w:tc>
      </w:tr>
      <w:tr>
        <w:trPr>
          <w:trHeight w:val="184"/>
        </w:trPr>
        <w:tc>
          <w:tcPr>
            <w:tcW w:w="3000" w:type="dxa"/>
            <w:vAlign w:val="bottom"/>
          </w:tcPr>
          <w:p>
            <w:pPr>
              <w:spacing w:after="0"/>
              <w:rPr>
                <w:sz w:val="20"/>
                <w:szCs w:val="20"/>
                <w:color w:val="auto"/>
              </w:rPr>
            </w:pPr>
            <w:r>
              <w:rPr>
                <w:rFonts w:ascii="Arial" w:cs="Arial" w:eastAsia="Arial" w:hAnsi="Arial"/>
                <w:sz w:val="16"/>
                <w:szCs w:val="16"/>
                <w:color w:val="auto"/>
              </w:rPr>
              <w:t>Sempra Energy Consolidated</w:t>
            </w:r>
          </w:p>
        </w:tc>
        <w:tc>
          <w:tcPr>
            <w:tcW w:w="1620" w:type="dxa"/>
            <w:vAlign w:val="bottom"/>
          </w:tcPr>
          <w:p>
            <w:pPr>
              <w:jc w:val="right"/>
              <w:ind w:right="603"/>
              <w:spacing w:after="0"/>
              <w:rPr>
                <w:sz w:val="20"/>
                <w:szCs w:val="20"/>
                <w:color w:val="auto"/>
              </w:rPr>
            </w:pPr>
            <w:r>
              <w:rPr>
                <w:rFonts w:ascii="Arial" w:cs="Arial" w:eastAsia="Arial" w:hAnsi="Arial"/>
                <w:sz w:val="16"/>
                <w:szCs w:val="16"/>
                <w:color w:val="auto"/>
              </w:rPr>
              <w:t>$</w:t>
            </w: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888</w:t>
            </w: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401"/>
              <w:spacing w:after="0"/>
              <w:rPr>
                <w:sz w:val="20"/>
                <w:szCs w:val="20"/>
                <w:color w:val="auto"/>
              </w:rPr>
            </w:pPr>
            <w:r>
              <w:rPr>
                <w:rFonts w:ascii="Arial" w:cs="Arial" w:eastAsia="Arial" w:hAnsi="Arial"/>
                <w:sz w:val="16"/>
                <w:szCs w:val="16"/>
                <w:color w:val="auto"/>
              </w:rPr>
              <w:t>(251)</w:t>
            </w:r>
          </w:p>
        </w:tc>
        <w:tc>
          <w:tcPr>
            <w:tcW w:w="420" w:type="dxa"/>
            <w:vAlign w:val="bottom"/>
          </w:tcPr>
          <w:p>
            <w:pPr>
              <w:jc w:val="right"/>
              <w:spacing w:after="0"/>
              <w:rPr>
                <w:sz w:val="20"/>
                <w:szCs w:val="20"/>
                <w:color w:val="auto"/>
              </w:rPr>
            </w:pPr>
            <w:r>
              <w:rPr>
                <w:rFonts w:ascii="Arial" w:cs="Arial" w:eastAsia="Arial" w:hAnsi="Arial"/>
                <w:sz w:val="16"/>
                <w:szCs w:val="16"/>
                <w:color w:val="auto"/>
              </w:rPr>
              <w:t>(22)</w:t>
            </w:r>
          </w:p>
        </w:tc>
        <w:tc>
          <w:tcPr>
            <w:tcW w:w="2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1,139</w:t>
            </w:r>
          </w:p>
        </w:tc>
      </w:tr>
      <w:tr>
        <w:trPr>
          <w:trHeight w:val="189"/>
        </w:trPr>
        <w:tc>
          <w:tcPr>
            <w:tcW w:w="3000" w:type="dxa"/>
            <w:vAlign w:val="bottom"/>
          </w:tcPr>
          <w:p>
            <w:pPr>
              <w:spacing w:after="0"/>
              <w:rPr>
                <w:sz w:val="20"/>
                <w:szCs w:val="20"/>
                <w:color w:val="auto"/>
              </w:rPr>
            </w:pPr>
            <w:r>
              <w:rPr>
                <w:rFonts w:ascii="Arial" w:cs="Arial" w:eastAsia="Arial" w:hAnsi="Arial"/>
                <w:sz w:val="16"/>
                <w:szCs w:val="16"/>
                <w:color w:val="auto"/>
              </w:rPr>
              <w:t>SDG&amp;E</w:t>
            </w:r>
          </w:p>
        </w:tc>
        <w:tc>
          <w:tcPr>
            <w:tcW w:w="1620" w:type="dxa"/>
            <w:vAlign w:val="bottom"/>
          </w:tcPr>
          <w:p>
            <w:pPr>
              <w:spacing w:after="0"/>
              <w:rPr>
                <w:sz w:val="16"/>
                <w:szCs w:val="16"/>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275</w:t>
            </w:r>
          </w:p>
        </w:tc>
        <w:tc>
          <w:tcPr>
            <w:tcW w:w="380" w:type="dxa"/>
            <w:vAlign w:val="bottom"/>
          </w:tcPr>
          <w:p>
            <w:pPr>
              <w:spacing w:after="0"/>
              <w:rPr>
                <w:sz w:val="16"/>
                <w:szCs w:val="16"/>
                <w:color w:val="auto"/>
              </w:rPr>
            </w:pPr>
          </w:p>
        </w:tc>
        <w:tc>
          <w:tcPr>
            <w:tcW w:w="1220" w:type="dxa"/>
            <w:vAlign w:val="bottom"/>
          </w:tcPr>
          <w:p>
            <w:pPr>
              <w:jc w:val="right"/>
              <w:ind w:right="461"/>
              <w:spacing w:after="0"/>
              <w:rPr>
                <w:sz w:val="20"/>
                <w:szCs w:val="20"/>
                <w:color w:val="auto"/>
              </w:rPr>
            </w:pPr>
            <w:r>
              <w:rPr>
                <w:rFonts w:ascii="Arial" w:cs="Arial" w:eastAsia="Arial" w:hAnsi="Arial"/>
                <w:sz w:val="16"/>
                <w:szCs w:val="16"/>
                <w:color w:val="auto"/>
              </w:rPr>
              <w:t>30</w:t>
            </w: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24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245</w:t>
            </w:r>
          </w:p>
        </w:tc>
      </w:tr>
      <w:tr>
        <w:trPr>
          <w:trHeight w:val="187"/>
        </w:trPr>
        <w:tc>
          <w:tcPr>
            <w:tcW w:w="3000" w:type="dxa"/>
            <w:vAlign w:val="bottom"/>
          </w:tcPr>
          <w:p>
            <w:pPr>
              <w:spacing w:after="0"/>
              <w:rPr>
                <w:sz w:val="20"/>
                <w:szCs w:val="20"/>
                <w:color w:val="auto"/>
              </w:rPr>
            </w:pPr>
            <w:r>
              <w:rPr>
                <w:rFonts w:ascii="Arial" w:cs="Arial" w:eastAsia="Arial" w:hAnsi="Arial"/>
                <w:sz w:val="16"/>
                <w:szCs w:val="16"/>
                <w:color w:val="auto"/>
              </w:rPr>
              <w:t>PE</w:t>
            </w:r>
          </w:p>
        </w:tc>
        <w:tc>
          <w:tcPr>
            <w:tcW w:w="1620" w:type="dxa"/>
            <w:vAlign w:val="bottom"/>
          </w:tcPr>
          <w:p>
            <w:pPr>
              <w:spacing w:after="0"/>
              <w:rPr>
                <w:sz w:val="16"/>
                <w:szCs w:val="16"/>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492</w:t>
            </w:r>
          </w:p>
        </w:tc>
        <w:tc>
          <w:tcPr>
            <w:tcW w:w="380" w:type="dxa"/>
            <w:vAlign w:val="bottom"/>
          </w:tcPr>
          <w:p>
            <w:pPr>
              <w:spacing w:after="0"/>
              <w:rPr>
                <w:sz w:val="16"/>
                <w:szCs w:val="16"/>
                <w:color w:val="auto"/>
              </w:rPr>
            </w:pPr>
          </w:p>
        </w:tc>
        <w:tc>
          <w:tcPr>
            <w:tcW w:w="1220" w:type="dxa"/>
            <w:vAlign w:val="bottom"/>
          </w:tcPr>
          <w:p>
            <w:pPr>
              <w:jc w:val="right"/>
              <w:ind w:right="401"/>
              <w:spacing w:after="0"/>
              <w:rPr>
                <w:sz w:val="20"/>
                <w:szCs w:val="20"/>
                <w:color w:val="auto"/>
              </w:rPr>
            </w:pPr>
            <w:r>
              <w:rPr>
                <w:rFonts w:ascii="Arial" w:cs="Arial" w:eastAsia="Arial" w:hAnsi="Arial"/>
                <w:sz w:val="16"/>
                <w:szCs w:val="16"/>
                <w:color w:val="auto"/>
              </w:rPr>
              <w:t>(5)</w:t>
            </w:r>
          </w:p>
        </w:tc>
        <w:tc>
          <w:tcPr>
            <w:tcW w:w="420" w:type="dxa"/>
            <w:vAlign w:val="bottom"/>
          </w:tcPr>
          <w:p>
            <w:pPr>
              <w:jc w:val="right"/>
              <w:spacing w:after="0"/>
              <w:rPr>
                <w:sz w:val="20"/>
                <w:szCs w:val="20"/>
                <w:color w:val="auto"/>
              </w:rPr>
            </w:pPr>
            <w:r>
              <w:rPr>
                <w:rFonts w:ascii="Arial" w:cs="Arial" w:eastAsia="Arial" w:hAnsi="Arial"/>
                <w:sz w:val="16"/>
                <w:szCs w:val="16"/>
                <w:color w:val="auto"/>
              </w:rPr>
              <w:t>(1)</w:t>
            </w:r>
          </w:p>
        </w:tc>
        <w:tc>
          <w:tcPr>
            <w:tcW w:w="24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497</w:t>
            </w:r>
          </w:p>
        </w:tc>
      </w:tr>
      <w:tr>
        <w:trPr>
          <w:trHeight w:val="189"/>
        </w:trPr>
        <w:tc>
          <w:tcPr>
            <w:tcW w:w="3000" w:type="dxa"/>
            <w:vAlign w:val="bottom"/>
          </w:tcPr>
          <w:p>
            <w:pPr>
              <w:spacing w:after="0"/>
              <w:rPr>
                <w:sz w:val="20"/>
                <w:szCs w:val="20"/>
                <w:color w:val="auto"/>
              </w:rPr>
            </w:pPr>
            <w:r>
              <w:rPr>
                <w:rFonts w:ascii="Arial" w:cs="Arial" w:eastAsia="Arial" w:hAnsi="Arial"/>
                <w:sz w:val="16"/>
                <w:szCs w:val="16"/>
                <w:color w:val="auto"/>
              </w:rPr>
              <w:t>SoCalGas</w:t>
            </w:r>
          </w:p>
        </w:tc>
        <w:tc>
          <w:tcPr>
            <w:tcW w:w="16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501</w:t>
            </w:r>
          </w:p>
        </w:tc>
        <w:tc>
          <w:tcPr>
            <w:tcW w:w="380" w:type="dxa"/>
            <w:vAlign w:val="bottom"/>
          </w:tcPr>
          <w:p>
            <w:pPr>
              <w:spacing w:after="0"/>
              <w:rPr>
                <w:sz w:val="16"/>
                <w:szCs w:val="16"/>
                <w:color w:val="auto"/>
              </w:rPr>
            </w:pPr>
          </w:p>
        </w:tc>
        <w:tc>
          <w:tcPr>
            <w:tcW w:w="1220" w:type="dxa"/>
            <w:vAlign w:val="bottom"/>
          </w:tcPr>
          <w:p>
            <w:pPr>
              <w:jc w:val="right"/>
              <w:ind w:right="461"/>
              <w:spacing w:after="0"/>
              <w:rPr>
                <w:sz w:val="20"/>
                <w:szCs w:val="20"/>
                <w:color w:val="auto"/>
              </w:rPr>
            </w:pPr>
            <w:r>
              <w:rPr>
                <w:rFonts w:ascii="Arial" w:cs="Arial" w:eastAsia="Arial" w:hAnsi="Arial"/>
                <w:sz w:val="16"/>
                <w:szCs w:val="16"/>
                <w:color w:val="auto"/>
              </w:rPr>
              <w:t>2</w:t>
            </w: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499</w:t>
            </w:r>
          </w:p>
        </w:tc>
      </w:tr>
      <w:tr>
        <w:trPr>
          <w:trHeight w:val="81"/>
        </w:trPr>
        <w:tc>
          <w:tcPr>
            <w:tcW w:w="3000" w:type="dxa"/>
            <w:vAlign w:val="bottom"/>
            <w:shd w:val="clear" w:color="auto" w:fill="DFDFDF"/>
          </w:tcPr>
          <w:p>
            <w:pPr>
              <w:spacing w:after="0"/>
              <w:rPr>
                <w:sz w:val="7"/>
                <w:szCs w:val="7"/>
                <w:color w:val="auto"/>
              </w:rPr>
            </w:pPr>
          </w:p>
        </w:tc>
        <w:tc>
          <w:tcPr>
            <w:tcW w:w="1620" w:type="dxa"/>
            <w:vAlign w:val="bottom"/>
            <w:shd w:val="clear" w:color="auto" w:fill="DFDFDF"/>
          </w:tcPr>
          <w:p>
            <w:pPr>
              <w:spacing w:after="0"/>
              <w:rPr>
                <w:sz w:val="7"/>
                <w:szCs w:val="7"/>
                <w:color w:val="auto"/>
              </w:rPr>
            </w:pPr>
          </w:p>
        </w:tc>
        <w:tc>
          <w:tcPr>
            <w:tcW w:w="380" w:type="dxa"/>
            <w:vAlign w:val="bottom"/>
            <w:tcBorders>
              <w:right w:val="single" w:sz="8" w:color="DFDFDF"/>
            </w:tcBorders>
            <w:shd w:val="clear" w:color="auto" w:fill="DFDFDF"/>
          </w:tcPr>
          <w:p>
            <w:pPr>
              <w:spacing w:after="0"/>
              <w:rPr>
                <w:sz w:val="7"/>
                <w:szCs w:val="7"/>
                <w:color w:val="auto"/>
              </w:rPr>
            </w:pPr>
          </w:p>
        </w:tc>
        <w:tc>
          <w:tcPr>
            <w:tcW w:w="380" w:type="dxa"/>
            <w:vAlign w:val="bottom"/>
            <w:shd w:val="clear" w:color="auto" w:fill="DFDFDF"/>
          </w:tcPr>
          <w:p>
            <w:pPr>
              <w:spacing w:after="0"/>
              <w:rPr>
                <w:sz w:val="7"/>
                <w:szCs w:val="7"/>
                <w:color w:val="auto"/>
              </w:rPr>
            </w:pPr>
          </w:p>
        </w:tc>
        <w:tc>
          <w:tcPr>
            <w:tcW w:w="1220" w:type="dxa"/>
            <w:vAlign w:val="bottom"/>
            <w:shd w:val="clear" w:color="auto" w:fill="DFDFDF"/>
          </w:tcPr>
          <w:p>
            <w:pPr>
              <w:spacing w:after="0"/>
              <w:rPr>
                <w:sz w:val="7"/>
                <w:szCs w:val="7"/>
                <w:color w:val="auto"/>
              </w:rPr>
            </w:pPr>
          </w:p>
        </w:tc>
        <w:tc>
          <w:tcPr>
            <w:tcW w:w="420" w:type="dxa"/>
            <w:vAlign w:val="bottom"/>
            <w:shd w:val="clear" w:color="auto" w:fill="DFDFDF"/>
          </w:tcPr>
          <w:p>
            <w:pPr>
              <w:spacing w:after="0"/>
              <w:rPr>
                <w:sz w:val="7"/>
                <w:szCs w:val="7"/>
                <w:color w:val="auto"/>
              </w:rPr>
            </w:pPr>
          </w:p>
        </w:tc>
        <w:tc>
          <w:tcPr>
            <w:tcW w:w="240" w:type="dxa"/>
            <w:vAlign w:val="bottom"/>
            <w:tcBorders>
              <w:right w:val="single" w:sz="8" w:color="DFDFDF"/>
            </w:tcBorders>
            <w:shd w:val="clear" w:color="auto" w:fill="DFDFDF"/>
          </w:tcPr>
          <w:p>
            <w:pPr>
              <w:spacing w:after="0"/>
              <w:rPr>
                <w:sz w:val="7"/>
                <w:szCs w:val="7"/>
                <w:color w:val="auto"/>
              </w:rPr>
            </w:pPr>
          </w:p>
        </w:tc>
        <w:tc>
          <w:tcPr>
            <w:tcW w:w="220" w:type="dxa"/>
            <w:vAlign w:val="bottom"/>
            <w:shd w:val="clear" w:color="auto" w:fill="DFDFDF"/>
          </w:tcPr>
          <w:p>
            <w:pPr>
              <w:spacing w:after="0"/>
              <w:rPr>
                <w:sz w:val="7"/>
                <w:szCs w:val="7"/>
                <w:color w:val="auto"/>
              </w:rPr>
            </w:pPr>
          </w:p>
        </w:tc>
        <w:tc>
          <w:tcPr>
            <w:tcW w:w="880" w:type="dxa"/>
            <w:vAlign w:val="bottom"/>
            <w:shd w:val="clear" w:color="auto" w:fill="DFDFDF"/>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3148330</wp:posOffset>
            </wp:positionH>
            <wp:positionV relativeFrom="paragraph">
              <wp:posOffset>-183515</wp:posOffset>
            </wp:positionV>
            <wp:extent cx="210185" cy="1968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10185" cy="196850"/>
                    </a:xfrm>
                    <a:prstGeom prst="rect">
                      <a:avLst/>
                    </a:prstGeom>
                    <a:noFill/>
                  </pic:spPr>
                </pic:pic>
              </a:graphicData>
            </a:graphic>
          </wp:anchor>
        </w:drawing>
        <w:drawing>
          <wp:anchor simplePos="0" relativeHeight="251657728" behindDoc="1" locked="0" layoutInCell="0" allowOverlap="1">
            <wp:simplePos x="0" y="0"/>
            <wp:positionH relativeFrom="column">
              <wp:posOffset>4580255</wp:posOffset>
            </wp:positionH>
            <wp:positionV relativeFrom="paragraph">
              <wp:posOffset>-183515</wp:posOffset>
            </wp:positionV>
            <wp:extent cx="210185" cy="1968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10185" cy="196850"/>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 Consolidated</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Cash provided by operating activities at Sempra Energy decreased in 2010 due to:</w:t>
      </w:r>
    </w:p>
    <w:p>
      <w:pPr>
        <w:spacing w:after="0" w:line="22" w:lineRule="exact"/>
        <w:rPr>
          <w:sz w:val="20"/>
          <w:szCs w:val="20"/>
          <w:color w:val="auto"/>
        </w:rPr>
      </w:pPr>
    </w:p>
    <w:p>
      <w:pPr>
        <w:ind w:left="140" w:hanging="132"/>
        <w:spacing w:after="0"/>
        <w:tabs>
          <w:tab w:leader="none" w:pos="140" w:val="left"/>
        </w:tabs>
        <w:numPr>
          <w:ilvl w:val="0"/>
          <w:numId w:val="51"/>
        </w:numPr>
        <w:rPr>
          <w:rFonts w:ascii="Arial" w:cs="Arial" w:eastAsia="Arial" w:hAnsi="Arial"/>
          <w:sz w:val="22"/>
          <w:szCs w:val="22"/>
          <w:color w:val="auto"/>
        </w:rPr>
      </w:pPr>
      <w:r>
        <w:rPr>
          <w:rFonts w:ascii="Arial" w:cs="Arial" w:eastAsia="Arial" w:hAnsi="Arial"/>
          <w:sz w:val="22"/>
          <w:szCs w:val="22"/>
          <w:color w:val="auto"/>
        </w:rPr>
        <w:t>$305 million lower distributions received from RBS Sempra Commodities; and</w:t>
      </w:r>
    </w:p>
    <w:p>
      <w:pPr>
        <w:spacing w:after="0" w:line="3" w:lineRule="exact"/>
        <w:rPr>
          <w:rFonts w:ascii="Arial" w:cs="Arial" w:eastAsia="Arial" w:hAnsi="Arial"/>
          <w:sz w:val="22"/>
          <w:szCs w:val="22"/>
          <w:color w:val="auto"/>
        </w:rPr>
      </w:pPr>
    </w:p>
    <w:p>
      <w:pPr>
        <w:ind w:left="180" w:right="1879" w:hanging="172"/>
        <w:spacing w:after="0" w:line="222" w:lineRule="auto"/>
        <w:tabs>
          <w:tab w:leader="none" w:pos="153" w:val="left"/>
        </w:tabs>
        <w:numPr>
          <w:ilvl w:val="0"/>
          <w:numId w:val="51"/>
        </w:numPr>
        <w:rPr>
          <w:rFonts w:ascii="Arial" w:cs="Arial" w:eastAsia="Arial" w:hAnsi="Arial"/>
          <w:sz w:val="22"/>
          <w:szCs w:val="22"/>
          <w:color w:val="auto"/>
        </w:rPr>
      </w:pPr>
      <w:r>
        <w:rPr>
          <w:rFonts w:ascii="Arial" w:cs="Arial" w:eastAsia="Arial" w:hAnsi="Arial"/>
          <w:sz w:val="22"/>
          <w:szCs w:val="22"/>
          <w:color w:val="auto"/>
        </w:rPr>
        <w:t xml:space="preserve">$155 million lower decrease in inventory, primarily due to $81 million at SoCalGas as discussed below and $66 million at Sempra Pipelines &amp; Storage due to optimization activities; </w:t>
      </w:r>
      <w:r>
        <w:rPr>
          <w:rFonts w:ascii="Arial" w:cs="Arial" w:eastAsia="Arial" w:hAnsi="Arial"/>
          <w:sz w:val="22"/>
          <w:szCs w:val="22"/>
          <w:b w:val="1"/>
          <w:bCs w:val="1"/>
          <w:color w:val="auto"/>
        </w:rPr>
        <w:t>offset by</w:t>
      </w:r>
    </w:p>
    <w:p>
      <w:pPr>
        <w:ind w:left="180" w:right="1799" w:hanging="172"/>
        <w:spacing w:after="0" w:line="224" w:lineRule="auto"/>
        <w:tabs>
          <w:tab w:leader="none" w:pos="153" w:val="left"/>
        </w:tabs>
        <w:numPr>
          <w:ilvl w:val="0"/>
          <w:numId w:val="51"/>
        </w:numPr>
        <w:rPr>
          <w:rFonts w:ascii="Arial" w:cs="Arial" w:eastAsia="Arial" w:hAnsi="Arial"/>
          <w:sz w:val="22"/>
          <w:szCs w:val="22"/>
          <w:color w:val="auto"/>
        </w:rPr>
      </w:pPr>
      <w:r>
        <w:rPr>
          <w:rFonts w:ascii="Arial" w:cs="Arial" w:eastAsia="Arial" w:hAnsi="Arial"/>
          <w:sz w:val="22"/>
          <w:szCs w:val="22"/>
          <w:color w:val="auto"/>
        </w:rPr>
        <w:t>a $6 million increase in accounts payable in 2010 compared to a $124 million decrease in 2009, primarily at SoCalGas as discussed below; and</w:t>
      </w:r>
    </w:p>
    <w:p>
      <w:pPr>
        <w:ind w:left="140" w:hanging="132"/>
        <w:spacing w:after="0"/>
        <w:tabs>
          <w:tab w:leader="none" w:pos="140" w:val="left"/>
        </w:tabs>
        <w:numPr>
          <w:ilvl w:val="0"/>
          <w:numId w:val="51"/>
        </w:numPr>
        <w:rPr>
          <w:rFonts w:ascii="Arial" w:cs="Arial" w:eastAsia="Arial" w:hAnsi="Arial"/>
          <w:sz w:val="22"/>
          <w:szCs w:val="22"/>
          <w:color w:val="auto"/>
        </w:rPr>
      </w:pPr>
      <w:r>
        <w:rPr>
          <w:rFonts w:ascii="Arial" w:cs="Arial" w:eastAsia="Arial" w:hAnsi="Arial"/>
          <w:sz w:val="22"/>
          <w:szCs w:val="22"/>
          <w:color w:val="auto"/>
        </w:rPr>
        <w:t>an $85 million higher decrease in accounts receivable, primarily at SDG&amp;E as discussed below.</w:t>
      </w:r>
    </w:p>
    <w:p>
      <w:pPr>
        <w:sectPr>
          <w:pgSz w:w="11900" w:h="16838" w:orient="portrait"/>
          <w:cols w:equalWidth="0" w:num="1">
            <w:col w:w="10219"/>
          </w:cols>
          <w:pgMar w:left="240" w:top="104" w:right="1440" w:bottom="0" w:gutter="0" w:footer="0" w:header="0"/>
        </w:sectPr>
      </w:pPr>
    </w:p>
    <w:bookmarkStart w:id="77" w:name="page78"/>
    <w:bookmarkEnd w:id="77"/>
    <w:p>
      <w:pPr>
        <w:spacing w:after="0"/>
        <w:rPr>
          <w:sz w:val="20"/>
          <w:szCs w:val="20"/>
          <w:color w:val="auto"/>
        </w:rPr>
      </w:pPr>
      <w:r>
        <w:rPr>
          <w:rFonts w:ascii="Arial" w:cs="Arial" w:eastAsia="Arial" w:hAnsi="Arial"/>
          <w:sz w:val="20"/>
          <w:szCs w:val="20"/>
          <w:b w:val="1"/>
          <w:bCs w:val="1"/>
          <w:i w:val="1"/>
          <w:iCs w:val="1"/>
          <w:color w:val="auto"/>
        </w:rPr>
        <w:t>SDG&amp;E</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color w:val="auto"/>
        </w:rPr>
        <w:t>Cash provided by operating activities at SDG&amp;E increased in 2010 primarily due to:</w:t>
      </w:r>
    </w:p>
    <w:p>
      <w:pPr>
        <w:spacing w:after="0" w:line="22" w:lineRule="exact"/>
        <w:rPr>
          <w:sz w:val="20"/>
          <w:szCs w:val="20"/>
          <w:color w:val="auto"/>
        </w:rPr>
      </w:pPr>
    </w:p>
    <w:p>
      <w:pPr>
        <w:ind w:left="180" w:right="2019" w:hanging="172"/>
        <w:spacing w:after="0" w:line="217" w:lineRule="auto"/>
        <w:tabs>
          <w:tab w:leader="none" w:pos="153" w:val="left"/>
        </w:tabs>
        <w:numPr>
          <w:ilvl w:val="0"/>
          <w:numId w:val="52"/>
        </w:numPr>
        <w:rPr>
          <w:rFonts w:ascii="Arial" w:cs="Arial" w:eastAsia="Arial" w:hAnsi="Arial"/>
          <w:sz w:val="22"/>
          <w:szCs w:val="22"/>
          <w:color w:val="auto"/>
        </w:rPr>
      </w:pPr>
      <w:r>
        <w:rPr>
          <w:rFonts w:ascii="Arial" w:cs="Arial" w:eastAsia="Arial" w:hAnsi="Arial"/>
          <w:sz w:val="22"/>
          <w:szCs w:val="22"/>
          <w:color w:val="auto"/>
        </w:rPr>
        <w:t>an $18 million decrease in accounts receivable in 2010 compared to a $34 million increase in 2009. The changes in both years were primarily due to refunds from the California Independent System Operator for purchased power;</w:t>
      </w:r>
    </w:p>
    <w:p>
      <w:pPr>
        <w:spacing w:after="0" w:line="2" w:lineRule="exact"/>
        <w:rPr>
          <w:rFonts w:ascii="Arial" w:cs="Arial" w:eastAsia="Arial" w:hAnsi="Arial"/>
          <w:sz w:val="22"/>
          <w:szCs w:val="22"/>
          <w:color w:val="auto"/>
        </w:rPr>
      </w:pPr>
    </w:p>
    <w:p>
      <w:pPr>
        <w:ind w:left="180" w:right="1819" w:hanging="172"/>
        <w:spacing w:after="0" w:line="224" w:lineRule="auto"/>
        <w:tabs>
          <w:tab w:leader="none" w:pos="153" w:val="left"/>
        </w:tabs>
        <w:numPr>
          <w:ilvl w:val="0"/>
          <w:numId w:val="52"/>
        </w:numPr>
        <w:rPr>
          <w:rFonts w:ascii="Arial" w:cs="Arial" w:eastAsia="Arial" w:hAnsi="Arial"/>
          <w:sz w:val="22"/>
          <w:szCs w:val="22"/>
          <w:color w:val="auto"/>
        </w:rPr>
      </w:pPr>
      <w:r>
        <w:rPr>
          <w:rFonts w:ascii="Arial" w:cs="Arial" w:eastAsia="Arial" w:hAnsi="Arial"/>
          <w:sz w:val="22"/>
          <w:szCs w:val="22"/>
          <w:color w:val="auto"/>
        </w:rPr>
        <w:t>$9 million in cash received from liability insurance, net of settlement payments in 2010, related to the 2007 wildfire litigation;</w:t>
      </w:r>
    </w:p>
    <w:p>
      <w:pPr>
        <w:ind w:left="180" w:right="1839" w:hanging="172"/>
        <w:spacing w:after="0" w:line="230" w:lineRule="auto"/>
        <w:tabs>
          <w:tab w:leader="none" w:pos="153" w:val="left"/>
        </w:tabs>
        <w:numPr>
          <w:ilvl w:val="0"/>
          <w:numId w:val="52"/>
        </w:numPr>
        <w:rPr>
          <w:rFonts w:ascii="Arial" w:cs="Arial" w:eastAsia="Arial" w:hAnsi="Arial"/>
          <w:sz w:val="22"/>
          <w:szCs w:val="22"/>
          <w:color w:val="auto"/>
        </w:rPr>
      </w:pPr>
      <w:r>
        <w:rPr>
          <w:rFonts w:ascii="Arial" w:cs="Arial" w:eastAsia="Arial" w:hAnsi="Arial"/>
          <w:sz w:val="22"/>
          <w:szCs w:val="22"/>
          <w:color w:val="auto"/>
        </w:rPr>
        <w:t>a $26 million net income tax refund in 2010 compared to a $1 million net tax payment in 2009; and</w:t>
      </w:r>
    </w:p>
    <w:p>
      <w:pPr>
        <w:spacing w:after="0" w:line="1" w:lineRule="exact"/>
        <w:rPr>
          <w:rFonts w:ascii="Arial" w:cs="Arial" w:eastAsia="Arial" w:hAnsi="Arial"/>
          <w:sz w:val="22"/>
          <w:szCs w:val="22"/>
          <w:color w:val="auto"/>
        </w:rPr>
      </w:pPr>
    </w:p>
    <w:p>
      <w:pPr>
        <w:ind w:left="180" w:right="1839" w:hanging="172"/>
        <w:spacing w:after="0" w:line="224" w:lineRule="auto"/>
        <w:tabs>
          <w:tab w:leader="none" w:pos="153" w:val="left"/>
        </w:tabs>
        <w:numPr>
          <w:ilvl w:val="0"/>
          <w:numId w:val="52"/>
        </w:numPr>
        <w:rPr>
          <w:rFonts w:ascii="Arial" w:cs="Arial" w:eastAsia="Arial" w:hAnsi="Arial"/>
          <w:sz w:val="22"/>
          <w:szCs w:val="22"/>
          <w:color w:val="auto"/>
        </w:rPr>
      </w:pPr>
      <w:r>
        <w:rPr>
          <w:rFonts w:ascii="Arial" w:cs="Arial" w:eastAsia="Arial" w:hAnsi="Arial"/>
          <w:sz w:val="22"/>
          <w:szCs w:val="22"/>
          <w:color w:val="auto"/>
        </w:rPr>
        <w:t xml:space="preserve">$12 million higher increase in amounts due to affiliates, primarily due to payables to SoCalGas for the procurement of natural gas on SDG&amp;E’s behalf; </w:t>
      </w:r>
      <w:r>
        <w:rPr>
          <w:rFonts w:ascii="Arial" w:cs="Arial" w:eastAsia="Arial" w:hAnsi="Arial"/>
          <w:sz w:val="22"/>
          <w:szCs w:val="22"/>
          <w:b w:val="1"/>
          <w:bCs w:val="1"/>
          <w:color w:val="auto"/>
        </w:rPr>
        <w:t>offset by</w:t>
      </w:r>
    </w:p>
    <w:p>
      <w:pPr>
        <w:ind w:left="180" w:right="1799" w:hanging="172"/>
        <w:spacing w:after="0" w:line="224" w:lineRule="auto"/>
        <w:tabs>
          <w:tab w:leader="none" w:pos="153" w:val="left"/>
        </w:tabs>
        <w:numPr>
          <w:ilvl w:val="0"/>
          <w:numId w:val="52"/>
        </w:numPr>
        <w:rPr>
          <w:rFonts w:ascii="Arial" w:cs="Arial" w:eastAsia="Arial" w:hAnsi="Arial"/>
          <w:sz w:val="22"/>
          <w:szCs w:val="22"/>
          <w:color w:val="auto"/>
        </w:rPr>
      </w:pPr>
      <w:r>
        <w:rPr>
          <w:rFonts w:ascii="Arial" w:cs="Arial" w:eastAsia="Arial" w:hAnsi="Arial"/>
          <w:sz w:val="22"/>
          <w:szCs w:val="22"/>
          <w:color w:val="auto"/>
        </w:rPr>
        <w:t>$39 million higher margin deposits posted related to fixed-price contracts and other derivatives; and</w:t>
      </w:r>
    </w:p>
    <w:p>
      <w:pPr>
        <w:ind w:left="180" w:right="2019" w:hanging="172"/>
        <w:spacing w:after="0" w:line="265" w:lineRule="auto"/>
        <w:tabs>
          <w:tab w:leader="none" w:pos="153" w:val="left"/>
        </w:tabs>
        <w:numPr>
          <w:ilvl w:val="0"/>
          <w:numId w:val="52"/>
        </w:numPr>
        <w:rPr>
          <w:rFonts w:ascii="Arial" w:cs="Arial" w:eastAsia="Arial" w:hAnsi="Arial"/>
          <w:sz w:val="19"/>
          <w:szCs w:val="19"/>
          <w:color w:val="auto"/>
        </w:rPr>
      </w:pPr>
      <w:r>
        <w:rPr>
          <w:rFonts w:ascii="Arial" w:cs="Arial" w:eastAsia="Arial" w:hAnsi="Arial"/>
          <w:sz w:val="19"/>
          <w:szCs w:val="19"/>
          <w:color w:val="auto"/>
        </w:rPr>
        <w:t>$33 million lower increase in overcollected balancing accounts. Over- and undercollected regulatory balancing accounts reflect the difference between billings and recorded or CPUC-authorized costs. These differences are required to be balanced over time.</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PE and SoCalGas</w:t>
      </w:r>
    </w:p>
    <w:p>
      <w:pPr>
        <w:spacing w:after="0" w:line="22" w:lineRule="exact"/>
        <w:rPr>
          <w:sz w:val="20"/>
          <w:szCs w:val="20"/>
          <w:color w:val="auto"/>
        </w:rPr>
      </w:pPr>
    </w:p>
    <w:p>
      <w:pPr>
        <w:ind w:right="519"/>
        <w:spacing w:after="0" w:line="223" w:lineRule="auto"/>
        <w:rPr>
          <w:sz w:val="20"/>
          <w:szCs w:val="20"/>
          <w:color w:val="auto"/>
        </w:rPr>
      </w:pPr>
      <w:r>
        <w:rPr>
          <w:rFonts w:ascii="Arial" w:cs="Arial" w:eastAsia="Arial" w:hAnsi="Arial"/>
          <w:sz w:val="22"/>
          <w:szCs w:val="22"/>
          <w:color w:val="auto"/>
        </w:rPr>
        <w:t>Cash provided by operating activities at PE and SoCalGas stayed relatively flat in 2010 in total, but includes the effect on working capital balances of higher natural gas prices in 2010 compared to 2009. Higher natural gas prices caused</w:t>
      </w:r>
    </w:p>
    <w:p>
      <w:pPr>
        <w:spacing w:after="0" w:line="2" w:lineRule="exact"/>
        <w:rPr>
          <w:sz w:val="20"/>
          <w:szCs w:val="20"/>
          <w:color w:val="auto"/>
        </w:rPr>
      </w:pPr>
    </w:p>
    <w:p>
      <w:pPr>
        <w:ind w:left="180" w:right="2119" w:hanging="172"/>
        <w:spacing w:after="0" w:line="224" w:lineRule="auto"/>
        <w:tabs>
          <w:tab w:leader="none" w:pos="153" w:val="left"/>
        </w:tabs>
        <w:numPr>
          <w:ilvl w:val="0"/>
          <w:numId w:val="53"/>
        </w:numPr>
        <w:rPr>
          <w:rFonts w:ascii="Arial" w:cs="Arial" w:eastAsia="Arial" w:hAnsi="Arial"/>
          <w:sz w:val="22"/>
          <w:szCs w:val="22"/>
          <w:color w:val="auto"/>
        </w:rPr>
      </w:pPr>
      <w:r>
        <w:rPr>
          <w:rFonts w:ascii="Arial" w:cs="Arial" w:eastAsia="Arial" w:hAnsi="Arial"/>
          <w:sz w:val="22"/>
          <w:szCs w:val="22"/>
          <w:color w:val="auto"/>
        </w:rPr>
        <w:t xml:space="preserve">a $9 million accounts payable increase in 2010 compared to a $96 million decrease in 2009; </w:t>
      </w:r>
      <w:r>
        <w:rPr>
          <w:rFonts w:ascii="Arial" w:cs="Arial" w:eastAsia="Arial" w:hAnsi="Arial"/>
          <w:sz w:val="22"/>
          <w:szCs w:val="22"/>
          <w:b w:val="1"/>
          <w:bCs w:val="1"/>
          <w:color w:val="auto"/>
        </w:rPr>
        <w:t>offset by</w:t>
      </w:r>
    </w:p>
    <w:p>
      <w:pPr>
        <w:ind w:left="140" w:hanging="132"/>
        <w:spacing w:after="0"/>
        <w:tabs>
          <w:tab w:leader="none" w:pos="140" w:val="left"/>
        </w:tabs>
        <w:numPr>
          <w:ilvl w:val="0"/>
          <w:numId w:val="53"/>
        </w:numPr>
        <w:rPr>
          <w:rFonts w:ascii="Arial" w:cs="Arial" w:eastAsia="Arial" w:hAnsi="Arial"/>
          <w:sz w:val="22"/>
          <w:szCs w:val="22"/>
          <w:color w:val="auto"/>
        </w:rPr>
      </w:pPr>
      <w:r>
        <w:rPr>
          <w:rFonts w:ascii="Arial" w:cs="Arial" w:eastAsia="Arial" w:hAnsi="Arial"/>
          <w:sz w:val="22"/>
          <w:szCs w:val="22"/>
          <w:color w:val="auto"/>
        </w:rPr>
        <w:t>$104 million lower increase in overcollected regulatory balancing accounts; and</w:t>
      </w:r>
    </w:p>
    <w:p>
      <w:pPr>
        <w:spacing w:after="0" w:line="17" w:lineRule="exact"/>
        <w:rPr>
          <w:rFonts w:ascii="Arial" w:cs="Arial" w:eastAsia="Arial" w:hAnsi="Arial"/>
          <w:sz w:val="22"/>
          <w:szCs w:val="22"/>
          <w:color w:val="auto"/>
        </w:rPr>
      </w:pPr>
    </w:p>
    <w:p>
      <w:pPr>
        <w:ind w:left="180" w:right="1919" w:hanging="172"/>
        <w:spacing w:after="0" w:line="212" w:lineRule="auto"/>
        <w:tabs>
          <w:tab w:leader="none" w:pos="153" w:val="left"/>
        </w:tabs>
        <w:numPr>
          <w:ilvl w:val="0"/>
          <w:numId w:val="53"/>
        </w:numPr>
        <w:rPr>
          <w:rFonts w:ascii="Arial" w:cs="Arial" w:eastAsia="Arial" w:hAnsi="Arial"/>
          <w:sz w:val="22"/>
          <w:szCs w:val="22"/>
          <w:color w:val="auto"/>
        </w:rPr>
      </w:pPr>
      <w:r>
        <w:rPr>
          <w:rFonts w:ascii="Arial" w:cs="Arial" w:eastAsia="Arial" w:hAnsi="Arial"/>
          <w:sz w:val="22"/>
          <w:szCs w:val="22"/>
          <w:color w:val="auto"/>
        </w:rPr>
        <w:t>$28 million lower decrease in inventory, net of the change in valuation for temporary LIFO liquidation. Temporary LIFO liquidation represents the difference between the carrying value of natural gas inventory withdrawn during the period (valued by the last-in, first-out method) for delivery to customers and the projected cost of the replacement of that inventory during summer months.</w:t>
      </w:r>
    </w:p>
    <w:p>
      <w:pPr>
        <w:spacing w:after="0" w:line="80" w:lineRule="exact"/>
        <w:rPr>
          <w:sz w:val="20"/>
          <w:szCs w:val="20"/>
          <w:color w:val="auto"/>
        </w:rPr>
      </w:pPr>
    </w:p>
    <w:p>
      <w:pPr>
        <w:ind w:right="639"/>
        <w:spacing w:after="0" w:line="232" w:lineRule="auto"/>
        <w:rPr>
          <w:sz w:val="20"/>
          <w:szCs w:val="20"/>
          <w:color w:val="auto"/>
        </w:rPr>
      </w:pPr>
      <w:r>
        <w:rPr>
          <w:rFonts w:ascii="Arial" w:cs="Arial" w:eastAsia="Arial" w:hAnsi="Arial"/>
          <w:sz w:val="22"/>
          <w:szCs w:val="22"/>
          <w:color w:val="auto"/>
        </w:rPr>
        <w:t>The table below shows the contributions to pension and other postretirement benefit plans for the three months ended March 31, 2010.</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ind w:right="23"/>
              <w:spacing w:after="0"/>
              <w:rPr>
                <w:sz w:val="20"/>
                <w:szCs w:val="20"/>
                <w:color w:val="auto"/>
              </w:rPr>
            </w:pPr>
            <w:r>
              <w:rPr>
                <w:rFonts w:ascii="Arial" w:cs="Arial" w:eastAsia="Arial" w:hAnsi="Arial"/>
                <w:sz w:val="14"/>
                <w:szCs w:val="14"/>
                <w:color w:val="auto"/>
              </w:rPr>
              <w:t>Other</w:t>
            </w:r>
          </w:p>
        </w:tc>
        <w:tc>
          <w:tcPr>
            <w:tcW w:w="0" w:type="dxa"/>
            <w:vAlign w:val="bottom"/>
          </w:tcPr>
          <w:p>
            <w:pPr>
              <w:spacing w:after="0"/>
              <w:rPr>
                <w:sz w:val="1"/>
                <w:szCs w:val="1"/>
                <w:color w:val="auto"/>
              </w:rPr>
            </w:pPr>
          </w:p>
        </w:tc>
      </w:tr>
      <w:tr>
        <w:trPr>
          <w:trHeight w:val="179"/>
        </w:trPr>
        <w:tc>
          <w:tcPr>
            <w:tcW w:w="2520" w:type="dxa"/>
            <w:vAlign w:val="bottom"/>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1300" w:type="dxa"/>
            <w:vAlign w:val="bottom"/>
          </w:tcPr>
          <w:p>
            <w:pPr>
              <w:ind w:left="720"/>
              <w:spacing w:after="0"/>
              <w:rPr>
                <w:sz w:val="20"/>
                <w:szCs w:val="20"/>
                <w:color w:val="auto"/>
              </w:rPr>
            </w:pPr>
            <w:r>
              <w:rPr>
                <w:rFonts w:ascii="Arial" w:cs="Arial" w:eastAsia="Arial" w:hAnsi="Arial"/>
                <w:sz w:val="14"/>
                <w:szCs w:val="14"/>
                <w:color w:val="auto"/>
              </w:rPr>
              <w:t>Pension</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right="43"/>
              <w:spacing w:after="0"/>
              <w:rPr>
                <w:sz w:val="20"/>
                <w:szCs w:val="20"/>
                <w:color w:val="auto"/>
              </w:rPr>
            </w:pPr>
            <w:r>
              <w:rPr>
                <w:rFonts w:ascii="Arial" w:cs="Arial" w:eastAsia="Arial" w:hAnsi="Arial"/>
                <w:sz w:val="14"/>
                <w:szCs w:val="14"/>
                <w:color w:val="auto"/>
              </w:rPr>
              <w:t>Postretirement</w:t>
            </w:r>
          </w:p>
        </w:tc>
        <w:tc>
          <w:tcPr>
            <w:tcW w:w="0" w:type="dxa"/>
            <w:vAlign w:val="bottom"/>
          </w:tcPr>
          <w:p>
            <w:pPr>
              <w:spacing w:after="0"/>
              <w:rPr>
                <w:sz w:val="1"/>
                <w:szCs w:val="1"/>
                <w:color w:val="auto"/>
              </w:rPr>
            </w:pPr>
          </w:p>
        </w:tc>
      </w:tr>
      <w:tr>
        <w:trPr>
          <w:trHeight w:val="157"/>
        </w:trPr>
        <w:tc>
          <w:tcPr>
            <w:tcW w:w="2520" w:type="dxa"/>
            <w:vAlign w:val="bottom"/>
            <w:tcBorders>
              <w:bottom w:val="single" w:sz="8" w:color="auto"/>
            </w:tcBorders>
            <w:vMerge w:val="continue"/>
          </w:tcPr>
          <w:p>
            <w:pPr>
              <w:spacing w:after="0"/>
              <w:rPr>
                <w:sz w:val="13"/>
                <w:szCs w:val="13"/>
                <w:color w:val="auto"/>
              </w:rPr>
            </w:pPr>
          </w:p>
        </w:tc>
        <w:tc>
          <w:tcPr>
            <w:tcW w:w="1300" w:type="dxa"/>
            <w:vAlign w:val="bottom"/>
            <w:tcBorders>
              <w:bottom w:val="single" w:sz="8" w:color="auto"/>
            </w:tcBorders>
          </w:tcPr>
          <w:p>
            <w:pPr>
              <w:ind w:left="720"/>
              <w:spacing w:after="0" w:line="157" w:lineRule="exact"/>
              <w:rPr>
                <w:sz w:val="20"/>
                <w:szCs w:val="20"/>
                <w:color w:val="auto"/>
              </w:rPr>
            </w:pPr>
            <w:r>
              <w:rPr>
                <w:rFonts w:ascii="Arial" w:cs="Arial" w:eastAsia="Arial" w:hAnsi="Arial"/>
                <w:sz w:val="14"/>
                <w:szCs w:val="14"/>
                <w:color w:val="auto"/>
              </w:rPr>
              <w:t>Benefits</w:t>
            </w: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23"/>
              <w:spacing w:after="0" w:line="157" w:lineRule="exact"/>
              <w:rPr>
                <w:sz w:val="20"/>
                <w:szCs w:val="20"/>
                <w:color w:val="auto"/>
              </w:rPr>
            </w:pPr>
            <w:r>
              <w:rPr>
                <w:rFonts w:ascii="Arial" w:cs="Arial" w:eastAsia="Arial" w:hAnsi="Arial"/>
                <w:sz w:val="14"/>
                <w:szCs w:val="14"/>
                <w:color w:val="auto"/>
              </w:rPr>
              <w:t>Benefits</w:t>
            </w:r>
          </w:p>
        </w:tc>
        <w:tc>
          <w:tcPr>
            <w:tcW w:w="0" w:type="dxa"/>
            <w:vAlign w:val="bottom"/>
          </w:tcPr>
          <w:p>
            <w:pPr>
              <w:spacing w:after="0"/>
              <w:rPr>
                <w:sz w:val="1"/>
                <w:szCs w:val="1"/>
                <w:color w:val="auto"/>
              </w:rPr>
            </w:pPr>
          </w:p>
        </w:tc>
      </w:tr>
      <w:tr>
        <w:trPr>
          <w:trHeight w:val="184"/>
        </w:trPr>
        <w:tc>
          <w:tcPr>
            <w:tcW w:w="2520" w:type="dxa"/>
            <w:vAlign w:val="bottom"/>
          </w:tcPr>
          <w:p>
            <w:pPr>
              <w:spacing w:after="0"/>
              <w:rPr>
                <w:sz w:val="20"/>
                <w:szCs w:val="20"/>
                <w:color w:val="auto"/>
              </w:rPr>
            </w:pPr>
            <w:r>
              <w:rPr>
                <w:rFonts w:ascii="Arial" w:cs="Arial" w:eastAsia="Arial" w:hAnsi="Arial"/>
                <w:sz w:val="16"/>
                <w:szCs w:val="16"/>
                <w:color w:val="auto"/>
              </w:rPr>
              <w:t>Sempra Energy Consolidated</w:t>
            </w:r>
          </w:p>
        </w:tc>
        <w:tc>
          <w:tcPr>
            <w:tcW w:w="1300" w:type="dxa"/>
            <w:vAlign w:val="bottom"/>
          </w:tcPr>
          <w:p>
            <w:pPr>
              <w:jc w:val="right"/>
              <w:ind w:right="745"/>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13</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89"/>
        </w:trPr>
        <w:tc>
          <w:tcPr>
            <w:tcW w:w="2520" w:type="dxa"/>
            <w:vAlign w:val="bottom"/>
          </w:tcPr>
          <w:p>
            <w:pPr>
              <w:spacing w:after="0"/>
              <w:rPr>
                <w:sz w:val="20"/>
                <w:szCs w:val="20"/>
                <w:color w:val="auto"/>
              </w:rPr>
            </w:pPr>
            <w:r>
              <w:rPr>
                <w:rFonts w:ascii="Arial" w:cs="Arial" w:eastAsia="Arial" w:hAnsi="Arial"/>
                <w:sz w:val="16"/>
                <w:szCs w:val="16"/>
                <w:color w:val="auto"/>
              </w:rPr>
              <w:t>SDG&amp;E</w:t>
            </w:r>
          </w:p>
        </w:tc>
        <w:tc>
          <w:tcPr>
            <w:tcW w:w="130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87"/>
        </w:trPr>
        <w:tc>
          <w:tcPr>
            <w:tcW w:w="2520" w:type="dxa"/>
            <w:vAlign w:val="bottom"/>
          </w:tcPr>
          <w:p>
            <w:pPr>
              <w:spacing w:after="0"/>
              <w:rPr>
                <w:sz w:val="20"/>
                <w:szCs w:val="20"/>
                <w:color w:val="auto"/>
              </w:rPr>
            </w:pPr>
            <w:r>
              <w:rPr>
                <w:rFonts w:ascii="Arial" w:cs="Arial" w:eastAsia="Arial" w:hAnsi="Arial"/>
                <w:sz w:val="16"/>
                <w:szCs w:val="16"/>
                <w:color w:val="auto"/>
              </w:rPr>
              <w:t>PE/SoCalGas</w:t>
            </w:r>
          </w:p>
        </w:tc>
        <w:tc>
          <w:tcPr>
            <w:tcW w:w="130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81"/>
        </w:trPr>
        <w:tc>
          <w:tcPr>
            <w:tcW w:w="2520" w:type="dxa"/>
            <w:vAlign w:val="bottom"/>
            <w:shd w:val="clear" w:color="auto" w:fill="DFDFDF"/>
          </w:tcPr>
          <w:p>
            <w:pPr>
              <w:spacing w:after="0"/>
              <w:rPr>
                <w:sz w:val="7"/>
                <w:szCs w:val="7"/>
                <w:color w:val="auto"/>
              </w:rPr>
            </w:pPr>
          </w:p>
        </w:tc>
        <w:tc>
          <w:tcPr>
            <w:tcW w:w="1300" w:type="dxa"/>
            <w:vAlign w:val="bottom"/>
            <w:shd w:val="clear" w:color="auto" w:fill="DFDFDF"/>
          </w:tcPr>
          <w:p>
            <w:pPr>
              <w:spacing w:after="0"/>
              <w:rPr>
                <w:sz w:val="7"/>
                <w:szCs w:val="7"/>
                <w:color w:val="auto"/>
              </w:rPr>
            </w:pPr>
          </w:p>
        </w:tc>
        <w:tc>
          <w:tcPr>
            <w:tcW w:w="240" w:type="dxa"/>
            <w:vAlign w:val="bottom"/>
            <w:shd w:val="clear" w:color="auto" w:fill="DFDFDF"/>
          </w:tcPr>
          <w:p>
            <w:pPr>
              <w:spacing w:after="0"/>
              <w:rPr>
                <w:sz w:val="7"/>
                <w:szCs w:val="7"/>
                <w:color w:val="auto"/>
              </w:rPr>
            </w:pPr>
          </w:p>
        </w:tc>
        <w:tc>
          <w:tcPr>
            <w:tcW w:w="140" w:type="dxa"/>
            <w:vAlign w:val="bottom"/>
            <w:shd w:val="clear" w:color="auto" w:fill="DFDFDF"/>
          </w:tcPr>
          <w:p>
            <w:pPr>
              <w:spacing w:after="0"/>
              <w:rPr>
                <w:sz w:val="7"/>
                <w:szCs w:val="7"/>
                <w:color w:val="auto"/>
              </w:rPr>
            </w:pPr>
          </w:p>
        </w:tc>
        <w:tc>
          <w:tcPr>
            <w:tcW w:w="1060" w:type="dxa"/>
            <w:vAlign w:val="bottom"/>
            <w:shd w:val="clear" w:color="auto" w:fill="DFDFDF"/>
          </w:tcPr>
          <w:p>
            <w:pPr>
              <w:spacing w:after="0"/>
              <w:rPr>
                <w:sz w:val="7"/>
                <w:szCs w:val="7"/>
                <w:color w:val="auto"/>
              </w:rPr>
            </w:pPr>
          </w:p>
        </w:tc>
        <w:tc>
          <w:tcPr>
            <w:tcW w:w="0" w:type="dxa"/>
            <w:vAlign w:val="bottom"/>
          </w:tcPr>
          <w:p>
            <w:pPr>
              <w:spacing w:after="0"/>
              <w:rPr>
                <w:sz w:val="1"/>
                <w:szCs w:val="1"/>
                <w:color w:val="auto"/>
              </w:rPr>
            </w:pPr>
          </w:p>
        </w:tc>
      </w:tr>
    </w:tbl>
    <w:p>
      <w:pPr>
        <w:spacing w:after="0" w:line="388" w:lineRule="exact"/>
        <w:rPr>
          <w:sz w:val="20"/>
          <w:szCs w:val="20"/>
          <w:color w:val="auto"/>
        </w:rPr>
      </w:pPr>
    </w:p>
    <w:p>
      <w:pPr>
        <w:spacing w:after="0"/>
        <w:rPr>
          <w:sz w:val="20"/>
          <w:szCs w:val="20"/>
          <w:color w:val="auto"/>
        </w:rPr>
      </w:pPr>
      <w:r>
        <w:rPr>
          <w:rFonts w:ascii="Arial" w:cs="Arial" w:eastAsia="Arial" w:hAnsi="Arial"/>
          <w:sz w:val="20"/>
          <w:szCs w:val="20"/>
          <w:color w:val="auto"/>
        </w:rPr>
        <w:t>CASH FLOWS FROM INVESTING ACTIVITIES</w:t>
      </w: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5308600" cy="2317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308600" cy="23177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0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2010</w:t>
            </w:r>
          </w:p>
        </w:tc>
        <w:tc>
          <w:tcPr>
            <w:tcW w:w="420" w:type="dxa"/>
            <w:vAlign w:val="bottom"/>
            <w:tcBorders>
              <w:bottom w:val="single" w:sz="8" w:color="auto"/>
              <w:right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2010 Change</w:t>
            </w:r>
          </w:p>
        </w:tc>
        <w:tc>
          <w:tcPr>
            <w:tcW w:w="680" w:type="dxa"/>
            <w:vAlign w:val="bottom"/>
            <w:tcBorders>
              <w:bottom w:val="single" w:sz="8" w:color="auto"/>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color w:val="auto"/>
              </w:rPr>
              <w:t>2009</w:t>
            </w:r>
          </w:p>
        </w:tc>
      </w:tr>
      <w:tr>
        <w:trPr>
          <w:trHeight w:val="184"/>
        </w:trPr>
        <w:tc>
          <w:tcPr>
            <w:tcW w:w="3000" w:type="dxa"/>
            <w:vAlign w:val="bottom"/>
          </w:tcPr>
          <w:p>
            <w:pPr>
              <w:spacing w:after="0"/>
              <w:rPr>
                <w:sz w:val="20"/>
                <w:szCs w:val="20"/>
                <w:color w:val="auto"/>
              </w:rPr>
            </w:pPr>
            <w:r>
              <w:rPr>
                <w:rFonts w:ascii="Arial" w:cs="Arial" w:eastAsia="Arial" w:hAnsi="Arial"/>
                <w:sz w:val="16"/>
                <w:szCs w:val="16"/>
                <w:color w:val="auto"/>
              </w:rPr>
              <w:t>Sempra Energy Consolidated</w:t>
            </w:r>
          </w:p>
        </w:tc>
        <w:tc>
          <w:tcPr>
            <w:tcW w:w="1580" w:type="dxa"/>
            <w:vAlign w:val="bottom"/>
          </w:tcPr>
          <w:p>
            <w:pPr>
              <w:jc w:val="right"/>
              <w:ind w:right="563"/>
              <w:spacing w:after="0"/>
              <w:rPr>
                <w:sz w:val="20"/>
                <w:szCs w:val="20"/>
                <w:color w:val="auto"/>
              </w:rPr>
            </w:pPr>
            <w:r>
              <w:rPr>
                <w:rFonts w:ascii="Arial" w:cs="Arial" w:eastAsia="Arial" w:hAnsi="Arial"/>
                <w:sz w:val="16"/>
                <w:szCs w:val="16"/>
                <w:color w:val="auto"/>
              </w:rPr>
              <w:t>$</w:t>
            </w:r>
          </w:p>
        </w:tc>
        <w:tc>
          <w:tcPr>
            <w:tcW w:w="4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(496)</w:t>
            </w: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381"/>
              <w:spacing w:after="0"/>
              <w:rPr>
                <w:sz w:val="20"/>
                <w:szCs w:val="20"/>
                <w:color w:val="auto"/>
              </w:rPr>
            </w:pPr>
            <w:r>
              <w:rPr>
                <w:rFonts w:ascii="Arial" w:cs="Arial" w:eastAsia="Arial" w:hAnsi="Arial"/>
                <w:sz w:val="16"/>
                <w:szCs w:val="16"/>
                <w:color w:val="auto"/>
              </w:rPr>
              <w:t>(26)</w:t>
            </w: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  %</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(522)</w:t>
            </w:r>
          </w:p>
        </w:tc>
      </w:tr>
      <w:tr>
        <w:trPr>
          <w:trHeight w:val="189"/>
        </w:trPr>
        <w:tc>
          <w:tcPr>
            <w:tcW w:w="3000" w:type="dxa"/>
            <w:vAlign w:val="bottom"/>
          </w:tcPr>
          <w:p>
            <w:pPr>
              <w:spacing w:after="0"/>
              <w:rPr>
                <w:sz w:val="20"/>
                <w:szCs w:val="20"/>
                <w:color w:val="auto"/>
              </w:rPr>
            </w:pPr>
            <w:r>
              <w:rPr>
                <w:rFonts w:ascii="Arial" w:cs="Arial" w:eastAsia="Arial" w:hAnsi="Arial"/>
                <w:sz w:val="16"/>
                <w:szCs w:val="16"/>
                <w:color w:val="auto"/>
              </w:rPr>
              <w:t>SDG&amp;E</w:t>
            </w:r>
          </w:p>
        </w:tc>
        <w:tc>
          <w:tcPr>
            <w:tcW w:w="1580" w:type="dxa"/>
            <w:vAlign w:val="bottom"/>
          </w:tcPr>
          <w:p>
            <w:pPr>
              <w:spacing w:after="0"/>
              <w:rPr>
                <w:sz w:val="16"/>
                <w:szCs w:val="16"/>
                <w:color w:val="auto"/>
              </w:rPr>
            </w:pPr>
          </w:p>
        </w:tc>
        <w:tc>
          <w:tcPr>
            <w:tcW w:w="4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(300)</w:t>
            </w:r>
          </w:p>
        </w:tc>
        <w:tc>
          <w:tcPr>
            <w:tcW w:w="380" w:type="dxa"/>
            <w:vAlign w:val="bottom"/>
          </w:tcPr>
          <w:p>
            <w:pPr>
              <w:spacing w:after="0"/>
              <w:rPr>
                <w:sz w:val="16"/>
                <w:szCs w:val="16"/>
                <w:color w:val="auto"/>
              </w:rPr>
            </w:pPr>
          </w:p>
        </w:tc>
        <w:tc>
          <w:tcPr>
            <w:tcW w:w="1200" w:type="dxa"/>
            <w:vAlign w:val="bottom"/>
          </w:tcPr>
          <w:p>
            <w:pPr>
              <w:jc w:val="right"/>
              <w:ind w:right="441"/>
              <w:spacing w:after="0"/>
              <w:rPr>
                <w:sz w:val="20"/>
                <w:szCs w:val="20"/>
                <w:color w:val="auto"/>
              </w:rPr>
            </w:pPr>
            <w:r>
              <w:rPr>
                <w:rFonts w:ascii="Arial" w:cs="Arial" w:eastAsia="Arial" w:hAnsi="Arial"/>
                <w:sz w:val="16"/>
                <w:szCs w:val="16"/>
                <w:color w:val="auto"/>
              </w:rPr>
              <w:t>103</w:t>
            </w:r>
          </w:p>
        </w:tc>
        <w:tc>
          <w:tcPr>
            <w:tcW w:w="68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52</w:t>
            </w: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(197)</w:t>
            </w:r>
          </w:p>
        </w:tc>
      </w:tr>
      <w:tr>
        <w:trPr>
          <w:trHeight w:val="187"/>
        </w:trPr>
        <w:tc>
          <w:tcPr>
            <w:tcW w:w="3000" w:type="dxa"/>
            <w:vAlign w:val="bottom"/>
          </w:tcPr>
          <w:p>
            <w:pPr>
              <w:spacing w:after="0"/>
              <w:rPr>
                <w:sz w:val="20"/>
                <w:szCs w:val="20"/>
                <w:color w:val="auto"/>
              </w:rPr>
            </w:pPr>
            <w:r>
              <w:rPr>
                <w:rFonts w:ascii="Arial" w:cs="Arial" w:eastAsia="Arial" w:hAnsi="Arial"/>
                <w:sz w:val="16"/>
                <w:szCs w:val="16"/>
                <w:color w:val="auto"/>
              </w:rPr>
              <w:t>PE</w:t>
            </w:r>
          </w:p>
        </w:tc>
        <w:tc>
          <w:tcPr>
            <w:tcW w:w="1580" w:type="dxa"/>
            <w:vAlign w:val="bottom"/>
          </w:tcPr>
          <w:p>
            <w:pPr>
              <w:spacing w:after="0"/>
              <w:rPr>
                <w:sz w:val="16"/>
                <w:szCs w:val="16"/>
                <w:color w:val="auto"/>
              </w:rPr>
            </w:pPr>
          </w:p>
        </w:tc>
        <w:tc>
          <w:tcPr>
            <w:tcW w:w="4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(260)</w:t>
            </w:r>
          </w:p>
        </w:tc>
        <w:tc>
          <w:tcPr>
            <w:tcW w:w="380" w:type="dxa"/>
            <w:vAlign w:val="bottom"/>
          </w:tcPr>
          <w:p>
            <w:pPr>
              <w:spacing w:after="0"/>
              <w:rPr>
                <w:sz w:val="16"/>
                <w:szCs w:val="16"/>
                <w:color w:val="auto"/>
              </w:rPr>
            </w:pPr>
          </w:p>
        </w:tc>
        <w:tc>
          <w:tcPr>
            <w:tcW w:w="1200" w:type="dxa"/>
            <w:vAlign w:val="bottom"/>
          </w:tcPr>
          <w:p>
            <w:pPr>
              <w:jc w:val="right"/>
              <w:ind w:right="441"/>
              <w:spacing w:after="0"/>
              <w:rPr>
                <w:sz w:val="20"/>
                <w:szCs w:val="20"/>
                <w:color w:val="auto"/>
              </w:rPr>
            </w:pPr>
            <w:r>
              <w:rPr>
                <w:rFonts w:ascii="Arial" w:cs="Arial" w:eastAsia="Arial" w:hAnsi="Arial"/>
                <w:sz w:val="16"/>
                <w:szCs w:val="16"/>
                <w:color w:val="auto"/>
              </w:rPr>
              <w:t>151</w:t>
            </w:r>
          </w:p>
        </w:tc>
        <w:tc>
          <w:tcPr>
            <w:tcW w:w="68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139</w:t>
            </w: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(109)</w:t>
            </w:r>
          </w:p>
        </w:tc>
      </w:tr>
      <w:tr>
        <w:trPr>
          <w:trHeight w:val="189"/>
        </w:trPr>
        <w:tc>
          <w:tcPr>
            <w:tcW w:w="3000" w:type="dxa"/>
            <w:vAlign w:val="bottom"/>
          </w:tcPr>
          <w:p>
            <w:pPr>
              <w:spacing w:after="0"/>
              <w:rPr>
                <w:sz w:val="20"/>
                <w:szCs w:val="20"/>
                <w:color w:val="auto"/>
              </w:rPr>
            </w:pPr>
            <w:r>
              <w:rPr>
                <w:rFonts w:ascii="Arial" w:cs="Arial" w:eastAsia="Arial" w:hAnsi="Arial"/>
                <w:sz w:val="16"/>
                <w:szCs w:val="16"/>
                <w:color w:val="auto"/>
              </w:rPr>
              <w:t>SoCalGas</w:t>
            </w:r>
          </w:p>
        </w:tc>
        <w:tc>
          <w:tcPr>
            <w:tcW w:w="15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(270)</w:t>
            </w:r>
          </w:p>
        </w:tc>
        <w:tc>
          <w:tcPr>
            <w:tcW w:w="380" w:type="dxa"/>
            <w:vAlign w:val="bottom"/>
          </w:tcPr>
          <w:p>
            <w:pPr>
              <w:spacing w:after="0"/>
              <w:rPr>
                <w:sz w:val="16"/>
                <w:szCs w:val="16"/>
                <w:color w:val="auto"/>
              </w:rPr>
            </w:pPr>
          </w:p>
        </w:tc>
        <w:tc>
          <w:tcPr>
            <w:tcW w:w="1200" w:type="dxa"/>
            <w:vAlign w:val="bottom"/>
          </w:tcPr>
          <w:p>
            <w:pPr>
              <w:jc w:val="right"/>
              <w:ind w:right="441"/>
              <w:spacing w:after="0"/>
              <w:rPr>
                <w:sz w:val="20"/>
                <w:szCs w:val="20"/>
                <w:color w:val="auto"/>
              </w:rPr>
            </w:pPr>
            <w:r>
              <w:rPr>
                <w:rFonts w:ascii="Arial" w:cs="Arial" w:eastAsia="Arial" w:hAnsi="Arial"/>
                <w:sz w:val="16"/>
                <w:szCs w:val="16"/>
                <w:color w:val="auto"/>
              </w:rPr>
              <w:t>158</w:t>
            </w:r>
          </w:p>
        </w:tc>
        <w:tc>
          <w:tcPr>
            <w:tcW w:w="680" w:type="dxa"/>
            <w:vAlign w:val="bottom"/>
          </w:tcPr>
          <w:p>
            <w:pPr>
              <w:jc w:val="right"/>
              <w:ind w:right="279"/>
              <w:spacing w:after="0"/>
              <w:rPr>
                <w:sz w:val="20"/>
                <w:szCs w:val="20"/>
                <w:color w:val="auto"/>
              </w:rPr>
            </w:pPr>
            <w:r>
              <w:rPr>
                <w:rFonts w:ascii="Arial" w:cs="Arial" w:eastAsia="Arial" w:hAnsi="Arial"/>
                <w:sz w:val="16"/>
                <w:szCs w:val="16"/>
                <w:color w:val="auto"/>
              </w:rPr>
              <w:t>141</w:t>
            </w: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(112)</w:t>
            </w:r>
          </w:p>
        </w:tc>
      </w:tr>
      <w:tr>
        <w:trPr>
          <w:trHeight w:val="81"/>
        </w:trPr>
        <w:tc>
          <w:tcPr>
            <w:tcW w:w="3000" w:type="dxa"/>
            <w:vAlign w:val="bottom"/>
            <w:shd w:val="clear" w:color="auto" w:fill="DFDFDF"/>
          </w:tcPr>
          <w:p>
            <w:pPr>
              <w:spacing w:after="0"/>
              <w:rPr>
                <w:sz w:val="7"/>
                <w:szCs w:val="7"/>
                <w:color w:val="auto"/>
              </w:rPr>
            </w:pPr>
          </w:p>
        </w:tc>
        <w:tc>
          <w:tcPr>
            <w:tcW w:w="1580" w:type="dxa"/>
            <w:vAlign w:val="bottom"/>
            <w:shd w:val="clear" w:color="auto" w:fill="DFDFDF"/>
          </w:tcPr>
          <w:p>
            <w:pPr>
              <w:spacing w:after="0"/>
              <w:rPr>
                <w:sz w:val="7"/>
                <w:szCs w:val="7"/>
                <w:color w:val="auto"/>
              </w:rPr>
            </w:pPr>
          </w:p>
        </w:tc>
        <w:tc>
          <w:tcPr>
            <w:tcW w:w="420" w:type="dxa"/>
            <w:vAlign w:val="bottom"/>
            <w:tcBorders>
              <w:right w:val="single" w:sz="8" w:color="DFDFDF"/>
            </w:tcBorders>
            <w:shd w:val="clear" w:color="auto" w:fill="DFDFDF"/>
          </w:tcPr>
          <w:p>
            <w:pPr>
              <w:spacing w:after="0"/>
              <w:rPr>
                <w:sz w:val="7"/>
                <w:szCs w:val="7"/>
                <w:color w:val="auto"/>
              </w:rPr>
            </w:pPr>
          </w:p>
        </w:tc>
        <w:tc>
          <w:tcPr>
            <w:tcW w:w="380" w:type="dxa"/>
            <w:vAlign w:val="bottom"/>
            <w:shd w:val="clear" w:color="auto" w:fill="DFDFDF"/>
          </w:tcPr>
          <w:p>
            <w:pPr>
              <w:spacing w:after="0"/>
              <w:rPr>
                <w:sz w:val="7"/>
                <w:szCs w:val="7"/>
                <w:color w:val="auto"/>
              </w:rPr>
            </w:pPr>
          </w:p>
        </w:tc>
        <w:tc>
          <w:tcPr>
            <w:tcW w:w="1200" w:type="dxa"/>
            <w:vAlign w:val="bottom"/>
            <w:shd w:val="clear" w:color="auto" w:fill="DFDFDF"/>
          </w:tcPr>
          <w:p>
            <w:pPr>
              <w:spacing w:after="0"/>
              <w:rPr>
                <w:sz w:val="7"/>
                <w:szCs w:val="7"/>
                <w:color w:val="auto"/>
              </w:rPr>
            </w:pPr>
          </w:p>
        </w:tc>
        <w:tc>
          <w:tcPr>
            <w:tcW w:w="680" w:type="dxa"/>
            <w:vAlign w:val="bottom"/>
            <w:tcBorders>
              <w:right w:val="single" w:sz="8" w:color="DFDFDF"/>
            </w:tcBorders>
            <w:shd w:val="clear" w:color="auto" w:fill="DFDFDF"/>
          </w:tcPr>
          <w:p>
            <w:pPr>
              <w:spacing w:after="0"/>
              <w:rPr>
                <w:sz w:val="7"/>
                <w:szCs w:val="7"/>
                <w:color w:val="auto"/>
              </w:rPr>
            </w:pPr>
          </w:p>
        </w:tc>
        <w:tc>
          <w:tcPr>
            <w:tcW w:w="220" w:type="dxa"/>
            <w:vAlign w:val="bottom"/>
            <w:shd w:val="clear" w:color="auto" w:fill="DFDFDF"/>
          </w:tcPr>
          <w:p>
            <w:pPr>
              <w:spacing w:after="0"/>
              <w:rPr>
                <w:sz w:val="7"/>
                <w:szCs w:val="7"/>
                <w:color w:val="auto"/>
              </w:rPr>
            </w:pPr>
          </w:p>
        </w:tc>
        <w:tc>
          <w:tcPr>
            <w:tcW w:w="880" w:type="dxa"/>
            <w:vAlign w:val="bottom"/>
            <w:shd w:val="clear" w:color="auto" w:fill="DFDFDF"/>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3148330</wp:posOffset>
            </wp:positionH>
            <wp:positionV relativeFrom="paragraph">
              <wp:posOffset>-183515</wp:posOffset>
            </wp:positionV>
            <wp:extent cx="210185" cy="1968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10185" cy="196850"/>
                    </a:xfrm>
                    <a:prstGeom prst="rect">
                      <a:avLst/>
                    </a:prstGeom>
                    <a:noFill/>
                  </pic:spPr>
                </pic:pic>
              </a:graphicData>
            </a:graphic>
          </wp:anchor>
        </w:drawing>
        <w:drawing>
          <wp:anchor simplePos="0" relativeHeight="251657728" behindDoc="1" locked="0" layoutInCell="0" allowOverlap="1">
            <wp:simplePos x="0" y="0"/>
            <wp:positionH relativeFrom="column">
              <wp:posOffset>4580255</wp:posOffset>
            </wp:positionH>
            <wp:positionV relativeFrom="paragraph">
              <wp:posOffset>-183515</wp:posOffset>
            </wp:positionV>
            <wp:extent cx="210185" cy="1968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10185" cy="19685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 Consolidated</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Cash used in investing activities at Sempra Energy decreased in 2010 primarily due to:</w:t>
      </w:r>
    </w:p>
    <w:p>
      <w:pPr>
        <w:spacing w:after="0" w:line="22" w:lineRule="exact"/>
        <w:rPr>
          <w:sz w:val="20"/>
          <w:szCs w:val="20"/>
          <w:color w:val="auto"/>
        </w:rPr>
      </w:pPr>
    </w:p>
    <w:p>
      <w:pPr>
        <w:ind w:left="180" w:right="1879" w:hanging="172"/>
        <w:spacing w:after="0" w:line="217" w:lineRule="auto"/>
        <w:tabs>
          <w:tab w:leader="none" w:pos="153" w:val="left"/>
        </w:tabs>
        <w:numPr>
          <w:ilvl w:val="0"/>
          <w:numId w:val="54"/>
        </w:numPr>
        <w:rPr>
          <w:rFonts w:ascii="Arial" w:cs="Arial" w:eastAsia="Arial" w:hAnsi="Arial"/>
          <w:sz w:val="22"/>
          <w:szCs w:val="22"/>
          <w:color w:val="auto"/>
        </w:rPr>
      </w:pPr>
      <w:r>
        <w:rPr>
          <w:rFonts w:ascii="Arial" w:cs="Arial" w:eastAsia="Arial" w:hAnsi="Arial"/>
          <w:sz w:val="22"/>
          <w:szCs w:val="22"/>
          <w:color w:val="auto"/>
        </w:rPr>
        <w:t>$46 million decrease in capital expenditures primarily due to the completion of Sempra LNG’s Cameron receipt terminal and the nitrogen-injection facility at its Energía Costa Azul receipt terminal; and</w:t>
      </w:r>
    </w:p>
    <w:p>
      <w:pPr>
        <w:spacing w:after="0" w:line="2" w:lineRule="exact"/>
        <w:rPr>
          <w:rFonts w:ascii="Arial" w:cs="Arial" w:eastAsia="Arial" w:hAnsi="Arial"/>
          <w:sz w:val="22"/>
          <w:szCs w:val="22"/>
          <w:color w:val="auto"/>
        </w:rPr>
      </w:pPr>
    </w:p>
    <w:p>
      <w:pPr>
        <w:ind w:left="140" w:hanging="132"/>
        <w:spacing w:after="0"/>
        <w:tabs>
          <w:tab w:leader="none" w:pos="140" w:val="left"/>
        </w:tabs>
        <w:numPr>
          <w:ilvl w:val="0"/>
          <w:numId w:val="54"/>
        </w:numPr>
        <w:rPr>
          <w:rFonts w:ascii="Arial" w:cs="Arial" w:eastAsia="Arial" w:hAnsi="Arial"/>
          <w:sz w:val="22"/>
          <w:szCs w:val="22"/>
          <w:color w:val="auto"/>
        </w:rPr>
      </w:pPr>
      <w:r>
        <w:rPr>
          <w:rFonts w:ascii="Arial" w:cs="Arial" w:eastAsia="Arial" w:hAnsi="Arial"/>
          <w:sz w:val="22"/>
          <w:szCs w:val="22"/>
          <w:color w:val="auto"/>
        </w:rPr>
        <w:t xml:space="preserve">$19 million higher distributions from investments; </w:t>
      </w:r>
      <w:r>
        <w:rPr>
          <w:rFonts w:ascii="Arial" w:cs="Arial" w:eastAsia="Arial" w:hAnsi="Arial"/>
          <w:sz w:val="22"/>
          <w:szCs w:val="22"/>
          <w:b w:val="1"/>
          <w:bCs w:val="1"/>
          <w:color w:val="auto"/>
        </w:rPr>
        <w:t>offset by</w:t>
      </w:r>
    </w:p>
    <w:p>
      <w:pPr>
        <w:spacing w:after="0" w:line="3" w:lineRule="exact"/>
        <w:rPr>
          <w:rFonts w:ascii="Arial" w:cs="Arial" w:eastAsia="Arial" w:hAnsi="Arial"/>
          <w:sz w:val="22"/>
          <w:szCs w:val="22"/>
          <w:color w:val="auto"/>
        </w:rPr>
      </w:pPr>
    </w:p>
    <w:p>
      <w:pPr>
        <w:ind w:left="180" w:right="1959" w:hanging="172"/>
        <w:spacing w:after="0" w:line="243" w:lineRule="auto"/>
        <w:tabs>
          <w:tab w:leader="none" w:pos="153" w:val="left"/>
        </w:tabs>
        <w:numPr>
          <w:ilvl w:val="0"/>
          <w:numId w:val="54"/>
        </w:numPr>
        <w:rPr>
          <w:rFonts w:ascii="Arial" w:cs="Arial" w:eastAsia="Arial" w:hAnsi="Arial"/>
          <w:sz w:val="21"/>
          <w:szCs w:val="21"/>
          <w:color w:val="auto"/>
        </w:rPr>
      </w:pPr>
      <w:r>
        <w:rPr>
          <w:rFonts w:ascii="Arial" w:cs="Arial" w:eastAsia="Arial" w:hAnsi="Arial"/>
          <w:sz w:val="21"/>
          <w:szCs w:val="21"/>
          <w:color w:val="auto"/>
        </w:rPr>
        <w:t>$40 million higher contributions to Rockies Express. The $65 million contribution in the first quarter of 2010 was the last required for the construction phase of the project.</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The increase in cash used in investing activities at SDG&amp;E in 2010 was due to:</w:t>
      </w:r>
    </w:p>
    <w:p>
      <w:pPr>
        <w:spacing w:after="0" w:line="10" w:lineRule="exact"/>
        <w:rPr>
          <w:sz w:val="20"/>
          <w:szCs w:val="20"/>
          <w:color w:val="auto"/>
        </w:rPr>
      </w:pPr>
    </w:p>
    <w:p>
      <w:pPr>
        <w:jc w:val="both"/>
        <w:ind w:left="180" w:right="1899" w:hanging="172"/>
        <w:spacing w:after="0" w:line="267" w:lineRule="auto"/>
        <w:tabs>
          <w:tab w:leader="none" w:pos="153" w:val="left"/>
        </w:tabs>
        <w:numPr>
          <w:ilvl w:val="0"/>
          <w:numId w:val="55"/>
        </w:numPr>
        <w:rPr>
          <w:rFonts w:ascii="Arial" w:cs="Arial" w:eastAsia="Arial" w:hAnsi="Arial"/>
          <w:sz w:val="19"/>
          <w:szCs w:val="19"/>
          <w:color w:val="auto"/>
        </w:rPr>
      </w:pPr>
      <w:r>
        <w:rPr>
          <w:rFonts w:ascii="Arial" w:cs="Arial" w:eastAsia="Arial" w:hAnsi="Arial"/>
          <w:sz w:val="19"/>
          <w:szCs w:val="19"/>
          <w:color w:val="auto"/>
        </w:rPr>
        <w:t>a $61 million net increase in capital expenditures (an $82 million increase at SDG&amp;E and a $6 million increase at Orange Grove VIE, offset by a decrease of $27 million at Otay Mesa VIE);</w:t>
      </w:r>
    </w:p>
    <w:p>
      <w:pPr>
        <w:ind w:left="140" w:hanging="132"/>
        <w:spacing w:after="0"/>
        <w:tabs>
          <w:tab w:leader="none" w:pos="140" w:val="left"/>
        </w:tabs>
        <w:numPr>
          <w:ilvl w:val="0"/>
          <w:numId w:val="55"/>
        </w:numPr>
        <w:rPr>
          <w:rFonts w:ascii="Arial" w:cs="Arial" w:eastAsia="Arial" w:hAnsi="Arial"/>
          <w:sz w:val="22"/>
          <w:szCs w:val="22"/>
          <w:color w:val="auto"/>
        </w:rPr>
      </w:pPr>
      <w:r>
        <w:rPr>
          <w:rFonts w:ascii="Arial" w:cs="Arial" w:eastAsia="Arial" w:hAnsi="Arial"/>
          <w:sz w:val="22"/>
          <w:szCs w:val="22"/>
          <w:color w:val="auto"/>
        </w:rPr>
        <w:t>a $31 million lower decrease in loans to affiliates; and</w:t>
      </w:r>
    </w:p>
    <w:p>
      <w:pPr>
        <w:spacing w:after="0" w:line="3" w:lineRule="exact"/>
        <w:rPr>
          <w:rFonts w:ascii="Arial" w:cs="Arial" w:eastAsia="Arial" w:hAnsi="Arial"/>
          <w:sz w:val="22"/>
          <w:szCs w:val="22"/>
          <w:color w:val="auto"/>
        </w:rPr>
      </w:pPr>
    </w:p>
    <w:p>
      <w:pPr>
        <w:ind w:left="140" w:hanging="132"/>
        <w:spacing w:after="0"/>
        <w:tabs>
          <w:tab w:leader="none" w:pos="140" w:val="left"/>
        </w:tabs>
        <w:numPr>
          <w:ilvl w:val="0"/>
          <w:numId w:val="55"/>
        </w:numPr>
        <w:rPr>
          <w:rFonts w:ascii="Arial" w:cs="Arial" w:eastAsia="Arial" w:hAnsi="Arial"/>
          <w:sz w:val="22"/>
          <w:szCs w:val="22"/>
          <w:color w:val="auto"/>
        </w:rPr>
      </w:pPr>
      <w:r>
        <w:rPr>
          <w:rFonts w:ascii="Arial" w:cs="Arial" w:eastAsia="Arial" w:hAnsi="Arial"/>
          <w:sz w:val="22"/>
          <w:szCs w:val="22"/>
          <w:color w:val="auto"/>
        </w:rPr>
        <w:t>a $9 million increase in restricted cash at Otay Mesa VIE.</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PE and SoCalGas</w:t>
      </w:r>
    </w:p>
    <w:p>
      <w:pPr>
        <w:spacing w:after="0" w:line="20" w:lineRule="exact"/>
        <w:rPr>
          <w:sz w:val="20"/>
          <w:szCs w:val="20"/>
          <w:color w:val="auto"/>
        </w:rPr>
      </w:pPr>
    </w:p>
    <w:p>
      <w:pPr>
        <w:ind w:right="519"/>
        <w:spacing w:after="0" w:line="227" w:lineRule="auto"/>
        <w:rPr>
          <w:sz w:val="20"/>
          <w:szCs w:val="20"/>
          <w:color w:val="auto"/>
        </w:rPr>
      </w:pPr>
      <w:r>
        <w:rPr>
          <w:rFonts w:ascii="Arial" w:cs="Arial" w:eastAsia="Arial" w:hAnsi="Arial"/>
          <w:sz w:val="22"/>
          <w:szCs w:val="22"/>
          <w:color w:val="auto"/>
        </w:rPr>
        <w:t>Cash used in investing activities at PE and SoCalGas increased in 2010 primarily due to an increase in advances from SoCalGas to Sempra Energy of $156 million in 2010.</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FUTURE CONSTRUCTION EXPENDITURES AND INVESTMENTS</w:t>
      </w:r>
    </w:p>
    <w:p>
      <w:pPr>
        <w:sectPr>
          <w:pgSz w:w="11900" w:h="16838" w:orient="portrait"/>
          <w:cols w:equalWidth="0" w:num="1">
            <w:col w:w="10219"/>
          </w:cols>
          <w:pgMar w:left="240" w:top="121" w:right="1440" w:bottom="0" w:gutter="0" w:footer="0" w:header="0"/>
        </w:sectPr>
      </w:pPr>
    </w:p>
    <w:bookmarkStart w:id="78" w:name="page79"/>
    <w:bookmarkEnd w:id="78"/>
    <w:p>
      <w:pPr>
        <w:spacing w:after="0" w:line="134" w:lineRule="exact"/>
        <w:rPr>
          <w:sz w:val="20"/>
          <w:szCs w:val="20"/>
          <w:color w:val="auto"/>
        </w:rPr>
      </w:pPr>
    </w:p>
    <w:p>
      <w:pPr>
        <w:jc w:val="both"/>
        <w:ind w:right="839"/>
        <w:spacing w:after="0" w:line="223" w:lineRule="auto"/>
        <w:rPr>
          <w:sz w:val="20"/>
          <w:szCs w:val="20"/>
          <w:color w:val="auto"/>
        </w:rPr>
      </w:pPr>
      <w:r>
        <w:rPr>
          <w:rFonts w:ascii="Arial" w:cs="Arial" w:eastAsia="Arial" w:hAnsi="Arial"/>
          <w:sz w:val="22"/>
          <w:szCs w:val="22"/>
          <w:color w:val="auto"/>
        </w:rPr>
        <w:t>The amounts and timing of capital expenditures are generally subject to approvals by the CPUC, the Federal Energy Regulatory Commission (FERC) and other regulatory bodies. However, in 2010, we expect to make capital expenditures and investments of $3 billion, including:</w:t>
      </w:r>
    </w:p>
    <w:p>
      <w:pPr>
        <w:spacing w:after="0" w:line="3" w:lineRule="exact"/>
        <w:rPr>
          <w:sz w:val="20"/>
          <w:szCs w:val="20"/>
          <w:color w:val="auto"/>
        </w:rPr>
      </w:pPr>
    </w:p>
    <w:p>
      <w:pPr>
        <w:ind w:left="180" w:right="2999" w:hanging="172"/>
        <w:spacing w:after="0" w:line="234" w:lineRule="auto"/>
        <w:tabs>
          <w:tab w:leader="none" w:pos="153" w:val="left"/>
        </w:tabs>
        <w:numPr>
          <w:ilvl w:val="0"/>
          <w:numId w:val="56"/>
        </w:numPr>
        <w:rPr>
          <w:rFonts w:ascii="Arial" w:cs="Arial" w:eastAsia="Arial" w:hAnsi="Arial"/>
          <w:sz w:val="21"/>
          <w:szCs w:val="21"/>
          <w:color w:val="auto"/>
        </w:rPr>
      </w:pPr>
      <w:r>
        <w:rPr>
          <w:rFonts w:ascii="Arial" w:cs="Arial" w:eastAsia="Arial" w:hAnsi="Arial"/>
          <w:sz w:val="21"/>
          <w:szCs w:val="21"/>
          <w:color w:val="auto"/>
        </w:rPr>
        <w:t>$2.1 billion at the Sempra Utilities (excluding VIEs) for capital projects and plant improvements ($1.5 billion at SDG&amp;E and $600 million at SoCalGas)</w:t>
      </w:r>
    </w:p>
    <w:p>
      <w:pPr>
        <w:spacing w:after="0" w:line="1" w:lineRule="exact"/>
        <w:rPr>
          <w:rFonts w:ascii="Arial" w:cs="Arial" w:eastAsia="Arial" w:hAnsi="Arial"/>
          <w:sz w:val="21"/>
          <w:szCs w:val="21"/>
          <w:color w:val="auto"/>
        </w:rPr>
      </w:pPr>
    </w:p>
    <w:p>
      <w:pPr>
        <w:ind w:left="180" w:right="1959" w:hanging="172"/>
        <w:spacing w:after="0" w:line="230" w:lineRule="auto"/>
        <w:tabs>
          <w:tab w:leader="none" w:pos="153" w:val="left"/>
        </w:tabs>
        <w:numPr>
          <w:ilvl w:val="0"/>
          <w:numId w:val="56"/>
        </w:numPr>
        <w:rPr>
          <w:rFonts w:ascii="Arial" w:cs="Arial" w:eastAsia="Arial" w:hAnsi="Arial"/>
          <w:sz w:val="22"/>
          <w:szCs w:val="22"/>
          <w:color w:val="auto"/>
        </w:rPr>
      </w:pPr>
      <w:r>
        <w:rPr>
          <w:rFonts w:ascii="Arial" w:cs="Arial" w:eastAsia="Arial" w:hAnsi="Arial"/>
          <w:sz w:val="22"/>
          <w:szCs w:val="22"/>
          <w:color w:val="auto"/>
        </w:rPr>
        <w:t>$900 million at our other subsidiaries for the development of natural gas storage facilities and pipelines, and renewable generation projects</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color w:val="auto"/>
        </w:rPr>
        <w:t>The Sempra Utilities expect the capital expenditures to include:</w:t>
      </w:r>
    </w:p>
    <w:p>
      <w:pPr>
        <w:spacing w:after="0" w:line="22" w:lineRule="exact"/>
        <w:rPr>
          <w:sz w:val="20"/>
          <w:szCs w:val="20"/>
          <w:color w:val="auto"/>
        </w:rPr>
      </w:pPr>
    </w:p>
    <w:p>
      <w:pPr>
        <w:ind w:left="180" w:right="1899" w:hanging="172"/>
        <w:spacing w:after="0" w:line="224" w:lineRule="auto"/>
        <w:tabs>
          <w:tab w:leader="none" w:pos="153" w:val="left"/>
        </w:tabs>
        <w:numPr>
          <w:ilvl w:val="0"/>
          <w:numId w:val="57"/>
        </w:numPr>
        <w:rPr>
          <w:rFonts w:ascii="Arial" w:cs="Arial" w:eastAsia="Arial" w:hAnsi="Arial"/>
          <w:sz w:val="22"/>
          <w:szCs w:val="22"/>
          <w:color w:val="auto"/>
        </w:rPr>
      </w:pPr>
      <w:r>
        <w:rPr>
          <w:rFonts w:ascii="Arial" w:cs="Arial" w:eastAsia="Arial" w:hAnsi="Arial"/>
          <w:sz w:val="22"/>
          <w:szCs w:val="22"/>
          <w:color w:val="auto"/>
        </w:rPr>
        <w:t>$780 million for additions to SDG&amp;E’s natural gas and electric distribution systems, advanced metering infrastructure and electric generation plant and equipment</w:t>
      </w:r>
    </w:p>
    <w:p>
      <w:pPr>
        <w:ind w:left="180" w:right="1979" w:hanging="172"/>
        <w:spacing w:after="0" w:line="224" w:lineRule="auto"/>
        <w:tabs>
          <w:tab w:leader="none" w:pos="153" w:val="left"/>
        </w:tabs>
        <w:numPr>
          <w:ilvl w:val="0"/>
          <w:numId w:val="57"/>
        </w:numPr>
        <w:rPr>
          <w:rFonts w:ascii="Arial" w:cs="Arial" w:eastAsia="Arial" w:hAnsi="Arial"/>
          <w:sz w:val="22"/>
          <w:szCs w:val="22"/>
          <w:color w:val="auto"/>
        </w:rPr>
      </w:pPr>
      <w:r>
        <w:rPr>
          <w:rFonts w:ascii="Arial" w:cs="Arial" w:eastAsia="Arial" w:hAnsi="Arial"/>
          <w:sz w:val="22"/>
          <w:szCs w:val="22"/>
          <w:color w:val="auto"/>
        </w:rPr>
        <w:t>$600 million at SoCalGas for improvements to distribution and transmission systems, and for advanced metering infrastructure</w:t>
      </w:r>
    </w:p>
    <w:p>
      <w:pPr>
        <w:ind w:left="140" w:hanging="132"/>
        <w:spacing w:after="0"/>
        <w:tabs>
          <w:tab w:leader="none" w:pos="140" w:val="left"/>
        </w:tabs>
        <w:numPr>
          <w:ilvl w:val="0"/>
          <w:numId w:val="57"/>
        </w:numPr>
        <w:rPr>
          <w:rFonts w:ascii="Arial" w:cs="Arial" w:eastAsia="Arial" w:hAnsi="Arial"/>
          <w:sz w:val="22"/>
          <w:szCs w:val="22"/>
          <w:color w:val="auto"/>
        </w:rPr>
      </w:pPr>
      <w:r>
        <w:rPr>
          <w:rFonts w:ascii="Arial" w:cs="Arial" w:eastAsia="Arial" w:hAnsi="Arial"/>
          <w:sz w:val="22"/>
          <w:szCs w:val="22"/>
          <w:color w:val="auto"/>
        </w:rPr>
        <w:t>$540 million at SDG&amp;E for the Sunrise Powerlink transmission line</w:t>
      </w:r>
    </w:p>
    <w:p>
      <w:pPr>
        <w:spacing w:after="0" w:line="17" w:lineRule="exact"/>
        <w:rPr>
          <w:rFonts w:ascii="Arial" w:cs="Arial" w:eastAsia="Arial" w:hAnsi="Arial"/>
          <w:sz w:val="22"/>
          <w:szCs w:val="22"/>
          <w:color w:val="auto"/>
        </w:rPr>
      </w:pPr>
    </w:p>
    <w:p>
      <w:pPr>
        <w:ind w:left="140" w:hanging="132"/>
        <w:spacing w:after="0"/>
        <w:tabs>
          <w:tab w:leader="none" w:pos="140" w:val="left"/>
        </w:tabs>
        <w:numPr>
          <w:ilvl w:val="0"/>
          <w:numId w:val="57"/>
        </w:numPr>
        <w:rPr>
          <w:rFonts w:ascii="Arial" w:cs="Arial" w:eastAsia="Arial" w:hAnsi="Arial"/>
          <w:sz w:val="22"/>
          <w:szCs w:val="22"/>
          <w:color w:val="auto"/>
        </w:rPr>
      </w:pPr>
      <w:r>
        <w:rPr>
          <w:rFonts w:ascii="Arial" w:cs="Arial" w:eastAsia="Arial" w:hAnsi="Arial"/>
          <w:sz w:val="22"/>
          <w:szCs w:val="22"/>
          <w:color w:val="auto"/>
        </w:rPr>
        <w:t>$190 million for improvements to SDG&amp;E’s electric transmission infrastructure</w:t>
      </w:r>
    </w:p>
    <w:p>
      <w:pPr>
        <w:spacing w:after="0" w:line="80" w:lineRule="exact"/>
        <w:rPr>
          <w:sz w:val="20"/>
          <w:szCs w:val="20"/>
          <w:color w:val="auto"/>
        </w:rPr>
      </w:pPr>
    </w:p>
    <w:p>
      <w:pPr>
        <w:jc w:val="both"/>
        <w:ind w:right="839"/>
        <w:spacing w:after="0" w:line="223" w:lineRule="auto"/>
        <w:rPr>
          <w:sz w:val="20"/>
          <w:szCs w:val="20"/>
          <w:color w:val="auto"/>
        </w:rPr>
      </w:pPr>
      <w:r>
        <w:rPr>
          <w:rFonts w:ascii="Arial" w:cs="Arial" w:eastAsia="Arial" w:hAnsi="Arial"/>
          <w:sz w:val="22"/>
          <w:szCs w:val="22"/>
          <w:color w:val="auto"/>
        </w:rPr>
        <w:t>The Sempra Utilities expect to finance these expenditures and investments with cash flows from operations, cash on hand and debt issuances. These amounts do not include expected capital expenditures of Otay Mesa VIE and Orange Grove VIE.</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The expected capital expenditures of $900 million at our other subsidiaries include:</w:t>
      </w:r>
    </w:p>
    <w:p>
      <w:pPr>
        <w:spacing w:after="0" w:line="22" w:lineRule="exact"/>
        <w:rPr>
          <w:sz w:val="20"/>
          <w:szCs w:val="20"/>
          <w:color w:val="auto"/>
        </w:rPr>
      </w:pPr>
    </w:p>
    <w:p>
      <w:pPr>
        <w:ind w:left="180" w:right="1879" w:hanging="172"/>
        <w:spacing w:after="0" w:line="259" w:lineRule="auto"/>
        <w:tabs>
          <w:tab w:leader="none" w:pos="153" w:val="left"/>
        </w:tabs>
        <w:numPr>
          <w:ilvl w:val="0"/>
          <w:numId w:val="58"/>
        </w:numPr>
        <w:rPr>
          <w:rFonts w:ascii="Arial" w:cs="Arial" w:eastAsia="Arial" w:hAnsi="Arial"/>
          <w:sz w:val="19"/>
          <w:szCs w:val="19"/>
          <w:color w:val="auto"/>
        </w:rPr>
      </w:pPr>
      <w:r>
        <w:rPr>
          <w:rFonts w:ascii="Arial" w:cs="Arial" w:eastAsia="Arial" w:hAnsi="Arial"/>
          <w:sz w:val="19"/>
          <w:szCs w:val="19"/>
          <w:color w:val="auto"/>
        </w:rPr>
        <w:t>approximately $150 million to $250 million for Copper Mountain Solar (a 48-megawatt (MW) solar generation facility under construction by Sempra Generation in Boulder City, Nevada);</w:t>
      </w:r>
    </w:p>
    <w:p>
      <w:pPr>
        <w:spacing w:after="0" w:line="1" w:lineRule="exact"/>
        <w:rPr>
          <w:rFonts w:ascii="Arial" w:cs="Arial" w:eastAsia="Arial" w:hAnsi="Arial"/>
          <w:sz w:val="19"/>
          <w:szCs w:val="19"/>
          <w:color w:val="auto"/>
        </w:rPr>
      </w:pPr>
    </w:p>
    <w:p>
      <w:pPr>
        <w:ind w:left="180" w:right="1919" w:hanging="172"/>
        <w:spacing w:after="0" w:line="259" w:lineRule="auto"/>
        <w:tabs>
          <w:tab w:leader="none" w:pos="153" w:val="left"/>
        </w:tabs>
        <w:numPr>
          <w:ilvl w:val="0"/>
          <w:numId w:val="58"/>
        </w:numPr>
        <w:rPr>
          <w:rFonts w:ascii="Arial" w:cs="Arial" w:eastAsia="Arial" w:hAnsi="Arial"/>
          <w:sz w:val="19"/>
          <w:szCs w:val="19"/>
          <w:color w:val="auto"/>
        </w:rPr>
      </w:pPr>
      <w:r>
        <w:rPr>
          <w:rFonts w:ascii="Arial" w:cs="Arial" w:eastAsia="Arial" w:hAnsi="Arial"/>
          <w:sz w:val="19"/>
          <w:szCs w:val="19"/>
          <w:color w:val="auto"/>
        </w:rPr>
        <w:t>approximately $250 million to $300 million for Sempra Pipelines &amp; Storage’s development of natural gas storage projects at Liberty, Bay Gas and Mississippi Hub; and</w:t>
      </w:r>
    </w:p>
    <w:p>
      <w:pPr>
        <w:spacing w:after="0" w:line="1" w:lineRule="exact"/>
        <w:rPr>
          <w:rFonts w:ascii="Arial" w:cs="Arial" w:eastAsia="Arial" w:hAnsi="Arial"/>
          <w:sz w:val="19"/>
          <w:szCs w:val="19"/>
          <w:color w:val="auto"/>
        </w:rPr>
      </w:pPr>
    </w:p>
    <w:p>
      <w:pPr>
        <w:ind w:left="180" w:right="1859" w:hanging="172"/>
        <w:spacing w:after="0" w:line="222" w:lineRule="auto"/>
        <w:tabs>
          <w:tab w:leader="none" w:pos="153" w:val="left"/>
        </w:tabs>
        <w:numPr>
          <w:ilvl w:val="0"/>
          <w:numId w:val="58"/>
        </w:numPr>
        <w:rPr>
          <w:rFonts w:ascii="Arial" w:cs="Arial" w:eastAsia="Arial" w:hAnsi="Arial"/>
          <w:sz w:val="22"/>
          <w:szCs w:val="22"/>
          <w:color w:val="auto"/>
        </w:rPr>
      </w:pPr>
      <w:r>
        <w:rPr>
          <w:rFonts w:ascii="Arial" w:cs="Arial" w:eastAsia="Arial" w:hAnsi="Arial"/>
          <w:sz w:val="22"/>
          <w:szCs w:val="22"/>
          <w:color w:val="auto"/>
        </w:rPr>
        <w:t>$300 million for Sempra Pipelines &amp; Storage’s acquisition of Mexican pipeline and natural gas infrastructure assets that we discuss in Note 3 of the Notes to Condensed Consolidated Financial Statements herein.</w:t>
      </w:r>
    </w:p>
    <w:p>
      <w:pPr>
        <w:spacing w:after="0" w:line="77" w:lineRule="exact"/>
        <w:rPr>
          <w:sz w:val="20"/>
          <w:szCs w:val="20"/>
          <w:color w:val="auto"/>
        </w:rPr>
      </w:pPr>
    </w:p>
    <w:p>
      <w:pPr>
        <w:ind w:right="619"/>
        <w:spacing w:after="0" w:line="218" w:lineRule="auto"/>
        <w:rPr>
          <w:sz w:val="20"/>
          <w:szCs w:val="20"/>
          <w:color w:val="auto"/>
        </w:rPr>
      </w:pPr>
      <w:r>
        <w:rPr>
          <w:rFonts w:ascii="Arial" w:cs="Arial" w:eastAsia="Arial" w:hAnsi="Arial"/>
          <w:sz w:val="22"/>
          <w:szCs w:val="22"/>
          <w:color w:val="auto"/>
        </w:rPr>
        <w:t>Our level of capital expenditures and investments in the next few years may vary substantially and will depend on the cost and availability of financing, regulatory approvals and business opportunities providing desirable rates of return. We intend to finance our capital expenditures in a manner that will maintain our strong investment-grade ratings and capital structure.</w:t>
      </w: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color w:val="auto"/>
        </w:rPr>
        <w:t>CASH FLOWS FROM FINANCING ACTIVITIES</w:t>
      </w: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5308600" cy="2317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308600" cy="23177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0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2010</w:t>
            </w:r>
          </w:p>
        </w:tc>
        <w:tc>
          <w:tcPr>
            <w:tcW w:w="420" w:type="dxa"/>
            <w:vAlign w:val="bottom"/>
            <w:tcBorders>
              <w:bottom w:val="single" w:sz="8" w:color="auto"/>
              <w:right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80" w:type="dxa"/>
            <w:vAlign w:val="bottom"/>
            <w:tcBorders>
              <w:bottom w:val="single" w:sz="8" w:color="auto"/>
              <w:right w:val="single" w:sz="8" w:color="auto"/>
            </w:tcBorders>
            <w:gridSpan w:val="2"/>
          </w:tcPr>
          <w:p>
            <w:pPr>
              <w:jc w:val="right"/>
              <w:ind w:right="639"/>
              <w:spacing w:after="0"/>
              <w:rPr>
                <w:sz w:val="20"/>
                <w:szCs w:val="20"/>
                <w:color w:val="auto"/>
              </w:rPr>
            </w:pPr>
            <w:r>
              <w:rPr>
                <w:rFonts w:ascii="Arial" w:cs="Arial" w:eastAsia="Arial" w:hAnsi="Arial"/>
                <w:sz w:val="14"/>
                <w:szCs w:val="14"/>
                <w:color w:val="auto"/>
              </w:rPr>
              <w:t>2010 Change</w:t>
            </w: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color w:val="auto"/>
              </w:rPr>
              <w:t>2009</w:t>
            </w:r>
          </w:p>
        </w:tc>
      </w:tr>
      <w:tr>
        <w:trPr>
          <w:trHeight w:val="184"/>
        </w:trPr>
        <w:tc>
          <w:tcPr>
            <w:tcW w:w="3000" w:type="dxa"/>
            <w:vAlign w:val="bottom"/>
          </w:tcPr>
          <w:p>
            <w:pPr>
              <w:spacing w:after="0"/>
              <w:rPr>
                <w:sz w:val="20"/>
                <w:szCs w:val="20"/>
                <w:color w:val="auto"/>
              </w:rPr>
            </w:pPr>
            <w:r>
              <w:rPr>
                <w:rFonts w:ascii="Arial" w:cs="Arial" w:eastAsia="Arial" w:hAnsi="Arial"/>
                <w:sz w:val="16"/>
                <w:szCs w:val="16"/>
                <w:color w:val="auto"/>
              </w:rPr>
              <w:t>Sempra Energy Consolidated</w:t>
            </w:r>
          </w:p>
        </w:tc>
        <w:tc>
          <w:tcPr>
            <w:tcW w:w="1580" w:type="dxa"/>
            <w:vAlign w:val="bottom"/>
          </w:tcPr>
          <w:p>
            <w:pPr>
              <w:jc w:val="right"/>
              <w:ind w:right="563"/>
              <w:spacing w:after="0"/>
              <w:rPr>
                <w:sz w:val="20"/>
                <w:szCs w:val="20"/>
                <w:color w:val="auto"/>
              </w:rPr>
            </w:pPr>
            <w:r>
              <w:rPr>
                <w:rFonts w:ascii="Arial" w:cs="Arial" w:eastAsia="Arial" w:hAnsi="Arial"/>
                <w:sz w:val="16"/>
                <w:szCs w:val="16"/>
                <w:color w:val="auto"/>
              </w:rPr>
              <w:t>$</w:t>
            </w:r>
          </w:p>
        </w:tc>
        <w:tc>
          <w:tcPr>
            <w:tcW w:w="4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(280)</w:t>
            </w: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(52)</w:t>
            </w: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(23)  %</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(228)</w:t>
            </w:r>
          </w:p>
        </w:tc>
      </w:tr>
      <w:tr>
        <w:trPr>
          <w:trHeight w:val="189"/>
        </w:trPr>
        <w:tc>
          <w:tcPr>
            <w:tcW w:w="3000" w:type="dxa"/>
            <w:vAlign w:val="bottom"/>
          </w:tcPr>
          <w:p>
            <w:pPr>
              <w:spacing w:after="0"/>
              <w:rPr>
                <w:sz w:val="20"/>
                <w:szCs w:val="20"/>
                <w:color w:val="auto"/>
              </w:rPr>
            </w:pPr>
            <w:r>
              <w:rPr>
                <w:rFonts w:ascii="Arial" w:cs="Arial" w:eastAsia="Arial" w:hAnsi="Arial"/>
                <w:sz w:val="16"/>
                <w:szCs w:val="16"/>
                <w:color w:val="auto"/>
              </w:rPr>
              <w:t>SDG&amp;E</w:t>
            </w:r>
          </w:p>
        </w:tc>
        <w:tc>
          <w:tcPr>
            <w:tcW w:w="1580" w:type="dxa"/>
            <w:vAlign w:val="bottom"/>
          </w:tcPr>
          <w:p>
            <w:pPr>
              <w:spacing w:after="0"/>
              <w:rPr>
                <w:sz w:val="16"/>
                <w:szCs w:val="16"/>
                <w:color w:val="auto"/>
              </w:rPr>
            </w:pPr>
          </w:p>
        </w:tc>
        <w:tc>
          <w:tcPr>
            <w:tcW w:w="4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380" w:type="dxa"/>
            <w:vAlign w:val="bottom"/>
          </w:tcPr>
          <w:p>
            <w:pPr>
              <w:spacing w:after="0"/>
              <w:rPr>
                <w:sz w:val="16"/>
                <w:szCs w:val="16"/>
                <w:color w:val="auto"/>
              </w:rPr>
            </w:pPr>
          </w:p>
        </w:tc>
        <w:tc>
          <w:tcPr>
            <w:tcW w:w="840" w:type="dxa"/>
            <w:vAlign w:val="bottom"/>
          </w:tcPr>
          <w:p>
            <w:pPr>
              <w:jc w:val="right"/>
              <w:ind w:right="81"/>
              <w:spacing w:after="0"/>
              <w:rPr>
                <w:sz w:val="20"/>
                <w:szCs w:val="20"/>
                <w:color w:val="auto"/>
              </w:rPr>
            </w:pPr>
            <w:r>
              <w:rPr>
                <w:rFonts w:ascii="Arial" w:cs="Arial" w:eastAsia="Arial" w:hAnsi="Arial"/>
                <w:sz w:val="16"/>
                <w:szCs w:val="16"/>
                <w:color w:val="auto"/>
              </w:rPr>
              <w:t>53</w:t>
            </w:r>
          </w:p>
        </w:tc>
        <w:tc>
          <w:tcPr>
            <w:tcW w:w="104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color w:val="auto"/>
              </w:rPr>
              <w:t>196</w:t>
            </w: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187"/>
        </w:trPr>
        <w:tc>
          <w:tcPr>
            <w:tcW w:w="3000" w:type="dxa"/>
            <w:vAlign w:val="bottom"/>
          </w:tcPr>
          <w:p>
            <w:pPr>
              <w:spacing w:after="0"/>
              <w:rPr>
                <w:sz w:val="20"/>
                <w:szCs w:val="20"/>
                <w:color w:val="auto"/>
              </w:rPr>
            </w:pPr>
            <w:r>
              <w:rPr>
                <w:rFonts w:ascii="Arial" w:cs="Arial" w:eastAsia="Arial" w:hAnsi="Arial"/>
                <w:sz w:val="16"/>
                <w:szCs w:val="16"/>
                <w:color w:val="auto"/>
              </w:rPr>
              <w:t>PE</w:t>
            </w:r>
          </w:p>
        </w:tc>
        <w:tc>
          <w:tcPr>
            <w:tcW w:w="1580" w:type="dxa"/>
            <w:vAlign w:val="bottom"/>
          </w:tcPr>
          <w:p>
            <w:pPr>
              <w:spacing w:after="0"/>
              <w:rPr>
                <w:sz w:val="16"/>
                <w:szCs w:val="16"/>
                <w:color w:val="auto"/>
              </w:rPr>
            </w:pPr>
          </w:p>
        </w:tc>
        <w:tc>
          <w:tcPr>
            <w:tcW w:w="4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(101)</w:t>
            </w:r>
          </w:p>
        </w:tc>
        <w:tc>
          <w:tcPr>
            <w:tcW w:w="380" w:type="dxa"/>
            <w:vAlign w:val="bottom"/>
          </w:tcPr>
          <w:p>
            <w:pPr>
              <w:spacing w:after="0"/>
              <w:rPr>
                <w:sz w:val="16"/>
                <w:szCs w:val="16"/>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(100)</w:t>
            </w:r>
          </w:p>
        </w:tc>
        <w:tc>
          <w:tcPr>
            <w:tcW w:w="1040" w:type="dxa"/>
            <w:vAlign w:val="bottom"/>
            <w:tcBorders>
              <w:right w:val="single" w:sz="8" w:color="auto"/>
            </w:tcBorders>
          </w:tcPr>
          <w:p>
            <w:pPr>
              <w:jc w:val="right"/>
              <w:ind w:right="239"/>
              <w:spacing w:after="0"/>
              <w:rPr>
                <w:sz w:val="20"/>
                <w:szCs w:val="20"/>
                <w:color w:val="auto"/>
              </w:rPr>
            </w:pPr>
            <w:r>
              <w:rPr>
                <w:rFonts w:ascii="Arial" w:cs="Arial" w:eastAsia="Arial" w:hAnsi="Arial"/>
                <w:sz w:val="16"/>
                <w:szCs w:val="16"/>
                <w:color w:val="auto"/>
              </w:rPr>
              <w:t>(10,000)</w:t>
            </w: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189"/>
        </w:trPr>
        <w:tc>
          <w:tcPr>
            <w:tcW w:w="3000" w:type="dxa"/>
            <w:vAlign w:val="bottom"/>
          </w:tcPr>
          <w:p>
            <w:pPr>
              <w:spacing w:after="0"/>
              <w:rPr>
                <w:sz w:val="20"/>
                <w:szCs w:val="20"/>
                <w:color w:val="auto"/>
              </w:rPr>
            </w:pPr>
            <w:r>
              <w:rPr>
                <w:rFonts w:ascii="Arial" w:cs="Arial" w:eastAsia="Arial" w:hAnsi="Arial"/>
                <w:sz w:val="16"/>
                <w:szCs w:val="16"/>
                <w:color w:val="auto"/>
              </w:rPr>
              <w:t>SoCalGas</w:t>
            </w:r>
          </w:p>
        </w:tc>
        <w:tc>
          <w:tcPr>
            <w:tcW w:w="15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(100)</w:t>
            </w:r>
          </w:p>
        </w:tc>
        <w:tc>
          <w:tcPr>
            <w:tcW w:w="380" w:type="dxa"/>
            <w:vAlign w:val="bottom"/>
          </w:tcPr>
          <w:p>
            <w:pPr>
              <w:spacing w:after="0"/>
              <w:rPr>
                <w:sz w:val="16"/>
                <w:szCs w:val="16"/>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(100)</w:t>
            </w:r>
          </w:p>
        </w:tc>
        <w:tc>
          <w:tcPr>
            <w:tcW w:w="10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81"/>
        </w:trPr>
        <w:tc>
          <w:tcPr>
            <w:tcW w:w="3000" w:type="dxa"/>
            <w:vAlign w:val="bottom"/>
            <w:shd w:val="clear" w:color="auto" w:fill="DFDFDF"/>
          </w:tcPr>
          <w:p>
            <w:pPr>
              <w:spacing w:after="0"/>
              <w:rPr>
                <w:sz w:val="7"/>
                <w:szCs w:val="7"/>
                <w:color w:val="auto"/>
              </w:rPr>
            </w:pPr>
          </w:p>
        </w:tc>
        <w:tc>
          <w:tcPr>
            <w:tcW w:w="1580" w:type="dxa"/>
            <w:vAlign w:val="bottom"/>
            <w:shd w:val="clear" w:color="auto" w:fill="DFDFDF"/>
          </w:tcPr>
          <w:p>
            <w:pPr>
              <w:spacing w:after="0"/>
              <w:rPr>
                <w:sz w:val="7"/>
                <w:szCs w:val="7"/>
                <w:color w:val="auto"/>
              </w:rPr>
            </w:pPr>
          </w:p>
        </w:tc>
        <w:tc>
          <w:tcPr>
            <w:tcW w:w="420" w:type="dxa"/>
            <w:vAlign w:val="bottom"/>
            <w:tcBorders>
              <w:right w:val="single" w:sz="8" w:color="DFDFDF"/>
            </w:tcBorders>
            <w:shd w:val="clear" w:color="auto" w:fill="DFDFDF"/>
          </w:tcPr>
          <w:p>
            <w:pPr>
              <w:spacing w:after="0"/>
              <w:rPr>
                <w:sz w:val="7"/>
                <w:szCs w:val="7"/>
                <w:color w:val="auto"/>
              </w:rPr>
            </w:pPr>
          </w:p>
        </w:tc>
        <w:tc>
          <w:tcPr>
            <w:tcW w:w="380" w:type="dxa"/>
            <w:vAlign w:val="bottom"/>
            <w:shd w:val="clear" w:color="auto" w:fill="DFDFDF"/>
          </w:tcPr>
          <w:p>
            <w:pPr>
              <w:spacing w:after="0"/>
              <w:rPr>
                <w:sz w:val="7"/>
                <w:szCs w:val="7"/>
                <w:color w:val="auto"/>
              </w:rPr>
            </w:pPr>
          </w:p>
        </w:tc>
        <w:tc>
          <w:tcPr>
            <w:tcW w:w="840" w:type="dxa"/>
            <w:vAlign w:val="bottom"/>
            <w:shd w:val="clear" w:color="auto" w:fill="DFDFDF"/>
          </w:tcPr>
          <w:p>
            <w:pPr>
              <w:spacing w:after="0"/>
              <w:rPr>
                <w:sz w:val="7"/>
                <w:szCs w:val="7"/>
                <w:color w:val="auto"/>
              </w:rPr>
            </w:pPr>
          </w:p>
        </w:tc>
        <w:tc>
          <w:tcPr>
            <w:tcW w:w="1040" w:type="dxa"/>
            <w:vAlign w:val="bottom"/>
            <w:tcBorders>
              <w:right w:val="single" w:sz="8" w:color="DFDFDF"/>
            </w:tcBorders>
            <w:shd w:val="clear" w:color="auto" w:fill="DFDFDF"/>
          </w:tcPr>
          <w:p>
            <w:pPr>
              <w:spacing w:after="0"/>
              <w:rPr>
                <w:sz w:val="7"/>
                <w:szCs w:val="7"/>
                <w:color w:val="auto"/>
              </w:rPr>
            </w:pPr>
          </w:p>
        </w:tc>
        <w:tc>
          <w:tcPr>
            <w:tcW w:w="220" w:type="dxa"/>
            <w:vAlign w:val="bottom"/>
            <w:shd w:val="clear" w:color="auto" w:fill="DFDFDF"/>
          </w:tcPr>
          <w:p>
            <w:pPr>
              <w:spacing w:after="0"/>
              <w:rPr>
                <w:sz w:val="7"/>
                <w:szCs w:val="7"/>
                <w:color w:val="auto"/>
              </w:rPr>
            </w:pPr>
          </w:p>
        </w:tc>
        <w:tc>
          <w:tcPr>
            <w:tcW w:w="880" w:type="dxa"/>
            <w:vAlign w:val="bottom"/>
            <w:shd w:val="clear" w:color="auto" w:fill="DFDFDF"/>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3148330</wp:posOffset>
            </wp:positionH>
            <wp:positionV relativeFrom="paragraph">
              <wp:posOffset>-183515</wp:posOffset>
            </wp:positionV>
            <wp:extent cx="210185" cy="1968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10185" cy="196850"/>
                    </a:xfrm>
                    <a:prstGeom prst="rect">
                      <a:avLst/>
                    </a:prstGeom>
                    <a:noFill/>
                  </pic:spPr>
                </pic:pic>
              </a:graphicData>
            </a:graphic>
          </wp:anchor>
        </w:drawing>
        <w:drawing>
          <wp:anchor simplePos="0" relativeHeight="251657728" behindDoc="1" locked="0" layoutInCell="0" allowOverlap="1">
            <wp:simplePos x="0" y="0"/>
            <wp:positionH relativeFrom="column">
              <wp:posOffset>4580255</wp:posOffset>
            </wp:positionH>
            <wp:positionV relativeFrom="paragraph">
              <wp:posOffset>-183515</wp:posOffset>
            </wp:positionV>
            <wp:extent cx="210185" cy="1968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10185" cy="19685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 Consolidated</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Cash used in financing activities at Sempra Energy in 2010 increased primarily due to:</w:t>
      </w:r>
    </w:p>
    <w:p>
      <w:pPr>
        <w:spacing w:after="0" w:line="22" w:lineRule="exact"/>
        <w:rPr>
          <w:sz w:val="20"/>
          <w:szCs w:val="20"/>
          <w:color w:val="auto"/>
        </w:rPr>
      </w:pPr>
    </w:p>
    <w:p>
      <w:pPr>
        <w:ind w:left="140" w:hanging="132"/>
        <w:spacing w:after="0"/>
        <w:tabs>
          <w:tab w:leader="none" w:pos="140" w:val="left"/>
        </w:tabs>
        <w:numPr>
          <w:ilvl w:val="0"/>
          <w:numId w:val="59"/>
        </w:numPr>
        <w:rPr>
          <w:rFonts w:ascii="Arial" w:cs="Arial" w:eastAsia="Arial" w:hAnsi="Arial"/>
          <w:sz w:val="22"/>
          <w:szCs w:val="22"/>
          <w:color w:val="auto"/>
        </w:rPr>
      </w:pPr>
      <w:r>
        <w:rPr>
          <w:rFonts w:ascii="Arial" w:cs="Arial" w:eastAsia="Arial" w:hAnsi="Arial"/>
          <w:sz w:val="22"/>
          <w:szCs w:val="22"/>
          <w:color w:val="auto"/>
        </w:rPr>
        <w:t xml:space="preserve">$501 million higher debt payments; </w:t>
      </w:r>
      <w:r>
        <w:rPr>
          <w:rFonts w:ascii="Arial" w:cs="Arial" w:eastAsia="Arial" w:hAnsi="Arial"/>
          <w:sz w:val="22"/>
          <w:szCs w:val="22"/>
          <w:b w:val="1"/>
          <w:bCs w:val="1"/>
          <w:color w:val="auto"/>
        </w:rPr>
        <w:t>offset by</w:t>
      </w:r>
    </w:p>
    <w:p>
      <w:pPr>
        <w:spacing w:after="0" w:line="3" w:lineRule="exact"/>
        <w:rPr>
          <w:rFonts w:ascii="Arial" w:cs="Arial" w:eastAsia="Arial" w:hAnsi="Arial"/>
          <w:sz w:val="22"/>
          <w:szCs w:val="22"/>
          <w:color w:val="auto"/>
        </w:rPr>
      </w:pPr>
    </w:p>
    <w:p>
      <w:pPr>
        <w:ind w:left="180" w:right="1839" w:hanging="172"/>
        <w:spacing w:after="0" w:line="224" w:lineRule="auto"/>
        <w:tabs>
          <w:tab w:leader="none" w:pos="153" w:val="left"/>
        </w:tabs>
        <w:numPr>
          <w:ilvl w:val="0"/>
          <w:numId w:val="59"/>
        </w:numPr>
        <w:rPr>
          <w:rFonts w:ascii="Arial" w:cs="Arial" w:eastAsia="Arial" w:hAnsi="Arial"/>
          <w:sz w:val="22"/>
          <w:szCs w:val="22"/>
          <w:color w:val="auto"/>
        </w:rPr>
      </w:pPr>
      <w:r>
        <w:rPr>
          <w:rFonts w:ascii="Arial" w:cs="Arial" w:eastAsia="Arial" w:hAnsi="Arial"/>
          <w:sz w:val="22"/>
          <w:szCs w:val="22"/>
          <w:color w:val="auto"/>
        </w:rPr>
        <w:t>a $294 million increase in short-term debt in 2010 compared to a $77 million decrease in 2009; and</w:t>
      </w:r>
    </w:p>
    <w:p>
      <w:pPr>
        <w:ind w:left="180" w:right="1839" w:hanging="172"/>
        <w:spacing w:after="0" w:line="230" w:lineRule="auto"/>
        <w:tabs>
          <w:tab w:leader="none" w:pos="153" w:val="left"/>
        </w:tabs>
        <w:numPr>
          <w:ilvl w:val="0"/>
          <w:numId w:val="59"/>
        </w:numPr>
        <w:rPr>
          <w:rFonts w:ascii="Arial" w:cs="Arial" w:eastAsia="Arial" w:hAnsi="Arial"/>
          <w:sz w:val="22"/>
          <w:szCs w:val="22"/>
          <w:color w:val="auto"/>
        </w:rPr>
      </w:pPr>
      <w:r>
        <w:rPr>
          <w:rFonts w:ascii="Arial" w:cs="Arial" w:eastAsia="Arial" w:hAnsi="Arial"/>
          <w:sz w:val="22"/>
          <w:szCs w:val="22"/>
          <w:color w:val="auto"/>
        </w:rPr>
        <w:t>$94 million for the purchase of the remaining 40-percent ownership interest in Mississippi Hub in 2009.</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Cash from financing activities at SDG&amp;E increased primarily due to:</w:t>
      </w:r>
    </w:p>
    <w:p>
      <w:pPr>
        <w:spacing w:after="0" w:line="22" w:lineRule="exact"/>
        <w:rPr>
          <w:sz w:val="20"/>
          <w:szCs w:val="20"/>
          <w:color w:val="auto"/>
        </w:rPr>
      </w:pPr>
    </w:p>
    <w:p>
      <w:pPr>
        <w:ind w:left="140" w:hanging="132"/>
        <w:spacing w:after="0"/>
        <w:tabs>
          <w:tab w:leader="none" w:pos="140" w:val="left"/>
        </w:tabs>
        <w:numPr>
          <w:ilvl w:val="0"/>
          <w:numId w:val="60"/>
        </w:numPr>
        <w:rPr>
          <w:rFonts w:ascii="Arial" w:cs="Arial" w:eastAsia="Arial" w:hAnsi="Arial"/>
          <w:sz w:val="22"/>
          <w:szCs w:val="22"/>
          <w:color w:val="auto"/>
        </w:rPr>
      </w:pPr>
      <w:r>
        <w:rPr>
          <w:rFonts w:ascii="Arial" w:cs="Arial" w:eastAsia="Arial" w:hAnsi="Arial"/>
          <w:sz w:val="22"/>
          <w:szCs w:val="22"/>
          <w:color w:val="auto"/>
        </w:rPr>
        <w:t xml:space="preserve">a $150 million dividend paid to Sempra Energy in 2009; </w:t>
      </w:r>
      <w:r>
        <w:rPr>
          <w:rFonts w:ascii="Arial" w:cs="Arial" w:eastAsia="Arial" w:hAnsi="Arial"/>
          <w:sz w:val="22"/>
          <w:szCs w:val="22"/>
          <w:b w:val="1"/>
          <w:bCs w:val="1"/>
          <w:color w:val="auto"/>
        </w:rPr>
        <w:t>offset by</w:t>
      </w:r>
    </w:p>
    <w:p>
      <w:pPr>
        <w:spacing w:after="0" w:line="3" w:lineRule="exact"/>
        <w:rPr>
          <w:rFonts w:ascii="Arial" w:cs="Arial" w:eastAsia="Arial" w:hAnsi="Arial"/>
          <w:sz w:val="22"/>
          <w:szCs w:val="22"/>
          <w:color w:val="auto"/>
        </w:rPr>
      </w:pPr>
    </w:p>
    <w:p>
      <w:pPr>
        <w:ind w:left="140" w:hanging="132"/>
        <w:spacing w:after="0"/>
        <w:tabs>
          <w:tab w:leader="none" w:pos="140" w:val="left"/>
        </w:tabs>
        <w:numPr>
          <w:ilvl w:val="0"/>
          <w:numId w:val="60"/>
        </w:numPr>
        <w:rPr>
          <w:rFonts w:ascii="Arial" w:cs="Arial" w:eastAsia="Arial" w:hAnsi="Arial"/>
          <w:sz w:val="22"/>
          <w:szCs w:val="22"/>
          <w:color w:val="auto"/>
        </w:rPr>
      </w:pPr>
      <w:r>
        <w:rPr>
          <w:rFonts w:ascii="Arial" w:cs="Arial" w:eastAsia="Arial" w:hAnsi="Arial"/>
          <w:sz w:val="22"/>
          <w:szCs w:val="22"/>
          <w:color w:val="auto"/>
        </w:rPr>
        <w:t>a $71 million lower increase in short-term debt; and</w:t>
      </w:r>
    </w:p>
    <w:p>
      <w:pPr>
        <w:spacing w:after="0" w:line="17" w:lineRule="exact"/>
        <w:rPr>
          <w:rFonts w:ascii="Arial" w:cs="Arial" w:eastAsia="Arial" w:hAnsi="Arial"/>
          <w:sz w:val="22"/>
          <w:szCs w:val="22"/>
          <w:color w:val="auto"/>
        </w:rPr>
      </w:pPr>
    </w:p>
    <w:p>
      <w:pPr>
        <w:ind w:left="140" w:hanging="132"/>
        <w:spacing w:after="0"/>
        <w:tabs>
          <w:tab w:leader="none" w:pos="140" w:val="left"/>
        </w:tabs>
        <w:numPr>
          <w:ilvl w:val="0"/>
          <w:numId w:val="60"/>
        </w:numPr>
        <w:rPr>
          <w:rFonts w:ascii="Arial" w:cs="Arial" w:eastAsia="Arial" w:hAnsi="Arial"/>
          <w:sz w:val="22"/>
          <w:szCs w:val="22"/>
          <w:color w:val="auto"/>
        </w:rPr>
      </w:pPr>
      <w:r>
        <w:rPr>
          <w:rFonts w:ascii="Arial" w:cs="Arial" w:eastAsia="Arial" w:hAnsi="Arial"/>
          <w:sz w:val="22"/>
          <w:szCs w:val="22"/>
          <w:color w:val="auto"/>
        </w:rPr>
        <w:t>$19 million lower issuances of long-term debt.</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PE and SoCalGas</w:t>
      </w:r>
    </w:p>
    <w:p>
      <w:pPr>
        <w:spacing w:after="0" w:line="20" w:lineRule="exact"/>
        <w:rPr>
          <w:sz w:val="20"/>
          <w:szCs w:val="20"/>
          <w:color w:val="auto"/>
        </w:rPr>
      </w:pPr>
    </w:p>
    <w:p>
      <w:pPr>
        <w:ind w:right="559"/>
        <w:spacing w:after="0" w:line="227" w:lineRule="auto"/>
        <w:rPr>
          <w:sz w:val="20"/>
          <w:szCs w:val="20"/>
          <w:color w:val="auto"/>
        </w:rPr>
      </w:pPr>
      <w:r>
        <w:rPr>
          <w:rFonts w:ascii="Arial" w:cs="Arial" w:eastAsia="Arial" w:hAnsi="Arial"/>
          <w:sz w:val="22"/>
          <w:szCs w:val="22"/>
          <w:color w:val="auto"/>
        </w:rPr>
        <w:t>Cash used in financing activities at PE and SoCalGas in 2010 increased due to $100 million common dividends paid to Sempra Energy and PE, respectively.</w:t>
      </w: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COMMITMENTS</w:t>
      </w:r>
    </w:p>
    <w:p>
      <w:pPr>
        <w:spacing w:after="0" w:line="55" w:lineRule="exact"/>
        <w:rPr>
          <w:sz w:val="20"/>
          <w:szCs w:val="20"/>
          <w:color w:val="auto"/>
        </w:rPr>
      </w:pPr>
    </w:p>
    <w:p>
      <w:pPr>
        <w:ind w:right="779"/>
        <w:spacing w:after="0" w:line="232" w:lineRule="auto"/>
        <w:rPr>
          <w:sz w:val="20"/>
          <w:szCs w:val="20"/>
          <w:color w:val="auto"/>
        </w:rPr>
      </w:pPr>
      <w:r>
        <w:rPr>
          <w:rFonts w:ascii="Arial" w:cs="Arial" w:eastAsia="Arial" w:hAnsi="Arial"/>
          <w:sz w:val="22"/>
          <w:szCs w:val="22"/>
          <w:color w:val="auto"/>
        </w:rPr>
        <w:t>We discuss significant changes to contractual commitments at Sempra Energy, SDG&amp;E, PE and SoCalGas in Note 10 in the Notes to Condensed Consolidated Financial Statements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617474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color w:val="auto"/>
        </w:rPr>
        <w:t>FACTORS INFLUENCING FUTURE PERFORMANCE</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SEMPRA ENERGY OVERVIEW</w:t>
      </w:r>
    </w:p>
    <w:p>
      <w:pPr>
        <w:spacing w:after="0" w:line="55" w:lineRule="exact"/>
        <w:rPr>
          <w:sz w:val="20"/>
          <w:szCs w:val="20"/>
          <w:color w:val="auto"/>
        </w:rPr>
      </w:pPr>
    </w:p>
    <w:p>
      <w:pPr>
        <w:ind w:right="799"/>
        <w:spacing w:after="0" w:line="298" w:lineRule="auto"/>
        <w:rPr>
          <w:sz w:val="20"/>
          <w:szCs w:val="20"/>
          <w:color w:val="auto"/>
        </w:rPr>
      </w:pPr>
      <w:r>
        <w:rPr>
          <w:rFonts w:ascii="Arial" w:cs="Arial" w:eastAsia="Arial" w:hAnsi="Arial"/>
          <w:sz w:val="19"/>
          <w:szCs w:val="19"/>
          <w:color w:val="auto"/>
        </w:rPr>
        <w:t>The Sempra Utilities' operations and Sempra Global's long-term contracts generally provide relatively stable earnings and liquidity. However, for the next few years, SDG&amp;E and SoCalGas intend to limit their common</w:t>
      </w:r>
    </w:p>
    <w:p>
      <w:pPr>
        <w:sectPr>
          <w:pgSz w:w="11900" w:h="16973" w:orient="portrait"/>
          <w:cols w:equalWidth="0" w:num="1">
            <w:col w:w="10219"/>
          </w:cols>
          <w:pgMar w:left="240" w:top="104" w:right="1440" w:bottom="0" w:gutter="0" w:footer="0" w:header="0"/>
        </w:sectPr>
      </w:pPr>
    </w:p>
    <w:bookmarkStart w:id="79" w:name="page80"/>
    <w:bookmarkEnd w:id="79"/>
    <w:p>
      <w:pPr>
        <w:ind w:right="499"/>
        <w:spacing w:after="0" w:line="249" w:lineRule="auto"/>
        <w:rPr>
          <w:sz w:val="20"/>
          <w:szCs w:val="20"/>
          <w:color w:val="auto"/>
        </w:rPr>
      </w:pPr>
      <w:r>
        <w:rPr>
          <w:rFonts w:ascii="Arial" w:cs="Arial" w:eastAsia="Arial" w:hAnsi="Arial"/>
          <w:sz w:val="19"/>
          <w:szCs w:val="19"/>
          <w:color w:val="auto"/>
        </w:rPr>
        <w:t>stock dividends to reinvest their earnings in significant capital projects. Also, Sempra Generation's contract with the DWR, which provides a significant portion of Sempra Generation's revenues, ends in late 2011. Because it is unable to forecast with certainty future electricity prices and the cost of natural gas, contracts it enters into to replace the DWR contract, if obtained, or merchant (daily) sales may provide substantially lower earnings. Sempra Generation is also undertaking several projects for the construction of renewable generation facilities, with planned in-service dates ranging from late 2010 to 2012.</w:t>
      </w:r>
    </w:p>
    <w:p>
      <w:pPr>
        <w:spacing w:after="0" w:line="32" w:lineRule="exact"/>
        <w:rPr>
          <w:sz w:val="20"/>
          <w:szCs w:val="20"/>
          <w:color w:val="auto"/>
        </w:rPr>
      </w:pPr>
    </w:p>
    <w:p>
      <w:pPr>
        <w:ind w:right="519"/>
        <w:spacing w:after="0" w:line="247" w:lineRule="auto"/>
        <w:rPr>
          <w:sz w:val="20"/>
          <w:szCs w:val="20"/>
          <w:color w:val="auto"/>
        </w:rPr>
      </w:pPr>
      <w:r>
        <w:rPr>
          <w:rFonts w:ascii="Arial" w:cs="Arial" w:eastAsia="Arial" w:hAnsi="Arial"/>
          <w:sz w:val="19"/>
          <w:szCs w:val="19"/>
          <w:color w:val="auto"/>
        </w:rPr>
        <w:t>We expect that Sempra LNG and Sempra Pipelines &amp; Storage will provide relatively stable earnings and liquidity from their current operations. Sempra Pipelines &amp; Storage is also expected to provide earnings from construction programs when completed and other investments, but will require substantial funding for these investments. At Sempra LNG, until there are firm LNG supply or capacity services contracts from third parties that would subscribe to 100 percent of the capacity of Sempra LNG's Cameron receipt terminal, Sempra LNG will seek to purchase short-term LNG supplies, which may result in greater variability in revenues and earnings. Sempra LNG may also sell short-term capacity to third parties as opportunities arise.</w:t>
      </w:r>
    </w:p>
    <w:p>
      <w:pPr>
        <w:spacing w:after="0" w:line="20" w:lineRule="exact"/>
        <w:rPr>
          <w:sz w:val="20"/>
          <w:szCs w:val="20"/>
          <w:color w:val="auto"/>
        </w:rPr>
      </w:pPr>
    </w:p>
    <w:p>
      <w:pPr>
        <w:ind w:right="499"/>
        <w:spacing w:after="0" w:line="243" w:lineRule="auto"/>
        <w:rPr>
          <w:sz w:val="20"/>
          <w:szCs w:val="20"/>
          <w:color w:val="auto"/>
        </w:rPr>
      </w:pPr>
      <w:r>
        <w:rPr>
          <w:rFonts w:ascii="Arial" w:cs="Arial" w:eastAsia="Arial" w:hAnsi="Arial"/>
          <w:sz w:val="19"/>
          <w:szCs w:val="19"/>
          <w:color w:val="auto"/>
        </w:rPr>
        <w:t>The Sempra Utilities' performance will depend primarily on the ratemaking and regulatory process, environmental regulations, economic conditions, actions by the California legislature to address the state budget crisis and the changing energy marketplace. Their performance will also depend on the successful completion of capital projects that we discuss in various sections of this report. As the 2008 General Rate Case provides for fixed annual increases through 2011 rather than adjustments based on inflation indices as in the past, performance will depend on the Sempra Utilities' ability to manage costs, including bad debts. Starting in the third quarter of 2009, SDG&amp;E's liability insurance premiums increased significantly, by approximately $40 million annually, due to the increased costs of wildfire coverage. In addition to the increased insurance premiums, Sempra Energy, including the Sempra Utilities, has substantially lower insurance coverage, particularly with respect to any future wildfire liabilities. The maximum loss recovery due to a wildfire incident from insurance carriers is now $400 million compared to $1.2 billion in the previous policy year.</w:t>
      </w:r>
    </w:p>
    <w:p>
      <w:pPr>
        <w:spacing w:after="0" w:line="38" w:lineRule="exact"/>
        <w:rPr>
          <w:sz w:val="20"/>
          <w:szCs w:val="20"/>
          <w:color w:val="auto"/>
        </w:rPr>
      </w:pPr>
    </w:p>
    <w:p>
      <w:pPr>
        <w:ind w:right="519"/>
        <w:spacing w:after="0" w:line="220" w:lineRule="auto"/>
        <w:rPr>
          <w:sz w:val="20"/>
          <w:szCs w:val="20"/>
          <w:color w:val="auto"/>
        </w:rPr>
      </w:pPr>
      <w:r>
        <w:rPr>
          <w:rFonts w:ascii="Arial" w:cs="Arial" w:eastAsia="Arial" w:hAnsi="Arial"/>
          <w:sz w:val="21"/>
          <w:szCs w:val="21"/>
          <w:color w:val="auto"/>
        </w:rPr>
        <w:t>In regard to the 2007 wildfire litigation, SDG&amp;E has concluded that it is probable that it will be permitted to recover from its utility customers substantially all reasonably incurred costs of resolving wildfire claims in excess of its $1.1 billion of liability insurance coverage and any amounts recovered from other potentially responsible parties. Consequently, Sempra Energy and SDG&amp;E expect no significant earnings impact from the resolution of the remaining wildfire claims. However, SDG&amp;E’s cash flow will be adversely affected by timing differences between the resolution of claims and recoveries from other potentially responsible parties and utility customers, which may extend over a number of years. In addition, recovery from customers will require future regulatory actions, and a failure to obtain recovery, or any negative assessment of the likelihood of recovery, would likely have a material adverse effect on Sempra Ene rgy's and SDG&amp;E's cash flows and results of operations.</w:t>
      </w:r>
    </w:p>
    <w:p>
      <w:pPr>
        <w:spacing w:after="0" w:line="42" w:lineRule="exact"/>
        <w:rPr>
          <w:sz w:val="20"/>
          <w:szCs w:val="20"/>
          <w:color w:val="auto"/>
        </w:rPr>
      </w:pPr>
    </w:p>
    <w:p>
      <w:pPr>
        <w:ind w:right="539"/>
        <w:spacing w:after="0" w:line="226" w:lineRule="auto"/>
        <w:rPr>
          <w:sz w:val="20"/>
          <w:szCs w:val="20"/>
          <w:color w:val="auto"/>
        </w:rPr>
      </w:pPr>
      <w:r>
        <w:rPr>
          <w:rFonts w:ascii="Arial" w:cs="Arial" w:eastAsia="Arial" w:hAnsi="Arial"/>
          <w:sz w:val="21"/>
          <w:szCs w:val="21"/>
          <w:color w:val="auto"/>
        </w:rPr>
        <w:t>SDG&amp;E will continue to gather information to evaluate and assess the remaining wildfire claims and the likelihood, amount and timing of related recoveries from other potentially responsible parties and utility customers and will make appropriate adjustments to wildfire reserves and the related regulatory asset as additional information becomes available. We provide additional information concerning these matters in Notes 9 and 10 of the Notes to Condensed Consolidated Financial Statements herein.</w:t>
      </w:r>
    </w:p>
    <w:p>
      <w:pPr>
        <w:spacing w:after="0" w:line="24" w:lineRule="exact"/>
        <w:rPr>
          <w:sz w:val="20"/>
          <w:szCs w:val="20"/>
          <w:color w:val="auto"/>
        </w:rPr>
      </w:pPr>
    </w:p>
    <w:p>
      <w:pPr>
        <w:ind w:right="759"/>
        <w:spacing w:after="0" w:line="222" w:lineRule="auto"/>
        <w:rPr>
          <w:sz w:val="20"/>
          <w:szCs w:val="20"/>
          <w:color w:val="auto"/>
        </w:rPr>
      </w:pPr>
      <w:r>
        <w:rPr>
          <w:rFonts w:ascii="Arial" w:cs="Arial" w:eastAsia="Arial" w:hAnsi="Arial"/>
          <w:sz w:val="21"/>
          <w:szCs w:val="21"/>
          <w:color w:val="auto"/>
        </w:rPr>
        <w:t>In 2008, we completed the formation of a partnership, RBS Sempra Commodities, to own and operate our commodities-marketing businesses, which generally comprised our Sempra Commodities segment. In November 2009, RBS announced its intention to divest its interest in the joint venture following a directive from the European Commission to dispose of certain assets. On February 16, 2010, Sempra Energy, RBS and the partnership entered into an agreement to sell certain businesses within the partnership. Our joint venture partner, RBS, continues to be obligated to provide the partnership with all growth capital, working-capital requirements and credit support, as we discuss above in "Capital Resources and Liquidity – Sempra Commodities."</w:t>
      </w:r>
    </w:p>
    <w:p>
      <w:pPr>
        <w:spacing w:after="0" w:line="36" w:lineRule="exact"/>
        <w:rPr>
          <w:sz w:val="20"/>
          <w:szCs w:val="20"/>
          <w:color w:val="auto"/>
        </w:rPr>
      </w:pPr>
    </w:p>
    <w:p>
      <w:pPr>
        <w:ind w:right="839"/>
        <w:spacing w:after="0" w:line="218" w:lineRule="auto"/>
        <w:rPr>
          <w:sz w:val="20"/>
          <w:szCs w:val="20"/>
          <w:color w:val="auto"/>
        </w:rPr>
      </w:pPr>
      <w:r>
        <w:rPr>
          <w:rFonts w:ascii="Arial" w:cs="Arial" w:eastAsia="Arial" w:hAnsi="Arial"/>
          <w:sz w:val="22"/>
          <w:szCs w:val="22"/>
          <w:color w:val="auto"/>
        </w:rPr>
        <w:t>In connection with the pending transaction discussed above, we and RBS entered into a letter agreement to negotiate, prior to closing of the transaction, definitive documentation to amend certain provisions of the Limited Liability Partnership Agreement dated April 1, 2008 between Sempra Energy and RBS (Partnership Agreement) to, among other things:</w:t>
      </w:r>
    </w:p>
    <w:p>
      <w:pPr>
        <w:spacing w:after="0" w:line="40" w:lineRule="exact"/>
        <w:rPr>
          <w:sz w:val="20"/>
          <w:szCs w:val="20"/>
          <w:color w:val="auto"/>
        </w:rPr>
      </w:pPr>
    </w:p>
    <w:p>
      <w:pPr>
        <w:ind w:left="140" w:hanging="132"/>
        <w:spacing w:after="0"/>
        <w:tabs>
          <w:tab w:leader="none" w:pos="140" w:val="left"/>
        </w:tabs>
        <w:numPr>
          <w:ilvl w:val="0"/>
          <w:numId w:val="61"/>
        </w:numPr>
        <w:rPr>
          <w:rFonts w:ascii="Arial" w:cs="Arial" w:eastAsia="Arial" w:hAnsi="Arial"/>
          <w:sz w:val="22"/>
          <w:szCs w:val="22"/>
          <w:color w:val="auto"/>
        </w:rPr>
      </w:pPr>
      <w:r>
        <w:rPr>
          <w:rFonts w:ascii="Arial" w:cs="Arial" w:eastAsia="Arial" w:hAnsi="Arial"/>
          <w:sz w:val="22"/>
          <w:szCs w:val="22"/>
          <w:color w:val="auto"/>
        </w:rPr>
        <w:t>consider the distribution of excess cash of the partnership to us and RBS</w:t>
      </w:r>
    </w:p>
    <w:p>
      <w:pPr>
        <w:spacing w:after="0" w:line="21" w:lineRule="exact"/>
        <w:rPr>
          <w:rFonts w:ascii="Arial" w:cs="Arial" w:eastAsia="Arial" w:hAnsi="Arial"/>
          <w:sz w:val="22"/>
          <w:szCs w:val="22"/>
          <w:color w:val="auto"/>
        </w:rPr>
      </w:pPr>
    </w:p>
    <w:p>
      <w:pPr>
        <w:ind w:left="180" w:right="1839" w:hanging="172"/>
        <w:spacing w:after="0" w:line="217" w:lineRule="auto"/>
        <w:tabs>
          <w:tab w:leader="none" w:pos="153" w:val="left"/>
        </w:tabs>
        <w:numPr>
          <w:ilvl w:val="0"/>
          <w:numId w:val="61"/>
        </w:numPr>
        <w:rPr>
          <w:rFonts w:ascii="Arial" w:cs="Arial" w:eastAsia="Arial" w:hAnsi="Arial"/>
          <w:sz w:val="22"/>
          <w:szCs w:val="22"/>
          <w:color w:val="auto"/>
        </w:rPr>
      </w:pPr>
      <w:r>
        <w:rPr>
          <w:rFonts w:ascii="Arial" w:cs="Arial" w:eastAsia="Arial" w:hAnsi="Arial"/>
          <w:sz w:val="22"/>
          <w:szCs w:val="22"/>
          <w:color w:val="auto"/>
        </w:rPr>
        <w:t>eliminate each partner’s preferred return (currently 15 percent per year) and to move to a 50/50 sharing of net income, if and when our invested capital is reduced to $950 million or less by the return of capital to the partners</w:t>
      </w:r>
    </w:p>
    <w:p>
      <w:pPr>
        <w:spacing w:after="0" w:line="2" w:lineRule="exact"/>
        <w:rPr>
          <w:rFonts w:ascii="Arial" w:cs="Arial" w:eastAsia="Arial" w:hAnsi="Arial"/>
          <w:sz w:val="22"/>
          <w:szCs w:val="22"/>
          <w:color w:val="auto"/>
        </w:rPr>
      </w:pPr>
    </w:p>
    <w:p>
      <w:pPr>
        <w:ind w:left="180" w:right="2019" w:hanging="172"/>
        <w:spacing w:after="0" w:line="214" w:lineRule="auto"/>
        <w:tabs>
          <w:tab w:leader="none" w:pos="153" w:val="left"/>
        </w:tabs>
        <w:numPr>
          <w:ilvl w:val="0"/>
          <w:numId w:val="61"/>
        </w:numPr>
        <w:rPr>
          <w:rFonts w:ascii="Arial" w:cs="Arial" w:eastAsia="Arial" w:hAnsi="Arial"/>
          <w:sz w:val="22"/>
          <w:szCs w:val="22"/>
          <w:color w:val="auto"/>
        </w:rPr>
      </w:pPr>
      <w:r>
        <w:rPr>
          <w:rFonts w:ascii="Arial" w:cs="Arial" w:eastAsia="Arial" w:hAnsi="Arial"/>
          <w:sz w:val="22"/>
          <w:szCs w:val="22"/>
          <w:color w:val="auto"/>
        </w:rPr>
        <w:t>terminate the restrictions on the partners’ ability to transfer their partnership interests prior to April 2012 (but not the partners’ right of first offer and other rights, including our tag-along right with respect to the transfer of that interest or the requirement that any transferee be reasonably acceptable to us)</w:t>
      </w:r>
    </w:p>
    <w:p>
      <w:pPr>
        <w:spacing w:after="0" w:line="79" w:lineRule="exact"/>
        <w:rPr>
          <w:sz w:val="20"/>
          <w:szCs w:val="20"/>
          <w:color w:val="auto"/>
        </w:rPr>
      </w:pPr>
    </w:p>
    <w:p>
      <w:pPr>
        <w:ind w:right="579"/>
        <w:spacing w:after="0" w:line="289" w:lineRule="auto"/>
        <w:rPr>
          <w:sz w:val="20"/>
          <w:szCs w:val="20"/>
          <w:color w:val="auto"/>
        </w:rPr>
      </w:pPr>
      <w:r>
        <w:rPr>
          <w:rFonts w:ascii="Arial" w:cs="Arial" w:eastAsia="Arial" w:hAnsi="Arial"/>
          <w:sz w:val="19"/>
          <w:szCs w:val="19"/>
          <w:color w:val="auto"/>
        </w:rPr>
        <w:t>The letter agreement also provides for negotiating the framework for the entertaining of bids for the remaining part of the partnership’s business, and we and RBS are actively soliciting offers for the sale of these businesses.</w:t>
      </w:r>
    </w:p>
    <w:p>
      <w:pPr>
        <w:spacing w:after="0" w:line="1" w:lineRule="exact"/>
        <w:rPr>
          <w:sz w:val="20"/>
          <w:szCs w:val="20"/>
          <w:color w:val="auto"/>
        </w:rPr>
      </w:pPr>
    </w:p>
    <w:p>
      <w:pPr>
        <w:ind w:right="619"/>
        <w:spacing w:after="0" w:line="247" w:lineRule="auto"/>
        <w:rPr>
          <w:sz w:val="20"/>
          <w:szCs w:val="20"/>
          <w:color w:val="auto"/>
        </w:rPr>
      </w:pPr>
      <w:r>
        <w:rPr>
          <w:rFonts w:ascii="Arial" w:cs="Arial" w:eastAsia="Arial" w:hAnsi="Arial"/>
          <w:sz w:val="19"/>
          <w:szCs w:val="19"/>
          <w:color w:val="auto"/>
        </w:rPr>
        <w:t>Future earnings and distributions from the partnership will depend on the profitability and growth achieved in the partnership's businesses until their final disposition and the continued ability of RBS to provide capital and credit support for the partnership. Results of the joint venture in the first quarter of 2010 were impacted by low commodity prices and the disruptions caused by the process to sell the partnership's businesses, and we do not expect results to show significant improvement prior to the completion of this sales process. We provide additional information in Notes 4 and 6 of the Notes to Condensed Consolidated Financial Statements herein and in Notes 3, 4, 6 and 20 of the Notes to Consolidated Financial Statements in the Annual Report.</w:t>
      </w:r>
    </w:p>
    <w:p>
      <w:pPr>
        <w:spacing w:after="0" w:line="33" w:lineRule="exact"/>
        <w:rPr>
          <w:sz w:val="20"/>
          <w:szCs w:val="20"/>
          <w:color w:val="auto"/>
        </w:rPr>
      </w:pPr>
    </w:p>
    <w:p>
      <w:pPr>
        <w:ind w:right="479"/>
        <w:spacing w:after="0" w:line="268" w:lineRule="auto"/>
        <w:rPr>
          <w:sz w:val="20"/>
          <w:szCs w:val="20"/>
          <w:color w:val="auto"/>
        </w:rPr>
      </w:pPr>
      <w:r>
        <w:rPr>
          <w:rFonts w:ascii="Arial" w:cs="Arial" w:eastAsia="Arial" w:hAnsi="Arial"/>
          <w:sz w:val="19"/>
          <w:szCs w:val="19"/>
          <w:color w:val="auto"/>
        </w:rPr>
        <w:t>We may be further impacted by depressed and rapidly changing economic conditions. Moreover, the dollar has fluctuated significantly compared to some foreign currencies, especially in Mexico and South America where we have significant operations. These factors, coupled with very low natural gas prices which affect profitability</w:t>
      </w:r>
    </w:p>
    <w:p>
      <w:pPr>
        <w:sectPr>
          <w:pgSz w:w="11900" w:h="16838" w:orient="portrait"/>
          <w:cols w:equalWidth="0" w:num="1">
            <w:col w:w="10219"/>
          </w:cols>
          <w:pgMar w:left="240" w:top="104" w:right="1440" w:bottom="0" w:gutter="0" w:footer="0" w:header="0"/>
        </w:sectPr>
      </w:pPr>
    </w:p>
    <w:bookmarkStart w:id="80" w:name="page81"/>
    <w:bookmarkEnd w:id="80"/>
    <w:p>
      <w:pPr>
        <w:ind w:right="579"/>
        <w:spacing w:after="0" w:line="268" w:lineRule="auto"/>
        <w:rPr>
          <w:sz w:val="20"/>
          <w:szCs w:val="20"/>
          <w:color w:val="auto"/>
        </w:rPr>
      </w:pPr>
      <w:r>
        <w:rPr>
          <w:rFonts w:ascii="Arial" w:cs="Arial" w:eastAsia="Arial" w:hAnsi="Arial"/>
          <w:sz w:val="19"/>
          <w:szCs w:val="19"/>
          <w:color w:val="auto"/>
        </w:rPr>
        <w:t>at Sempra Generation and Sempra LNG, could, if they remain unchanged, adversely affect profitability. Additionally, given the uncertainty of commodity markets and the lack of debt financing for energy infrastructure, which impact related hedging activity, growth at RBS Sempra Commodities could be dampened.</w:t>
      </w:r>
    </w:p>
    <w:p>
      <w:pPr>
        <w:spacing w:after="0" w:line="12" w:lineRule="exact"/>
        <w:rPr>
          <w:sz w:val="20"/>
          <w:szCs w:val="20"/>
          <w:color w:val="auto"/>
        </w:rPr>
      </w:pPr>
    </w:p>
    <w:p>
      <w:pPr>
        <w:ind w:right="659"/>
        <w:spacing w:after="0" w:line="223" w:lineRule="auto"/>
        <w:rPr>
          <w:sz w:val="20"/>
          <w:szCs w:val="20"/>
          <w:color w:val="auto"/>
        </w:rPr>
      </w:pPr>
      <w:r>
        <w:rPr>
          <w:rFonts w:ascii="Arial" w:cs="Arial" w:eastAsia="Arial" w:hAnsi="Arial"/>
          <w:sz w:val="22"/>
          <w:szCs w:val="22"/>
          <w:color w:val="auto"/>
        </w:rPr>
        <w:t>We discuss additional matters that could affect our future performance in Notes 9 and 10 of the Notes to Condensed Consolidated Financial Statements herein and in Notes 15 through 17 of the Notes to Consolidated Financial Statements in the Annual Report.</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LITIGATION</w:t>
      </w:r>
    </w:p>
    <w:p>
      <w:pPr>
        <w:spacing w:after="0" w:line="69" w:lineRule="exact"/>
        <w:rPr>
          <w:sz w:val="20"/>
          <w:szCs w:val="20"/>
          <w:color w:val="auto"/>
        </w:rPr>
      </w:pPr>
    </w:p>
    <w:p>
      <w:pPr>
        <w:jc w:val="both"/>
        <w:ind w:right="679"/>
        <w:spacing w:after="0" w:line="232" w:lineRule="auto"/>
        <w:rPr>
          <w:sz w:val="20"/>
          <w:szCs w:val="20"/>
          <w:color w:val="auto"/>
        </w:rPr>
      </w:pPr>
      <w:r>
        <w:rPr>
          <w:rFonts w:ascii="Arial" w:cs="Arial" w:eastAsia="Arial" w:hAnsi="Arial"/>
          <w:sz w:val="22"/>
          <w:szCs w:val="22"/>
          <w:color w:val="auto"/>
        </w:rPr>
        <w:t>We describe legal proceedings which could adversely affect our future performance in Note 10 of the Notes to Condensed Consolidated Financial Statements herein.</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SEMPRA UTILITIES -- INDUSTRY DEVELOPMENTS AND CAPITAL PROJECTS</w:t>
      </w:r>
    </w:p>
    <w:p>
      <w:pPr>
        <w:spacing w:after="0" w:line="69" w:lineRule="exact"/>
        <w:rPr>
          <w:sz w:val="20"/>
          <w:szCs w:val="20"/>
          <w:color w:val="auto"/>
        </w:rPr>
      </w:pPr>
    </w:p>
    <w:p>
      <w:pPr>
        <w:jc w:val="both"/>
        <w:ind w:right="699"/>
        <w:spacing w:after="0" w:line="268" w:lineRule="auto"/>
        <w:rPr>
          <w:sz w:val="20"/>
          <w:szCs w:val="20"/>
          <w:color w:val="auto"/>
        </w:rPr>
      </w:pPr>
      <w:r>
        <w:rPr>
          <w:rFonts w:ascii="Arial" w:cs="Arial" w:eastAsia="Arial" w:hAnsi="Arial"/>
          <w:sz w:val="19"/>
          <w:szCs w:val="19"/>
          <w:color w:val="auto"/>
        </w:rPr>
        <w:t>We describe capital projects, electric and natural gas regulation and rates, and other pending proceedings and investigations that affect our business in Note 9 of the Notes to Condensed Consolidated Financial Statements herein and in Notes 15 and 16 of the Notes to Consolidated Financial Statements in the Annual Report.</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SEMPRA GLOBAL INVESTMENTS</w:t>
      </w:r>
    </w:p>
    <w:p>
      <w:pPr>
        <w:spacing w:after="0" w:line="69" w:lineRule="exact"/>
        <w:rPr>
          <w:sz w:val="20"/>
          <w:szCs w:val="20"/>
          <w:color w:val="auto"/>
        </w:rPr>
      </w:pPr>
    </w:p>
    <w:p>
      <w:pPr>
        <w:ind w:right="679"/>
        <w:spacing w:after="0" w:line="218" w:lineRule="auto"/>
        <w:rPr>
          <w:sz w:val="20"/>
          <w:szCs w:val="20"/>
          <w:color w:val="auto"/>
        </w:rPr>
      </w:pPr>
      <w:r>
        <w:rPr>
          <w:rFonts w:ascii="Arial" w:cs="Arial" w:eastAsia="Arial" w:hAnsi="Arial"/>
          <w:sz w:val="22"/>
          <w:szCs w:val="22"/>
          <w:color w:val="auto"/>
        </w:rPr>
        <w:t>As we discuss in "Cash Flows From Investing Activities," our investments will significantly impact our future performance. In addition to the discussion below, we provide information about these investments in "Capital Resources and Liquidity" herein and "Capital Resources and Liquidity" and "Factors Influencing Future Performance" in the Annual Report.</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Generation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Copper Mountain Solar</w:t>
      </w:r>
    </w:p>
    <w:p>
      <w:pPr>
        <w:spacing w:after="0" w:line="63" w:lineRule="exact"/>
        <w:rPr>
          <w:sz w:val="20"/>
          <w:szCs w:val="20"/>
          <w:color w:val="auto"/>
        </w:rPr>
      </w:pPr>
    </w:p>
    <w:p>
      <w:pPr>
        <w:ind w:right="699"/>
        <w:spacing w:after="0" w:line="268" w:lineRule="auto"/>
        <w:rPr>
          <w:sz w:val="20"/>
          <w:szCs w:val="20"/>
          <w:color w:val="auto"/>
        </w:rPr>
      </w:pPr>
      <w:r>
        <w:rPr>
          <w:rFonts w:ascii="Arial" w:cs="Arial" w:eastAsia="Arial" w:hAnsi="Arial"/>
          <w:sz w:val="19"/>
          <w:szCs w:val="19"/>
          <w:color w:val="auto"/>
        </w:rPr>
        <w:t>Pacific Gas and Electric has contracted for 48 MW of solar power from Copper Mountain Solar, a new plant under development in Boulder City, Nevada by Sempra Generation on land adjacent to the 10-MW El Dorado Energy Solar plant. Construction has begun and we expect it to be completed in late 2010 or early 2011.</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Mesquite Solar</w:t>
      </w:r>
    </w:p>
    <w:p>
      <w:pPr>
        <w:spacing w:after="0" w:line="63" w:lineRule="exact"/>
        <w:rPr>
          <w:sz w:val="20"/>
          <w:szCs w:val="20"/>
          <w:color w:val="auto"/>
        </w:rPr>
      </w:pPr>
    </w:p>
    <w:p>
      <w:pPr>
        <w:ind w:right="719"/>
        <w:spacing w:after="0" w:line="226" w:lineRule="auto"/>
        <w:rPr>
          <w:sz w:val="20"/>
          <w:szCs w:val="20"/>
          <w:color w:val="auto"/>
        </w:rPr>
      </w:pPr>
      <w:r>
        <w:rPr>
          <w:rFonts w:ascii="Arial" w:cs="Arial" w:eastAsia="Arial" w:hAnsi="Arial"/>
          <w:sz w:val="21"/>
          <w:szCs w:val="21"/>
          <w:color w:val="auto"/>
        </w:rPr>
        <w:t>Mesquite Solar is a photovoltaic generation facility under development by Sempra Generation in Maricopa County, Arizona. When fully developed, the project will be capable of producing approximately 400 to 600 MW of solar power. Mesquite Solar will connect to the 500-kilovolt Hassayampa switchyard via our existing Mesquite Power natural gas generation plant. Construction of the first phase of 150 MW is expected to begin by late 2010 and be completed in 2012.</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Pipelines &amp; Storage</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Natural Gas Storage Projects</w:t>
      </w:r>
    </w:p>
    <w:p>
      <w:pPr>
        <w:spacing w:after="0" w:line="63" w:lineRule="exact"/>
        <w:rPr>
          <w:sz w:val="20"/>
          <w:szCs w:val="20"/>
          <w:color w:val="auto"/>
        </w:rPr>
      </w:pPr>
    </w:p>
    <w:p>
      <w:pPr>
        <w:ind w:right="779"/>
        <w:spacing w:after="0" w:line="268" w:lineRule="auto"/>
        <w:rPr>
          <w:sz w:val="20"/>
          <w:szCs w:val="20"/>
          <w:color w:val="auto"/>
        </w:rPr>
      </w:pPr>
      <w:r>
        <w:rPr>
          <w:rFonts w:ascii="Arial" w:cs="Arial" w:eastAsia="Arial" w:hAnsi="Arial"/>
          <w:sz w:val="19"/>
          <w:szCs w:val="19"/>
          <w:color w:val="auto"/>
        </w:rPr>
        <w:t>Currently, Sempra Pipelines &amp; Storage has 11.4 Bcf of working natural gas storage capacity that is fully contracted and operational. We are in construction to increase operational capacity by 12.5 Bcf by the end of 2010 (for a total of 24 Bcf) and we plan to develop as much as 75 Bcf of total storage capacity by 2015.</w:t>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color w:val="auto"/>
        </w:rPr>
        <w:t>Sempra Pipelines &amp; Storage’s natural gas storage facilities and projects include</w:t>
      </w:r>
    </w:p>
    <w:p>
      <w:pPr>
        <w:spacing w:after="0" w:line="22" w:lineRule="exact"/>
        <w:rPr>
          <w:sz w:val="20"/>
          <w:szCs w:val="20"/>
          <w:color w:val="auto"/>
        </w:rPr>
      </w:pPr>
    </w:p>
    <w:p>
      <w:pPr>
        <w:jc w:val="both"/>
        <w:ind w:left="180" w:right="1819" w:hanging="172"/>
        <w:spacing w:after="0" w:line="214" w:lineRule="auto"/>
        <w:tabs>
          <w:tab w:leader="none" w:pos="153" w:val="left"/>
        </w:tabs>
        <w:numPr>
          <w:ilvl w:val="0"/>
          <w:numId w:val="62"/>
        </w:numPr>
        <w:rPr>
          <w:rFonts w:ascii="Arial" w:cs="Arial" w:eastAsia="Arial" w:hAnsi="Arial"/>
          <w:sz w:val="22"/>
          <w:szCs w:val="22"/>
          <w:color w:val="auto"/>
        </w:rPr>
      </w:pPr>
      <w:r>
        <w:rPr>
          <w:rFonts w:ascii="Arial" w:cs="Arial" w:eastAsia="Arial" w:hAnsi="Arial"/>
          <w:sz w:val="22"/>
          <w:szCs w:val="22"/>
          <w:color w:val="auto"/>
        </w:rPr>
        <w:t>Bay Gas Storage Company, a facility located 40 miles north of Mobile, Alabama, that provides underground storage and delivery of natural gas. Sempra Pipelines &amp; Storage owns 91 percent of the project. It is the easternmost storage facility on the Gulf Coast, with direct service to the Florida market.</w:t>
      </w:r>
    </w:p>
    <w:p>
      <w:pPr>
        <w:spacing w:after="0" w:line="2" w:lineRule="exact"/>
        <w:rPr>
          <w:rFonts w:ascii="Arial" w:cs="Arial" w:eastAsia="Arial" w:hAnsi="Arial"/>
          <w:sz w:val="22"/>
          <w:szCs w:val="22"/>
          <w:color w:val="auto"/>
        </w:rPr>
      </w:pPr>
    </w:p>
    <w:p>
      <w:pPr>
        <w:ind w:left="180" w:right="1919" w:hanging="172"/>
        <w:spacing w:after="0" w:line="214" w:lineRule="auto"/>
        <w:tabs>
          <w:tab w:leader="none" w:pos="153" w:val="left"/>
        </w:tabs>
        <w:numPr>
          <w:ilvl w:val="0"/>
          <w:numId w:val="62"/>
        </w:numPr>
        <w:rPr>
          <w:rFonts w:ascii="Arial" w:cs="Arial" w:eastAsia="Arial" w:hAnsi="Arial"/>
          <w:sz w:val="22"/>
          <w:szCs w:val="22"/>
          <w:color w:val="auto"/>
        </w:rPr>
      </w:pPr>
      <w:r>
        <w:rPr>
          <w:rFonts w:ascii="Arial" w:cs="Arial" w:eastAsia="Arial" w:hAnsi="Arial"/>
          <w:sz w:val="22"/>
          <w:szCs w:val="22"/>
          <w:color w:val="auto"/>
        </w:rPr>
        <w:t>Mississippi Hub storage facility, currently under construction in Simpson County, Mississippi, an underground salt-dome natural gas storage project with planned direct interconnections to the natural gas production areas in eastern Texas, Oklahoma and Arkansas, as well as the Northeast market.</w:t>
      </w:r>
    </w:p>
    <w:p>
      <w:pPr>
        <w:spacing w:after="0" w:line="2" w:lineRule="exact"/>
        <w:rPr>
          <w:rFonts w:ascii="Arial" w:cs="Arial" w:eastAsia="Arial" w:hAnsi="Arial"/>
          <w:sz w:val="22"/>
          <w:szCs w:val="22"/>
          <w:color w:val="auto"/>
        </w:rPr>
      </w:pPr>
    </w:p>
    <w:p>
      <w:pPr>
        <w:jc w:val="both"/>
        <w:ind w:left="180" w:right="2039" w:hanging="172"/>
        <w:spacing w:after="0" w:line="217" w:lineRule="auto"/>
        <w:tabs>
          <w:tab w:leader="none" w:pos="153" w:val="left"/>
        </w:tabs>
        <w:numPr>
          <w:ilvl w:val="0"/>
          <w:numId w:val="62"/>
        </w:numPr>
        <w:rPr>
          <w:rFonts w:ascii="Arial" w:cs="Arial" w:eastAsia="Arial" w:hAnsi="Arial"/>
          <w:sz w:val="22"/>
          <w:szCs w:val="22"/>
          <w:color w:val="auto"/>
        </w:rPr>
      </w:pPr>
      <w:r>
        <w:rPr>
          <w:rFonts w:ascii="Arial" w:cs="Arial" w:eastAsia="Arial" w:hAnsi="Arial"/>
          <w:sz w:val="22"/>
          <w:szCs w:val="22"/>
          <w:color w:val="auto"/>
        </w:rPr>
        <w:t>Liberty Gas Storage Expansion, a salt cavern facility in Cameron Parish, Louisiana. Sempra Pipelines &amp; Storage owns 75 percent of the project and ProLiance Transportation LLC owns the remaining 25 percent. The project’s location provides access to several LNG facilities in the area.</w:t>
      </w:r>
    </w:p>
    <w:p>
      <w:pPr>
        <w:spacing w:after="0" w:line="9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Acquisition of Mexican Pipeline and Natural Gas Infrastructure</w:t>
      </w:r>
    </w:p>
    <w:p>
      <w:pPr>
        <w:spacing w:after="0" w:line="63" w:lineRule="exact"/>
        <w:rPr>
          <w:sz w:val="20"/>
          <w:szCs w:val="20"/>
          <w:color w:val="auto"/>
        </w:rPr>
      </w:pPr>
    </w:p>
    <w:p>
      <w:pPr>
        <w:ind w:right="819"/>
        <w:spacing w:after="0" w:line="289" w:lineRule="auto"/>
        <w:rPr>
          <w:sz w:val="20"/>
          <w:szCs w:val="20"/>
          <w:color w:val="auto"/>
        </w:rPr>
      </w:pPr>
      <w:r>
        <w:rPr>
          <w:rFonts w:ascii="Arial" w:cs="Arial" w:eastAsia="Arial" w:hAnsi="Arial"/>
          <w:sz w:val="19"/>
          <w:szCs w:val="19"/>
          <w:color w:val="auto"/>
        </w:rPr>
        <w:t>On April 30, 2010, Sempra Pipelines &amp; Storage acquired the Mexican pipeline and natural gas infrastructure assets of El Paso Corporation for $300 million ($260 million, net of cash acquired and debt assumed).</w:t>
      </w:r>
    </w:p>
    <w:p>
      <w:pPr>
        <w:spacing w:after="0" w:line="1" w:lineRule="exact"/>
        <w:rPr>
          <w:sz w:val="20"/>
          <w:szCs w:val="20"/>
          <w:color w:val="auto"/>
        </w:rPr>
      </w:pPr>
    </w:p>
    <w:p>
      <w:pPr>
        <w:ind w:right="719"/>
        <w:spacing w:after="0" w:line="232" w:lineRule="auto"/>
        <w:rPr>
          <w:sz w:val="20"/>
          <w:szCs w:val="20"/>
          <w:color w:val="auto"/>
        </w:rPr>
      </w:pPr>
      <w:r>
        <w:rPr>
          <w:rFonts w:ascii="Arial" w:cs="Arial" w:eastAsia="Arial" w:hAnsi="Arial"/>
          <w:sz w:val="22"/>
          <w:szCs w:val="22"/>
          <w:color w:val="auto"/>
        </w:rPr>
        <w:t>We discuss the acquisition more fully in Note 3 of the Notes to Condensed Consolidated Financial Statements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617474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ectPr>
          <w:pgSz w:w="11900" w:h="16838" w:orient="portrait"/>
          <w:cols w:equalWidth="0" w:num="1">
            <w:col w:w="10219"/>
          </w:cols>
          <w:pgMar w:left="240" w:top="104" w:right="1440" w:bottom="1440" w:gutter="0" w:footer="0" w:header="0"/>
        </w:sectPr>
      </w:pPr>
    </w:p>
    <w:bookmarkStart w:id="81" w:name="page82"/>
    <w:bookmarkEnd w:id="81"/>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617474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174740" cy="8890"/>
                    </a:xfrm>
                    <a:prstGeom prst="rect">
                      <a:avLst/>
                    </a:prstGeom>
                    <a:noFill/>
                  </pic:spPr>
                </pic:pic>
              </a:graphicData>
            </a:graphic>
          </wp:anchor>
        </w:drawing>
        <w:t>CRITICAL ACCOUNTING POLICIES AND ESTIMATES</w:t>
      </w:r>
    </w:p>
    <w:p>
      <w:pPr>
        <w:spacing w:after="0" w:line="63" w:lineRule="exact"/>
        <w:rPr>
          <w:sz w:val="20"/>
          <w:szCs w:val="20"/>
          <w:color w:val="auto"/>
        </w:rPr>
      </w:pPr>
    </w:p>
    <w:p>
      <w:pPr>
        <w:ind w:right="559"/>
        <w:spacing w:after="0" w:line="229" w:lineRule="auto"/>
        <w:rPr>
          <w:sz w:val="20"/>
          <w:szCs w:val="20"/>
          <w:color w:val="auto"/>
        </w:rPr>
      </w:pPr>
      <w:r>
        <w:rPr>
          <w:rFonts w:ascii="Arial" w:cs="Arial" w:eastAsia="Arial" w:hAnsi="Arial"/>
          <w:sz w:val="21"/>
          <w:szCs w:val="21"/>
          <w:color w:val="auto"/>
        </w:rPr>
        <w:t>We view certain accounting policies as critical because their application is the most relevant, judgmental and/or material to our financial position and results of operations, and/or because they require the use of material judgments and estimates. We discuss these accounting policies in "Management's Discussion and Analysis of Financial Condition and Results of Operations" in the Annual Report.</w:t>
      </w:r>
    </w:p>
    <w:p>
      <w:pPr>
        <w:spacing w:after="0" w:line="24" w:lineRule="exact"/>
        <w:rPr>
          <w:sz w:val="20"/>
          <w:szCs w:val="20"/>
          <w:color w:val="auto"/>
        </w:rPr>
      </w:pPr>
    </w:p>
    <w:p>
      <w:pPr>
        <w:ind w:right="659"/>
        <w:spacing w:after="0" w:line="232" w:lineRule="auto"/>
        <w:rPr>
          <w:sz w:val="20"/>
          <w:szCs w:val="20"/>
          <w:color w:val="auto"/>
        </w:rPr>
      </w:pPr>
      <w:r>
        <w:rPr>
          <w:rFonts w:ascii="Arial" w:cs="Arial" w:eastAsia="Arial" w:hAnsi="Arial"/>
          <w:sz w:val="22"/>
          <w:szCs w:val="22"/>
          <w:color w:val="auto"/>
        </w:rPr>
        <w:t>We describe our significant accounting policies in Note 1 of the Notes to Consolidated Financial Statements in the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617474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NEW ACCOUNTING STANDARDS</w:t>
      </w:r>
    </w:p>
    <w:p>
      <w:pPr>
        <w:spacing w:after="0" w:line="49" w:lineRule="exact"/>
        <w:rPr>
          <w:sz w:val="20"/>
          <w:szCs w:val="20"/>
          <w:color w:val="auto"/>
        </w:rPr>
      </w:pPr>
    </w:p>
    <w:p>
      <w:pPr>
        <w:jc w:val="both"/>
        <w:ind w:right="979"/>
        <w:spacing w:after="0" w:line="223" w:lineRule="auto"/>
        <w:rPr>
          <w:sz w:val="20"/>
          <w:szCs w:val="20"/>
          <w:color w:val="auto"/>
        </w:rPr>
      </w:pPr>
      <w:r>
        <w:rPr>
          <w:rFonts w:ascii="Arial" w:cs="Arial" w:eastAsia="Arial" w:hAnsi="Arial"/>
          <w:sz w:val="22"/>
          <w:szCs w:val="22"/>
          <w:color w:val="auto"/>
        </w:rPr>
        <w:t>We discuss the relevant pronouncements that have recently become effective and have had or may have an impact on our financial statements in Note 2 of the Notes to Condensed Consolidated Financial Statements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617474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color w:val="auto"/>
        </w:rPr>
        <w:t>ITEM 3. QUANTITATIVE AND QUALITATIVE DISCLOSURES ABOUT MARKET RISK</w:t>
      </w:r>
    </w:p>
    <w:p>
      <w:pPr>
        <w:spacing w:after="0" w:line="360" w:lineRule="exact"/>
        <w:rPr>
          <w:sz w:val="20"/>
          <w:szCs w:val="20"/>
          <w:color w:val="auto"/>
        </w:rPr>
      </w:pPr>
    </w:p>
    <w:p>
      <w:pPr>
        <w:ind w:right="519"/>
        <w:spacing w:after="0" w:line="234" w:lineRule="auto"/>
        <w:rPr>
          <w:sz w:val="20"/>
          <w:szCs w:val="20"/>
          <w:color w:val="auto"/>
        </w:rPr>
      </w:pPr>
      <w:r>
        <w:rPr>
          <w:rFonts w:ascii="Arial" w:cs="Arial" w:eastAsia="Arial" w:hAnsi="Arial"/>
          <w:sz w:val="21"/>
          <w:szCs w:val="21"/>
          <w:color w:val="auto"/>
        </w:rPr>
        <w:t>We provide disclosure regarding derivative activity in Note 7 of the Notes to Condensed Consolidated Financial Statements herein. We discuss our market risk and risk policies in detail in "Management's Discussion and Analysis of Financial Condition and Results of Operations" in the Annual Report.</w:t>
      </w: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INTEREST RATE RISK</w:t>
      </w:r>
    </w:p>
    <w:p>
      <w:pPr>
        <w:spacing w:after="0" w:line="55" w:lineRule="exact"/>
        <w:rPr>
          <w:sz w:val="20"/>
          <w:szCs w:val="20"/>
          <w:color w:val="auto"/>
        </w:rPr>
      </w:pPr>
    </w:p>
    <w:p>
      <w:pPr>
        <w:ind w:right="799"/>
        <w:spacing w:after="0" w:line="232" w:lineRule="auto"/>
        <w:rPr>
          <w:sz w:val="20"/>
          <w:szCs w:val="20"/>
          <w:color w:val="auto"/>
        </w:rPr>
      </w:pPr>
      <w:r>
        <w:rPr>
          <w:rFonts w:ascii="Arial" w:cs="Arial" w:eastAsia="Arial" w:hAnsi="Arial"/>
          <w:sz w:val="22"/>
          <w:szCs w:val="22"/>
          <w:color w:val="auto"/>
        </w:rPr>
        <w:t>The table below shows the nominal amount and the one-year VaR for long-term debt, excluding capital lease obligations, at March 31, 2010 and December 31, 2009:</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3"/>
          </w:tcPr>
          <w:p>
            <w:pPr>
              <w:jc w:val="right"/>
              <w:ind w:right="381"/>
              <w:spacing w:after="0"/>
              <w:rPr>
                <w:sz w:val="20"/>
                <w:szCs w:val="20"/>
                <w:color w:val="auto"/>
              </w:rPr>
            </w:pPr>
            <w:r>
              <w:rPr>
                <w:rFonts w:ascii="Arial" w:cs="Arial" w:eastAsia="Arial" w:hAnsi="Arial"/>
                <w:sz w:val="14"/>
                <w:szCs w:val="14"/>
                <w:color w:val="auto"/>
              </w:rPr>
              <w:t>Sempra Energy</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3"/>
          </w:tcPr>
          <w:p>
            <w:pPr>
              <w:jc w:val="right"/>
              <w:ind w:right="461"/>
              <w:spacing w:after="0"/>
              <w:rPr>
                <w:sz w:val="20"/>
                <w:szCs w:val="20"/>
                <w:color w:val="auto"/>
              </w:rPr>
            </w:pPr>
            <w:r>
              <w:rPr>
                <w:rFonts w:ascii="Arial" w:cs="Arial" w:eastAsia="Arial" w:hAnsi="Arial"/>
                <w:sz w:val="14"/>
                <w:szCs w:val="14"/>
                <w:color w:val="auto"/>
              </w:rPr>
              <w:t>Consolidated</w:t>
            </w:r>
          </w:p>
        </w:tc>
        <w:tc>
          <w:tcPr>
            <w:tcW w:w="18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3"/>
          </w:tcPr>
          <w:p>
            <w:pPr>
              <w:jc w:val="right"/>
              <w:ind w:right="641"/>
              <w:spacing w:after="0"/>
              <w:rPr>
                <w:sz w:val="20"/>
                <w:szCs w:val="20"/>
                <w:color w:val="auto"/>
              </w:rPr>
            </w:pPr>
            <w:r>
              <w:rPr>
                <w:rFonts w:ascii="Arial" w:cs="Arial" w:eastAsia="Arial" w:hAnsi="Arial"/>
                <w:sz w:val="14"/>
                <w:szCs w:val="14"/>
                <w:color w:val="auto"/>
              </w:rPr>
              <w:t>SDG&amp;E</w:t>
            </w:r>
          </w:p>
        </w:tc>
        <w:tc>
          <w:tcPr>
            <w:tcW w:w="18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3"/>
          </w:tcPr>
          <w:p>
            <w:pPr>
              <w:jc w:val="right"/>
              <w:ind w:right="461"/>
              <w:spacing w:after="0"/>
              <w:rPr>
                <w:sz w:val="20"/>
                <w:szCs w:val="20"/>
                <w:color w:val="auto"/>
              </w:rPr>
            </w:pPr>
            <w:r>
              <w:rPr>
                <w:rFonts w:ascii="Arial" w:cs="Arial" w:eastAsia="Arial" w:hAnsi="Arial"/>
                <w:sz w:val="14"/>
                <w:szCs w:val="14"/>
                <w:color w:val="auto"/>
              </w:rPr>
              <w:t>PE/SoCalGas</w:t>
            </w:r>
          </w:p>
        </w:tc>
        <w:tc>
          <w:tcPr>
            <w:tcW w:w="0" w:type="dxa"/>
            <w:vAlign w:val="bottom"/>
          </w:tcPr>
          <w:p>
            <w:pPr>
              <w:spacing w:after="0"/>
              <w:rPr>
                <w:sz w:val="1"/>
                <w:szCs w:val="1"/>
                <w:color w:val="auto"/>
              </w:rPr>
            </w:pPr>
          </w:p>
        </w:tc>
      </w:tr>
      <w:tr>
        <w:trPr>
          <w:trHeight w:val="187"/>
        </w:trPr>
        <w:tc>
          <w:tcPr>
            <w:tcW w:w="3080" w:type="dxa"/>
            <w:vAlign w:val="bottom"/>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143"/>
              <w:spacing w:after="0"/>
              <w:rPr>
                <w:sz w:val="20"/>
                <w:szCs w:val="20"/>
                <w:color w:val="auto"/>
              </w:rPr>
            </w:pPr>
            <w:r>
              <w:rPr>
                <w:rFonts w:ascii="Arial" w:cs="Arial" w:eastAsia="Arial" w:hAnsi="Arial"/>
                <w:sz w:val="14"/>
                <w:szCs w:val="14"/>
                <w:color w:val="auto"/>
              </w:rPr>
              <w:t>Nominal</w:t>
            </w:r>
          </w:p>
        </w:tc>
        <w:tc>
          <w:tcPr>
            <w:tcW w:w="160" w:type="dxa"/>
            <w:vAlign w:val="bottom"/>
          </w:tcPr>
          <w:p>
            <w:pPr>
              <w:spacing w:after="0"/>
              <w:rPr>
                <w:sz w:val="16"/>
                <w:szCs w:val="16"/>
                <w:color w:val="auto"/>
              </w:rPr>
            </w:pPr>
          </w:p>
        </w:tc>
        <w:tc>
          <w:tcPr>
            <w:tcW w:w="820" w:type="dxa"/>
            <w:vAlign w:val="bottom"/>
          </w:tcPr>
          <w:p>
            <w:pPr>
              <w:jc w:val="right"/>
              <w:ind w:right="81"/>
              <w:spacing w:after="0"/>
              <w:rPr>
                <w:sz w:val="20"/>
                <w:szCs w:val="20"/>
                <w:color w:val="auto"/>
              </w:rPr>
            </w:pPr>
            <w:r>
              <w:rPr>
                <w:rFonts w:ascii="Arial" w:cs="Arial" w:eastAsia="Arial" w:hAnsi="Arial"/>
                <w:sz w:val="14"/>
                <w:szCs w:val="14"/>
                <w:color w:val="auto"/>
              </w:rPr>
              <w:t>One-Year</w:t>
            </w:r>
          </w:p>
        </w:tc>
        <w:tc>
          <w:tcPr>
            <w:tcW w:w="180" w:type="dxa"/>
            <w:vAlign w:val="bottom"/>
          </w:tcPr>
          <w:p>
            <w:pPr>
              <w:spacing w:after="0"/>
              <w:rPr>
                <w:sz w:val="16"/>
                <w:szCs w:val="16"/>
                <w:color w:val="auto"/>
              </w:rPr>
            </w:pPr>
          </w:p>
        </w:tc>
        <w:tc>
          <w:tcPr>
            <w:tcW w:w="800" w:type="dxa"/>
            <w:vAlign w:val="bottom"/>
          </w:tcPr>
          <w:p>
            <w:pPr>
              <w:jc w:val="right"/>
              <w:ind w:right="122"/>
              <w:spacing w:after="0"/>
              <w:rPr>
                <w:sz w:val="20"/>
                <w:szCs w:val="20"/>
                <w:color w:val="auto"/>
              </w:rPr>
            </w:pPr>
            <w:r>
              <w:rPr>
                <w:rFonts w:ascii="Arial" w:cs="Arial" w:eastAsia="Arial" w:hAnsi="Arial"/>
                <w:sz w:val="14"/>
                <w:szCs w:val="14"/>
                <w:color w:val="auto"/>
              </w:rPr>
              <w:t>Nominal</w:t>
            </w:r>
          </w:p>
        </w:tc>
        <w:tc>
          <w:tcPr>
            <w:tcW w:w="160" w:type="dxa"/>
            <w:vAlign w:val="bottom"/>
          </w:tcPr>
          <w:p>
            <w:pPr>
              <w:spacing w:after="0"/>
              <w:rPr>
                <w:sz w:val="16"/>
                <w:szCs w:val="16"/>
                <w:color w:val="auto"/>
              </w:rPr>
            </w:pPr>
          </w:p>
        </w:tc>
        <w:tc>
          <w:tcPr>
            <w:tcW w:w="840" w:type="dxa"/>
            <w:vAlign w:val="bottom"/>
          </w:tcPr>
          <w:p>
            <w:pPr>
              <w:jc w:val="right"/>
              <w:ind w:right="101"/>
              <w:spacing w:after="0"/>
              <w:rPr>
                <w:sz w:val="20"/>
                <w:szCs w:val="20"/>
                <w:color w:val="auto"/>
              </w:rPr>
            </w:pPr>
            <w:r>
              <w:rPr>
                <w:rFonts w:ascii="Arial" w:cs="Arial" w:eastAsia="Arial" w:hAnsi="Arial"/>
                <w:sz w:val="14"/>
                <w:szCs w:val="14"/>
                <w:color w:val="auto"/>
              </w:rPr>
              <w:t>One-Year</w:t>
            </w:r>
          </w:p>
        </w:tc>
        <w:tc>
          <w:tcPr>
            <w:tcW w:w="180" w:type="dxa"/>
            <w:vAlign w:val="bottom"/>
          </w:tcPr>
          <w:p>
            <w:pPr>
              <w:spacing w:after="0"/>
              <w:rPr>
                <w:sz w:val="16"/>
                <w:szCs w:val="16"/>
                <w:color w:val="auto"/>
              </w:rPr>
            </w:pPr>
          </w:p>
        </w:tc>
        <w:tc>
          <w:tcPr>
            <w:tcW w:w="800" w:type="dxa"/>
            <w:vAlign w:val="bottom"/>
          </w:tcPr>
          <w:p>
            <w:pPr>
              <w:jc w:val="right"/>
              <w:ind w:right="142"/>
              <w:spacing w:after="0"/>
              <w:rPr>
                <w:sz w:val="20"/>
                <w:szCs w:val="20"/>
                <w:color w:val="auto"/>
              </w:rPr>
            </w:pPr>
            <w:r>
              <w:rPr>
                <w:rFonts w:ascii="Arial" w:cs="Arial" w:eastAsia="Arial" w:hAnsi="Arial"/>
                <w:sz w:val="14"/>
                <w:szCs w:val="14"/>
                <w:color w:val="auto"/>
              </w:rPr>
              <w:t>Nominal</w:t>
            </w:r>
          </w:p>
        </w:tc>
        <w:tc>
          <w:tcPr>
            <w:tcW w:w="160" w:type="dxa"/>
            <w:vAlign w:val="bottom"/>
          </w:tcPr>
          <w:p>
            <w:pPr>
              <w:spacing w:after="0"/>
              <w:rPr>
                <w:sz w:val="16"/>
                <w:szCs w:val="16"/>
                <w:color w:val="auto"/>
              </w:rPr>
            </w:pPr>
          </w:p>
        </w:tc>
        <w:tc>
          <w:tcPr>
            <w:tcW w:w="840" w:type="dxa"/>
            <w:vAlign w:val="bottom"/>
          </w:tcPr>
          <w:p>
            <w:pPr>
              <w:jc w:val="right"/>
              <w:ind w:right="101"/>
              <w:spacing w:after="0"/>
              <w:rPr>
                <w:sz w:val="20"/>
                <w:szCs w:val="20"/>
                <w:color w:val="auto"/>
              </w:rPr>
            </w:pPr>
            <w:r>
              <w:rPr>
                <w:rFonts w:ascii="Arial" w:cs="Arial" w:eastAsia="Arial" w:hAnsi="Arial"/>
                <w:sz w:val="14"/>
                <w:szCs w:val="14"/>
                <w:color w:val="auto"/>
              </w:rPr>
              <w:t>One-Year</w:t>
            </w:r>
          </w:p>
        </w:tc>
        <w:tc>
          <w:tcPr>
            <w:tcW w:w="0" w:type="dxa"/>
            <w:vAlign w:val="bottom"/>
          </w:tcPr>
          <w:p>
            <w:pPr>
              <w:spacing w:after="0"/>
              <w:rPr>
                <w:sz w:val="1"/>
                <w:szCs w:val="1"/>
                <w:color w:val="auto"/>
              </w:rPr>
            </w:pPr>
          </w:p>
        </w:tc>
      </w:tr>
      <w:tr>
        <w:trPr>
          <w:trHeight w:val="157"/>
        </w:trPr>
        <w:tc>
          <w:tcPr>
            <w:tcW w:w="308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43"/>
              <w:spacing w:after="0" w:line="157" w:lineRule="exact"/>
              <w:rPr>
                <w:sz w:val="20"/>
                <w:szCs w:val="20"/>
                <w:color w:val="auto"/>
              </w:rPr>
            </w:pPr>
            <w:r>
              <w:rPr>
                <w:rFonts w:ascii="Arial" w:cs="Arial" w:eastAsia="Arial" w:hAnsi="Arial"/>
                <w:sz w:val="14"/>
                <w:szCs w:val="14"/>
                <w:color w:val="auto"/>
              </w:rPr>
              <w:t>Debt</w:t>
            </w: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61"/>
              <w:spacing w:after="0" w:line="157" w:lineRule="exact"/>
              <w:rPr>
                <w:sz w:val="20"/>
                <w:szCs w:val="20"/>
                <w:color w:val="auto"/>
              </w:rPr>
            </w:pPr>
            <w:r>
              <w:rPr>
                <w:rFonts w:ascii="Arial" w:cs="Arial" w:eastAsia="Arial" w:hAnsi="Arial"/>
                <w:sz w:val="14"/>
                <w:szCs w:val="14"/>
                <w:color w:val="auto"/>
              </w:rPr>
              <w:t>VaR(1)</w:t>
            </w: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42"/>
              <w:spacing w:after="0" w:line="157" w:lineRule="exact"/>
              <w:rPr>
                <w:sz w:val="20"/>
                <w:szCs w:val="20"/>
                <w:color w:val="auto"/>
              </w:rPr>
            </w:pPr>
            <w:r>
              <w:rPr>
                <w:rFonts w:ascii="Arial" w:cs="Arial" w:eastAsia="Arial" w:hAnsi="Arial"/>
                <w:sz w:val="14"/>
                <w:szCs w:val="14"/>
                <w:color w:val="auto"/>
              </w:rPr>
              <w:t>Debt</w:t>
            </w: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81"/>
              <w:spacing w:after="0" w:line="157" w:lineRule="exact"/>
              <w:rPr>
                <w:sz w:val="20"/>
                <w:szCs w:val="20"/>
                <w:color w:val="auto"/>
              </w:rPr>
            </w:pPr>
            <w:r>
              <w:rPr>
                <w:rFonts w:ascii="Arial" w:cs="Arial" w:eastAsia="Arial" w:hAnsi="Arial"/>
                <w:sz w:val="14"/>
                <w:szCs w:val="14"/>
                <w:color w:val="auto"/>
              </w:rPr>
              <w:t>VaR(1)</w:t>
            </w: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42"/>
              <w:spacing w:after="0" w:line="157" w:lineRule="exact"/>
              <w:rPr>
                <w:sz w:val="20"/>
                <w:szCs w:val="20"/>
                <w:color w:val="auto"/>
              </w:rPr>
            </w:pPr>
            <w:r>
              <w:rPr>
                <w:rFonts w:ascii="Arial" w:cs="Arial" w:eastAsia="Arial" w:hAnsi="Arial"/>
                <w:sz w:val="14"/>
                <w:szCs w:val="14"/>
                <w:color w:val="auto"/>
              </w:rPr>
              <w:t>Debt</w:t>
            </w: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81"/>
              <w:spacing w:after="0" w:line="157" w:lineRule="exact"/>
              <w:rPr>
                <w:sz w:val="20"/>
                <w:szCs w:val="20"/>
                <w:color w:val="auto"/>
              </w:rPr>
            </w:pPr>
            <w:r>
              <w:rPr>
                <w:rFonts w:ascii="Arial" w:cs="Arial" w:eastAsia="Arial" w:hAnsi="Arial"/>
                <w:sz w:val="14"/>
                <w:szCs w:val="14"/>
                <w:color w:val="auto"/>
              </w:rPr>
              <w:t>VaR(1)</w:t>
            </w:r>
          </w:p>
        </w:tc>
        <w:tc>
          <w:tcPr>
            <w:tcW w:w="0" w:type="dxa"/>
            <w:vAlign w:val="bottom"/>
          </w:tcPr>
          <w:p>
            <w:pPr>
              <w:spacing w:after="0"/>
              <w:rPr>
                <w:sz w:val="1"/>
                <w:szCs w:val="1"/>
                <w:color w:val="auto"/>
              </w:rPr>
            </w:pPr>
          </w:p>
        </w:tc>
      </w:tr>
      <w:tr>
        <w:trPr>
          <w:trHeight w:val="184"/>
        </w:trPr>
        <w:tc>
          <w:tcPr>
            <w:tcW w:w="3080" w:type="dxa"/>
            <w:vAlign w:val="bottom"/>
          </w:tcPr>
          <w:p>
            <w:pPr>
              <w:spacing w:after="0"/>
              <w:rPr>
                <w:sz w:val="20"/>
                <w:szCs w:val="20"/>
                <w:color w:val="auto"/>
              </w:rPr>
            </w:pPr>
            <w:r>
              <w:rPr>
                <w:rFonts w:ascii="Arial" w:cs="Arial" w:eastAsia="Arial" w:hAnsi="Arial"/>
                <w:sz w:val="16"/>
                <w:szCs w:val="16"/>
                <w:color w:val="auto"/>
              </w:rPr>
              <w:t>At March 31, 2010:</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80" w:type="dxa"/>
            <w:vAlign w:val="bottom"/>
          </w:tcPr>
          <w:p>
            <w:pPr>
              <w:ind w:left="180"/>
              <w:spacing w:after="0"/>
              <w:rPr>
                <w:sz w:val="20"/>
                <w:szCs w:val="20"/>
                <w:color w:val="auto"/>
              </w:rPr>
            </w:pPr>
            <w:r>
              <w:rPr>
                <w:rFonts w:ascii="Arial" w:cs="Arial" w:eastAsia="Arial" w:hAnsi="Arial"/>
                <w:sz w:val="16"/>
                <w:szCs w:val="16"/>
                <w:color w:val="auto"/>
              </w:rPr>
              <w:t>Utility fixed-rate</w:t>
            </w:r>
          </w:p>
        </w:tc>
        <w:tc>
          <w:tcPr>
            <w:tcW w:w="3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3,067</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289</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1,954</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215</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1,113</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189"/>
        </w:trPr>
        <w:tc>
          <w:tcPr>
            <w:tcW w:w="3080" w:type="dxa"/>
            <w:vAlign w:val="bottom"/>
          </w:tcPr>
          <w:p>
            <w:pPr>
              <w:ind w:left="180"/>
              <w:spacing w:after="0"/>
              <w:rPr>
                <w:sz w:val="20"/>
                <w:szCs w:val="20"/>
                <w:color w:val="auto"/>
              </w:rPr>
            </w:pPr>
            <w:r>
              <w:rPr>
                <w:rFonts w:ascii="Arial" w:cs="Arial" w:eastAsia="Arial" w:hAnsi="Arial"/>
                <w:sz w:val="16"/>
                <w:szCs w:val="16"/>
                <w:color w:val="auto"/>
              </w:rPr>
              <w:t>Utility variable-rate</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848</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698</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150</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080" w:type="dxa"/>
            <w:vAlign w:val="bottom"/>
          </w:tcPr>
          <w:p>
            <w:pPr>
              <w:ind w:left="180"/>
              <w:spacing w:after="0"/>
              <w:rPr>
                <w:sz w:val="20"/>
                <w:szCs w:val="20"/>
                <w:color w:val="auto"/>
              </w:rPr>
            </w:pPr>
            <w:r>
              <w:rPr>
                <w:rFonts w:ascii="Arial" w:cs="Arial" w:eastAsia="Arial" w:hAnsi="Arial"/>
                <w:sz w:val="16"/>
                <w:szCs w:val="16"/>
                <w:color w:val="auto"/>
              </w:rPr>
              <w:t>Non-utility, fixed-rate and variable-rate</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3,578</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305</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080" w:type="dxa"/>
            <w:vAlign w:val="bottom"/>
          </w:tcPr>
          <w:p>
            <w:pPr>
              <w:spacing w:after="0"/>
              <w:rPr>
                <w:sz w:val="20"/>
                <w:szCs w:val="20"/>
                <w:color w:val="auto"/>
              </w:rPr>
            </w:pPr>
            <w:r>
              <w:rPr>
                <w:rFonts w:ascii="Arial" w:cs="Arial" w:eastAsia="Arial" w:hAnsi="Arial"/>
                <w:sz w:val="16"/>
                <w:szCs w:val="16"/>
                <w:color w:val="auto"/>
              </w:rPr>
              <w:t>At December 31, 2009:</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80" w:type="dxa"/>
            <w:vAlign w:val="bottom"/>
          </w:tcPr>
          <w:p>
            <w:pPr>
              <w:ind w:left="180"/>
              <w:spacing w:after="0"/>
              <w:rPr>
                <w:sz w:val="20"/>
                <w:szCs w:val="20"/>
                <w:color w:val="auto"/>
              </w:rPr>
            </w:pPr>
            <w:r>
              <w:rPr>
                <w:rFonts w:ascii="Arial" w:cs="Arial" w:eastAsia="Arial" w:hAnsi="Arial"/>
                <w:sz w:val="16"/>
                <w:szCs w:val="16"/>
                <w:color w:val="auto"/>
              </w:rPr>
              <w:t>Utility fixed-rate</w:t>
            </w:r>
          </w:p>
        </w:tc>
        <w:tc>
          <w:tcPr>
            <w:tcW w:w="3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3,067</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369</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1,954</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273</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1,113</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189"/>
        </w:trPr>
        <w:tc>
          <w:tcPr>
            <w:tcW w:w="3080" w:type="dxa"/>
            <w:vAlign w:val="bottom"/>
          </w:tcPr>
          <w:p>
            <w:pPr>
              <w:ind w:left="180"/>
              <w:spacing w:after="0"/>
              <w:rPr>
                <w:sz w:val="20"/>
                <w:szCs w:val="20"/>
                <w:color w:val="auto"/>
              </w:rPr>
            </w:pPr>
            <w:r>
              <w:rPr>
                <w:rFonts w:ascii="Arial" w:cs="Arial" w:eastAsia="Arial" w:hAnsi="Arial"/>
                <w:sz w:val="16"/>
                <w:szCs w:val="16"/>
                <w:color w:val="auto"/>
              </w:rPr>
              <w:t>Utility variable-rate</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848</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698</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150</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7"/>
        </w:trPr>
        <w:tc>
          <w:tcPr>
            <w:tcW w:w="3080" w:type="dxa"/>
            <w:vAlign w:val="bottom"/>
          </w:tcPr>
          <w:p>
            <w:pPr>
              <w:ind w:left="180"/>
              <w:spacing w:after="0"/>
              <w:rPr>
                <w:sz w:val="20"/>
                <w:szCs w:val="20"/>
                <w:color w:val="auto"/>
              </w:rPr>
            </w:pPr>
            <w:r>
              <w:rPr>
                <w:rFonts w:ascii="Arial" w:cs="Arial" w:eastAsia="Arial" w:hAnsi="Arial"/>
                <w:sz w:val="16"/>
                <w:szCs w:val="16"/>
                <w:color w:val="auto"/>
              </w:rPr>
              <w:t>Non-utility, fixed-rate and variable-rate</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4,075</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392</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1"/>
        </w:trPr>
        <w:tc>
          <w:tcPr>
            <w:tcW w:w="3080" w:type="dxa"/>
            <w:vAlign w:val="bottom"/>
            <w:shd w:val="clear" w:color="auto" w:fill="DFDFDF"/>
          </w:tcPr>
          <w:p>
            <w:pPr>
              <w:spacing w:after="0"/>
              <w:rPr>
                <w:sz w:val="7"/>
                <w:szCs w:val="7"/>
                <w:color w:val="auto"/>
              </w:rPr>
            </w:pPr>
          </w:p>
        </w:tc>
        <w:tc>
          <w:tcPr>
            <w:tcW w:w="160" w:type="dxa"/>
            <w:vAlign w:val="bottom"/>
            <w:shd w:val="clear" w:color="auto" w:fill="DFDFDF"/>
          </w:tcPr>
          <w:p>
            <w:pPr>
              <w:spacing w:after="0"/>
              <w:rPr>
                <w:sz w:val="7"/>
                <w:szCs w:val="7"/>
                <w:color w:val="auto"/>
              </w:rPr>
            </w:pPr>
          </w:p>
        </w:tc>
        <w:tc>
          <w:tcPr>
            <w:tcW w:w="160" w:type="dxa"/>
            <w:vAlign w:val="bottom"/>
            <w:shd w:val="clear" w:color="auto" w:fill="DFDFDF"/>
          </w:tcPr>
          <w:p>
            <w:pPr>
              <w:spacing w:after="0"/>
              <w:rPr>
                <w:sz w:val="7"/>
                <w:szCs w:val="7"/>
                <w:color w:val="auto"/>
              </w:rPr>
            </w:pPr>
          </w:p>
        </w:tc>
        <w:tc>
          <w:tcPr>
            <w:tcW w:w="820" w:type="dxa"/>
            <w:vAlign w:val="bottom"/>
            <w:shd w:val="clear" w:color="auto" w:fill="DFDFDF"/>
          </w:tcPr>
          <w:p>
            <w:pPr>
              <w:spacing w:after="0"/>
              <w:rPr>
                <w:sz w:val="7"/>
                <w:szCs w:val="7"/>
                <w:color w:val="auto"/>
              </w:rPr>
            </w:pPr>
          </w:p>
        </w:tc>
        <w:tc>
          <w:tcPr>
            <w:tcW w:w="160" w:type="dxa"/>
            <w:vAlign w:val="bottom"/>
            <w:shd w:val="clear" w:color="auto" w:fill="DFDFDF"/>
          </w:tcPr>
          <w:p>
            <w:pPr>
              <w:spacing w:after="0"/>
              <w:rPr>
                <w:sz w:val="7"/>
                <w:szCs w:val="7"/>
                <w:color w:val="auto"/>
              </w:rPr>
            </w:pPr>
          </w:p>
        </w:tc>
        <w:tc>
          <w:tcPr>
            <w:tcW w:w="820" w:type="dxa"/>
            <w:vAlign w:val="bottom"/>
            <w:shd w:val="clear" w:color="auto" w:fill="DFDFDF"/>
          </w:tcPr>
          <w:p>
            <w:pPr>
              <w:spacing w:after="0"/>
              <w:rPr>
                <w:sz w:val="7"/>
                <w:szCs w:val="7"/>
                <w:color w:val="auto"/>
              </w:rPr>
            </w:pPr>
          </w:p>
        </w:tc>
        <w:tc>
          <w:tcPr>
            <w:tcW w:w="180" w:type="dxa"/>
            <w:vAlign w:val="bottom"/>
            <w:shd w:val="clear" w:color="auto" w:fill="DFDFDF"/>
          </w:tcPr>
          <w:p>
            <w:pPr>
              <w:spacing w:after="0"/>
              <w:rPr>
                <w:sz w:val="7"/>
                <w:szCs w:val="7"/>
                <w:color w:val="auto"/>
              </w:rPr>
            </w:pPr>
          </w:p>
        </w:tc>
        <w:tc>
          <w:tcPr>
            <w:tcW w:w="800" w:type="dxa"/>
            <w:vAlign w:val="bottom"/>
            <w:shd w:val="clear" w:color="auto" w:fill="DFDFDF"/>
          </w:tcPr>
          <w:p>
            <w:pPr>
              <w:spacing w:after="0"/>
              <w:rPr>
                <w:sz w:val="7"/>
                <w:szCs w:val="7"/>
                <w:color w:val="auto"/>
              </w:rPr>
            </w:pPr>
          </w:p>
        </w:tc>
        <w:tc>
          <w:tcPr>
            <w:tcW w:w="160" w:type="dxa"/>
            <w:vAlign w:val="bottom"/>
            <w:shd w:val="clear" w:color="auto" w:fill="DFDFDF"/>
          </w:tcPr>
          <w:p>
            <w:pPr>
              <w:spacing w:after="0"/>
              <w:rPr>
                <w:sz w:val="7"/>
                <w:szCs w:val="7"/>
                <w:color w:val="auto"/>
              </w:rPr>
            </w:pPr>
          </w:p>
        </w:tc>
        <w:tc>
          <w:tcPr>
            <w:tcW w:w="840" w:type="dxa"/>
            <w:vAlign w:val="bottom"/>
            <w:shd w:val="clear" w:color="auto" w:fill="DFDFDF"/>
          </w:tcPr>
          <w:p>
            <w:pPr>
              <w:spacing w:after="0"/>
              <w:rPr>
                <w:sz w:val="7"/>
                <w:szCs w:val="7"/>
                <w:color w:val="auto"/>
              </w:rPr>
            </w:pPr>
          </w:p>
        </w:tc>
        <w:tc>
          <w:tcPr>
            <w:tcW w:w="180" w:type="dxa"/>
            <w:vAlign w:val="bottom"/>
            <w:shd w:val="clear" w:color="auto" w:fill="DFDFDF"/>
          </w:tcPr>
          <w:p>
            <w:pPr>
              <w:spacing w:after="0"/>
              <w:rPr>
                <w:sz w:val="7"/>
                <w:szCs w:val="7"/>
                <w:color w:val="auto"/>
              </w:rPr>
            </w:pPr>
          </w:p>
        </w:tc>
        <w:tc>
          <w:tcPr>
            <w:tcW w:w="800" w:type="dxa"/>
            <w:vAlign w:val="bottom"/>
            <w:shd w:val="clear" w:color="auto" w:fill="DFDFDF"/>
          </w:tcPr>
          <w:p>
            <w:pPr>
              <w:spacing w:after="0"/>
              <w:rPr>
                <w:sz w:val="7"/>
                <w:szCs w:val="7"/>
                <w:color w:val="auto"/>
              </w:rPr>
            </w:pPr>
          </w:p>
        </w:tc>
        <w:tc>
          <w:tcPr>
            <w:tcW w:w="160" w:type="dxa"/>
            <w:vAlign w:val="bottom"/>
            <w:shd w:val="clear" w:color="auto" w:fill="DFDFDF"/>
          </w:tcPr>
          <w:p>
            <w:pPr>
              <w:spacing w:after="0"/>
              <w:rPr>
                <w:sz w:val="7"/>
                <w:szCs w:val="7"/>
                <w:color w:val="auto"/>
              </w:rPr>
            </w:pPr>
          </w:p>
        </w:tc>
        <w:tc>
          <w:tcPr>
            <w:tcW w:w="840" w:type="dxa"/>
            <w:vAlign w:val="bottom"/>
            <w:shd w:val="clear" w:color="auto" w:fill="DFDFDF"/>
          </w:tcPr>
          <w:p>
            <w:pPr>
              <w:spacing w:after="0"/>
              <w:rPr>
                <w:sz w:val="7"/>
                <w:szCs w:val="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(1) After the effects of interest rate swaps.</w:t>
      </w:r>
    </w:p>
    <w:p>
      <w:pPr>
        <w:spacing w:after="0" w:line="209" w:lineRule="exact"/>
        <w:rPr>
          <w:sz w:val="20"/>
          <w:szCs w:val="20"/>
          <w:color w:val="auto"/>
        </w:rPr>
      </w:pPr>
    </w:p>
    <w:p>
      <w:pPr>
        <w:ind w:right="739"/>
        <w:spacing w:after="0" w:line="218" w:lineRule="auto"/>
        <w:rPr>
          <w:sz w:val="20"/>
          <w:szCs w:val="20"/>
          <w:color w:val="auto"/>
        </w:rPr>
      </w:pPr>
      <w:r>
        <w:rPr>
          <w:rFonts w:ascii="Arial" w:cs="Arial" w:eastAsia="Arial" w:hAnsi="Arial"/>
          <w:sz w:val="22"/>
          <w:szCs w:val="22"/>
          <w:color w:val="auto"/>
        </w:rPr>
        <w:t>At March 31, 2010, the total notional amount of interest rate swap transactions ranged from $215 million to $355 million at Sempra Energy (ranges relate to amortizing notional amounts). We provide additional information about interest rate swap transactions in Note 7 of the Notes to Condensed Consolidated Financial Statements herein.</w:t>
      </w:r>
    </w:p>
    <w:p>
      <w:pPr>
        <w:sectPr>
          <w:pgSz w:w="11900" w:h="16838" w:orient="portrait"/>
          <w:cols w:equalWidth="0" w:num="1">
            <w:col w:w="10219"/>
          </w:cols>
          <w:pgMar w:left="240" w:top="595" w:right="1440" w:bottom="1440" w:gutter="0" w:footer="0" w:header="0"/>
        </w:sectPr>
      </w:pPr>
    </w:p>
    <w:bookmarkStart w:id="82" w:name="page83"/>
    <w:bookmarkEnd w:id="82"/>
    <w:p>
      <w:pPr>
        <w:spacing w:after="0"/>
        <w:rPr>
          <w:sz w:val="20"/>
          <w:szCs w:val="20"/>
          <w:color w:val="auto"/>
        </w:rPr>
      </w:pPr>
      <w:r>
        <w:rPr>
          <w:rFonts w:ascii="Arial" w:cs="Arial" w:eastAsia="Arial" w:hAnsi="Arial"/>
          <w:sz w:val="22"/>
          <w:szCs w:val="22"/>
          <w:b w:val="1"/>
          <w:bCs w:val="1"/>
          <w:color w:val="auto"/>
        </w:rPr>
        <w:t>FOREIGN CURRENCY RATE RISK</w:t>
      </w:r>
    </w:p>
    <w:p>
      <w:pPr>
        <w:spacing w:after="0" w:line="69" w:lineRule="exact"/>
        <w:rPr>
          <w:sz w:val="20"/>
          <w:szCs w:val="20"/>
          <w:color w:val="auto"/>
        </w:rPr>
      </w:pPr>
    </w:p>
    <w:p>
      <w:pPr>
        <w:jc w:val="both"/>
        <w:ind w:right="1019"/>
        <w:spacing w:after="0" w:line="268" w:lineRule="auto"/>
        <w:rPr>
          <w:sz w:val="20"/>
          <w:szCs w:val="20"/>
          <w:color w:val="auto"/>
        </w:rPr>
      </w:pPr>
      <w:r>
        <w:rPr>
          <w:rFonts w:ascii="Arial" w:cs="Arial" w:eastAsia="Arial" w:hAnsi="Arial"/>
          <w:sz w:val="19"/>
          <w:szCs w:val="19"/>
          <w:color w:val="auto"/>
        </w:rPr>
        <w:t>We discuss our foreign currency rate risk in detail in "Management's Discussion and Analysis of Financial Condition and Results of Operations" in the Annual Report. At March 31, 2010, there were no significant changes to our exposure to foreign currency rate risk since 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617474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387" w:lineRule="exact"/>
        <w:rPr>
          <w:sz w:val="20"/>
          <w:szCs w:val="20"/>
          <w:color w:val="auto"/>
        </w:rPr>
      </w:pPr>
    </w:p>
    <w:p>
      <w:pPr>
        <w:spacing w:after="0"/>
        <w:rPr>
          <w:sz w:val="20"/>
          <w:szCs w:val="20"/>
          <w:color w:val="auto"/>
        </w:rPr>
      </w:pPr>
      <w:r>
        <w:rPr>
          <w:rFonts w:ascii="Arial" w:cs="Arial" w:eastAsia="Arial" w:hAnsi="Arial"/>
          <w:sz w:val="20"/>
          <w:szCs w:val="20"/>
          <w:color w:val="auto"/>
        </w:rPr>
        <w:t>ITEM 4. CONTROLS AND PROCEDURES</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EVALUATION OF DISCLOSURE CONTROLS AND PROCEDURES</w:t>
      </w:r>
    </w:p>
    <w:p>
      <w:pPr>
        <w:spacing w:after="0" w:line="69" w:lineRule="exact"/>
        <w:rPr>
          <w:sz w:val="20"/>
          <w:szCs w:val="20"/>
          <w:color w:val="auto"/>
        </w:rPr>
      </w:pPr>
    </w:p>
    <w:p>
      <w:pPr>
        <w:ind w:right="579"/>
        <w:spacing w:after="0" w:line="245" w:lineRule="auto"/>
        <w:rPr>
          <w:sz w:val="20"/>
          <w:szCs w:val="20"/>
          <w:color w:val="auto"/>
        </w:rPr>
      </w:pPr>
      <w:r>
        <w:rPr>
          <w:rFonts w:ascii="Arial" w:cs="Arial" w:eastAsia="Arial" w:hAnsi="Arial"/>
          <w:sz w:val="19"/>
          <w:szCs w:val="19"/>
          <w:color w:val="auto"/>
        </w:rPr>
        <w:t>Sempra Energy, SDG&amp;E, PE and SoCalGas have designed and maintain disclosure controls and procedures to ensure that information required to be disclosed in their respective reports is recorded, processed, summarized and reported within the time periods specified in the rules and forms of the Securities and Exchange Commission and is accumulated and communicated to the management of each company, including each respective Chief Executive Officer and Chief Financial Officer, to allow timely decisions regarding required disclosure. In designing and evaluating these controls and procedures, the management of each company recognizes that any system of controls and procedures, no matter how well designed and operated, can provide only reasonable assurance of achieving the desired control objectives; therefore, the management of each company applies judgment in evaluating the cost-benefit relationship of other possible controls and procedures.</w:t>
      </w:r>
    </w:p>
    <w:p>
      <w:pPr>
        <w:spacing w:after="0" w:line="32" w:lineRule="exact"/>
        <w:rPr>
          <w:sz w:val="20"/>
          <w:szCs w:val="20"/>
          <w:color w:val="auto"/>
        </w:rPr>
      </w:pPr>
    </w:p>
    <w:p>
      <w:pPr>
        <w:ind w:right="499"/>
        <w:spacing w:after="0" w:line="249" w:lineRule="auto"/>
        <w:rPr>
          <w:sz w:val="20"/>
          <w:szCs w:val="20"/>
          <w:color w:val="auto"/>
        </w:rPr>
      </w:pPr>
      <w:r>
        <w:rPr>
          <w:rFonts w:ascii="Arial" w:cs="Arial" w:eastAsia="Arial" w:hAnsi="Arial"/>
          <w:sz w:val="19"/>
          <w:szCs w:val="19"/>
          <w:color w:val="auto"/>
        </w:rPr>
        <w:t>Under the supervision and with the participation of management, including the Chief Executive Officers and Chief Financial Officers of Sempra Energy, SDG&amp;E, PE and SoCalGas, each company evaluated the effectiveness of the design and operation of its disclosure controls and procedures as of March 31, 2010, the end of the period covered by this report. Based on these evaluations, the Chief Executive Officers and Chief Financial Officers of Sempra Energy, SDG&amp;E, PE and SoCalGas concluded that their respective company's disclosure controls and procedures were effective at the reasonable assurance level.</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INTERNAL CONTROL OVER FINANCIAL REPORTING</w:t>
      </w:r>
    </w:p>
    <w:p>
      <w:pPr>
        <w:spacing w:after="0" w:line="69" w:lineRule="exact"/>
        <w:rPr>
          <w:sz w:val="20"/>
          <w:szCs w:val="20"/>
          <w:color w:val="auto"/>
        </w:rPr>
      </w:pPr>
    </w:p>
    <w:p>
      <w:pPr>
        <w:ind w:right="619"/>
        <w:spacing w:after="0" w:line="223" w:lineRule="auto"/>
        <w:rPr>
          <w:sz w:val="20"/>
          <w:szCs w:val="20"/>
          <w:color w:val="auto"/>
        </w:rPr>
      </w:pPr>
      <w:r>
        <w:rPr>
          <w:rFonts w:ascii="Arial" w:cs="Arial" w:eastAsia="Arial" w:hAnsi="Arial"/>
          <w:sz w:val="22"/>
          <w:szCs w:val="22"/>
          <w:color w:val="auto"/>
        </w:rPr>
        <w:t>There have been no changes in the companies' internal control over financial reporting during the most recent fiscal quarter that have materially affected, or are reasonably likely to materially affect, the companies' internal control over financial reporting.</w:t>
      </w:r>
    </w:p>
    <w:p>
      <w:pPr>
        <w:sectPr>
          <w:pgSz w:w="11900" w:h="16838" w:orient="portrait"/>
          <w:cols w:equalWidth="0" w:num="1">
            <w:col w:w="10219"/>
          </w:cols>
          <w:pgMar w:left="240" w:top="94" w:right="1440" w:bottom="1440" w:gutter="0" w:footer="0" w:header="0"/>
        </w:sectPr>
      </w:pPr>
    </w:p>
    <w:bookmarkStart w:id="83" w:name="page84"/>
    <w:bookmarkEnd w:id="83"/>
    <w:p>
      <w:pPr>
        <w:spacing w:after="0"/>
        <w:rPr>
          <w:sz w:val="20"/>
          <w:szCs w:val="20"/>
          <w:color w:val="auto"/>
        </w:rPr>
      </w:pPr>
      <w:r>
        <w:rPr>
          <w:rFonts w:ascii="Arial" w:cs="Arial" w:eastAsia="Arial" w:hAnsi="Arial"/>
          <w:sz w:val="23"/>
          <w:szCs w:val="23"/>
          <w:color w:val="auto"/>
        </w:rPr>
        <w:t>PART II –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300990</wp:posOffset>
            </wp:positionV>
            <wp:extent cx="617474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color w:val="auto"/>
        </w:rPr>
        <w:t>ITEM 1. LEGAL PROCEEDINGS</w:t>
      </w:r>
    </w:p>
    <w:p>
      <w:pPr>
        <w:spacing w:after="0" w:line="49" w:lineRule="exact"/>
        <w:rPr>
          <w:sz w:val="20"/>
          <w:szCs w:val="20"/>
          <w:color w:val="auto"/>
        </w:rPr>
      </w:pPr>
    </w:p>
    <w:p>
      <w:pPr>
        <w:ind w:right="599"/>
        <w:spacing w:after="0" w:line="257" w:lineRule="auto"/>
        <w:rPr>
          <w:sz w:val="20"/>
          <w:szCs w:val="20"/>
          <w:color w:val="auto"/>
        </w:rPr>
      </w:pPr>
      <w:r>
        <w:rPr>
          <w:rFonts w:ascii="Arial" w:cs="Arial" w:eastAsia="Arial" w:hAnsi="Arial"/>
          <w:sz w:val="19"/>
          <w:szCs w:val="19"/>
          <w:color w:val="auto"/>
        </w:rPr>
        <w:t>We are not party to, and our property is not the subject of, any material pending legal proceedings (other than ordinary routine litigation incidental to our businesses) except for the matters 1) described in Notes 9 and 10 of the Notes to Condensed Consolidated Financial Statements herein, or 2) referred to in "Management's Discussion and Analysis of Financial Condition and Results of Operations" herein and in the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617474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color w:val="auto"/>
        </w:rPr>
        <w:t>ITEM 1A. RISK FACTORS</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color w:val="auto"/>
        </w:rPr>
        <w:t>The following supplements the risk factors set forth in the Annual Report.</w:t>
      </w: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RECOVERY OF 2007 WILDFIRE LITIGATION COSTS</w:t>
      </w:r>
    </w:p>
    <w:p>
      <w:pPr>
        <w:spacing w:after="0" w:line="69" w:lineRule="exact"/>
        <w:rPr>
          <w:sz w:val="20"/>
          <w:szCs w:val="20"/>
          <w:color w:val="auto"/>
        </w:rPr>
      </w:pPr>
    </w:p>
    <w:p>
      <w:pPr>
        <w:ind w:right="539"/>
        <w:spacing w:after="0" w:line="247" w:lineRule="auto"/>
        <w:rPr>
          <w:sz w:val="20"/>
          <w:szCs w:val="20"/>
          <w:color w:val="auto"/>
        </w:rPr>
      </w:pPr>
      <w:r>
        <w:rPr>
          <w:rFonts w:ascii="Arial" w:cs="Arial" w:eastAsia="Arial" w:hAnsi="Arial"/>
          <w:sz w:val="19"/>
          <w:szCs w:val="19"/>
          <w:color w:val="auto"/>
        </w:rPr>
        <w:t>As we discuss in Note 10 of the Notes to Condensed Consolidated Financial Statements herein, SDG&amp;E is subject to numerous lawsuits arising out of the San Diego County wildfires in 2007. It expects that substantially all reasonably incurred costs of resolving 2007 wildfire claims that exceed its liability insurance coverage and any amounts recovered from other potentially responsible parties will be recovered from utility customers. However, recovery from customers will require future regulatory actions, and a failure to obtain recovery, or any negative assessment of the likelihood of recovery, would likely have a material adverse effect on Sempra Energy’s and SDG&amp;E’s cash flows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617474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ectPr>
          <w:pgSz w:w="11900" w:h="16838" w:orient="portrait"/>
          <w:cols w:equalWidth="0" w:num="1">
            <w:col w:w="10219"/>
          </w:cols>
          <w:pgMar w:left="240" w:top="144" w:right="1440" w:bottom="1440" w:gutter="0" w:footer="0" w:header="0"/>
        </w:sectPr>
      </w:pPr>
    </w:p>
    <w:bookmarkStart w:id="84" w:name="page85"/>
    <w:bookmarkEnd w:id="84"/>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617474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174740" cy="8890"/>
                    </a:xfrm>
                    <a:prstGeom prst="rect">
                      <a:avLst/>
                    </a:prstGeom>
                    <a:noFill/>
                  </pic:spPr>
                </pic:pic>
              </a:graphicData>
            </a:graphic>
          </wp:anchor>
        </w:drawing>
        <w:t>ITEM 5. EXHIBITS</w:t>
      </w:r>
    </w:p>
    <w:p>
      <w:pPr>
        <w:spacing w:after="0" w:line="38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EXHIBIT 10 -- MATERIAL CONTRACTS</w:t>
      </w:r>
    </w:p>
    <w:p>
      <w:pPr>
        <w:spacing w:after="0" w:line="299" w:lineRule="exact"/>
        <w:rPr>
          <w:sz w:val="20"/>
          <w:szCs w:val="20"/>
          <w:color w:val="auto"/>
        </w:rPr>
      </w:pPr>
    </w:p>
    <w:p>
      <w:pPr>
        <w:ind w:left="920" w:right="2359"/>
        <w:spacing w:after="0" w:line="246" w:lineRule="auto"/>
        <w:rPr>
          <w:sz w:val="20"/>
          <w:szCs w:val="20"/>
          <w:color w:val="auto"/>
        </w:rPr>
      </w:pPr>
      <w:r>
        <w:rPr>
          <w:rFonts w:ascii="Arial" w:cs="Arial" w:eastAsia="Arial" w:hAnsi="Arial"/>
          <w:sz w:val="20"/>
          <w:szCs w:val="20"/>
          <w:b w:val="1"/>
          <w:bCs w:val="1"/>
          <w:i w:val="1"/>
          <w:iCs w:val="1"/>
          <w:color w:val="auto"/>
        </w:rPr>
        <w:t>Sempra Energy / San Diego Gas &amp; Electric Company/ Pacific Enterprises / Southern California Gas Company</w:t>
      </w:r>
    </w:p>
    <w:p>
      <w:pPr>
        <w:spacing w:after="0" w:line="17" w:lineRule="exact"/>
        <w:rPr>
          <w:sz w:val="20"/>
          <w:szCs w:val="20"/>
          <w:color w:val="auto"/>
        </w:rPr>
      </w:pPr>
    </w:p>
    <w:p>
      <w:pPr>
        <w:ind w:left="1940" w:right="1519" w:hanging="404"/>
        <w:spacing w:after="0" w:line="277" w:lineRule="auto"/>
        <w:rPr>
          <w:sz w:val="20"/>
          <w:szCs w:val="20"/>
          <w:color w:val="auto"/>
        </w:rPr>
      </w:pPr>
      <w:r>
        <w:rPr>
          <w:rFonts w:ascii="Arial" w:cs="Arial" w:eastAsia="Arial" w:hAnsi="Arial"/>
          <w:sz w:val="18"/>
          <w:szCs w:val="18"/>
          <w:color w:val="auto"/>
        </w:rPr>
        <w:t>10.1 Form of Sempra Energy 2008 Long Term Incentive Plan, 2010 Performance-Based Restricted Stock Unit Award.</w:t>
      </w:r>
    </w:p>
    <w:p>
      <w:pPr>
        <w:spacing w:after="0" w:line="25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EXHIBIT 12 -- STATEMENTS RE: COMPUTATION OF RATIOS</w:t>
      </w:r>
    </w:p>
    <w:p>
      <w:pPr>
        <w:spacing w:after="0" w:line="299" w:lineRule="exact"/>
        <w:rPr>
          <w:sz w:val="20"/>
          <w:szCs w:val="20"/>
          <w:color w:val="auto"/>
        </w:rPr>
      </w:pPr>
    </w:p>
    <w:p>
      <w:pPr>
        <w:ind w:left="920"/>
        <w:spacing w:after="0"/>
        <w:rPr>
          <w:sz w:val="20"/>
          <w:szCs w:val="20"/>
          <w:color w:val="auto"/>
        </w:rPr>
      </w:pPr>
      <w:r>
        <w:rPr>
          <w:rFonts w:ascii="Arial" w:cs="Arial" w:eastAsia="Arial" w:hAnsi="Arial"/>
          <w:sz w:val="20"/>
          <w:szCs w:val="20"/>
          <w:b w:val="1"/>
          <w:bCs w:val="1"/>
          <w:i w:val="1"/>
          <w:iCs w:val="1"/>
          <w:color w:val="auto"/>
        </w:rPr>
        <w:t>Sempra Energy</w:t>
      </w:r>
    </w:p>
    <w:p>
      <w:pPr>
        <w:spacing w:after="0" w:line="43" w:lineRule="exact"/>
        <w:rPr>
          <w:sz w:val="20"/>
          <w:szCs w:val="20"/>
          <w:color w:val="auto"/>
        </w:rPr>
      </w:pPr>
    </w:p>
    <w:p>
      <w:pPr>
        <w:ind w:left="1940" w:right="1599" w:hanging="404"/>
        <w:spacing w:after="0" w:line="277" w:lineRule="auto"/>
        <w:rPr>
          <w:sz w:val="20"/>
          <w:szCs w:val="20"/>
          <w:color w:val="auto"/>
        </w:rPr>
      </w:pPr>
      <w:r>
        <w:rPr>
          <w:rFonts w:ascii="Arial" w:cs="Arial" w:eastAsia="Arial" w:hAnsi="Arial"/>
          <w:sz w:val="18"/>
          <w:szCs w:val="18"/>
          <w:color w:val="auto"/>
        </w:rPr>
        <w:t>12.1 Sempra Energy Computation of Ratio of Earnings to Combined Fixed Charges and Preferred Stock Dividends.</w:t>
      </w:r>
    </w:p>
    <w:p>
      <w:pPr>
        <w:spacing w:after="0" w:line="141" w:lineRule="exact"/>
        <w:rPr>
          <w:sz w:val="20"/>
          <w:szCs w:val="20"/>
          <w:color w:val="auto"/>
        </w:rPr>
      </w:pPr>
    </w:p>
    <w:p>
      <w:pPr>
        <w:ind w:left="920"/>
        <w:spacing w:after="0"/>
        <w:rPr>
          <w:sz w:val="20"/>
          <w:szCs w:val="20"/>
          <w:color w:val="auto"/>
        </w:rPr>
      </w:pPr>
      <w:r>
        <w:rPr>
          <w:rFonts w:ascii="Arial" w:cs="Arial" w:eastAsia="Arial" w:hAnsi="Arial"/>
          <w:sz w:val="20"/>
          <w:szCs w:val="20"/>
          <w:b w:val="1"/>
          <w:bCs w:val="1"/>
          <w:i w:val="1"/>
          <w:iCs w:val="1"/>
          <w:color w:val="auto"/>
        </w:rPr>
        <w:t>San Diego Gas &amp; Electric Company</w:t>
      </w:r>
    </w:p>
    <w:p>
      <w:pPr>
        <w:spacing w:after="0" w:line="43" w:lineRule="exact"/>
        <w:rPr>
          <w:sz w:val="20"/>
          <w:szCs w:val="20"/>
          <w:color w:val="auto"/>
        </w:rPr>
      </w:pPr>
    </w:p>
    <w:p>
      <w:pPr>
        <w:ind w:left="1940" w:right="1739" w:hanging="404"/>
        <w:spacing w:after="0" w:line="277" w:lineRule="auto"/>
        <w:rPr>
          <w:sz w:val="20"/>
          <w:szCs w:val="20"/>
          <w:color w:val="auto"/>
        </w:rPr>
      </w:pPr>
      <w:r>
        <w:rPr>
          <w:rFonts w:ascii="Arial" w:cs="Arial" w:eastAsia="Arial" w:hAnsi="Arial"/>
          <w:sz w:val="18"/>
          <w:szCs w:val="18"/>
          <w:color w:val="auto"/>
        </w:rPr>
        <w:t>12.2 San Diego Gas &amp; Electric Company Computation of Ratio of Earnings to Combined Fixed Charges and Preferred Stock Dividends.</w:t>
      </w:r>
    </w:p>
    <w:p>
      <w:pPr>
        <w:spacing w:after="0" w:line="141" w:lineRule="exact"/>
        <w:rPr>
          <w:sz w:val="20"/>
          <w:szCs w:val="20"/>
          <w:color w:val="auto"/>
        </w:rPr>
      </w:pPr>
    </w:p>
    <w:p>
      <w:pPr>
        <w:ind w:left="920"/>
        <w:spacing w:after="0"/>
        <w:rPr>
          <w:sz w:val="20"/>
          <w:szCs w:val="20"/>
          <w:color w:val="auto"/>
        </w:rPr>
      </w:pPr>
      <w:r>
        <w:rPr>
          <w:rFonts w:ascii="Arial" w:cs="Arial" w:eastAsia="Arial" w:hAnsi="Arial"/>
          <w:sz w:val="20"/>
          <w:szCs w:val="20"/>
          <w:b w:val="1"/>
          <w:bCs w:val="1"/>
          <w:i w:val="1"/>
          <w:iCs w:val="1"/>
          <w:color w:val="auto"/>
        </w:rPr>
        <w:t>Pacific Enterprises</w:t>
      </w:r>
    </w:p>
    <w:p>
      <w:pPr>
        <w:spacing w:after="0" w:line="43" w:lineRule="exact"/>
        <w:rPr>
          <w:sz w:val="20"/>
          <w:szCs w:val="20"/>
          <w:color w:val="auto"/>
        </w:rPr>
      </w:pPr>
    </w:p>
    <w:p>
      <w:pPr>
        <w:ind w:left="1940" w:right="2059" w:hanging="404"/>
        <w:spacing w:after="0" w:line="277" w:lineRule="auto"/>
        <w:rPr>
          <w:sz w:val="20"/>
          <w:szCs w:val="20"/>
          <w:color w:val="auto"/>
        </w:rPr>
      </w:pPr>
      <w:r>
        <w:rPr>
          <w:rFonts w:ascii="Arial" w:cs="Arial" w:eastAsia="Arial" w:hAnsi="Arial"/>
          <w:sz w:val="18"/>
          <w:szCs w:val="18"/>
          <w:color w:val="auto"/>
        </w:rPr>
        <w:t>12.3 Pacific Enterprises Computation of Ratio of Earnings to Combined Fixed Charges and Preferred Stock Dividends.</w:t>
      </w:r>
    </w:p>
    <w:p>
      <w:pPr>
        <w:spacing w:after="0" w:line="141" w:lineRule="exact"/>
        <w:rPr>
          <w:sz w:val="20"/>
          <w:szCs w:val="20"/>
          <w:color w:val="auto"/>
        </w:rPr>
      </w:pPr>
    </w:p>
    <w:p>
      <w:pPr>
        <w:ind w:left="920"/>
        <w:spacing w:after="0"/>
        <w:rPr>
          <w:sz w:val="20"/>
          <w:szCs w:val="20"/>
          <w:color w:val="auto"/>
        </w:rPr>
      </w:pPr>
      <w:r>
        <w:rPr>
          <w:rFonts w:ascii="Arial" w:cs="Arial" w:eastAsia="Arial" w:hAnsi="Arial"/>
          <w:sz w:val="20"/>
          <w:szCs w:val="20"/>
          <w:b w:val="1"/>
          <w:bCs w:val="1"/>
          <w:i w:val="1"/>
          <w:iCs w:val="1"/>
          <w:color w:val="auto"/>
        </w:rPr>
        <w:t>Southern California Gas Company</w:t>
      </w:r>
    </w:p>
    <w:p>
      <w:pPr>
        <w:spacing w:after="0" w:line="43" w:lineRule="exact"/>
        <w:rPr>
          <w:sz w:val="20"/>
          <w:szCs w:val="20"/>
          <w:color w:val="auto"/>
        </w:rPr>
      </w:pPr>
    </w:p>
    <w:p>
      <w:pPr>
        <w:ind w:left="1940" w:right="1859" w:hanging="404"/>
        <w:spacing w:after="0" w:line="277" w:lineRule="auto"/>
        <w:rPr>
          <w:sz w:val="20"/>
          <w:szCs w:val="20"/>
          <w:color w:val="auto"/>
        </w:rPr>
      </w:pPr>
      <w:r>
        <w:rPr>
          <w:rFonts w:ascii="Arial" w:cs="Arial" w:eastAsia="Arial" w:hAnsi="Arial"/>
          <w:sz w:val="18"/>
          <w:szCs w:val="18"/>
          <w:color w:val="auto"/>
        </w:rPr>
        <w:t>12.4 Southern California Gas Company Computation of Ratio of Earnings to Combined Fixed Charges and Preferred Stock Dividends.</w:t>
      </w:r>
    </w:p>
    <w:p>
      <w:pPr>
        <w:spacing w:after="0" w:line="25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EXHIBIT 31 -- SECTION 302 CERTIFICATIONS</w:t>
      </w:r>
    </w:p>
    <w:p>
      <w:pPr>
        <w:spacing w:after="0" w:line="299" w:lineRule="exact"/>
        <w:rPr>
          <w:sz w:val="20"/>
          <w:szCs w:val="20"/>
          <w:color w:val="auto"/>
        </w:rPr>
      </w:pPr>
    </w:p>
    <w:p>
      <w:pPr>
        <w:ind w:left="920"/>
        <w:spacing w:after="0"/>
        <w:rPr>
          <w:sz w:val="20"/>
          <w:szCs w:val="20"/>
          <w:color w:val="auto"/>
        </w:rPr>
      </w:pPr>
      <w:r>
        <w:rPr>
          <w:rFonts w:ascii="Arial" w:cs="Arial" w:eastAsia="Arial" w:hAnsi="Arial"/>
          <w:sz w:val="20"/>
          <w:szCs w:val="20"/>
          <w:b w:val="1"/>
          <w:bCs w:val="1"/>
          <w:i w:val="1"/>
          <w:iCs w:val="1"/>
          <w:color w:val="auto"/>
        </w:rPr>
        <w:t>Sempra Energy</w:t>
      </w:r>
    </w:p>
    <w:p>
      <w:pPr>
        <w:spacing w:after="0" w:line="43" w:lineRule="exact"/>
        <w:rPr>
          <w:sz w:val="20"/>
          <w:szCs w:val="20"/>
          <w:color w:val="auto"/>
        </w:rPr>
      </w:pPr>
    </w:p>
    <w:p>
      <w:pPr>
        <w:ind w:left="1940" w:right="1439" w:hanging="404"/>
        <w:spacing w:after="0" w:line="277" w:lineRule="auto"/>
        <w:rPr>
          <w:sz w:val="20"/>
          <w:szCs w:val="20"/>
          <w:color w:val="auto"/>
        </w:rPr>
      </w:pPr>
      <w:r>
        <w:rPr>
          <w:rFonts w:ascii="Arial" w:cs="Arial" w:eastAsia="Arial" w:hAnsi="Arial"/>
          <w:sz w:val="18"/>
          <w:szCs w:val="18"/>
          <w:color w:val="auto"/>
        </w:rPr>
        <w:t>31.1 Statement of Sempra Energy's Chief Executive Officer pursuant to Rules 13a-14 and 15d-14 of the Securities Exchange Act of 1934.</w:t>
      </w:r>
    </w:p>
    <w:p>
      <w:pPr>
        <w:spacing w:after="0" w:line="170" w:lineRule="exact"/>
        <w:rPr>
          <w:sz w:val="20"/>
          <w:szCs w:val="20"/>
          <w:color w:val="auto"/>
        </w:rPr>
      </w:pPr>
    </w:p>
    <w:p>
      <w:pPr>
        <w:ind w:left="1940" w:right="1479" w:hanging="404"/>
        <w:spacing w:after="0" w:line="277" w:lineRule="auto"/>
        <w:rPr>
          <w:sz w:val="20"/>
          <w:szCs w:val="20"/>
          <w:color w:val="auto"/>
        </w:rPr>
      </w:pPr>
      <w:r>
        <w:rPr>
          <w:rFonts w:ascii="Arial" w:cs="Arial" w:eastAsia="Arial" w:hAnsi="Arial"/>
          <w:sz w:val="18"/>
          <w:szCs w:val="18"/>
          <w:color w:val="auto"/>
        </w:rPr>
        <w:t>31.2 Statement of Sempra Energy's Chief Financial Officer pursuant to Rules 13a-14 and 15d-14 of the Securities Exchange Act of 1934.</w:t>
      </w:r>
    </w:p>
    <w:p>
      <w:pPr>
        <w:spacing w:after="0" w:line="141" w:lineRule="exact"/>
        <w:rPr>
          <w:sz w:val="20"/>
          <w:szCs w:val="20"/>
          <w:color w:val="auto"/>
        </w:rPr>
      </w:pPr>
    </w:p>
    <w:p>
      <w:pPr>
        <w:ind w:left="920"/>
        <w:spacing w:after="0"/>
        <w:rPr>
          <w:sz w:val="20"/>
          <w:szCs w:val="20"/>
          <w:color w:val="auto"/>
        </w:rPr>
      </w:pPr>
      <w:r>
        <w:rPr>
          <w:rFonts w:ascii="Arial" w:cs="Arial" w:eastAsia="Arial" w:hAnsi="Arial"/>
          <w:sz w:val="20"/>
          <w:szCs w:val="20"/>
          <w:b w:val="1"/>
          <w:bCs w:val="1"/>
          <w:i w:val="1"/>
          <w:iCs w:val="1"/>
          <w:color w:val="auto"/>
        </w:rPr>
        <w:t>San Diego Gas &amp; Electric Company</w:t>
      </w:r>
    </w:p>
    <w:p>
      <w:pPr>
        <w:spacing w:after="0" w:line="43"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31.3 Statement of San Diego Gas &amp; Electric Company's Chief Executive Officer pursuant to Rules</w:t>
      </w:r>
    </w:p>
    <w:p>
      <w:pPr>
        <w:spacing w:after="0" w:line="46"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13a-14 and 15d-14 of the Securities Exchange Act of 1934.</w:t>
      </w:r>
    </w:p>
    <w:p>
      <w:pPr>
        <w:spacing w:after="0" w:line="211"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31.4 Statement of San Diego Gas &amp; Electric Company's Chief Financial Officer pursuant to Rules</w:t>
      </w:r>
    </w:p>
    <w:p>
      <w:pPr>
        <w:spacing w:after="0" w:line="46"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13a-14 and 15d-14 of the Securities Exchange Act of 1934.</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20"/>
          <w:szCs w:val="20"/>
          <w:b w:val="1"/>
          <w:bCs w:val="1"/>
          <w:i w:val="1"/>
          <w:iCs w:val="1"/>
          <w:color w:val="auto"/>
        </w:rPr>
        <w:t>Pacific Enterprises</w:t>
      </w:r>
    </w:p>
    <w:p>
      <w:pPr>
        <w:spacing w:after="0" w:line="43" w:lineRule="exact"/>
        <w:rPr>
          <w:sz w:val="20"/>
          <w:szCs w:val="20"/>
          <w:color w:val="auto"/>
        </w:rPr>
      </w:pPr>
    </w:p>
    <w:p>
      <w:pPr>
        <w:ind w:left="1940" w:right="1459" w:hanging="404"/>
        <w:spacing w:after="0" w:line="277" w:lineRule="auto"/>
        <w:rPr>
          <w:sz w:val="20"/>
          <w:szCs w:val="20"/>
          <w:color w:val="auto"/>
        </w:rPr>
      </w:pPr>
      <w:r>
        <w:rPr>
          <w:rFonts w:ascii="Arial" w:cs="Arial" w:eastAsia="Arial" w:hAnsi="Arial"/>
          <w:sz w:val="18"/>
          <w:szCs w:val="18"/>
          <w:color w:val="auto"/>
        </w:rPr>
        <w:t>31.5 Statement of Pacific Enterprise's Chief Executive Officer pursuant to Rules 13a-14 and 15d-14 of the Securities Exchange Act of 1934.</w:t>
      </w:r>
    </w:p>
    <w:p>
      <w:pPr>
        <w:spacing w:after="0" w:line="170" w:lineRule="exact"/>
        <w:rPr>
          <w:sz w:val="20"/>
          <w:szCs w:val="20"/>
          <w:color w:val="auto"/>
        </w:rPr>
      </w:pPr>
    </w:p>
    <w:p>
      <w:pPr>
        <w:ind w:left="1940" w:right="1519" w:hanging="404"/>
        <w:spacing w:after="0" w:line="277" w:lineRule="auto"/>
        <w:rPr>
          <w:sz w:val="20"/>
          <w:szCs w:val="20"/>
          <w:color w:val="auto"/>
        </w:rPr>
      </w:pPr>
      <w:r>
        <w:rPr>
          <w:rFonts w:ascii="Arial" w:cs="Arial" w:eastAsia="Arial" w:hAnsi="Arial"/>
          <w:sz w:val="18"/>
          <w:szCs w:val="18"/>
          <w:color w:val="auto"/>
        </w:rPr>
        <w:t>31.6 Statement of Pacific Enterprise's Chief Financial Officer pursuant to Rules 13a-14 and 15d-14 of the Securities Exchange Act of 1934.</w:t>
      </w:r>
    </w:p>
    <w:p>
      <w:pPr>
        <w:spacing w:after="0" w:line="141" w:lineRule="exact"/>
        <w:rPr>
          <w:sz w:val="20"/>
          <w:szCs w:val="20"/>
          <w:color w:val="auto"/>
        </w:rPr>
      </w:pPr>
    </w:p>
    <w:p>
      <w:pPr>
        <w:ind w:left="920"/>
        <w:spacing w:after="0"/>
        <w:rPr>
          <w:sz w:val="20"/>
          <w:szCs w:val="20"/>
          <w:color w:val="auto"/>
        </w:rPr>
      </w:pPr>
      <w:r>
        <w:rPr>
          <w:rFonts w:ascii="Arial" w:cs="Arial" w:eastAsia="Arial" w:hAnsi="Arial"/>
          <w:sz w:val="20"/>
          <w:szCs w:val="20"/>
          <w:b w:val="1"/>
          <w:bCs w:val="1"/>
          <w:i w:val="1"/>
          <w:iCs w:val="1"/>
          <w:color w:val="auto"/>
        </w:rPr>
        <w:t>Southern California Gas Company</w:t>
      </w:r>
    </w:p>
    <w:p>
      <w:pPr>
        <w:spacing w:after="0" w:line="43"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31.7 Statement of Southern California Gas Company's Chief Executive Officer pursuant to Rules</w:t>
      </w:r>
    </w:p>
    <w:p>
      <w:pPr>
        <w:spacing w:after="0" w:line="3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13a-14 and 15d-14 of the Securities Exchange Act of 1934.</w:t>
      </w:r>
    </w:p>
    <w:p>
      <w:pPr>
        <w:spacing w:after="0" w:line="211"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31.8 Statement of Southern California Gas Company's Chief Financial Officer pursuant to Rules</w:t>
      </w:r>
    </w:p>
    <w:p>
      <w:pPr>
        <w:spacing w:after="0" w:line="3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13a-14 and 15d-14 of the Securities Exchange Act of 1934.</w:t>
      </w:r>
    </w:p>
    <w:p>
      <w:pPr>
        <w:spacing w:after="0" w:line="29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EXHIBIT 32 -- SECTION 906 CERTIFICATIONS</w:t>
      </w:r>
    </w:p>
    <w:p>
      <w:pPr>
        <w:spacing w:after="0" w:line="299" w:lineRule="exact"/>
        <w:rPr>
          <w:sz w:val="20"/>
          <w:szCs w:val="20"/>
          <w:color w:val="auto"/>
        </w:rPr>
      </w:pPr>
    </w:p>
    <w:p>
      <w:pPr>
        <w:ind w:left="920"/>
        <w:spacing w:after="0"/>
        <w:rPr>
          <w:sz w:val="20"/>
          <w:szCs w:val="20"/>
          <w:color w:val="auto"/>
        </w:rPr>
      </w:pPr>
      <w:r>
        <w:rPr>
          <w:rFonts w:ascii="Arial" w:cs="Arial" w:eastAsia="Arial" w:hAnsi="Arial"/>
          <w:sz w:val="20"/>
          <w:szCs w:val="20"/>
          <w:b w:val="1"/>
          <w:bCs w:val="1"/>
          <w:i w:val="1"/>
          <w:iCs w:val="1"/>
          <w:color w:val="auto"/>
        </w:rPr>
        <w:t>Sempra Energy</w:t>
      </w:r>
    </w:p>
    <w:p>
      <w:pPr>
        <w:spacing w:after="0" w:line="43"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32.1 Statement of Sempra Energy's Chief Executive Officer pursuant to 18 U.S.C. Sec. 1350.</w:t>
      </w:r>
    </w:p>
    <w:p>
      <w:pPr>
        <w:spacing w:after="0" w:line="237"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32.2 Statement of Sempra Energy's Chief Financial Officer pursuant to 18 U.S.C. Sec. 1350.</w:t>
      </w:r>
    </w:p>
    <w:p>
      <w:pPr>
        <w:spacing w:after="0" w:line="207" w:lineRule="exact"/>
        <w:rPr>
          <w:sz w:val="20"/>
          <w:szCs w:val="20"/>
          <w:color w:val="auto"/>
        </w:rPr>
      </w:pPr>
    </w:p>
    <w:p>
      <w:pPr>
        <w:ind w:left="920"/>
        <w:spacing w:after="0"/>
        <w:rPr>
          <w:sz w:val="20"/>
          <w:szCs w:val="20"/>
          <w:color w:val="auto"/>
        </w:rPr>
      </w:pPr>
      <w:r>
        <w:rPr>
          <w:rFonts w:ascii="Arial" w:cs="Arial" w:eastAsia="Arial" w:hAnsi="Arial"/>
          <w:sz w:val="20"/>
          <w:szCs w:val="20"/>
          <w:b w:val="1"/>
          <w:bCs w:val="1"/>
          <w:i w:val="1"/>
          <w:iCs w:val="1"/>
          <w:color w:val="auto"/>
        </w:rPr>
        <w:t>San Diego Gas &amp; Electric Company</w:t>
      </w:r>
    </w:p>
    <w:p>
      <w:pPr>
        <w:spacing w:after="0" w:line="43" w:lineRule="exact"/>
        <w:rPr>
          <w:sz w:val="20"/>
          <w:szCs w:val="20"/>
          <w:color w:val="auto"/>
        </w:rPr>
      </w:pPr>
    </w:p>
    <w:p>
      <w:pPr>
        <w:ind w:left="1940" w:right="1759" w:hanging="404"/>
        <w:spacing w:after="0" w:line="277" w:lineRule="auto"/>
        <w:rPr>
          <w:sz w:val="20"/>
          <w:szCs w:val="20"/>
          <w:color w:val="auto"/>
        </w:rPr>
      </w:pPr>
      <w:r>
        <w:rPr>
          <w:rFonts w:ascii="Arial" w:cs="Arial" w:eastAsia="Arial" w:hAnsi="Arial"/>
          <w:sz w:val="18"/>
          <w:szCs w:val="18"/>
          <w:color w:val="auto"/>
        </w:rPr>
        <w:t>32.3 Statement of San Diego Gas &amp; Electric Company's Chief Executive Officer pursuant to 18 U.S.C. Sec. 1350.</w:t>
      </w:r>
    </w:p>
    <w:p>
      <w:pPr>
        <w:spacing w:after="0" w:line="170"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32.4 Statement of San Diego Gas &amp; Electric Company's Chief Financial Officer pursuant to 18</w:t>
      </w:r>
    </w:p>
    <w:p>
      <w:pPr>
        <w:sectPr>
          <w:pgSz w:w="11900" w:h="16838" w:orient="portrait"/>
          <w:cols w:equalWidth="0" w:num="1">
            <w:col w:w="10219"/>
          </w:cols>
          <w:pgMar w:left="240" w:top="595" w:right="1440" w:bottom="0" w:gutter="0" w:footer="0" w:header="0"/>
        </w:sectPr>
      </w:pPr>
    </w:p>
    <w:bookmarkStart w:id="85" w:name="page86"/>
    <w:bookmarkEnd w:id="85"/>
    <w:p>
      <w:pPr>
        <w:ind w:left="1020"/>
        <w:spacing w:after="0"/>
        <w:rPr>
          <w:sz w:val="20"/>
          <w:szCs w:val="20"/>
          <w:color w:val="auto"/>
        </w:rPr>
      </w:pPr>
      <w:r>
        <w:rPr>
          <w:rFonts w:ascii="Arial" w:cs="Arial" w:eastAsia="Arial" w:hAnsi="Arial"/>
          <w:sz w:val="18"/>
          <w:szCs w:val="18"/>
          <w:color w:val="auto"/>
        </w:rPr>
        <w:t>U.S.C. Sec. 1350.</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Pacific Enterprises</w:t>
      </w:r>
    </w:p>
    <w:p>
      <w:pPr>
        <w:spacing w:after="0" w:line="4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32.5 Statement of Pacific Enterprise's Chief Executive Officer pursuant to 18 U.S.C. Sec. 1350.</w:t>
      </w:r>
    </w:p>
    <w:p>
      <w:pPr>
        <w:spacing w:after="0" w:line="23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32.6 Statement of Pacific Enterprise's Chief Financial Officer pursuant to 18 U.S.C. Sec. 1350.</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Southern California Gas Company</w:t>
      </w:r>
    </w:p>
    <w:p>
      <w:pPr>
        <w:spacing w:after="0" w:line="43" w:lineRule="exact"/>
        <w:rPr>
          <w:sz w:val="20"/>
          <w:szCs w:val="20"/>
          <w:color w:val="auto"/>
        </w:rPr>
      </w:pPr>
    </w:p>
    <w:p>
      <w:pPr>
        <w:ind w:left="1020" w:right="1879" w:hanging="404"/>
        <w:spacing w:after="0" w:line="277" w:lineRule="auto"/>
        <w:rPr>
          <w:sz w:val="20"/>
          <w:szCs w:val="20"/>
          <w:color w:val="auto"/>
        </w:rPr>
      </w:pPr>
      <w:r>
        <w:rPr>
          <w:rFonts w:ascii="Arial" w:cs="Arial" w:eastAsia="Arial" w:hAnsi="Arial"/>
          <w:sz w:val="18"/>
          <w:szCs w:val="18"/>
          <w:color w:val="auto"/>
        </w:rPr>
        <w:t>32.7 Statement of Southern California Gas Company's Chief Executive Officer pursuant to 18 U.S.C. Sec. 1350.</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32.8 Statement of Southern California Gas Company's Chief Financial Officer pursuant to 18 U.S.C.</w:t>
      </w:r>
    </w:p>
    <w:p>
      <w:pPr>
        <w:spacing w:after="0" w:line="4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Sec. 1350.</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101 -- INTERACTIVE DATA FILE</w:t>
      </w:r>
    </w:p>
    <w:p>
      <w:pPr>
        <w:spacing w:after="0" w:line="3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101.INS XBRL Instance Document</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101.SCH XBRL Taxonomy Extension Schema Document</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101.CAL XBRL Taxonomy Extension Calculation Linkbase Document</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101.DEF XBRL Taxonomy Extension Definition Linkbase Document</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101.LAB XBRL Taxonomy Extension Label Linkbase Document</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101.PRE XBRL Taxonomy Extension Presentation Linkbase Document</w:t>
      </w:r>
    </w:p>
    <w:p>
      <w:pPr>
        <w:sectPr>
          <w:pgSz w:w="11900" w:h="16838" w:orient="portrait"/>
          <w:cols w:equalWidth="0" w:num="1">
            <w:col w:w="9299"/>
          </w:cols>
          <w:pgMar w:left="1160" w:top="125" w:right="1440" w:bottom="1440" w:gutter="0" w:footer="0" w:header="0"/>
        </w:sectPr>
      </w:pPr>
    </w:p>
    <w:bookmarkStart w:id="86" w:name="page87"/>
    <w:bookmarkEnd w:id="86"/>
    <w:p>
      <w:pPr>
        <w:ind w:left="3600"/>
        <w:spacing w:after="0"/>
        <w:rPr>
          <w:sz w:val="20"/>
          <w:szCs w:val="20"/>
          <w:color w:val="auto"/>
        </w:rPr>
      </w:pPr>
      <w:r>
        <w:rPr>
          <w:rFonts w:ascii="Arial" w:cs="Arial" w:eastAsia="Arial" w:hAnsi="Arial"/>
          <w:sz w:val="18"/>
          <w:szCs w:val="18"/>
          <w:b w:val="1"/>
          <w:bCs w:val="1"/>
          <w:color w:val="auto"/>
        </w:rPr>
        <w:t>SIGNATURES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Energy:</w:t>
      </w:r>
    </w:p>
    <w:p>
      <w:pPr>
        <w:spacing w:after="0" w:line="211" w:lineRule="exact"/>
        <w:rPr>
          <w:sz w:val="20"/>
          <w:szCs w:val="20"/>
          <w:color w:val="auto"/>
        </w:rPr>
      </w:pPr>
    </w:p>
    <w:p>
      <w:pPr>
        <w:ind w:right="1599"/>
        <w:spacing w:after="0" w:line="308"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ectPr>
          <w:pgSz w:w="11900" w:h="16838" w:orient="portrait"/>
          <w:cols w:equalWidth="0" w:num="1">
            <w:col w:w="9859"/>
          </w:cols>
          <w:pgMar w:left="600" w:top="85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400"/>
        <w:spacing w:after="0"/>
        <w:rPr>
          <w:sz w:val="20"/>
          <w:szCs w:val="20"/>
          <w:color w:val="auto"/>
        </w:rPr>
      </w:pPr>
      <w:r>
        <w:rPr>
          <w:rFonts w:ascii="Arial" w:cs="Arial" w:eastAsia="Arial" w:hAnsi="Arial"/>
          <w:sz w:val="17"/>
          <w:szCs w:val="17"/>
          <w:color w:val="auto"/>
        </w:rPr>
        <w:t>Date: May 4,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San Diego Gas &amp; Electric Company:</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SEMPRA ENERGY,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Joseph A. Householder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Joseph A. Householder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268414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 Controller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617" w:lineRule="exact"/>
        <w:rPr>
          <w:sz w:val="20"/>
          <w:szCs w:val="20"/>
          <w:color w:val="auto"/>
        </w:rPr>
      </w:pPr>
    </w:p>
    <w:p>
      <w:pPr>
        <w:sectPr>
          <w:pgSz w:w="11900" w:h="16838" w:orient="portrait"/>
          <w:cols w:equalWidth="0" w:num="2">
            <w:col w:w="4080" w:space="720"/>
            <w:col w:w="5059"/>
          </w:cols>
          <w:pgMar w:left="600" w:top="851" w:right="1440" w:bottom="1440" w:gutter="0" w:footer="0" w:header="0"/>
          <w:type w:val="continuous"/>
        </w:sectPr>
      </w:pPr>
    </w:p>
    <w:p>
      <w:pPr>
        <w:spacing w:after="0" w:line="52" w:lineRule="exact"/>
        <w:rPr>
          <w:sz w:val="20"/>
          <w:szCs w:val="20"/>
          <w:color w:val="auto"/>
        </w:rPr>
      </w:pPr>
    </w:p>
    <w:p>
      <w:pPr>
        <w:ind w:right="1599"/>
        <w:spacing w:after="0" w:line="308"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ectPr>
          <w:pgSz w:w="11900" w:h="16838" w:orient="portrait"/>
          <w:cols w:equalWidth="0" w:num="1">
            <w:col w:w="9859"/>
          </w:cols>
          <w:pgMar w:left="600" w:top="85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1280"/>
        <w:spacing w:after="0"/>
        <w:rPr>
          <w:sz w:val="20"/>
          <w:szCs w:val="20"/>
          <w:color w:val="auto"/>
        </w:rPr>
      </w:pPr>
      <w:r>
        <w:rPr>
          <w:rFonts w:ascii="Arial" w:cs="Arial" w:eastAsia="Arial" w:hAnsi="Arial"/>
          <w:sz w:val="18"/>
          <w:szCs w:val="18"/>
          <w:color w:val="auto"/>
        </w:rPr>
        <w:t>Date: May 4,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Pacific Enterprises:</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SAN DIEGO GAS &amp; ELECTRIC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Robert M. Schlax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-130810</wp:posOffset>
            </wp:positionV>
            <wp:extent cx="276161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right="1559"/>
        <w:spacing w:after="0" w:line="261" w:lineRule="auto"/>
        <w:rPr>
          <w:sz w:val="20"/>
          <w:szCs w:val="20"/>
          <w:color w:val="auto"/>
        </w:rPr>
      </w:pPr>
      <w:r>
        <w:rPr>
          <w:rFonts w:ascii="Arial" w:cs="Arial" w:eastAsia="Arial" w:hAnsi="Arial"/>
          <w:sz w:val="18"/>
          <w:szCs w:val="18"/>
          <w:color w:val="auto"/>
        </w:rPr>
        <w:t>Vice President, Controller, Chief Financial Officer and Chief Accounting Officer</w:t>
      </w:r>
    </w:p>
    <w:p>
      <w:pPr>
        <w:spacing w:after="0" w:line="613" w:lineRule="exact"/>
        <w:rPr>
          <w:sz w:val="20"/>
          <w:szCs w:val="20"/>
          <w:color w:val="auto"/>
        </w:rPr>
      </w:pPr>
    </w:p>
    <w:p>
      <w:pPr>
        <w:sectPr>
          <w:pgSz w:w="11900" w:h="16838" w:orient="portrait"/>
          <w:cols w:equalWidth="0" w:num="2">
            <w:col w:w="3960" w:space="720"/>
            <w:col w:w="5179"/>
          </w:cols>
          <w:pgMar w:left="600" w:top="851" w:right="1440" w:bottom="1440" w:gutter="0" w:footer="0" w:header="0"/>
          <w:type w:val="continuous"/>
        </w:sectPr>
      </w:pPr>
    </w:p>
    <w:p>
      <w:pPr>
        <w:spacing w:after="0" w:line="29" w:lineRule="exact"/>
        <w:rPr>
          <w:sz w:val="20"/>
          <w:szCs w:val="20"/>
          <w:color w:val="auto"/>
        </w:rPr>
      </w:pPr>
    </w:p>
    <w:p>
      <w:pPr>
        <w:ind w:right="1599"/>
        <w:spacing w:after="0" w:line="308"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ectPr>
          <w:pgSz w:w="11900" w:h="16838" w:orient="portrait"/>
          <w:cols w:equalWidth="0" w:num="1">
            <w:col w:w="9859"/>
          </w:cols>
          <w:pgMar w:left="600" w:top="85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Date: May 4,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Southern California Gas Company:</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PACIFIC ENTERPRISES,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Robert M. Schlax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-130810</wp:posOffset>
            </wp:positionV>
            <wp:extent cx="276161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right="1559"/>
        <w:spacing w:after="0" w:line="261" w:lineRule="auto"/>
        <w:rPr>
          <w:sz w:val="20"/>
          <w:szCs w:val="20"/>
          <w:color w:val="auto"/>
        </w:rPr>
      </w:pPr>
      <w:r>
        <w:rPr>
          <w:rFonts w:ascii="Arial" w:cs="Arial" w:eastAsia="Arial" w:hAnsi="Arial"/>
          <w:sz w:val="18"/>
          <w:szCs w:val="18"/>
          <w:color w:val="auto"/>
        </w:rPr>
        <w:t>Vice President, Controller, Chief Financial Officer and Chief Accounting Officer</w:t>
      </w:r>
    </w:p>
    <w:p>
      <w:pPr>
        <w:spacing w:after="0" w:line="590" w:lineRule="exact"/>
        <w:rPr>
          <w:sz w:val="20"/>
          <w:szCs w:val="20"/>
          <w:color w:val="auto"/>
        </w:rPr>
      </w:pPr>
    </w:p>
    <w:p>
      <w:pPr>
        <w:sectPr>
          <w:pgSz w:w="11900" w:h="16838" w:orient="portrait"/>
          <w:cols w:equalWidth="0" w:num="2">
            <w:col w:w="3960" w:space="720"/>
            <w:col w:w="5179"/>
          </w:cols>
          <w:pgMar w:left="600" w:top="851" w:right="1440" w:bottom="1440" w:gutter="0" w:footer="0" w:header="0"/>
          <w:type w:val="continuous"/>
        </w:sectPr>
      </w:pPr>
    </w:p>
    <w:p>
      <w:pPr>
        <w:spacing w:after="0" w:line="52" w:lineRule="exact"/>
        <w:rPr>
          <w:sz w:val="20"/>
          <w:szCs w:val="20"/>
          <w:color w:val="auto"/>
        </w:rPr>
      </w:pPr>
    </w:p>
    <w:p>
      <w:pPr>
        <w:ind w:right="1599"/>
        <w:spacing w:after="0" w:line="308"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47" w:lineRule="exact"/>
        <w:rPr>
          <w:sz w:val="20"/>
          <w:szCs w:val="20"/>
          <w:color w:val="auto"/>
        </w:rPr>
      </w:pPr>
    </w:p>
    <w:tbl>
      <w:tblPr>
        <w:tblLayout w:type="fixed"/>
        <w:tblInd w:w="134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SOUTHERN CALIFORNIA GAS COMPANY,</w:t>
            </w:r>
          </w:p>
        </w:tc>
      </w:tr>
      <w:tr>
        <w:trPr>
          <w:trHeight w:val="230"/>
        </w:trPr>
        <w:tc>
          <w:tcPr>
            <w:tcW w:w="334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(Registrant)</w:t>
            </w:r>
          </w:p>
        </w:tc>
      </w:tr>
      <w:tr>
        <w:trPr>
          <w:trHeight w:val="432"/>
        </w:trPr>
        <w:tc>
          <w:tcPr>
            <w:tcW w:w="3340" w:type="dxa"/>
            <w:vAlign w:val="bottom"/>
          </w:tcPr>
          <w:p>
            <w:pPr>
              <w:spacing w:after="0"/>
              <w:rPr>
                <w:sz w:val="20"/>
                <w:szCs w:val="20"/>
                <w:color w:val="auto"/>
              </w:rPr>
            </w:pPr>
            <w:r>
              <w:rPr>
                <w:rFonts w:ascii="Arial" w:cs="Arial" w:eastAsia="Arial" w:hAnsi="Arial"/>
                <w:sz w:val="18"/>
                <w:szCs w:val="18"/>
                <w:color w:val="auto"/>
              </w:rPr>
              <w:t>Date: May 4, 2010</w:t>
            </w: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Robert M. Schlax</w:t>
            </w:r>
          </w:p>
        </w:tc>
      </w:tr>
      <w:tr>
        <w:trPr>
          <w:trHeight w:val="195"/>
        </w:trPr>
        <w:tc>
          <w:tcPr>
            <w:tcW w:w="3340" w:type="dxa"/>
            <w:vAlign w:val="bottom"/>
          </w:tcPr>
          <w:p>
            <w:pPr>
              <w:spacing w:after="0"/>
              <w:rPr>
                <w:sz w:val="16"/>
                <w:szCs w:val="16"/>
                <w:color w:val="auto"/>
              </w:rPr>
            </w:pPr>
          </w:p>
        </w:tc>
        <w:tc>
          <w:tcPr>
            <w:tcW w:w="4340" w:type="dxa"/>
            <w:vAlign w:val="bottom"/>
          </w:tcPr>
          <w:p>
            <w:pPr>
              <w:spacing w:after="0" w:line="195" w:lineRule="exact"/>
              <w:rPr>
                <w:sz w:val="20"/>
                <w:szCs w:val="20"/>
                <w:color w:val="auto"/>
              </w:rPr>
            </w:pPr>
            <w:r>
              <w:rPr>
                <w:rFonts w:ascii="Arial" w:cs="Arial" w:eastAsia="Arial" w:hAnsi="Arial"/>
                <w:sz w:val="18"/>
                <w:szCs w:val="18"/>
                <w:color w:val="auto"/>
              </w:rPr>
              <w:t>Robert M. Schlax</w:t>
            </w:r>
          </w:p>
        </w:tc>
      </w:tr>
      <w:tr>
        <w:trPr>
          <w:trHeight w:val="216"/>
        </w:trPr>
        <w:tc>
          <w:tcPr>
            <w:tcW w:w="334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Vice President, Controller, Chief Financial Officer</w:t>
            </w:r>
          </w:p>
        </w:tc>
      </w:tr>
      <w:tr>
        <w:trPr>
          <w:trHeight w:val="230"/>
        </w:trPr>
        <w:tc>
          <w:tcPr>
            <w:tcW w:w="334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and Chief Accounting Officer</w:t>
            </w:r>
          </w:p>
        </w:tc>
      </w:tr>
    </w:tbl>
    <w:p>
      <w:pPr>
        <w:sectPr>
          <w:pgSz w:w="11900" w:h="16838" w:orient="portrait"/>
          <w:cols w:equalWidth="0" w:num="1">
            <w:col w:w="9859"/>
          </w:cols>
          <w:pgMar w:left="600" w:top="851" w:right="1440" w:bottom="1440" w:gutter="0" w:footer="0" w:header="0"/>
          <w:type w:val="continuous"/>
        </w:sectPr>
      </w:pPr>
    </w:p>
    <w:bookmarkStart w:id="87" w:name="page88"/>
    <w:bookmarkEnd w:id="87"/>
    <w:p>
      <w:pPr>
        <w:jc w:val="center"/>
        <w:ind w:right="-1200"/>
        <w:spacing w:after="0"/>
        <w:rPr>
          <w:sz w:val="20"/>
          <w:szCs w:val="20"/>
          <w:color w:val="auto"/>
        </w:rPr>
      </w:pPr>
      <w:r>
        <w:rPr>
          <w:rFonts w:ascii="Arial" w:cs="Arial" w:eastAsia="Arial" w:hAnsi="Arial"/>
          <w:sz w:val="24"/>
          <w:szCs w:val="24"/>
          <w:b w:val="1"/>
          <w:bCs w:val="1"/>
          <w:color w:val="auto"/>
        </w:rPr>
        <w:t>SEMPRA ENERGY</w:t>
      </w:r>
    </w:p>
    <w:p>
      <w:pPr>
        <w:spacing w:after="0" w:line="116"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auto"/>
        </w:rPr>
        <w:t>2008 LONG TERM INCENTIVE PLAN</w:t>
      </w:r>
    </w:p>
    <w:p>
      <w:pPr>
        <w:spacing w:after="0" w:line="116" w:lineRule="exact"/>
        <w:rPr>
          <w:sz w:val="20"/>
          <w:szCs w:val="20"/>
          <w:color w:val="auto"/>
        </w:rPr>
      </w:pPr>
    </w:p>
    <w:p>
      <w:pPr>
        <w:jc w:val="center"/>
        <w:ind w:right="-1200"/>
        <w:spacing w:after="0"/>
        <w:rPr>
          <w:sz w:val="20"/>
          <w:szCs w:val="20"/>
          <w:color w:val="auto"/>
        </w:rPr>
      </w:pPr>
      <w:r>
        <w:rPr>
          <w:rFonts w:ascii="Arial" w:cs="Arial" w:eastAsia="Arial" w:hAnsi="Arial"/>
          <w:sz w:val="23"/>
          <w:szCs w:val="23"/>
          <w:b w:val="1"/>
          <w:bCs w:val="1"/>
          <w:color w:val="auto"/>
        </w:rPr>
        <w:t>2010 PERFORMANCE-BASED RESTRICTED STOCK UNIT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5711190" cy="342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71119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150495</wp:posOffset>
            </wp:positionV>
            <wp:extent cx="5711190" cy="342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11190" cy="34290"/>
                    </a:xfrm>
                    <a:prstGeom prst="rect">
                      <a:avLst/>
                    </a:prstGeom>
                    <a:noFill/>
                  </pic:spPr>
                </pic:pic>
              </a:graphicData>
            </a:graphic>
          </wp:anchor>
        </w:drawing>
      </w:r>
    </w:p>
    <w:p>
      <w:pPr>
        <w:spacing w:after="0" w:line="383" w:lineRule="exact"/>
        <w:rPr>
          <w:sz w:val="20"/>
          <w:szCs w:val="20"/>
          <w:color w:val="auto"/>
        </w:rPr>
      </w:pPr>
    </w:p>
    <w:p>
      <w:pPr>
        <w:ind w:right="1239"/>
        <w:spacing w:after="0" w:line="274" w:lineRule="auto"/>
        <w:rPr>
          <w:sz w:val="20"/>
          <w:szCs w:val="20"/>
          <w:color w:val="auto"/>
        </w:rPr>
      </w:pPr>
      <w:r>
        <w:rPr>
          <w:rFonts w:ascii="Arial" w:cs="Arial" w:eastAsia="Arial" w:hAnsi="Arial"/>
          <w:sz w:val="17"/>
          <w:szCs w:val="17"/>
          <w:color w:val="auto"/>
        </w:rPr>
        <w:t>You have been granted a performance-based restricted stock unit award representing the right to receive the number of shares of Sempra Energy Common Stock set forth below, subject to the vesting conditions set forth below. The restricted stock units, and dividend equivalents with respect to the restricted stock units, under your award may not be sold or assigned and will be subject to forfeiture unless and until they vest based upon the satisfaction of total shareholder return performance criteria for a performance period beginning on January 1, 2010 and ending in January 2014. Shares of Common Stock will be distributed to you after the completion of the performance period ending in January 2014, if the restricted stock units vest under the terms and conditions of your award.</w:t>
      </w:r>
    </w:p>
    <w:p>
      <w:pPr>
        <w:spacing w:after="0" w:line="167" w:lineRule="exact"/>
        <w:rPr>
          <w:sz w:val="20"/>
          <w:szCs w:val="20"/>
          <w:color w:val="auto"/>
        </w:rPr>
      </w:pPr>
    </w:p>
    <w:p>
      <w:pPr>
        <w:ind w:right="1679"/>
        <w:spacing w:after="0" w:line="263" w:lineRule="auto"/>
        <w:rPr>
          <w:sz w:val="20"/>
          <w:szCs w:val="20"/>
          <w:color w:val="auto"/>
        </w:rPr>
      </w:pPr>
      <w:r>
        <w:rPr>
          <w:rFonts w:ascii="Arial" w:cs="Arial" w:eastAsia="Arial" w:hAnsi="Arial"/>
          <w:sz w:val="18"/>
          <w:szCs w:val="18"/>
          <w:i w:val="1"/>
          <w:iCs w:val="1"/>
          <w:color w:val="auto"/>
        </w:rPr>
        <w:t>The terms and conditions of your award are set forth in the attached Year 2010 Restricted Stock Unit Award Agreement and in the prospectus for the Sempra Energy 2008 Long Term Incentive Plan, which is enclosed. The summary below highlights selected terms and conditions but it is not complete and you should carefully read the attachments to fully understand the terms and conditions of your award.</w:t>
      </w:r>
    </w:p>
    <w:p>
      <w:pPr>
        <w:spacing w:after="0" w:line="86" w:lineRule="exact"/>
        <w:rPr>
          <w:sz w:val="20"/>
          <w:szCs w:val="20"/>
          <w:color w:val="auto"/>
        </w:rPr>
      </w:pPr>
    </w:p>
    <w:p>
      <w:pPr>
        <w:ind w:left="3700"/>
        <w:spacing w:after="0"/>
        <w:rPr>
          <w:sz w:val="20"/>
          <w:szCs w:val="20"/>
          <w:color w:val="auto"/>
        </w:rPr>
      </w:pPr>
      <w:r>
        <w:rPr>
          <w:rFonts w:ascii="Arial" w:cs="Arial" w:eastAsia="Arial" w:hAnsi="Arial"/>
          <w:sz w:val="24"/>
          <w:szCs w:val="24"/>
          <w:b w:val="1"/>
          <w:bCs w:val="1"/>
          <w:color w:val="auto"/>
        </w:rPr>
        <w:t>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571119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711190" cy="26035"/>
                    </a:xfrm>
                    <a:prstGeom prst="rect">
                      <a:avLst/>
                    </a:prstGeom>
                    <a:noFill/>
                  </pic:spPr>
                </pic:pic>
              </a:graphicData>
            </a:graphic>
          </wp:anchor>
        </w:drawing>
      </w:r>
    </w:p>
    <w:p>
      <w:pPr>
        <w:spacing w:after="0" w:line="217" w:lineRule="exact"/>
        <w:rPr>
          <w:sz w:val="20"/>
          <w:szCs w:val="20"/>
          <w:color w:val="auto"/>
        </w:rPr>
      </w:pPr>
    </w:p>
    <w:p>
      <w:pPr>
        <w:spacing w:after="0"/>
        <w:tabs>
          <w:tab w:leader="none" w:pos="2960" w:val="left"/>
        </w:tabs>
        <w:rPr>
          <w:sz w:val="20"/>
          <w:szCs w:val="20"/>
          <w:color w:val="auto"/>
        </w:rPr>
      </w:pPr>
      <w:r>
        <w:rPr>
          <w:rFonts w:ascii="Arial" w:cs="Arial" w:eastAsia="Arial" w:hAnsi="Arial"/>
          <w:sz w:val="19"/>
          <w:szCs w:val="19"/>
          <w:b w:val="1"/>
          <w:bCs w:val="1"/>
          <w:color w:val="auto"/>
        </w:rPr>
        <w:t>Date of Award:</w:t>
      </w:r>
      <w:r>
        <w:rPr>
          <w:sz w:val="20"/>
          <w:szCs w:val="20"/>
          <w:color w:val="auto"/>
        </w:rPr>
        <w:tab/>
      </w:r>
      <w:r>
        <w:rPr>
          <w:rFonts w:ascii="Arial" w:cs="Arial" w:eastAsia="Arial" w:hAnsi="Arial"/>
          <w:sz w:val="17"/>
          <w:szCs w:val="17"/>
          <w:b w:val="1"/>
          <w:bCs w:val="1"/>
          <w:color w:val="auto"/>
        </w:rPr>
        <w:t>January 4, 2010</w:t>
      </w: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Name of Recipient:</w:t>
      </w: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Recipient’s Employee Number:</w:t>
      </w: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Number of Restricted Stock Units</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(prior to any dividend equivalents):</w:t>
      </w:r>
    </w:p>
    <w:p>
      <w:pPr>
        <w:spacing w:after="0" w:line="97" w:lineRule="exact"/>
        <w:rPr>
          <w:sz w:val="20"/>
          <w:szCs w:val="20"/>
          <w:color w:val="auto"/>
        </w:rPr>
      </w:pPr>
    </w:p>
    <w:p>
      <w:pPr>
        <w:ind w:left="400"/>
        <w:spacing w:after="0"/>
        <w:rPr>
          <w:sz w:val="20"/>
          <w:szCs w:val="20"/>
          <w:color w:val="auto"/>
        </w:rPr>
      </w:pPr>
      <w:r>
        <w:rPr>
          <w:rFonts w:ascii="Arial" w:cs="Arial" w:eastAsia="Arial" w:hAnsi="Arial"/>
          <w:sz w:val="19"/>
          <w:szCs w:val="19"/>
          <w:b w:val="1"/>
          <w:bCs w:val="1"/>
          <w:color w:val="auto"/>
        </w:rPr>
        <w:t>At Target:</w:t>
      </w:r>
    </w:p>
    <w:p>
      <w:pPr>
        <w:spacing w:after="0" w:line="119" w:lineRule="exact"/>
        <w:rPr>
          <w:sz w:val="20"/>
          <w:szCs w:val="20"/>
          <w:color w:val="auto"/>
        </w:rPr>
      </w:pPr>
    </w:p>
    <w:p>
      <w:pPr>
        <w:ind w:left="400"/>
        <w:spacing w:after="0"/>
        <w:rPr>
          <w:sz w:val="20"/>
          <w:szCs w:val="20"/>
          <w:color w:val="auto"/>
        </w:rPr>
      </w:pPr>
      <w:r>
        <w:rPr>
          <w:rFonts w:ascii="Arial" w:cs="Arial" w:eastAsia="Arial" w:hAnsi="Arial"/>
          <w:sz w:val="19"/>
          <w:szCs w:val="19"/>
          <w:b w:val="1"/>
          <w:bCs w:val="1"/>
          <w:color w:val="auto"/>
        </w:rPr>
        <w:t>At Maximum (150% of Target)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940" w:type="dxa"/>
            <w:vAlign w:val="bottom"/>
          </w:tcPr>
          <w:p>
            <w:pPr>
              <w:spacing w:after="0"/>
              <w:rPr>
                <w:sz w:val="20"/>
                <w:szCs w:val="20"/>
                <w:color w:val="auto"/>
              </w:rPr>
            </w:pPr>
            <w:r>
              <w:rPr>
                <w:rFonts w:ascii="Arial" w:cs="Arial" w:eastAsia="Arial" w:hAnsi="Arial"/>
                <w:sz w:val="19"/>
                <w:szCs w:val="19"/>
                <w:b w:val="1"/>
                <w:bCs w:val="1"/>
                <w:color w:val="auto"/>
                <w:w w:val="96"/>
              </w:rPr>
              <w:t>Award Date Fair Market Value per</w:t>
            </w:r>
          </w:p>
        </w:tc>
        <w:tc>
          <w:tcPr>
            <w:tcW w:w="620" w:type="dxa"/>
            <w:vAlign w:val="bottom"/>
          </w:tcPr>
          <w:p>
            <w:pPr>
              <w:spacing w:after="0"/>
              <w:rPr>
                <w:sz w:val="19"/>
                <w:szCs w:val="19"/>
                <w:color w:val="auto"/>
              </w:rPr>
            </w:pPr>
          </w:p>
        </w:tc>
      </w:tr>
      <w:tr>
        <w:trPr>
          <w:trHeight w:val="246"/>
        </w:trPr>
        <w:tc>
          <w:tcPr>
            <w:tcW w:w="2940" w:type="dxa"/>
            <w:vAlign w:val="bottom"/>
          </w:tcPr>
          <w:p>
            <w:pPr>
              <w:spacing w:after="0"/>
              <w:rPr>
                <w:sz w:val="20"/>
                <w:szCs w:val="20"/>
                <w:color w:val="auto"/>
              </w:rPr>
            </w:pPr>
            <w:r>
              <w:rPr>
                <w:rFonts w:ascii="Arial" w:cs="Arial" w:eastAsia="Arial" w:hAnsi="Arial"/>
                <w:sz w:val="19"/>
                <w:szCs w:val="19"/>
                <w:b w:val="1"/>
                <w:bCs w:val="1"/>
                <w:color w:val="auto"/>
              </w:rPr>
              <w:t>Share of Common Stock:</w:t>
            </w:r>
          </w:p>
        </w:tc>
        <w:tc>
          <w:tcPr>
            <w:tcW w:w="620" w:type="dxa"/>
            <w:vAlign w:val="bottom"/>
          </w:tcPr>
          <w:p>
            <w:pPr>
              <w:jc w:val="right"/>
              <w:spacing w:after="0"/>
              <w:rPr>
                <w:sz w:val="20"/>
                <w:szCs w:val="20"/>
                <w:color w:val="auto"/>
              </w:rPr>
            </w:pPr>
            <w:r>
              <w:rPr>
                <w:rFonts w:ascii="Arial" w:cs="Arial" w:eastAsia="Arial" w:hAnsi="Arial"/>
                <w:sz w:val="19"/>
                <w:szCs w:val="19"/>
                <w:b w:val="1"/>
                <w:bCs w:val="1"/>
                <w:color w:val="auto"/>
              </w:rPr>
              <w:t>$55.90</w:t>
            </w:r>
          </w:p>
        </w:tc>
      </w:tr>
    </w:tbl>
    <w:p>
      <w:pPr>
        <w:spacing w:after="0" w:line="9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Restricted Stock Units:</w:t>
      </w:r>
    </w:p>
    <w:p>
      <w:pPr>
        <w:spacing w:after="0" w:line="31" w:lineRule="exact"/>
        <w:rPr>
          <w:sz w:val="20"/>
          <w:szCs w:val="20"/>
          <w:color w:val="auto"/>
        </w:rPr>
      </w:pPr>
    </w:p>
    <w:p>
      <w:pPr>
        <w:ind w:right="1519"/>
        <w:spacing w:after="0" w:line="280" w:lineRule="auto"/>
        <w:rPr>
          <w:sz w:val="20"/>
          <w:szCs w:val="20"/>
          <w:color w:val="auto"/>
        </w:rPr>
      </w:pPr>
      <w:r>
        <w:rPr>
          <w:rFonts w:ascii="Arial" w:cs="Arial" w:eastAsia="Arial" w:hAnsi="Arial"/>
          <w:sz w:val="17"/>
          <w:szCs w:val="17"/>
          <w:color w:val="auto"/>
        </w:rPr>
        <w:t>Your restricted stock units represent the right to receive shares of Common Stock in the future, subject to the terms and conditions of your award. Your restricted stock units are not shares of Common Stock. The target number of</w:t>
      </w:r>
    </w:p>
    <w:p>
      <w:pPr>
        <w:ind w:right="1739"/>
        <w:spacing w:after="0" w:line="212" w:lineRule="auto"/>
        <w:rPr>
          <w:sz w:val="20"/>
          <w:szCs w:val="20"/>
          <w:color w:val="auto"/>
        </w:rPr>
      </w:pPr>
      <w:r>
        <w:rPr>
          <w:rFonts w:ascii="Arial" w:cs="Arial" w:eastAsia="Arial" w:hAnsi="Arial"/>
          <w:sz w:val="19"/>
          <w:szCs w:val="19"/>
          <w:color w:val="auto"/>
        </w:rPr>
        <w:t>restricted stock units will vest (as described below), if the target total shareholder return (a return at the 50</w:t>
      </w:r>
      <w:r>
        <w:rPr>
          <w:rFonts w:ascii="Arial" w:cs="Arial" w:eastAsia="Arial" w:hAnsi="Arial"/>
          <w:sz w:val="31"/>
          <w:szCs w:val="31"/>
          <w:color w:val="auto"/>
          <w:vertAlign w:val="superscript"/>
        </w:rPr>
        <w:t>th</w:t>
      </w:r>
      <w:r>
        <w:rPr>
          <w:rFonts w:ascii="Arial" w:cs="Arial" w:eastAsia="Arial" w:hAnsi="Arial"/>
          <w:sz w:val="19"/>
          <w:szCs w:val="19"/>
          <w:color w:val="auto"/>
        </w:rPr>
        <w:t xml:space="preserve"> percentile) is achieved. If above target total shareholder return is achieved, you may vest in up to the maximum number of restricted stock units.</w:t>
      </w:r>
    </w:p>
    <w:p>
      <w:pPr>
        <w:spacing w:after="0" w:line="9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Vesting/Forfeiture of Restricted Stock Units:</w:t>
      </w:r>
    </w:p>
    <w:p>
      <w:pPr>
        <w:spacing w:after="0" w:line="31" w:lineRule="exact"/>
        <w:rPr>
          <w:sz w:val="20"/>
          <w:szCs w:val="20"/>
          <w:color w:val="auto"/>
        </w:rPr>
      </w:pPr>
    </w:p>
    <w:p>
      <w:pPr>
        <w:ind w:right="1319"/>
        <w:spacing w:after="0" w:line="243" w:lineRule="auto"/>
        <w:rPr>
          <w:sz w:val="20"/>
          <w:szCs w:val="20"/>
          <w:color w:val="auto"/>
        </w:rPr>
      </w:pPr>
      <w:r>
        <w:rPr>
          <w:rFonts w:ascii="Arial" w:cs="Arial" w:eastAsia="Arial" w:hAnsi="Arial"/>
          <w:sz w:val="19"/>
          <w:szCs w:val="19"/>
          <w:color w:val="auto"/>
        </w:rPr>
        <w:t>Your restricted stock units will vest only upon and only to the extent that the Compensation Committee determines and certifies that Sempra Energy has met specified total shareholder return performance criteria for the performance period beginning on January 1, 2010 and ending at the close of trading on the first New York Stock Exchange trading day of 2014. Any restricted stock units that do not vest upon the Compensation Committee's determination and certification will be forfeited.</w:t>
      </w:r>
    </w:p>
    <w:p>
      <w:pPr>
        <w:spacing w:after="0" w:line="11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Transfer Restrictions:</w:t>
      </w:r>
    </w:p>
    <w:p>
      <w:pPr>
        <w:spacing w:after="0" w:line="31" w:lineRule="exact"/>
        <w:rPr>
          <w:sz w:val="20"/>
          <w:szCs w:val="20"/>
          <w:color w:val="auto"/>
        </w:rPr>
      </w:pPr>
    </w:p>
    <w:p>
      <w:pPr>
        <w:ind w:right="1499"/>
        <w:spacing w:after="0" w:line="261" w:lineRule="auto"/>
        <w:rPr>
          <w:sz w:val="20"/>
          <w:szCs w:val="20"/>
          <w:color w:val="auto"/>
        </w:rPr>
      </w:pPr>
      <w:r>
        <w:rPr>
          <w:rFonts w:ascii="Arial" w:cs="Arial" w:eastAsia="Arial" w:hAnsi="Arial"/>
          <w:sz w:val="19"/>
          <w:szCs w:val="19"/>
          <w:color w:val="auto"/>
        </w:rPr>
        <w:t>Your restricted stock units may not be sold or otherwise transferred and will remain subject to forfeiture conditions until they vest.</w:t>
      </w:r>
    </w:p>
    <w:p>
      <w:pPr>
        <w:spacing w:after="0" w:line="10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Termination of Employment:</w:t>
      </w:r>
    </w:p>
    <w:p>
      <w:pPr>
        <w:spacing w:after="0" w:line="31" w:lineRule="exact"/>
        <w:rPr>
          <w:sz w:val="20"/>
          <w:szCs w:val="20"/>
          <w:color w:val="auto"/>
        </w:rPr>
      </w:pPr>
    </w:p>
    <w:p>
      <w:pPr>
        <w:spacing w:after="0"/>
        <w:rPr>
          <w:sz w:val="20"/>
          <w:szCs w:val="20"/>
          <w:color w:val="auto"/>
        </w:rPr>
      </w:pPr>
      <w:r>
        <w:rPr>
          <w:rFonts w:ascii="Arial" w:cs="Arial" w:eastAsia="Arial" w:hAnsi="Arial"/>
          <w:sz w:val="19"/>
          <w:szCs w:val="19"/>
          <w:color w:val="auto"/>
        </w:rPr>
        <w:t>Your restricted stock units also may be forfeited if your employment terminates.</w:t>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Dividend Equivalents:</w:t>
      </w:r>
    </w:p>
    <w:p>
      <w:pPr>
        <w:spacing w:after="0" w:line="31" w:lineRule="exact"/>
        <w:rPr>
          <w:sz w:val="20"/>
          <w:szCs w:val="20"/>
          <w:color w:val="auto"/>
        </w:rPr>
      </w:pPr>
    </w:p>
    <w:p>
      <w:pPr>
        <w:ind w:right="1299"/>
        <w:spacing w:after="0" w:line="254" w:lineRule="auto"/>
        <w:rPr>
          <w:sz w:val="20"/>
          <w:szCs w:val="20"/>
          <w:color w:val="auto"/>
        </w:rPr>
      </w:pPr>
      <w:r>
        <w:rPr>
          <w:rFonts w:ascii="Arial" w:cs="Arial" w:eastAsia="Arial" w:hAnsi="Arial"/>
          <w:sz w:val="18"/>
          <w:szCs w:val="18"/>
          <w:color w:val="auto"/>
        </w:rPr>
        <w:t>You also have been awarded dividend equivalents with respect to your restricted stock units. Your dividend equivalents represent the right to receive additional shares of Common Stock in the future, subject to the terms and conditions of your award. Your dividend equivalents will be determined based on the dividends that you would have received, had you held shares of Common Stock equal to the vested number of your restricted stock units from the date of your award to the date of the distribution of shares of Common Stock following the vesting of your restricted stock units, and assuming that the dividends were reinvested in Common Stock (and any dividends on such shares were reinvested in Common Stock). The dividends will be deemed reinvested in Common Stock in the same manner as dividends reinvested pursuant to the terms of the Sempra Dividend Reinvestment Plan. Your dividend equivalents will be subject to the same transfer restrictions and forfeiture and vesting conditions as the shares represented by your restricted stock units.</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Distribution of Shares:</w:t>
      </w:r>
    </w:p>
    <w:p>
      <w:pPr>
        <w:spacing w:after="0" w:line="31" w:lineRule="exact"/>
        <w:rPr>
          <w:sz w:val="20"/>
          <w:szCs w:val="20"/>
          <w:color w:val="auto"/>
        </w:rPr>
      </w:pPr>
    </w:p>
    <w:p>
      <w:pPr>
        <w:ind w:right="1379"/>
        <w:spacing w:after="0" w:line="243" w:lineRule="auto"/>
        <w:rPr>
          <w:sz w:val="20"/>
          <w:szCs w:val="20"/>
          <w:color w:val="auto"/>
        </w:rPr>
      </w:pPr>
      <w:r>
        <w:rPr>
          <w:rFonts w:ascii="Arial" w:cs="Arial" w:eastAsia="Arial" w:hAnsi="Arial"/>
          <w:sz w:val="19"/>
          <w:szCs w:val="19"/>
          <w:color w:val="auto"/>
        </w:rPr>
        <w:t>Shares of Common Stock will be distributed to you to the extent your restricted stock units vest. The shares will be distributed to you after the completion of the performance period ending in January 2014 and the Compensation Committee’s determination and certification of Sempra Energy’s total shareholder return for the performance period. The shares of Common Stock will include the additional shares to be distributed pursuant to your dividend equivalents.</w:t>
      </w:r>
    </w:p>
    <w:p>
      <w:pPr>
        <w:spacing w:after="0" w:line="11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Taxes:</w:t>
      </w:r>
    </w:p>
    <w:p>
      <w:pPr>
        <w:spacing w:after="0" w:line="31" w:lineRule="exact"/>
        <w:rPr>
          <w:sz w:val="20"/>
          <w:szCs w:val="20"/>
          <w:color w:val="auto"/>
        </w:rPr>
      </w:pPr>
    </w:p>
    <w:p>
      <w:pPr>
        <w:spacing w:after="0"/>
        <w:rPr>
          <w:sz w:val="20"/>
          <w:szCs w:val="20"/>
          <w:color w:val="auto"/>
        </w:rPr>
      </w:pPr>
      <w:r>
        <w:rPr>
          <w:rFonts w:ascii="Arial" w:cs="Arial" w:eastAsia="Arial" w:hAnsi="Arial"/>
          <w:sz w:val="19"/>
          <w:szCs w:val="19"/>
          <w:color w:val="auto"/>
        </w:rPr>
        <w:t>Upon distribution of shares of Common Stock to you, you will be subject to income taxes on the value of the</w:t>
      </w:r>
    </w:p>
    <w:p>
      <w:pPr>
        <w:sectPr>
          <w:pgSz w:w="11900" w:h="16838" w:orient="portrait"/>
          <w:cols w:equalWidth="0" w:num="1">
            <w:col w:w="10199"/>
          </w:cols>
          <w:pgMar w:left="260" w:top="165" w:right="1440" w:bottom="0" w:gutter="0" w:footer="0" w:header="0"/>
        </w:sectPr>
      </w:pPr>
    </w:p>
    <w:bookmarkStart w:id="88" w:name="page89"/>
    <w:bookmarkEnd w:id="88"/>
    <w:p>
      <w:pPr>
        <w:ind w:left="20"/>
        <w:spacing w:after="0"/>
        <w:rPr>
          <w:sz w:val="20"/>
          <w:szCs w:val="20"/>
          <w:color w:val="auto"/>
        </w:rPr>
      </w:pPr>
      <w:r>
        <w:rPr>
          <w:rFonts w:ascii="Arial" w:cs="Arial" w:eastAsia="Arial" w:hAnsi="Arial"/>
          <w:sz w:val="19"/>
          <w:szCs w:val="19"/>
          <w:color w:val="auto"/>
        </w:rPr>
        <w:t>distributed shares at the time of distribution and must pay applicable withholding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5711190" cy="342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71119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wp:posOffset>
            </wp:positionV>
            <wp:extent cx="5711190" cy="342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711190" cy="34290"/>
                    </a:xfrm>
                    <a:prstGeom prst="rect">
                      <a:avLst/>
                    </a:prstGeom>
                    <a:noFill/>
                  </pic:spPr>
                </pic:pic>
              </a:graphicData>
            </a:graphic>
          </wp:anchor>
        </w:drawing>
      </w:r>
    </w:p>
    <w:p>
      <w:pPr>
        <w:spacing w:after="0" w:line="288" w:lineRule="exact"/>
        <w:rPr>
          <w:sz w:val="20"/>
          <w:szCs w:val="20"/>
          <w:color w:val="auto"/>
        </w:rPr>
      </w:pPr>
    </w:p>
    <w:p>
      <w:pPr>
        <w:jc w:val="both"/>
        <w:ind w:left="20" w:right="1299"/>
        <w:spacing w:after="0" w:line="318" w:lineRule="auto"/>
        <w:rPr>
          <w:sz w:val="20"/>
          <w:szCs w:val="20"/>
          <w:color w:val="auto"/>
        </w:rPr>
      </w:pPr>
      <w:r>
        <w:rPr>
          <w:rFonts w:ascii="Arial" w:cs="Arial" w:eastAsia="Arial" w:hAnsi="Arial"/>
          <w:sz w:val="16"/>
          <w:szCs w:val="16"/>
          <w:b w:val="1"/>
          <w:bCs w:val="1"/>
          <w:i w:val="1"/>
          <w:iCs w:val="1"/>
          <w:color w:val="auto"/>
        </w:rPr>
        <w:t>To accept your award you must sign the accompanying copy of this page and promptly return it to Sempra Energy. By doing so, you agree to all of the terms and conditions set forth in this Cover Page/Summary, the attached Year 2010 Restricted Stock Unit Award Agreement and the Sempra Energy 2008 Long Term Incentive Plan.</w:t>
      </w:r>
    </w:p>
    <w:p>
      <w:pPr>
        <w:spacing w:after="0" w:line="200" w:lineRule="exact"/>
        <w:rPr>
          <w:sz w:val="20"/>
          <w:szCs w:val="20"/>
          <w:color w:val="auto"/>
        </w:rPr>
      </w:pPr>
    </w:p>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338"/>
        </w:trPr>
        <w:tc>
          <w:tcPr>
            <w:tcW w:w="1740" w:type="dxa"/>
            <w:vAlign w:val="bottom"/>
          </w:tcPr>
          <w:p>
            <w:pPr>
              <w:spacing w:after="0"/>
              <w:rPr>
                <w:sz w:val="20"/>
                <w:szCs w:val="20"/>
                <w:color w:val="auto"/>
              </w:rPr>
            </w:pPr>
            <w:r>
              <w:rPr>
                <w:rFonts w:ascii="Arial" w:cs="Arial" w:eastAsia="Arial" w:hAnsi="Arial"/>
                <w:sz w:val="19"/>
                <w:szCs w:val="19"/>
                <w:color w:val="auto"/>
              </w:rPr>
              <w:t>Recipient:</w:t>
            </w:r>
          </w:p>
        </w:tc>
        <w:tc>
          <w:tcPr>
            <w:tcW w:w="2780" w:type="dxa"/>
            <w:vAlign w:val="bottom"/>
            <w:tcBorders>
              <w:bottom w:val="single" w:sz="8" w:color="auto"/>
            </w:tcBorders>
          </w:tcPr>
          <w:p>
            <w:pPr>
              <w:ind w:left="20"/>
              <w:spacing w:after="0"/>
              <w:rPr>
                <w:sz w:val="20"/>
                <w:szCs w:val="20"/>
                <w:color w:val="auto"/>
              </w:rPr>
            </w:pPr>
            <w:r>
              <w:rPr>
                <w:rFonts w:ascii="Arial" w:cs="Arial" w:eastAsia="Arial" w:hAnsi="Arial"/>
                <w:sz w:val="27"/>
                <w:szCs w:val="27"/>
                <w:b w:val="1"/>
                <w:bCs w:val="1"/>
                <w:color w:val="auto"/>
              </w:rPr>
              <w:t>X</w:t>
            </w:r>
          </w:p>
        </w:tc>
      </w:tr>
      <w:tr>
        <w:trPr>
          <w:trHeight w:val="234"/>
        </w:trPr>
        <w:tc>
          <w:tcPr>
            <w:tcW w:w="1740" w:type="dxa"/>
            <w:vAlign w:val="bottom"/>
          </w:tcPr>
          <w:p>
            <w:pPr>
              <w:spacing w:after="0"/>
              <w:rPr>
                <w:sz w:val="20"/>
                <w:szCs w:val="20"/>
                <w:color w:val="auto"/>
              </w:rPr>
            </w:pPr>
          </w:p>
        </w:tc>
        <w:tc>
          <w:tcPr>
            <w:tcW w:w="2780" w:type="dxa"/>
            <w:vAlign w:val="bottom"/>
          </w:tcPr>
          <w:p>
            <w:pPr>
              <w:jc w:val="center"/>
              <w:spacing w:after="0"/>
              <w:rPr>
                <w:sz w:val="20"/>
                <w:szCs w:val="20"/>
                <w:color w:val="auto"/>
              </w:rPr>
            </w:pPr>
            <w:r>
              <w:rPr>
                <w:rFonts w:ascii="Arial" w:cs="Arial" w:eastAsia="Arial" w:hAnsi="Arial"/>
                <w:sz w:val="19"/>
                <w:szCs w:val="19"/>
                <w:color w:val="auto"/>
                <w:w w:val="91"/>
              </w:rPr>
              <w:t>(Signature)</w:t>
            </w:r>
          </w:p>
        </w:tc>
      </w:tr>
      <w:tr>
        <w:trPr>
          <w:trHeight w:val="543"/>
        </w:trPr>
        <w:tc>
          <w:tcPr>
            <w:tcW w:w="1740" w:type="dxa"/>
            <w:vAlign w:val="bottom"/>
          </w:tcPr>
          <w:p>
            <w:pPr>
              <w:spacing w:after="0"/>
              <w:rPr>
                <w:sz w:val="20"/>
                <w:szCs w:val="20"/>
                <w:color w:val="auto"/>
              </w:rPr>
            </w:pPr>
            <w:r>
              <w:rPr>
                <w:rFonts w:ascii="Arial" w:cs="Arial" w:eastAsia="Arial" w:hAnsi="Arial"/>
                <w:sz w:val="19"/>
                <w:szCs w:val="19"/>
                <w:color w:val="auto"/>
              </w:rPr>
              <w:t>Sempra Energy:</w:t>
            </w:r>
          </w:p>
        </w:tc>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22"/>
                <w:szCs w:val="22"/>
                <w:i w:val="1"/>
                <w:iCs w:val="1"/>
                <w:color w:val="auto"/>
                <w:w w:val="93"/>
              </w:rPr>
              <w:t>/s/ Donald E. Felsinger</w:t>
            </w:r>
          </w:p>
        </w:tc>
      </w:tr>
      <w:tr>
        <w:trPr>
          <w:trHeight w:val="234"/>
        </w:trPr>
        <w:tc>
          <w:tcPr>
            <w:tcW w:w="1740" w:type="dxa"/>
            <w:vAlign w:val="bottom"/>
          </w:tcPr>
          <w:p>
            <w:pPr>
              <w:spacing w:after="0"/>
              <w:rPr>
                <w:sz w:val="20"/>
                <w:szCs w:val="20"/>
                <w:color w:val="auto"/>
              </w:rPr>
            </w:pPr>
          </w:p>
        </w:tc>
        <w:tc>
          <w:tcPr>
            <w:tcW w:w="2780" w:type="dxa"/>
            <w:vAlign w:val="bottom"/>
          </w:tcPr>
          <w:p>
            <w:pPr>
              <w:jc w:val="center"/>
              <w:spacing w:after="0"/>
              <w:rPr>
                <w:sz w:val="20"/>
                <w:szCs w:val="20"/>
                <w:color w:val="auto"/>
              </w:rPr>
            </w:pPr>
            <w:r>
              <w:rPr>
                <w:rFonts w:ascii="Arial" w:cs="Arial" w:eastAsia="Arial" w:hAnsi="Arial"/>
                <w:sz w:val="19"/>
                <w:szCs w:val="19"/>
                <w:color w:val="auto"/>
                <w:w w:val="91"/>
              </w:rPr>
              <w:t>(Signature)</w:t>
            </w:r>
          </w:p>
        </w:tc>
      </w:tr>
      <w:tr>
        <w:trPr>
          <w:trHeight w:val="480"/>
        </w:trPr>
        <w:tc>
          <w:tcPr>
            <w:tcW w:w="1740" w:type="dxa"/>
            <w:vAlign w:val="bottom"/>
          </w:tcPr>
          <w:p>
            <w:pPr>
              <w:spacing w:after="0"/>
              <w:rPr>
                <w:sz w:val="20"/>
                <w:szCs w:val="20"/>
                <w:color w:val="auto"/>
              </w:rPr>
            </w:pPr>
            <w:r>
              <w:rPr>
                <w:rFonts w:ascii="Arial" w:cs="Arial" w:eastAsia="Arial" w:hAnsi="Arial"/>
                <w:sz w:val="19"/>
                <w:szCs w:val="19"/>
                <w:color w:val="auto"/>
              </w:rPr>
              <w:t>Title:</w:t>
            </w:r>
          </w:p>
        </w:tc>
        <w:tc>
          <w:tcPr>
            <w:tcW w:w="2780" w:type="dxa"/>
            <w:vAlign w:val="bottom"/>
          </w:tcPr>
          <w:p>
            <w:pPr>
              <w:jc w:val="center"/>
              <w:spacing w:after="0"/>
              <w:rPr>
                <w:sz w:val="20"/>
                <w:szCs w:val="20"/>
                <w:color w:val="auto"/>
              </w:rPr>
            </w:pPr>
            <w:r>
              <w:rPr>
                <w:rFonts w:ascii="Arial" w:cs="Arial" w:eastAsia="Arial" w:hAnsi="Arial"/>
                <w:sz w:val="19"/>
                <w:szCs w:val="19"/>
                <w:color w:val="auto"/>
                <w:w w:val="93"/>
              </w:rPr>
              <w:t>Chairman &amp; Chief Executive</w:t>
            </w:r>
          </w:p>
        </w:tc>
      </w:tr>
      <w:tr>
        <w:trPr>
          <w:trHeight w:val="246"/>
        </w:trPr>
        <w:tc>
          <w:tcPr>
            <w:tcW w:w="1740" w:type="dxa"/>
            <w:vAlign w:val="bottom"/>
          </w:tcPr>
          <w:p>
            <w:pPr>
              <w:spacing w:after="0"/>
              <w:rPr>
                <w:sz w:val="21"/>
                <w:szCs w:val="21"/>
                <w:color w:val="auto"/>
              </w:rPr>
            </w:pPr>
          </w:p>
        </w:tc>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6"/>
              </w:rPr>
              <w:t>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1800" w:type="dxa"/>
            <w:vAlign w:val="bottom"/>
          </w:tcPr>
          <w:p>
            <w:pPr>
              <w:spacing w:after="0"/>
              <w:rPr>
                <w:sz w:val="23"/>
                <w:szCs w:val="23"/>
                <w:color w:val="auto"/>
              </w:rPr>
            </w:pPr>
          </w:p>
        </w:tc>
        <w:tc>
          <w:tcPr>
            <w:tcW w:w="7280" w:type="dxa"/>
            <w:vAlign w:val="bottom"/>
          </w:tcPr>
          <w:p>
            <w:pPr>
              <w:jc w:val="center"/>
              <w:ind w:right="1695"/>
              <w:spacing w:after="0"/>
              <w:rPr>
                <w:sz w:val="20"/>
                <w:szCs w:val="20"/>
                <w:color w:val="auto"/>
              </w:rPr>
            </w:pPr>
            <w:r>
              <w:rPr>
                <w:rFonts w:ascii="Arial" w:cs="Arial" w:eastAsia="Arial" w:hAnsi="Arial"/>
                <w:sz w:val="24"/>
                <w:szCs w:val="24"/>
                <w:b w:val="1"/>
                <w:bCs w:val="1"/>
                <w:color w:val="auto"/>
              </w:rPr>
              <w:t>SEMPRA ENERGY</w:t>
            </w:r>
          </w:p>
        </w:tc>
      </w:tr>
      <w:tr>
        <w:trPr>
          <w:trHeight w:val="317"/>
        </w:trPr>
        <w:tc>
          <w:tcPr>
            <w:tcW w:w="1800" w:type="dxa"/>
            <w:vAlign w:val="bottom"/>
          </w:tcPr>
          <w:p>
            <w:pPr>
              <w:spacing w:after="0"/>
              <w:rPr>
                <w:sz w:val="24"/>
                <w:szCs w:val="24"/>
                <w:color w:val="auto"/>
              </w:rPr>
            </w:pPr>
          </w:p>
        </w:tc>
        <w:tc>
          <w:tcPr>
            <w:tcW w:w="7280" w:type="dxa"/>
            <w:vAlign w:val="bottom"/>
          </w:tcPr>
          <w:p>
            <w:pPr>
              <w:jc w:val="center"/>
              <w:ind w:right="1675"/>
              <w:spacing w:after="0"/>
              <w:rPr>
                <w:sz w:val="20"/>
                <w:szCs w:val="20"/>
                <w:color w:val="auto"/>
              </w:rPr>
            </w:pPr>
            <w:r>
              <w:rPr>
                <w:rFonts w:ascii="Arial" w:cs="Arial" w:eastAsia="Arial" w:hAnsi="Arial"/>
                <w:sz w:val="24"/>
                <w:szCs w:val="24"/>
                <w:b w:val="1"/>
                <w:bCs w:val="1"/>
                <w:color w:val="auto"/>
              </w:rPr>
              <w:t>2008 LONG TERM INCENTIVE PLAN</w:t>
            </w:r>
          </w:p>
        </w:tc>
      </w:tr>
      <w:tr>
        <w:trPr>
          <w:trHeight w:val="513"/>
        </w:trPr>
        <w:tc>
          <w:tcPr>
            <w:tcW w:w="1800" w:type="dxa"/>
            <w:vAlign w:val="bottom"/>
          </w:tcPr>
          <w:p>
            <w:pPr>
              <w:spacing w:after="0"/>
              <w:rPr>
                <w:sz w:val="24"/>
                <w:szCs w:val="24"/>
                <w:color w:val="auto"/>
              </w:rPr>
            </w:pPr>
          </w:p>
        </w:tc>
        <w:tc>
          <w:tcPr>
            <w:tcW w:w="7280" w:type="dxa"/>
            <w:vAlign w:val="bottom"/>
          </w:tcPr>
          <w:p>
            <w:pPr>
              <w:jc w:val="center"/>
              <w:ind w:right="1695"/>
              <w:spacing w:after="0"/>
              <w:rPr>
                <w:sz w:val="20"/>
                <w:szCs w:val="20"/>
                <w:color w:val="auto"/>
              </w:rPr>
            </w:pPr>
            <w:r>
              <w:rPr>
                <w:rFonts w:ascii="Arial" w:cs="Arial" w:eastAsia="Arial" w:hAnsi="Arial"/>
                <w:sz w:val="24"/>
                <w:szCs w:val="24"/>
                <w:b w:val="1"/>
                <w:bCs w:val="1"/>
                <w:color w:val="auto"/>
                <w:w w:val="92"/>
              </w:rPr>
              <w:t>Year 2010 Restricted Stock Unit Award Agreement</w:t>
            </w:r>
          </w:p>
        </w:tc>
      </w:tr>
      <w:tr>
        <w:trPr>
          <w:trHeight w:val="286"/>
        </w:trPr>
        <w:tc>
          <w:tcPr>
            <w:tcW w:w="1800" w:type="dxa"/>
            <w:vAlign w:val="bottom"/>
            <w:tcBorders>
              <w:bottom w:val="single" w:sz="8" w:color="auto"/>
            </w:tcBorders>
          </w:tcPr>
          <w:p>
            <w:pPr>
              <w:spacing w:after="0"/>
              <w:rPr>
                <w:sz w:val="24"/>
                <w:szCs w:val="24"/>
                <w:color w:val="auto"/>
              </w:rPr>
            </w:pPr>
          </w:p>
        </w:tc>
        <w:tc>
          <w:tcPr>
            <w:tcW w:w="7280" w:type="dxa"/>
            <w:vAlign w:val="bottom"/>
            <w:tcBorders>
              <w:bottom w:val="single" w:sz="8" w:color="auto"/>
            </w:tcBorders>
          </w:tcPr>
          <w:p>
            <w:pPr>
              <w:spacing w:after="0"/>
              <w:rPr>
                <w:sz w:val="24"/>
                <w:szCs w:val="24"/>
                <w:color w:val="auto"/>
              </w:rPr>
            </w:pPr>
          </w:p>
        </w:tc>
      </w:tr>
      <w:tr>
        <w:trPr>
          <w:trHeight w:val="88"/>
        </w:trPr>
        <w:tc>
          <w:tcPr>
            <w:tcW w:w="1800" w:type="dxa"/>
            <w:vAlign w:val="bottom"/>
            <w:tcBorders>
              <w:bottom w:val="single" w:sz="8" w:color="auto"/>
            </w:tcBorders>
          </w:tcPr>
          <w:p>
            <w:pPr>
              <w:spacing w:after="0"/>
              <w:rPr>
                <w:sz w:val="7"/>
                <w:szCs w:val="7"/>
                <w:color w:val="auto"/>
              </w:rPr>
            </w:pPr>
          </w:p>
        </w:tc>
        <w:tc>
          <w:tcPr>
            <w:tcW w:w="7280" w:type="dxa"/>
            <w:vAlign w:val="bottom"/>
            <w:tcBorders>
              <w:bottom w:val="single" w:sz="8" w:color="auto"/>
            </w:tcBorders>
          </w:tcPr>
          <w:p>
            <w:pPr>
              <w:spacing w:after="0"/>
              <w:rPr>
                <w:sz w:val="7"/>
                <w:szCs w:val="7"/>
                <w:color w:val="auto"/>
              </w:rPr>
            </w:pPr>
          </w:p>
        </w:tc>
      </w:tr>
      <w:tr>
        <w:trPr>
          <w:trHeight w:val="378"/>
        </w:trPr>
        <w:tc>
          <w:tcPr>
            <w:tcW w:w="1800" w:type="dxa"/>
            <w:vAlign w:val="bottom"/>
          </w:tcPr>
          <w:p>
            <w:pPr>
              <w:ind w:left="20"/>
              <w:spacing w:after="0"/>
              <w:rPr>
                <w:sz w:val="20"/>
                <w:szCs w:val="20"/>
                <w:color w:val="auto"/>
              </w:rPr>
            </w:pPr>
            <w:r>
              <w:rPr>
                <w:rFonts w:ascii="Arial" w:cs="Arial" w:eastAsia="Arial" w:hAnsi="Arial"/>
                <w:sz w:val="21"/>
                <w:szCs w:val="21"/>
                <w:b w:val="1"/>
                <w:bCs w:val="1"/>
                <w:color w:val="auto"/>
              </w:rPr>
              <w:t>Award:</w:t>
            </w:r>
          </w:p>
        </w:tc>
        <w:tc>
          <w:tcPr>
            <w:tcW w:w="7280" w:type="dxa"/>
            <w:vAlign w:val="bottom"/>
          </w:tcPr>
          <w:p>
            <w:pPr>
              <w:ind w:left="820"/>
              <w:spacing w:after="0"/>
              <w:rPr>
                <w:sz w:val="20"/>
                <w:szCs w:val="20"/>
                <w:color w:val="auto"/>
              </w:rPr>
            </w:pPr>
            <w:r>
              <w:rPr>
                <w:rFonts w:ascii="Arial" w:cs="Arial" w:eastAsia="Arial" w:hAnsi="Arial"/>
                <w:sz w:val="21"/>
                <w:szCs w:val="21"/>
                <w:color w:val="auto"/>
                <w:w w:val="87"/>
              </w:rPr>
              <w:t>You have been granted a performance-based restricted stock unit award under</w:t>
            </w:r>
          </w:p>
        </w:tc>
      </w:tr>
      <w:tr>
        <w:trPr>
          <w:trHeight w:val="243"/>
        </w:trPr>
        <w:tc>
          <w:tcPr>
            <w:tcW w:w="1800" w:type="dxa"/>
            <w:vAlign w:val="bottom"/>
          </w:tcPr>
          <w:p>
            <w:pPr>
              <w:spacing w:after="0"/>
              <w:rPr>
                <w:sz w:val="21"/>
                <w:szCs w:val="21"/>
                <w:color w:val="auto"/>
              </w:rPr>
            </w:pPr>
          </w:p>
        </w:tc>
        <w:tc>
          <w:tcPr>
            <w:tcW w:w="7280" w:type="dxa"/>
            <w:vAlign w:val="bottom"/>
          </w:tcPr>
          <w:p>
            <w:pPr>
              <w:ind w:left="820"/>
              <w:spacing w:after="0"/>
              <w:rPr>
                <w:sz w:val="20"/>
                <w:szCs w:val="20"/>
                <w:color w:val="auto"/>
              </w:rPr>
            </w:pPr>
            <w:r>
              <w:rPr>
                <w:rFonts w:ascii="Arial" w:cs="Arial" w:eastAsia="Arial" w:hAnsi="Arial"/>
                <w:sz w:val="21"/>
                <w:szCs w:val="21"/>
                <w:color w:val="auto"/>
                <w:w w:val="90"/>
              </w:rPr>
              <w:t>Sempra Energy’s 2008 Long Term Incentive Plan. The award consists of the</w:t>
            </w:r>
          </w:p>
        </w:tc>
      </w:tr>
      <w:tr>
        <w:trPr>
          <w:trHeight w:val="243"/>
        </w:trPr>
        <w:tc>
          <w:tcPr>
            <w:tcW w:w="1800" w:type="dxa"/>
            <w:vAlign w:val="bottom"/>
          </w:tcPr>
          <w:p>
            <w:pPr>
              <w:spacing w:after="0"/>
              <w:rPr>
                <w:sz w:val="21"/>
                <w:szCs w:val="21"/>
                <w:color w:val="auto"/>
              </w:rPr>
            </w:pPr>
          </w:p>
        </w:tc>
        <w:tc>
          <w:tcPr>
            <w:tcW w:w="7280" w:type="dxa"/>
            <w:vAlign w:val="bottom"/>
          </w:tcPr>
          <w:p>
            <w:pPr>
              <w:ind w:left="820"/>
              <w:spacing w:after="0"/>
              <w:rPr>
                <w:sz w:val="20"/>
                <w:szCs w:val="20"/>
                <w:color w:val="auto"/>
              </w:rPr>
            </w:pPr>
            <w:r>
              <w:rPr>
                <w:rFonts w:ascii="Arial" w:cs="Arial" w:eastAsia="Arial" w:hAnsi="Arial"/>
                <w:sz w:val="21"/>
                <w:szCs w:val="21"/>
                <w:color w:val="auto"/>
                <w:w w:val="90"/>
              </w:rPr>
              <w:t>number of restricted stock units set forth on the Cover Page/Summary to this</w:t>
            </w:r>
          </w:p>
        </w:tc>
      </w:tr>
      <w:tr>
        <w:trPr>
          <w:trHeight w:val="243"/>
        </w:trPr>
        <w:tc>
          <w:tcPr>
            <w:tcW w:w="1800" w:type="dxa"/>
            <w:vAlign w:val="bottom"/>
          </w:tcPr>
          <w:p>
            <w:pPr>
              <w:spacing w:after="0"/>
              <w:rPr>
                <w:sz w:val="21"/>
                <w:szCs w:val="21"/>
                <w:color w:val="auto"/>
              </w:rPr>
            </w:pPr>
          </w:p>
        </w:tc>
        <w:tc>
          <w:tcPr>
            <w:tcW w:w="7280" w:type="dxa"/>
            <w:vAlign w:val="bottom"/>
          </w:tcPr>
          <w:p>
            <w:pPr>
              <w:ind w:left="820"/>
              <w:spacing w:after="0"/>
              <w:rPr>
                <w:sz w:val="20"/>
                <w:szCs w:val="20"/>
                <w:color w:val="auto"/>
              </w:rPr>
            </w:pPr>
            <w:r>
              <w:rPr>
                <w:rFonts w:ascii="Arial" w:cs="Arial" w:eastAsia="Arial" w:hAnsi="Arial"/>
                <w:sz w:val="21"/>
                <w:szCs w:val="21"/>
                <w:color w:val="auto"/>
                <w:w w:val="89"/>
              </w:rPr>
              <w:t>Agreement, and dividend equivalents with respect to the restricted stock units</w:t>
            </w:r>
          </w:p>
        </w:tc>
      </w:tr>
      <w:tr>
        <w:trPr>
          <w:trHeight w:val="264"/>
        </w:trPr>
        <w:tc>
          <w:tcPr>
            <w:tcW w:w="1800" w:type="dxa"/>
            <w:vAlign w:val="bottom"/>
          </w:tcPr>
          <w:p>
            <w:pPr>
              <w:spacing w:after="0"/>
              <w:rPr>
                <w:sz w:val="22"/>
                <w:szCs w:val="22"/>
                <w:color w:val="auto"/>
              </w:rPr>
            </w:pPr>
          </w:p>
        </w:tc>
        <w:tc>
          <w:tcPr>
            <w:tcW w:w="7280" w:type="dxa"/>
            <w:vAlign w:val="bottom"/>
          </w:tcPr>
          <w:p>
            <w:pPr>
              <w:ind w:left="820"/>
              <w:spacing w:after="0"/>
              <w:rPr>
                <w:sz w:val="20"/>
                <w:szCs w:val="20"/>
                <w:color w:val="auto"/>
              </w:rPr>
            </w:pPr>
            <w:r>
              <w:rPr>
                <w:rFonts w:ascii="Arial" w:cs="Arial" w:eastAsia="Arial" w:hAnsi="Arial"/>
                <w:sz w:val="21"/>
                <w:szCs w:val="21"/>
                <w:color w:val="auto"/>
              </w:rPr>
              <w:t>(described below).</w:t>
            </w:r>
          </w:p>
        </w:tc>
      </w:tr>
      <w:tr>
        <w:trPr>
          <w:trHeight w:val="438"/>
        </w:trPr>
        <w:tc>
          <w:tcPr>
            <w:tcW w:w="1800" w:type="dxa"/>
            <w:vAlign w:val="bottom"/>
          </w:tcPr>
          <w:p>
            <w:pPr>
              <w:spacing w:after="0"/>
              <w:rPr>
                <w:sz w:val="24"/>
                <w:szCs w:val="24"/>
                <w:color w:val="auto"/>
              </w:rPr>
            </w:pPr>
          </w:p>
        </w:tc>
        <w:tc>
          <w:tcPr>
            <w:tcW w:w="7280" w:type="dxa"/>
            <w:vAlign w:val="bottom"/>
          </w:tcPr>
          <w:p>
            <w:pPr>
              <w:ind w:left="820"/>
              <w:spacing w:after="0"/>
              <w:rPr>
                <w:sz w:val="20"/>
                <w:szCs w:val="20"/>
                <w:color w:val="auto"/>
              </w:rPr>
            </w:pPr>
            <w:r>
              <w:rPr>
                <w:rFonts w:ascii="Arial" w:cs="Arial" w:eastAsia="Arial" w:hAnsi="Arial"/>
                <w:sz w:val="21"/>
                <w:szCs w:val="21"/>
                <w:color w:val="auto"/>
                <w:w w:val="92"/>
              </w:rPr>
              <w:t>Your restricted stock units represent the right to receive shares of Common</w:t>
            </w:r>
          </w:p>
        </w:tc>
      </w:tr>
      <w:tr>
        <w:trPr>
          <w:trHeight w:val="243"/>
        </w:trPr>
        <w:tc>
          <w:tcPr>
            <w:tcW w:w="1800" w:type="dxa"/>
            <w:vAlign w:val="bottom"/>
          </w:tcPr>
          <w:p>
            <w:pPr>
              <w:spacing w:after="0"/>
              <w:rPr>
                <w:sz w:val="21"/>
                <w:szCs w:val="21"/>
                <w:color w:val="auto"/>
              </w:rPr>
            </w:pPr>
          </w:p>
        </w:tc>
        <w:tc>
          <w:tcPr>
            <w:tcW w:w="7280" w:type="dxa"/>
            <w:vAlign w:val="bottom"/>
          </w:tcPr>
          <w:p>
            <w:pPr>
              <w:ind w:left="820"/>
              <w:spacing w:after="0"/>
              <w:rPr>
                <w:sz w:val="20"/>
                <w:szCs w:val="20"/>
                <w:color w:val="auto"/>
              </w:rPr>
            </w:pPr>
            <w:r>
              <w:rPr>
                <w:rFonts w:ascii="Arial" w:cs="Arial" w:eastAsia="Arial" w:hAnsi="Arial"/>
                <w:sz w:val="21"/>
                <w:szCs w:val="21"/>
                <w:color w:val="auto"/>
                <w:w w:val="92"/>
              </w:rPr>
              <w:t>Stock in the future, subject to the terms and conditions of your award. Your</w:t>
            </w:r>
          </w:p>
        </w:tc>
      </w:tr>
      <w:tr>
        <w:trPr>
          <w:trHeight w:val="264"/>
        </w:trPr>
        <w:tc>
          <w:tcPr>
            <w:tcW w:w="1800" w:type="dxa"/>
            <w:vAlign w:val="bottom"/>
          </w:tcPr>
          <w:p>
            <w:pPr>
              <w:spacing w:after="0"/>
              <w:rPr>
                <w:sz w:val="22"/>
                <w:szCs w:val="22"/>
                <w:color w:val="auto"/>
              </w:rPr>
            </w:pPr>
          </w:p>
        </w:tc>
        <w:tc>
          <w:tcPr>
            <w:tcW w:w="7280" w:type="dxa"/>
            <w:vAlign w:val="bottom"/>
          </w:tcPr>
          <w:p>
            <w:pPr>
              <w:ind w:left="820"/>
              <w:spacing w:after="0"/>
              <w:rPr>
                <w:sz w:val="20"/>
                <w:szCs w:val="20"/>
                <w:color w:val="auto"/>
              </w:rPr>
            </w:pPr>
            <w:r>
              <w:rPr>
                <w:rFonts w:ascii="Arial" w:cs="Arial" w:eastAsia="Arial" w:hAnsi="Arial"/>
                <w:sz w:val="21"/>
                <w:szCs w:val="21"/>
                <w:color w:val="auto"/>
              </w:rPr>
              <w:t>restricted stock units are not shares of Common Stock.</w:t>
            </w:r>
          </w:p>
        </w:tc>
      </w:tr>
      <w:tr>
        <w:trPr>
          <w:trHeight w:val="438"/>
        </w:trPr>
        <w:tc>
          <w:tcPr>
            <w:tcW w:w="1800" w:type="dxa"/>
            <w:vAlign w:val="bottom"/>
          </w:tcPr>
          <w:p>
            <w:pPr>
              <w:spacing w:after="0"/>
              <w:rPr>
                <w:sz w:val="24"/>
                <w:szCs w:val="24"/>
                <w:color w:val="auto"/>
              </w:rPr>
            </w:pPr>
          </w:p>
        </w:tc>
        <w:tc>
          <w:tcPr>
            <w:tcW w:w="7280" w:type="dxa"/>
            <w:vAlign w:val="bottom"/>
          </w:tcPr>
          <w:p>
            <w:pPr>
              <w:ind w:left="820"/>
              <w:spacing w:after="0"/>
              <w:rPr>
                <w:sz w:val="20"/>
                <w:szCs w:val="20"/>
                <w:color w:val="auto"/>
              </w:rPr>
            </w:pPr>
            <w:r>
              <w:rPr>
                <w:rFonts w:ascii="Arial" w:cs="Arial" w:eastAsia="Arial" w:hAnsi="Arial"/>
                <w:sz w:val="21"/>
                <w:szCs w:val="21"/>
                <w:color w:val="auto"/>
              </w:rPr>
              <w:t>Each restricted stock unit represents the right to receive one share of</w:t>
            </w:r>
          </w:p>
        </w:tc>
      </w:tr>
      <w:tr>
        <w:trPr>
          <w:trHeight w:val="264"/>
        </w:trPr>
        <w:tc>
          <w:tcPr>
            <w:tcW w:w="1800" w:type="dxa"/>
            <w:vAlign w:val="bottom"/>
          </w:tcPr>
          <w:p>
            <w:pPr>
              <w:spacing w:after="0"/>
              <w:rPr>
                <w:sz w:val="22"/>
                <w:szCs w:val="22"/>
                <w:color w:val="auto"/>
              </w:rPr>
            </w:pPr>
          </w:p>
        </w:tc>
        <w:tc>
          <w:tcPr>
            <w:tcW w:w="7280" w:type="dxa"/>
            <w:vAlign w:val="bottom"/>
          </w:tcPr>
          <w:p>
            <w:pPr>
              <w:ind w:left="820"/>
              <w:spacing w:after="0"/>
              <w:rPr>
                <w:sz w:val="20"/>
                <w:szCs w:val="20"/>
                <w:color w:val="auto"/>
              </w:rPr>
            </w:pPr>
            <w:r>
              <w:rPr>
                <w:rFonts w:ascii="Arial" w:cs="Arial" w:eastAsia="Arial" w:hAnsi="Arial"/>
                <w:sz w:val="21"/>
                <w:szCs w:val="21"/>
                <w:color w:val="auto"/>
              </w:rPr>
              <w:t>Common Stock upon the vesting of the unit.</w:t>
            </w:r>
          </w:p>
        </w:tc>
      </w:tr>
      <w:tr>
        <w:trPr>
          <w:trHeight w:val="438"/>
        </w:trPr>
        <w:tc>
          <w:tcPr>
            <w:tcW w:w="1800" w:type="dxa"/>
            <w:vAlign w:val="bottom"/>
          </w:tcPr>
          <w:p>
            <w:pPr>
              <w:spacing w:after="0"/>
              <w:rPr>
                <w:sz w:val="24"/>
                <w:szCs w:val="24"/>
                <w:color w:val="auto"/>
              </w:rPr>
            </w:pPr>
          </w:p>
        </w:tc>
        <w:tc>
          <w:tcPr>
            <w:tcW w:w="7280" w:type="dxa"/>
            <w:vAlign w:val="bottom"/>
          </w:tcPr>
          <w:p>
            <w:pPr>
              <w:ind w:left="820"/>
              <w:spacing w:after="0"/>
              <w:rPr>
                <w:sz w:val="20"/>
                <w:szCs w:val="20"/>
                <w:color w:val="auto"/>
              </w:rPr>
            </w:pPr>
            <w:r>
              <w:rPr>
                <w:rFonts w:ascii="Arial" w:cs="Arial" w:eastAsia="Arial" w:hAnsi="Arial"/>
                <w:sz w:val="21"/>
                <w:szCs w:val="21"/>
                <w:color w:val="auto"/>
                <w:w w:val="98"/>
              </w:rPr>
              <w:t>Unless and until they vest, your restricted stock units and any dividend</w:t>
            </w:r>
          </w:p>
        </w:tc>
      </w:tr>
      <w:tr>
        <w:trPr>
          <w:trHeight w:val="243"/>
        </w:trPr>
        <w:tc>
          <w:tcPr>
            <w:tcW w:w="1800" w:type="dxa"/>
            <w:vAlign w:val="bottom"/>
          </w:tcPr>
          <w:p>
            <w:pPr>
              <w:spacing w:after="0"/>
              <w:rPr>
                <w:sz w:val="21"/>
                <w:szCs w:val="21"/>
                <w:color w:val="auto"/>
              </w:rPr>
            </w:pPr>
          </w:p>
        </w:tc>
        <w:tc>
          <w:tcPr>
            <w:tcW w:w="7280" w:type="dxa"/>
            <w:vAlign w:val="bottom"/>
          </w:tcPr>
          <w:p>
            <w:pPr>
              <w:ind w:left="820"/>
              <w:spacing w:after="0"/>
              <w:rPr>
                <w:sz w:val="20"/>
                <w:szCs w:val="20"/>
                <w:color w:val="auto"/>
              </w:rPr>
            </w:pPr>
            <w:r>
              <w:rPr>
                <w:rFonts w:ascii="Arial" w:cs="Arial" w:eastAsia="Arial" w:hAnsi="Arial"/>
                <w:sz w:val="21"/>
                <w:szCs w:val="21"/>
                <w:color w:val="auto"/>
                <w:w w:val="93"/>
              </w:rPr>
              <w:t>equivalents (as described below) will be subject to transfer restrictions and</w:t>
            </w:r>
          </w:p>
        </w:tc>
      </w:tr>
      <w:tr>
        <w:trPr>
          <w:trHeight w:val="264"/>
        </w:trPr>
        <w:tc>
          <w:tcPr>
            <w:tcW w:w="1800" w:type="dxa"/>
            <w:vAlign w:val="bottom"/>
          </w:tcPr>
          <w:p>
            <w:pPr>
              <w:spacing w:after="0"/>
              <w:rPr>
                <w:sz w:val="22"/>
                <w:szCs w:val="22"/>
                <w:color w:val="auto"/>
              </w:rPr>
            </w:pPr>
          </w:p>
        </w:tc>
        <w:tc>
          <w:tcPr>
            <w:tcW w:w="7280" w:type="dxa"/>
            <w:vAlign w:val="bottom"/>
          </w:tcPr>
          <w:p>
            <w:pPr>
              <w:ind w:left="820"/>
              <w:spacing w:after="0"/>
              <w:rPr>
                <w:sz w:val="20"/>
                <w:szCs w:val="20"/>
                <w:color w:val="auto"/>
              </w:rPr>
            </w:pPr>
            <w:r>
              <w:rPr>
                <w:rFonts w:ascii="Arial" w:cs="Arial" w:eastAsia="Arial" w:hAnsi="Arial"/>
                <w:sz w:val="21"/>
                <w:szCs w:val="21"/>
                <w:color w:val="auto"/>
              </w:rPr>
              <w:t>forfeiture and vesting conditions.</w:t>
            </w:r>
          </w:p>
        </w:tc>
      </w:tr>
      <w:tr>
        <w:trPr>
          <w:trHeight w:val="330"/>
        </w:trPr>
        <w:tc>
          <w:tcPr>
            <w:tcW w:w="1800" w:type="dxa"/>
            <w:vAlign w:val="bottom"/>
          </w:tcPr>
          <w:p>
            <w:pPr>
              <w:spacing w:after="0"/>
              <w:rPr>
                <w:sz w:val="24"/>
                <w:szCs w:val="24"/>
                <w:color w:val="auto"/>
              </w:rPr>
            </w:pPr>
          </w:p>
        </w:tc>
        <w:tc>
          <w:tcPr>
            <w:tcW w:w="7280" w:type="dxa"/>
            <w:vAlign w:val="bottom"/>
          </w:tcPr>
          <w:p>
            <w:pPr>
              <w:ind w:left="820"/>
              <w:spacing w:after="0"/>
              <w:rPr>
                <w:sz w:val="20"/>
                <w:szCs w:val="20"/>
                <w:color w:val="auto"/>
              </w:rPr>
            </w:pPr>
            <w:r>
              <w:rPr>
                <w:rFonts w:ascii="Arial" w:cs="Arial" w:eastAsia="Arial" w:hAnsi="Arial"/>
                <w:sz w:val="21"/>
                <w:szCs w:val="21"/>
                <w:color w:val="auto"/>
                <w:w w:val="90"/>
              </w:rPr>
              <w:t>Your restricted stock units (and dividend equivalents) will vest only upon and</w:t>
            </w:r>
          </w:p>
        </w:tc>
      </w:tr>
      <w:tr>
        <w:trPr>
          <w:trHeight w:val="243"/>
        </w:trPr>
        <w:tc>
          <w:tcPr>
            <w:tcW w:w="1800" w:type="dxa"/>
            <w:vAlign w:val="bottom"/>
          </w:tcPr>
          <w:p>
            <w:pPr>
              <w:spacing w:after="0"/>
              <w:rPr>
                <w:sz w:val="21"/>
                <w:szCs w:val="21"/>
                <w:color w:val="auto"/>
              </w:rPr>
            </w:pPr>
          </w:p>
        </w:tc>
        <w:tc>
          <w:tcPr>
            <w:tcW w:w="7280" w:type="dxa"/>
            <w:vAlign w:val="bottom"/>
          </w:tcPr>
          <w:p>
            <w:pPr>
              <w:ind w:left="820"/>
              <w:spacing w:after="0"/>
              <w:rPr>
                <w:sz w:val="20"/>
                <w:szCs w:val="20"/>
                <w:color w:val="auto"/>
              </w:rPr>
            </w:pPr>
            <w:r>
              <w:rPr>
                <w:rFonts w:ascii="Arial" w:cs="Arial" w:eastAsia="Arial" w:hAnsi="Arial"/>
                <w:sz w:val="21"/>
                <w:szCs w:val="21"/>
                <w:color w:val="auto"/>
                <w:w w:val="95"/>
              </w:rPr>
              <w:t>only to the extent that the Compensation Committee of Sempra Energy's</w:t>
            </w:r>
          </w:p>
        </w:tc>
      </w:tr>
      <w:tr>
        <w:trPr>
          <w:trHeight w:val="243"/>
        </w:trPr>
        <w:tc>
          <w:tcPr>
            <w:tcW w:w="1800" w:type="dxa"/>
            <w:vAlign w:val="bottom"/>
          </w:tcPr>
          <w:p>
            <w:pPr>
              <w:spacing w:after="0"/>
              <w:rPr>
                <w:sz w:val="21"/>
                <w:szCs w:val="21"/>
                <w:color w:val="auto"/>
              </w:rPr>
            </w:pPr>
          </w:p>
        </w:tc>
        <w:tc>
          <w:tcPr>
            <w:tcW w:w="7280" w:type="dxa"/>
            <w:vAlign w:val="bottom"/>
          </w:tcPr>
          <w:p>
            <w:pPr>
              <w:ind w:left="820"/>
              <w:spacing w:after="0"/>
              <w:rPr>
                <w:sz w:val="20"/>
                <w:szCs w:val="20"/>
                <w:color w:val="auto"/>
              </w:rPr>
            </w:pPr>
            <w:r>
              <w:rPr>
                <w:rFonts w:ascii="Arial" w:cs="Arial" w:eastAsia="Arial" w:hAnsi="Arial"/>
                <w:sz w:val="21"/>
                <w:szCs w:val="21"/>
                <w:color w:val="auto"/>
                <w:w w:val="95"/>
              </w:rPr>
              <w:t>Board of Directors determines and certifies that Sempra Energy has met</w:t>
            </w:r>
          </w:p>
        </w:tc>
      </w:tr>
      <w:tr>
        <w:trPr>
          <w:trHeight w:val="243"/>
        </w:trPr>
        <w:tc>
          <w:tcPr>
            <w:tcW w:w="1800" w:type="dxa"/>
            <w:vAlign w:val="bottom"/>
          </w:tcPr>
          <w:p>
            <w:pPr>
              <w:spacing w:after="0"/>
              <w:rPr>
                <w:sz w:val="21"/>
                <w:szCs w:val="21"/>
                <w:color w:val="auto"/>
              </w:rPr>
            </w:pPr>
          </w:p>
        </w:tc>
        <w:tc>
          <w:tcPr>
            <w:tcW w:w="7280" w:type="dxa"/>
            <w:vAlign w:val="bottom"/>
          </w:tcPr>
          <w:p>
            <w:pPr>
              <w:ind w:left="820"/>
              <w:spacing w:after="0"/>
              <w:rPr>
                <w:sz w:val="20"/>
                <w:szCs w:val="20"/>
                <w:color w:val="auto"/>
              </w:rPr>
            </w:pPr>
            <w:r>
              <w:rPr>
                <w:rFonts w:ascii="Arial" w:cs="Arial" w:eastAsia="Arial" w:hAnsi="Arial"/>
                <w:sz w:val="21"/>
                <w:szCs w:val="21"/>
                <w:color w:val="auto"/>
              </w:rPr>
              <w:t>specified total shareholder return criteria for the performance period</w:t>
            </w:r>
          </w:p>
        </w:tc>
      </w:tr>
      <w:tr>
        <w:trPr>
          <w:trHeight w:val="243"/>
        </w:trPr>
        <w:tc>
          <w:tcPr>
            <w:tcW w:w="1800" w:type="dxa"/>
            <w:vAlign w:val="bottom"/>
          </w:tcPr>
          <w:p>
            <w:pPr>
              <w:spacing w:after="0"/>
              <w:rPr>
                <w:sz w:val="21"/>
                <w:szCs w:val="21"/>
                <w:color w:val="auto"/>
              </w:rPr>
            </w:pPr>
          </w:p>
        </w:tc>
        <w:tc>
          <w:tcPr>
            <w:tcW w:w="7280" w:type="dxa"/>
            <w:vAlign w:val="bottom"/>
          </w:tcPr>
          <w:p>
            <w:pPr>
              <w:ind w:left="820"/>
              <w:spacing w:after="0"/>
              <w:rPr>
                <w:sz w:val="20"/>
                <w:szCs w:val="20"/>
                <w:color w:val="auto"/>
              </w:rPr>
            </w:pPr>
            <w:r>
              <w:rPr>
                <w:rFonts w:ascii="Arial" w:cs="Arial" w:eastAsia="Arial" w:hAnsi="Arial"/>
                <w:sz w:val="21"/>
                <w:szCs w:val="21"/>
                <w:color w:val="auto"/>
                <w:w w:val="91"/>
              </w:rPr>
              <w:t>beginning January 1, 2010 and ending in January 2014. Any restricted stock</w:t>
            </w:r>
          </w:p>
        </w:tc>
      </w:tr>
      <w:tr>
        <w:trPr>
          <w:trHeight w:val="243"/>
        </w:trPr>
        <w:tc>
          <w:tcPr>
            <w:tcW w:w="1800" w:type="dxa"/>
            <w:vAlign w:val="bottom"/>
          </w:tcPr>
          <w:p>
            <w:pPr>
              <w:spacing w:after="0"/>
              <w:rPr>
                <w:sz w:val="21"/>
                <w:szCs w:val="21"/>
                <w:color w:val="auto"/>
              </w:rPr>
            </w:pPr>
          </w:p>
        </w:tc>
        <w:tc>
          <w:tcPr>
            <w:tcW w:w="7280" w:type="dxa"/>
            <w:vAlign w:val="bottom"/>
          </w:tcPr>
          <w:p>
            <w:pPr>
              <w:ind w:left="820"/>
              <w:spacing w:after="0"/>
              <w:rPr>
                <w:sz w:val="20"/>
                <w:szCs w:val="20"/>
                <w:color w:val="auto"/>
              </w:rPr>
            </w:pPr>
            <w:r>
              <w:rPr>
                <w:rFonts w:ascii="Arial" w:cs="Arial" w:eastAsia="Arial" w:hAnsi="Arial"/>
                <w:sz w:val="21"/>
                <w:szCs w:val="21"/>
                <w:color w:val="auto"/>
                <w:w w:val="95"/>
              </w:rPr>
              <w:t>units (and dividend equivalents) that do not vest upon the Compensation</w:t>
            </w:r>
          </w:p>
        </w:tc>
      </w:tr>
      <w:tr>
        <w:trPr>
          <w:trHeight w:val="264"/>
        </w:trPr>
        <w:tc>
          <w:tcPr>
            <w:tcW w:w="1800" w:type="dxa"/>
            <w:vAlign w:val="bottom"/>
          </w:tcPr>
          <w:p>
            <w:pPr>
              <w:spacing w:after="0"/>
              <w:rPr>
                <w:sz w:val="22"/>
                <w:szCs w:val="22"/>
                <w:color w:val="auto"/>
              </w:rPr>
            </w:pPr>
          </w:p>
        </w:tc>
        <w:tc>
          <w:tcPr>
            <w:tcW w:w="7280" w:type="dxa"/>
            <w:vAlign w:val="bottom"/>
          </w:tcPr>
          <w:p>
            <w:pPr>
              <w:ind w:left="820"/>
              <w:spacing w:after="0"/>
              <w:rPr>
                <w:sz w:val="20"/>
                <w:szCs w:val="20"/>
                <w:color w:val="auto"/>
              </w:rPr>
            </w:pPr>
            <w:r>
              <w:rPr>
                <w:rFonts w:ascii="Arial" w:cs="Arial" w:eastAsia="Arial" w:hAnsi="Arial"/>
                <w:sz w:val="21"/>
                <w:szCs w:val="21"/>
                <w:color w:val="auto"/>
              </w:rPr>
              <w:t>Committee's determination and certification will be forfeited.</w:t>
            </w:r>
          </w:p>
        </w:tc>
      </w:tr>
      <w:tr>
        <w:trPr>
          <w:trHeight w:val="316"/>
        </w:trPr>
        <w:tc>
          <w:tcPr>
            <w:tcW w:w="1800" w:type="dxa"/>
            <w:vAlign w:val="bottom"/>
          </w:tcPr>
          <w:p>
            <w:pPr>
              <w:spacing w:after="0"/>
              <w:rPr>
                <w:sz w:val="24"/>
                <w:szCs w:val="24"/>
                <w:color w:val="auto"/>
              </w:rPr>
            </w:pPr>
          </w:p>
        </w:tc>
        <w:tc>
          <w:tcPr>
            <w:tcW w:w="7280" w:type="dxa"/>
            <w:vAlign w:val="bottom"/>
          </w:tcPr>
          <w:p>
            <w:pPr>
              <w:ind w:left="820"/>
              <w:spacing w:after="0"/>
              <w:rPr>
                <w:sz w:val="20"/>
                <w:szCs w:val="20"/>
                <w:color w:val="auto"/>
              </w:rPr>
            </w:pPr>
            <w:r>
              <w:rPr>
                <w:rFonts w:ascii="Arial" w:cs="Arial" w:eastAsia="Arial" w:hAnsi="Arial"/>
                <w:sz w:val="21"/>
                <w:szCs w:val="21"/>
                <w:color w:val="auto"/>
                <w:w w:val="90"/>
              </w:rPr>
              <w:t>Your restricted stock units (and dividend equivalents) also may be forfeited if</w:t>
            </w:r>
          </w:p>
        </w:tc>
      </w:tr>
      <w:tr>
        <w:trPr>
          <w:trHeight w:val="264"/>
        </w:trPr>
        <w:tc>
          <w:tcPr>
            <w:tcW w:w="1800" w:type="dxa"/>
            <w:vAlign w:val="bottom"/>
          </w:tcPr>
          <w:p>
            <w:pPr>
              <w:spacing w:after="0"/>
              <w:rPr>
                <w:sz w:val="22"/>
                <w:szCs w:val="22"/>
                <w:color w:val="auto"/>
              </w:rPr>
            </w:pPr>
          </w:p>
        </w:tc>
        <w:tc>
          <w:tcPr>
            <w:tcW w:w="7280" w:type="dxa"/>
            <w:vAlign w:val="bottom"/>
          </w:tcPr>
          <w:p>
            <w:pPr>
              <w:ind w:left="820"/>
              <w:spacing w:after="0"/>
              <w:rPr>
                <w:sz w:val="20"/>
                <w:szCs w:val="20"/>
                <w:color w:val="auto"/>
              </w:rPr>
            </w:pPr>
            <w:r>
              <w:rPr>
                <w:rFonts w:ascii="Arial" w:cs="Arial" w:eastAsia="Arial" w:hAnsi="Arial"/>
                <w:sz w:val="21"/>
                <w:szCs w:val="21"/>
                <w:color w:val="auto"/>
              </w:rPr>
              <w:t>your employment terminates before they vest.</w:t>
            </w:r>
          </w:p>
        </w:tc>
      </w:tr>
      <w:tr>
        <w:trPr>
          <w:trHeight w:val="330"/>
        </w:trPr>
        <w:tc>
          <w:tcPr>
            <w:tcW w:w="1800" w:type="dxa"/>
            <w:vAlign w:val="bottom"/>
          </w:tcPr>
          <w:p>
            <w:pPr>
              <w:spacing w:after="0"/>
              <w:rPr>
                <w:sz w:val="24"/>
                <w:szCs w:val="24"/>
                <w:color w:val="auto"/>
              </w:rPr>
            </w:pPr>
          </w:p>
        </w:tc>
        <w:tc>
          <w:tcPr>
            <w:tcW w:w="7280" w:type="dxa"/>
            <w:vAlign w:val="bottom"/>
          </w:tcPr>
          <w:p>
            <w:pPr>
              <w:ind w:left="820"/>
              <w:spacing w:after="0"/>
              <w:rPr>
                <w:sz w:val="20"/>
                <w:szCs w:val="20"/>
                <w:color w:val="auto"/>
              </w:rPr>
            </w:pPr>
            <w:r>
              <w:rPr>
                <w:rFonts w:ascii="Arial" w:cs="Arial" w:eastAsia="Arial" w:hAnsi="Arial"/>
                <w:sz w:val="21"/>
                <w:szCs w:val="21"/>
                <w:color w:val="auto"/>
              </w:rPr>
              <w:t>See “Vesting/Forfeiture,” “Transfer Restrictions,” and “Termination of</w:t>
            </w:r>
          </w:p>
        </w:tc>
      </w:tr>
      <w:tr>
        <w:trPr>
          <w:trHeight w:val="264"/>
        </w:trPr>
        <w:tc>
          <w:tcPr>
            <w:tcW w:w="1800" w:type="dxa"/>
            <w:vAlign w:val="bottom"/>
          </w:tcPr>
          <w:p>
            <w:pPr>
              <w:spacing w:after="0"/>
              <w:rPr>
                <w:sz w:val="22"/>
                <w:szCs w:val="22"/>
                <w:color w:val="auto"/>
              </w:rPr>
            </w:pPr>
          </w:p>
        </w:tc>
        <w:tc>
          <w:tcPr>
            <w:tcW w:w="7280" w:type="dxa"/>
            <w:vAlign w:val="bottom"/>
          </w:tcPr>
          <w:p>
            <w:pPr>
              <w:ind w:left="820"/>
              <w:spacing w:after="0"/>
              <w:rPr>
                <w:sz w:val="20"/>
                <w:szCs w:val="20"/>
                <w:color w:val="auto"/>
              </w:rPr>
            </w:pPr>
            <w:r>
              <w:rPr>
                <w:rFonts w:ascii="Arial" w:cs="Arial" w:eastAsia="Arial" w:hAnsi="Arial"/>
                <w:sz w:val="21"/>
                <w:szCs w:val="21"/>
                <w:color w:val="auto"/>
              </w:rPr>
              <w:t>Employment” below.</w:t>
            </w:r>
          </w:p>
        </w:tc>
      </w:tr>
      <w:tr>
        <w:trPr>
          <w:trHeight w:val="492"/>
        </w:trPr>
        <w:tc>
          <w:tcPr>
            <w:tcW w:w="1800" w:type="dxa"/>
            <w:vAlign w:val="bottom"/>
          </w:tcPr>
          <w:p>
            <w:pPr>
              <w:ind w:left="20"/>
              <w:spacing w:after="0"/>
              <w:rPr>
                <w:sz w:val="20"/>
                <w:szCs w:val="20"/>
                <w:color w:val="auto"/>
              </w:rPr>
            </w:pPr>
            <w:r>
              <w:rPr>
                <w:rFonts w:ascii="Arial" w:cs="Arial" w:eastAsia="Arial" w:hAnsi="Arial"/>
                <w:sz w:val="21"/>
                <w:szCs w:val="21"/>
                <w:b w:val="1"/>
                <w:bCs w:val="1"/>
                <w:color w:val="auto"/>
                <w:w w:val="94"/>
              </w:rPr>
              <w:t>Vesting/Forfeiture:</w:t>
            </w:r>
          </w:p>
        </w:tc>
        <w:tc>
          <w:tcPr>
            <w:tcW w:w="7280" w:type="dxa"/>
            <w:vAlign w:val="bottom"/>
          </w:tcPr>
          <w:p>
            <w:pPr>
              <w:ind w:left="820"/>
              <w:spacing w:after="0"/>
              <w:rPr>
                <w:sz w:val="20"/>
                <w:szCs w:val="20"/>
                <w:color w:val="auto"/>
              </w:rPr>
            </w:pPr>
            <w:r>
              <w:rPr>
                <w:rFonts w:ascii="Arial" w:cs="Arial" w:eastAsia="Arial" w:hAnsi="Arial"/>
                <w:sz w:val="21"/>
                <w:szCs w:val="21"/>
                <w:color w:val="auto"/>
                <w:w w:val="94"/>
              </w:rPr>
              <w:t>Your restricted stock units (and dividend equivalents, as described below)</w:t>
            </w:r>
          </w:p>
        </w:tc>
      </w:tr>
      <w:tr>
        <w:trPr>
          <w:trHeight w:val="243"/>
        </w:trPr>
        <w:tc>
          <w:tcPr>
            <w:tcW w:w="1800" w:type="dxa"/>
            <w:vAlign w:val="bottom"/>
          </w:tcPr>
          <w:p>
            <w:pPr>
              <w:spacing w:after="0"/>
              <w:rPr>
                <w:sz w:val="21"/>
                <w:szCs w:val="21"/>
                <w:color w:val="auto"/>
              </w:rPr>
            </w:pPr>
          </w:p>
        </w:tc>
        <w:tc>
          <w:tcPr>
            <w:tcW w:w="7280" w:type="dxa"/>
            <w:vAlign w:val="bottom"/>
          </w:tcPr>
          <w:p>
            <w:pPr>
              <w:ind w:left="820"/>
              <w:spacing w:after="0"/>
              <w:rPr>
                <w:sz w:val="20"/>
                <w:szCs w:val="20"/>
                <w:color w:val="auto"/>
              </w:rPr>
            </w:pPr>
            <w:r>
              <w:rPr>
                <w:rFonts w:ascii="Arial" w:cs="Arial" w:eastAsia="Arial" w:hAnsi="Arial"/>
                <w:sz w:val="21"/>
                <w:szCs w:val="21"/>
                <w:color w:val="auto"/>
                <w:w w:val="91"/>
              </w:rPr>
              <w:t>will vest only upon and only to the extent that the Compensation Committee</w:t>
            </w:r>
          </w:p>
        </w:tc>
      </w:tr>
      <w:tr>
        <w:trPr>
          <w:trHeight w:val="243"/>
        </w:trPr>
        <w:tc>
          <w:tcPr>
            <w:tcW w:w="1800" w:type="dxa"/>
            <w:vAlign w:val="bottom"/>
          </w:tcPr>
          <w:p>
            <w:pPr>
              <w:spacing w:after="0"/>
              <w:rPr>
                <w:sz w:val="21"/>
                <w:szCs w:val="21"/>
                <w:color w:val="auto"/>
              </w:rPr>
            </w:pPr>
          </w:p>
        </w:tc>
        <w:tc>
          <w:tcPr>
            <w:tcW w:w="7280" w:type="dxa"/>
            <w:vAlign w:val="bottom"/>
          </w:tcPr>
          <w:p>
            <w:pPr>
              <w:ind w:left="820"/>
              <w:spacing w:after="0"/>
              <w:rPr>
                <w:sz w:val="20"/>
                <w:szCs w:val="20"/>
                <w:color w:val="auto"/>
              </w:rPr>
            </w:pPr>
            <w:r>
              <w:rPr>
                <w:rFonts w:ascii="Arial" w:cs="Arial" w:eastAsia="Arial" w:hAnsi="Arial"/>
                <w:sz w:val="21"/>
                <w:szCs w:val="21"/>
                <w:color w:val="auto"/>
                <w:w w:val="90"/>
              </w:rPr>
              <w:t>of Sempra Energy's Board of Directors determines and certifies that Sempra</w:t>
            </w:r>
          </w:p>
        </w:tc>
      </w:tr>
      <w:tr>
        <w:trPr>
          <w:trHeight w:val="243"/>
        </w:trPr>
        <w:tc>
          <w:tcPr>
            <w:tcW w:w="1800" w:type="dxa"/>
            <w:vAlign w:val="bottom"/>
          </w:tcPr>
          <w:p>
            <w:pPr>
              <w:spacing w:after="0"/>
              <w:rPr>
                <w:sz w:val="21"/>
                <w:szCs w:val="21"/>
                <w:color w:val="auto"/>
              </w:rPr>
            </w:pPr>
          </w:p>
        </w:tc>
        <w:tc>
          <w:tcPr>
            <w:tcW w:w="7280" w:type="dxa"/>
            <w:vAlign w:val="bottom"/>
          </w:tcPr>
          <w:p>
            <w:pPr>
              <w:ind w:left="820"/>
              <w:spacing w:after="0"/>
              <w:rPr>
                <w:sz w:val="20"/>
                <w:szCs w:val="20"/>
                <w:color w:val="auto"/>
              </w:rPr>
            </w:pPr>
            <w:r>
              <w:rPr>
                <w:rFonts w:ascii="Arial" w:cs="Arial" w:eastAsia="Arial" w:hAnsi="Arial"/>
                <w:sz w:val="21"/>
                <w:szCs w:val="21"/>
                <w:color w:val="auto"/>
                <w:w w:val="93"/>
              </w:rPr>
              <w:t>Energy has met the following total shareholder return performance criteria</w:t>
            </w:r>
          </w:p>
        </w:tc>
      </w:tr>
      <w:tr>
        <w:trPr>
          <w:trHeight w:val="243"/>
        </w:trPr>
        <w:tc>
          <w:tcPr>
            <w:tcW w:w="1800" w:type="dxa"/>
            <w:vAlign w:val="bottom"/>
          </w:tcPr>
          <w:p>
            <w:pPr>
              <w:spacing w:after="0"/>
              <w:rPr>
                <w:sz w:val="21"/>
                <w:szCs w:val="21"/>
                <w:color w:val="auto"/>
              </w:rPr>
            </w:pPr>
          </w:p>
        </w:tc>
        <w:tc>
          <w:tcPr>
            <w:tcW w:w="7280" w:type="dxa"/>
            <w:vAlign w:val="bottom"/>
          </w:tcPr>
          <w:p>
            <w:pPr>
              <w:ind w:left="820"/>
              <w:spacing w:after="0"/>
              <w:rPr>
                <w:sz w:val="20"/>
                <w:szCs w:val="20"/>
                <w:color w:val="auto"/>
              </w:rPr>
            </w:pPr>
            <w:r>
              <w:rPr>
                <w:rFonts w:ascii="Arial" w:cs="Arial" w:eastAsia="Arial" w:hAnsi="Arial"/>
                <w:sz w:val="21"/>
                <w:szCs w:val="21"/>
                <w:color w:val="auto"/>
                <w:w w:val="91"/>
              </w:rPr>
              <w:t>for the performance period beginning on January 1, 2010 and ending on the</w:t>
            </w:r>
          </w:p>
        </w:tc>
      </w:tr>
      <w:tr>
        <w:trPr>
          <w:trHeight w:val="264"/>
        </w:trPr>
        <w:tc>
          <w:tcPr>
            <w:tcW w:w="1800" w:type="dxa"/>
            <w:vAlign w:val="bottom"/>
          </w:tcPr>
          <w:p>
            <w:pPr>
              <w:spacing w:after="0"/>
              <w:rPr>
                <w:sz w:val="22"/>
                <w:szCs w:val="22"/>
                <w:color w:val="auto"/>
              </w:rPr>
            </w:pPr>
          </w:p>
        </w:tc>
        <w:tc>
          <w:tcPr>
            <w:tcW w:w="7280" w:type="dxa"/>
            <w:vAlign w:val="bottom"/>
          </w:tcPr>
          <w:p>
            <w:pPr>
              <w:ind w:left="820"/>
              <w:spacing w:after="0"/>
              <w:rPr>
                <w:sz w:val="20"/>
                <w:szCs w:val="20"/>
                <w:color w:val="auto"/>
              </w:rPr>
            </w:pPr>
            <w:r>
              <w:rPr>
                <w:rFonts w:ascii="Arial" w:cs="Arial" w:eastAsia="Arial" w:hAnsi="Arial"/>
                <w:sz w:val="21"/>
                <w:szCs w:val="21"/>
                <w:color w:val="auto"/>
                <w:w w:val="93"/>
              </w:rPr>
              <w:t>close of trading on the first New York Stock Exchange trading day of 2014:</w:t>
            </w:r>
          </w:p>
        </w:tc>
      </w:tr>
    </w:tbl>
    <w:p>
      <w:pPr>
        <w:sectPr>
          <w:pgSz w:w="11900" w:h="16838" w:orient="portrait"/>
          <w:cols w:equalWidth="0" w:num="1">
            <w:col w:w="10219"/>
          </w:cols>
          <w:pgMar w:left="240" w:top="118" w:right="1440" w:bottom="0" w:gutter="0" w:footer="0" w:header="0"/>
        </w:sectPr>
      </w:pPr>
    </w:p>
    <w:bookmarkStart w:id="89" w:name="page90"/>
    <w:bookmarkEnd w:id="89"/>
    <w:p>
      <w:pPr>
        <w:spacing w:after="0" w:line="3" w:lineRule="exact"/>
        <w:rPr>
          <w:sz w:val="20"/>
          <w:szCs w:val="20"/>
          <w:color w:val="auto"/>
        </w:rPr>
      </w:pPr>
    </w:p>
    <w:p>
      <w:pPr>
        <w:ind w:left="1800" w:right="1299" w:hanging="321"/>
        <w:spacing w:after="0" w:line="274" w:lineRule="auto"/>
        <w:tabs>
          <w:tab w:leader="none" w:pos="1848" w:val="left"/>
        </w:tabs>
        <w:numPr>
          <w:ilvl w:val="0"/>
          <w:numId w:val="63"/>
        </w:numPr>
        <w:rPr>
          <w:rFonts w:ascii="Arial" w:cs="Arial" w:eastAsia="Arial" w:hAnsi="Arial"/>
          <w:sz w:val="19"/>
          <w:szCs w:val="19"/>
          <w:color w:val="auto"/>
        </w:rPr>
      </w:pPr>
      <w:r>
        <w:rPr>
          <w:rFonts w:ascii="Arial" w:cs="Arial" w:eastAsia="Arial" w:hAnsi="Arial"/>
          <w:sz w:val="19"/>
          <w:szCs w:val="19"/>
          <w:color w:val="auto"/>
        </w:rPr>
        <w:t>The percentage of your target number of restricted stock units that vest will be determined as follows, based on the percentile ranking for the performance period (as measured at the end of the performance period) of Sempra Energy’s cumulative total shareholder return (consisting of per share appreciation in Common Stock plus dividends and other distributions paid on Common Stock) among the companies (ranked by cumulative total shareholder returns) in the S&amp;P 500 Utility Index, as determined and certified by the Compensation Committee.</w:t>
      </w:r>
    </w:p>
    <w:p>
      <w:pPr>
        <w:spacing w:after="0" w:line="200" w:lineRule="exact"/>
        <w:rPr>
          <w:sz w:val="20"/>
          <w:szCs w:val="20"/>
          <w:color w:val="auto"/>
        </w:rPr>
      </w:pPr>
    </w:p>
    <w:p>
      <w:pPr>
        <w:spacing w:after="0" w:line="397" w:lineRule="exact"/>
        <w:rPr>
          <w:sz w:val="20"/>
          <w:szCs w:val="20"/>
          <w:color w:val="auto"/>
        </w:rPr>
      </w:pPr>
    </w:p>
    <w:p>
      <w:pPr>
        <w:ind w:left="2460"/>
        <w:spacing w:after="0"/>
        <w:rPr>
          <w:sz w:val="20"/>
          <w:szCs w:val="20"/>
          <w:color w:val="auto"/>
        </w:rPr>
      </w:pPr>
      <w:r>
        <w:rPr>
          <w:rFonts w:ascii="Arial" w:cs="Arial" w:eastAsia="Arial" w:hAnsi="Arial"/>
          <w:sz w:val="21"/>
          <w:szCs w:val="21"/>
          <w:color w:val="auto"/>
        </w:rPr>
        <w:t>Sempra EnergyTotal Shareholder Percentage of Target</w:t>
      </w:r>
    </w:p>
    <w:p>
      <w:pPr>
        <w:spacing w:after="0" w:line="3" w:lineRule="exact"/>
        <w:rPr>
          <w:sz w:val="20"/>
          <w:szCs w:val="20"/>
          <w:color w:val="auto"/>
        </w:rPr>
      </w:pPr>
    </w:p>
    <w:tbl>
      <w:tblPr>
        <w:tblLayout w:type="fixed"/>
        <w:tblInd w:w="2460" w:type="dxa"/>
        <w:tblCellMar>
          <w:top w:w="0" w:type="dxa"/>
          <w:left w:w="0" w:type="dxa"/>
          <w:bottom w:w="0" w:type="dxa"/>
          <w:right w:w="0" w:type="dxa"/>
        </w:tblCellMar>
      </w:tblPr>
      <w:tr>
        <w:trPr>
          <w:trHeight w:val="241"/>
        </w:trPr>
        <w:tc>
          <w:tcPr>
            <w:tcW w:w="2140" w:type="dxa"/>
            <w:vAlign w:val="bottom"/>
            <w:gridSpan w:val="2"/>
          </w:tcPr>
          <w:p>
            <w:pPr>
              <w:spacing w:after="0"/>
              <w:rPr>
                <w:sz w:val="20"/>
                <w:szCs w:val="20"/>
                <w:color w:val="auto"/>
              </w:rPr>
            </w:pPr>
            <w:r>
              <w:rPr>
                <w:rFonts w:ascii="Arial" w:cs="Arial" w:eastAsia="Arial" w:hAnsi="Arial"/>
                <w:sz w:val="21"/>
                <w:szCs w:val="21"/>
                <w:color w:val="auto"/>
              </w:rPr>
              <w:t>Return Percentile</w:t>
            </w:r>
          </w:p>
        </w:tc>
        <w:tc>
          <w:tcPr>
            <w:tcW w:w="2480" w:type="dxa"/>
            <w:vAlign w:val="bottom"/>
            <w:gridSpan w:val="3"/>
          </w:tcPr>
          <w:p>
            <w:pPr>
              <w:ind w:left="680"/>
              <w:spacing w:after="0"/>
              <w:rPr>
                <w:sz w:val="20"/>
                <w:szCs w:val="20"/>
                <w:color w:val="auto"/>
              </w:rPr>
            </w:pPr>
            <w:r>
              <w:rPr>
                <w:rFonts w:ascii="Arial" w:cs="Arial" w:eastAsia="Arial" w:hAnsi="Arial"/>
                <w:sz w:val="21"/>
                <w:szCs w:val="21"/>
                <w:color w:val="auto"/>
                <w:w w:val="89"/>
              </w:rPr>
              <w:t>Number of Restricted</w:t>
            </w:r>
          </w:p>
        </w:tc>
      </w:tr>
      <w:tr>
        <w:trPr>
          <w:trHeight w:val="216"/>
        </w:trPr>
        <w:tc>
          <w:tcPr>
            <w:tcW w:w="1060" w:type="dxa"/>
            <w:vAlign w:val="bottom"/>
          </w:tcPr>
          <w:p>
            <w:pPr>
              <w:ind w:left="360"/>
              <w:spacing w:after="0" w:line="216" w:lineRule="exact"/>
              <w:rPr>
                <w:sz w:val="20"/>
                <w:szCs w:val="20"/>
                <w:color w:val="auto"/>
              </w:rPr>
            </w:pPr>
            <w:r>
              <w:rPr>
                <w:rFonts w:ascii="Arial" w:cs="Arial" w:eastAsia="Arial" w:hAnsi="Arial"/>
                <w:sz w:val="21"/>
                <w:szCs w:val="21"/>
                <w:color w:val="auto"/>
                <w:w w:val="88"/>
              </w:rPr>
              <w:t>Ranking</w:t>
            </w: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0" w:type="dxa"/>
            <w:vAlign w:val="bottom"/>
            <w:gridSpan w:val="2"/>
          </w:tcPr>
          <w:p>
            <w:pPr>
              <w:spacing w:after="0" w:line="216" w:lineRule="exact"/>
              <w:rPr>
                <w:sz w:val="20"/>
                <w:szCs w:val="20"/>
                <w:color w:val="auto"/>
              </w:rPr>
            </w:pPr>
            <w:r>
              <w:rPr>
                <w:rFonts w:ascii="Arial" w:cs="Arial" w:eastAsia="Arial" w:hAnsi="Arial"/>
                <w:sz w:val="21"/>
                <w:szCs w:val="21"/>
                <w:color w:val="auto"/>
                <w:w w:val="91"/>
              </w:rPr>
              <w:t>Stock Units that Vest</w:t>
            </w:r>
          </w:p>
        </w:tc>
      </w:tr>
      <w:tr>
        <w:trPr>
          <w:trHeight w:val="555"/>
        </w:trPr>
        <w:tc>
          <w:tcPr>
            <w:tcW w:w="1060" w:type="dxa"/>
            <w:vAlign w:val="bottom"/>
            <w:tcBorders>
              <w:top w:val="single" w:sz="8" w:color="auto"/>
            </w:tcBorders>
          </w:tcPr>
          <w:p>
            <w:pPr>
              <w:ind w:left="480"/>
              <w:spacing w:after="0"/>
              <w:rPr>
                <w:sz w:val="20"/>
                <w:szCs w:val="20"/>
                <w:color w:val="auto"/>
              </w:rPr>
            </w:pPr>
            <w:r>
              <w:rPr>
                <w:rFonts w:ascii="Arial" w:cs="Arial" w:eastAsia="Arial" w:hAnsi="Arial"/>
                <w:sz w:val="21"/>
                <w:szCs w:val="21"/>
                <w:color w:val="auto"/>
              </w:rPr>
              <w:t>75</w:t>
            </w:r>
            <w:r>
              <w:rPr>
                <w:rFonts w:ascii="Arial" w:cs="Arial" w:eastAsia="Arial" w:hAnsi="Arial"/>
                <w:sz w:val="34"/>
                <w:szCs w:val="34"/>
                <w:color w:val="auto"/>
                <w:vertAlign w:val="superscript"/>
              </w:rPr>
              <w:t>th</w:t>
            </w: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40" w:type="dxa"/>
            <w:vAlign w:val="bottom"/>
            <w:tcBorders>
              <w:top w:val="single" w:sz="8" w:color="auto"/>
            </w:tcBorders>
          </w:tcPr>
          <w:p>
            <w:pPr>
              <w:ind w:left="500"/>
              <w:spacing w:after="0"/>
              <w:rPr>
                <w:sz w:val="20"/>
                <w:szCs w:val="20"/>
                <w:color w:val="auto"/>
              </w:rPr>
            </w:pPr>
            <w:r>
              <w:rPr>
                <w:rFonts w:ascii="Arial" w:cs="Arial" w:eastAsia="Arial" w:hAnsi="Arial"/>
                <w:sz w:val="21"/>
                <w:szCs w:val="21"/>
                <w:color w:val="auto"/>
              </w:rPr>
              <w:t>150%</w:t>
            </w:r>
          </w:p>
        </w:tc>
        <w:tc>
          <w:tcPr>
            <w:tcW w:w="60" w:type="dxa"/>
            <w:vAlign w:val="bottom"/>
          </w:tcPr>
          <w:p>
            <w:pPr>
              <w:spacing w:after="0"/>
              <w:rPr>
                <w:sz w:val="24"/>
                <w:szCs w:val="24"/>
                <w:color w:val="auto"/>
              </w:rPr>
            </w:pPr>
          </w:p>
        </w:tc>
      </w:tr>
      <w:tr>
        <w:trPr>
          <w:trHeight w:val="311"/>
        </w:trPr>
        <w:tc>
          <w:tcPr>
            <w:tcW w:w="2140" w:type="dxa"/>
            <w:vAlign w:val="bottom"/>
            <w:gridSpan w:val="2"/>
          </w:tcPr>
          <w:p>
            <w:pPr>
              <w:ind w:left="480"/>
              <w:spacing w:after="0" w:line="310" w:lineRule="exact"/>
              <w:rPr>
                <w:sz w:val="20"/>
                <w:szCs w:val="20"/>
                <w:color w:val="auto"/>
              </w:rPr>
            </w:pPr>
            <w:r>
              <w:rPr>
                <w:rFonts w:ascii="Arial" w:cs="Arial" w:eastAsia="Arial" w:hAnsi="Arial"/>
                <w:sz w:val="21"/>
                <w:szCs w:val="21"/>
                <w:color w:val="auto"/>
              </w:rPr>
              <w:t>70</w:t>
            </w:r>
            <w:r>
              <w:rPr>
                <w:rFonts w:ascii="Arial" w:cs="Arial" w:eastAsia="Arial" w:hAnsi="Arial"/>
                <w:sz w:val="34"/>
                <w:szCs w:val="34"/>
                <w:color w:val="auto"/>
                <w:vertAlign w:val="superscript"/>
              </w:rPr>
              <w:t>th</w:t>
            </w:r>
          </w:p>
        </w:tc>
        <w:tc>
          <w:tcPr>
            <w:tcW w:w="2420" w:type="dxa"/>
            <w:vAlign w:val="bottom"/>
            <w:gridSpan w:val="2"/>
          </w:tcPr>
          <w:p>
            <w:pPr>
              <w:ind w:left="1180"/>
              <w:spacing w:after="0"/>
              <w:rPr>
                <w:sz w:val="20"/>
                <w:szCs w:val="20"/>
                <w:color w:val="auto"/>
              </w:rPr>
            </w:pPr>
            <w:r>
              <w:rPr>
                <w:rFonts w:ascii="Arial" w:cs="Arial" w:eastAsia="Arial" w:hAnsi="Arial"/>
                <w:sz w:val="21"/>
                <w:szCs w:val="21"/>
                <w:color w:val="auto"/>
              </w:rPr>
              <w:t>140%</w:t>
            </w:r>
          </w:p>
        </w:tc>
        <w:tc>
          <w:tcPr>
            <w:tcW w:w="60" w:type="dxa"/>
            <w:vAlign w:val="bottom"/>
          </w:tcPr>
          <w:p>
            <w:pPr>
              <w:spacing w:after="0"/>
              <w:rPr>
                <w:sz w:val="24"/>
                <w:szCs w:val="24"/>
                <w:color w:val="auto"/>
              </w:rPr>
            </w:pPr>
          </w:p>
        </w:tc>
      </w:tr>
      <w:tr>
        <w:trPr>
          <w:trHeight w:val="311"/>
        </w:trPr>
        <w:tc>
          <w:tcPr>
            <w:tcW w:w="2140" w:type="dxa"/>
            <w:vAlign w:val="bottom"/>
            <w:gridSpan w:val="2"/>
          </w:tcPr>
          <w:p>
            <w:pPr>
              <w:ind w:left="480"/>
              <w:spacing w:after="0" w:line="310" w:lineRule="exact"/>
              <w:rPr>
                <w:sz w:val="20"/>
                <w:szCs w:val="20"/>
                <w:color w:val="auto"/>
              </w:rPr>
            </w:pPr>
            <w:r>
              <w:rPr>
                <w:rFonts w:ascii="Arial" w:cs="Arial" w:eastAsia="Arial" w:hAnsi="Arial"/>
                <w:sz w:val="21"/>
                <w:szCs w:val="21"/>
                <w:color w:val="auto"/>
              </w:rPr>
              <w:t>65</w:t>
            </w:r>
            <w:r>
              <w:rPr>
                <w:rFonts w:ascii="Arial" w:cs="Arial" w:eastAsia="Arial" w:hAnsi="Arial"/>
                <w:sz w:val="34"/>
                <w:szCs w:val="34"/>
                <w:color w:val="auto"/>
                <w:vertAlign w:val="superscript"/>
              </w:rPr>
              <w:t>th</w:t>
            </w:r>
          </w:p>
        </w:tc>
        <w:tc>
          <w:tcPr>
            <w:tcW w:w="2420" w:type="dxa"/>
            <w:vAlign w:val="bottom"/>
            <w:gridSpan w:val="2"/>
          </w:tcPr>
          <w:p>
            <w:pPr>
              <w:ind w:left="1180"/>
              <w:spacing w:after="0"/>
              <w:rPr>
                <w:sz w:val="20"/>
                <w:szCs w:val="20"/>
                <w:color w:val="auto"/>
              </w:rPr>
            </w:pPr>
            <w:r>
              <w:rPr>
                <w:rFonts w:ascii="Arial" w:cs="Arial" w:eastAsia="Arial" w:hAnsi="Arial"/>
                <w:sz w:val="21"/>
                <w:szCs w:val="21"/>
                <w:color w:val="auto"/>
              </w:rPr>
              <w:t>130%</w:t>
            </w:r>
          </w:p>
        </w:tc>
        <w:tc>
          <w:tcPr>
            <w:tcW w:w="60" w:type="dxa"/>
            <w:vAlign w:val="bottom"/>
          </w:tcPr>
          <w:p>
            <w:pPr>
              <w:spacing w:after="0"/>
              <w:rPr>
                <w:sz w:val="24"/>
                <w:szCs w:val="24"/>
                <w:color w:val="auto"/>
              </w:rPr>
            </w:pPr>
          </w:p>
        </w:tc>
      </w:tr>
      <w:tr>
        <w:trPr>
          <w:trHeight w:val="311"/>
        </w:trPr>
        <w:tc>
          <w:tcPr>
            <w:tcW w:w="2140" w:type="dxa"/>
            <w:vAlign w:val="bottom"/>
            <w:gridSpan w:val="2"/>
          </w:tcPr>
          <w:p>
            <w:pPr>
              <w:ind w:left="480"/>
              <w:spacing w:after="0" w:line="310" w:lineRule="exact"/>
              <w:rPr>
                <w:sz w:val="20"/>
                <w:szCs w:val="20"/>
                <w:color w:val="auto"/>
              </w:rPr>
            </w:pPr>
            <w:r>
              <w:rPr>
                <w:rFonts w:ascii="Arial" w:cs="Arial" w:eastAsia="Arial" w:hAnsi="Arial"/>
                <w:sz w:val="21"/>
                <w:szCs w:val="21"/>
                <w:color w:val="auto"/>
              </w:rPr>
              <w:t>60</w:t>
            </w:r>
            <w:r>
              <w:rPr>
                <w:rFonts w:ascii="Arial" w:cs="Arial" w:eastAsia="Arial" w:hAnsi="Arial"/>
                <w:sz w:val="34"/>
                <w:szCs w:val="34"/>
                <w:color w:val="auto"/>
                <w:vertAlign w:val="superscript"/>
              </w:rPr>
              <w:t>th</w:t>
            </w:r>
          </w:p>
        </w:tc>
        <w:tc>
          <w:tcPr>
            <w:tcW w:w="2420" w:type="dxa"/>
            <w:vAlign w:val="bottom"/>
            <w:gridSpan w:val="2"/>
          </w:tcPr>
          <w:p>
            <w:pPr>
              <w:ind w:left="1180"/>
              <w:spacing w:after="0"/>
              <w:rPr>
                <w:sz w:val="20"/>
                <w:szCs w:val="20"/>
                <w:color w:val="auto"/>
              </w:rPr>
            </w:pPr>
            <w:r>
              <w:rPr>
                <w:rFonts w:ascii="Arial" w:cs="Arial" w:eastAsia="Arial" w:hAnsi="Arial"/>
                <w:sz w:val="21"/>
                <w:szCs w:val="21"/>
                <w:color w:val="auto"/>
              </w:rPr>
              <w:t>120%</w:t>
            </w:r>
          </w:p>
        </w:tc>
        <w:tc>
          <w:tcPr>
            <w:tcW w:w="60" w:type="dxa"/>
            <w:vAlign w:val="bottom"/>
          </w:tcPr>
          <w:p>
            <w:pPr>
              <w:spacing w:after="0"/>
              <w:rPr>
                <w:sz w:val="24"/>
                <w:szCs w:val="24"/>
                <w:color w:val="auto"/>
              </w:rPr>
            </w:pPr>
          </w:p>
        </w:tc>
      </w:tr>
      <w:tr>
        <w:trPr>
          <w:trHeight w:val="311"/>
        </w:trPr>
        <w:tc>
          <w:tcPr>
            <w:tcW w:w="2140" w:type="dxa"/>
            <w:vAlign w:val="bottom"/>
            <w:gridSpan w:val="2"/>
          </w:tcPr>
          <w:p>
            <w:pPr>
              <w:ind w:left="480"/>
              <w:spacing w:after="0" w:line="310" w:lineRule="exact"/>
              <w:rPr>
                <w:sz w:val="20"/>
                <w:szCs w:val="20"/>
                <w:color w:val="auto"/>
              </w:rPr>
            </w:pPr>
            <w:r>
              <w:rPr>
                <w:rFonts w:ascii="Arial" w:cs="Arial" w:eastAsia="Arial" w:hAnsi="Arial"/>
                <w:sz w:val="21"/>
                <w:szCs w:val="21"/>
                <w:color w:val="auto"/>
              </w:rPr>
              <w:t>55</w:t>
            </w:r>
            <w:r>
              <w:rPr>
                <w:rFonts w:ascii="Arial" w:cs="Arial" w:eastAsia="Arial" w:hAnsi="Arial"/>
                <w:sz w:val="34"/>
                <w:szCs w:val="34"/>
                <w:color w:val="auto"/>
                <w:vertAlign w:val="superscript"/>
              </w:rPr>
              <w:t>th</w:t>
            </w:r>
          </w:p>
        </w:tc>
        <w:tc>
          <w:tcPr>
            <w:tcW w:w="2420" w:type="dxa"/>
            <w:vAlign w:val="bottom"/>
            <w:gridSpan w:val="2"/>
          </w:tcPr>
          <w:p>
            <w:pPr>
              <w:ind w:left="1180"/>
              <w:spacing w:after="0"/>
              <w:rPr>
                <w:sz w:val="20"/>
                <w:szCs w:val="20"/>
                <w:color w:val="auto"/>
              </w:rPr>
            </w:pPr>
            <w:r>
              <w:rPr>
                <w:rFonts w:ascii="Arial" w:cs="Arial" w:eastAsia="Arial" w:hAnsi="Arial"/>
                <w:sz w:val="21"/>
                <w:szCs w:val="21"/>
                <w:color w:val="auto"/>
              </w:rPr>
              <w:t>110%</w:t>
            </w:r>
          </w:p>
        </w:tc>
        <w:tc>
          <w:tcPr>
            <w:tcW w:w="60" w:type="dxa"/>
            <w:vAlign w:val="bottom"/>
          </w:tcPr>
          <w:p>
            <w:pPr>
              <w:spacing w:after="0"/>
              <w:rPr>
                <w:sz w:val="24"/>
                <w:szCs w:val="24"/>
                <w:color w:val="auto"/>
              </w:rPr>
            </w:pPr>
          </w:p>
        </w:tc>
      </w:tr>
      <w:tr>
        <w:trPr>
          <w:trHeight w:val="311"/>
        </w:trPr>
        <w:tc>
          <w:tcPr>
            <w:tcW w:w="2140" w:type="dxa"/>
            <w:vAlign w:val="bottom"/>
            <w:gridSpan w:val="2"/>
          </w:tcPr>
          <w:p>
            <w:pPr>
              <w:ind w:left="480"/>
              <w:spacing w:after="0" w:line="310" w:lineRule="exact"/>
              <w:rPr>
                <w:sz w:val="20"/>
                <w:szCs w:val="20"/>
                <w:color w:val="auto"/>
              </w:rPr>
            </w:pPr>
            <w:r>
              <w:rPr>
                <w:rFonts w:ascii="Arial" w:cs="Arial" w:eastAsia="Arial" w:hAnsi="Arial"/>
                <w:sz w:val="21"/>
                <w:szCs w:val="21"/>
                <w:color w:val="auto"/>
              </w:rPr>
              <w:t>50</w:t>
            </w:r>
            <w:r>
              <w:rPr>
                <w:rFonts w:ascii="Arial" w:cs="Arial" w:eastAsia="Arial" w:hAnsi="Arial"/>
                <w:sz w:val="34"/>
                <w:szCs w:val="34"/>
                <w:color w:val="auto"/>
                <w:vertAlign w:val="superscript"/>
              </w:rPr>
              <w:t>th</w:t>
            </w:r>
          </w:p>
        </w:tc>
        <w:tc>
          <w:tcPr>
            <w:tcW w:w="2420" w:type="dxa"/>
            <w:vAlign w:val="bottom"/>
            <w:gridSpan w:val="2"/>
          </w:tcPr>
          <w:p>
            <w:pPr>
              <w:ind w:left="1180"/>
              <w:spacing w:after="0"/>
              <w:rPr>
                <w:sz w:val="20"/>
                <w:szCs w:val="20"/>
                <w:color w:val="auto"/>
              </w:rPr>
            </w:pPr>
            <w:r>
              <w:rPr>
                <w:rFonts w:ascii="Arial" w:cs="Arial" w:eastAsia="Arial" w:hAnsi="Arial"/>
                <w:sz w:val="21"/>
                <w:szCs w:val="21"/>
                <w:color w:val="auto"/>
              </w:rPr>
              <w:t>100%</w:t>
            </w:r>
          </w:p>
        </w:tc>
        <w:tc>
          <w:tcPr>
            <w:tcW w:w="60" w:type="dxa"/>
            <w:vAlign w:val="bottom"/>
          </w:tcPr>
          <w:p>
            <w:pPr>
              <w:spacing w:after="0"/>
              <w:rPr>
                <w:sz w:val="24"/>
                <w:szCs w:val="24"/>
                <w:color w:val="auto"/>
              </w:rPr>
            </w:pPr>
          </w:p>
        </w:tc>
      </w:tr>
      <w:tr>
        <w:trPr>
          <w:trHeight w:val="311"/>
        </w:trPr>
        <w:tc>
          <w:tcPr>
            <w:tcW w:w="2140" w:type="dxa"/>
            <w:vAlign w:val="bottom"/>
            <w:gridSpan w:val="2"/>
          </w:tcPr>
          <w:p>
            <w:pPr>
              <w:ind w:left="480"/>
              <w:spacing w:after="0" w:line="310" w:lineRule="exact"/>
              <w:rPr>
                <w:sz w:val="20"/>
                <w:szCs w:val="20"/>
                <w:color w:val="auto"/>
              </w:rPr>
            </w:pPr>
            <w:r>
              <w:rPr>
                <w:rFonts w:ascii="Arial" w:cs="Arial" w:eastAsia="Arial" w:hAnsi="Arial"/>
                <w:sz w:val="21"/>
                <w:szCs w:val="21"/>
                <w:color w:val="auto"/>
              </w:rPr>
              <w:t>45</w:t>
            </w:r>
            <w:r>
              <w:rPr>
                <w:rFonts w:ascii="Arial" w:cs="Arial" w:eastAsia="Arial" w:hAnsi="Arial"/>
                <w:sz w:val="34"/>
                <w:szCs w:val="34"/>
                <w:color w:val="auto"/>
                <w:vertAlign w:val="superscript"/>
              </w:rPr>
              <w:t>th</w:t>
            </w:r>
          </w:p>
        </w:tc>
        <w:tc>
          <w:tcPr>
            <w:tcW w:w="2420" w:type="dxa"/>
            <w:vAlign w:val="bottom"/>
            <w:gridSpan w:val="2"/>
          </w:tcPr>
          <w:p>
            <w:pPr>
              <w:jc w:val="right"/>
              <w:ind w:right="596"/>
              <w:spacing w:after="0"/>
              <w:rPr>
                <w:sz w:val="20"/>
                <w:szCs w:val="20"/>
                <w:color w:val="auto"/>
              </w:rPr>
            </w:pPr>
            <w:r>
              <w:rPr>
                <w:rFonts w:ascii="Arial" w:cs="Arial" w:eastAsia="Arial" w:hAnsi="Arial"/>
                <w:sz w:val="21"/>
                <w:szCs w:val="21"/>
                <w:color w:val="auto"/>
              </w:rPr>
              <w:t>70%</w:t>
            </w:r>
          </w:p>
        </w:tc>
        <w:tc>
          <w:tcPr>
            <w:tcW w:w="60" w:type="dxa"/>
            <w:vAlign w:val="bottom"/>
          </w:tcPr>
          <w:p>
            <w:pPr>
              <w:spacing w:after="0"/>
              <w:rPr>
                <w:sz w:val="24"/>
                <w:szCs w:val="24"/>
                <w:color w:val="auto"/>
              </w:rPr>
            </w:pPr>
          </w:p>
        </w:tc>
      </w:tr>
      <w:tr>
        <w:trPr>
          <w:trHeight w:val="311"/>
        </w:trPr>
        <w:tc>
          <w:tcPr>
            <w:tcW w:w="2140" w:type="dxa"/>
            <w:vAlign w:val="bottom"/>
            <w:gridSpan w:val="2"/>
          </w:tcPr>
          <w:p>
            <w:pPr>
              <w:ind w:left="480"/>
              <w:spacing w:after="0" w:line="311" w:lineRule="exact"/>
              <w:rPr>
                <w:sz w:val="20"/>
                <w:szCs w:val="20"/>
                <w:color w:val="auto"/>
              </w:rPr>
            </w:pPr>
            <w:r>
              <w:rPr>
                <w:rFonts w:ascii="Arial" w:cs="Arial" w:eastAsia="Arial" w:hAnsi="Arial"/>
                <w:sz w:val="36"/>
                <w:szCs w:val="36"/>
                <w:color w:val="auto"/>
                <w:vertAlign w:val="subscript"/>
              </w:rPr>
              <w:t>40</w:t>
            </w:r>
            <w:r>
              <w:rPr>
                <w:rFonts w:ascii="Arial" w:cs="Arial" w:eastAsia="Arial" w:hAnsi="Arial"/>
                <w:sz w:val="16"/>
                <w:szCs w:val="16"/>
                <w:color w:val="auto"/>
              </w:rPr>
              <w:t>th</w:t>
            </w:r>
          </w:p>
        </w:tc>
        <w:tc>
          <w:tcPr>
            <w:tcW w:w="2420" w:type="dxa"/>
            <w:vAlign w:val="bottom"/>
            <w:gridSpan w:val="2"/>
          </w:tcPr>
          <w:p>
            <w:pPr>
              <w:jc w:val="right"/>
              <w:ind w:right="596"/>
              <w:spacing w:after="0"/>
              <w:rPr>
                <w:sz w:val="20"/>
                <w:szCs w:val="20"/>
                <w:color w:val="auto"/>
              </w:rPr>
            </w:pPr>
            <w:r>
              <w:rPr>
                <w:rFonts w:ascii="Arial" w:cs="Arial" w:eastAsia="Arial" w:hAnsi="Arial"/>
                <w:sz w:val="21"/>
                <w:szCs w:val="21"/>
                <w:color w:val="auto"/>
              </w:rPr>
              <w:t>40%</w:t>
            </w:r>
          </w:p>
        </w:tc>
        <w:tc>
          <w:tcPr>
            <w:tcW w:w="60" w:type="dxa"/>
            <w:vAlign w:val="bottom"/>
          </w:tcPr>
          <w:p>
            <w:pPr>
              <w:spacing w:after="0"/>
              <w:rPr>
                <w:sz w:val="24"/>
                <w:szCs w:val="24"/>
                <w:color w:val="auto"/>
              </w:rPr>
            </w:pPr>
          </w:p>
        </w:tc>
      </w:tr>
      <w:tr>
        <w:trPr>
          <w:trHeight w:val="523"/>
        </w:trPr>
        <w:tc>
          <w:tcPr>
            <w:tcW w:w="2140" w:type="dxa"/>
            <w:vAlign w:val="bottom"/>
            <w:gridSpan w:val="2"/>
          </w:tcPr>
          <w:p>
            <w:pPr>
              <w:ind w:left="480"/>
              <w:spacing w:after="0"/>
              <w:rPr>
                <w:sz w:val="20"/>
                <w:szCs w:val="20"/>
                <w:color w:val="auto"/>
              </w:rPr>
            </w:pPr>
            <w:r>
              <w:rPr>
                <w:rFonts w:ascii="Arial" w:cs="Arial" w:eastAsia="Arial" w:hAnsi="Arial"/>
                <w:sz w:val="41"/>
                <w:szCs w:val="41"/>
                <w:color w:val="auto"/>
                <w:vertAlign w:val="subscript"/>
              </w:rPr>
              <w:t>35</w:t>
            </w:r>
            <w:r>
              <w:rPr>
                <w:rFonts w:ascii="Arial" w:cs="Arial" w:eastAsia="Arial" w:hAnsi="Arial"/>
                <w:sz w:val="17"/>
                <w:szCs w:val="17"/>
                <w:color w:val="auto"/>
              </w:rPr>
              <w:t>th</w:t>
            </w:r>
          </w:p>
        </w:tc>
        <w:tc>
          <w:tcPr>
            <w:tcW w:w="2420" w:type="dxa"/>
            <w:vAlign w:val="bottom"/>
            <w:gridSpan w:val="2"/>
          </w:tcPr>
          <w:p>
            <w:pPr>
              <w:jc w:val="right"/>
              <w:ind w:right="796"/>
              <w:spacing w:after="0"/>
              <w:rPr>
                <w:sz w:val="20"/>
                <w:szCs w:val="20"/>
                <w:color w:val="auto"/>
              </w:rPr>
            </w:pPr>
            <w:r>
              <w:rPr>
                <w:rFonts w:ascii="Arial" w:cs="Arial" w:eastAsia="Arial" w:hAnsi="Arial"/>
                <w:sz w:val="21"/>
                <w:szCs w:val="21"/>
                <w:color w:val="auto"/>
              </w:rPr>
              <w:t>0</w:t>
            </w:r>
          </w:p>
        </w:tc>
        <w:tc>
          <w:tcPr>
            <w:tcW w:w="60" w:type="dxa"/>
            <w:vAlign w:val="bottom"/>
          </w:tcPr>
          <w:p>
            <w:pPr>
              <w:spacing w:after="0"/>
              <w:rPr>
                <w:sz w:val="24"/>
                <w:szCs w:val="24"/>
                <w:color w:val="auto"/>
              </w:rPr>
            </w:pPr>
          </w:p>
        </w:tc>
      </w:tr>
    </w:tbl>
    <w:p>
      <w:pPr>
        <w:ind w:left="1800" w:right="1199"/>
        <w:spacing w:after="0" w:line="242" w:lineRule="auto"/>
        <w:rPr>
          <w:sz w:val="20"/>
          <w:szCs w:val="20"/>
          <w:color w:val="auto"/>
        </w:rPr>
      </w:pPr>
      <w:r>
        <w:rPr>
          <w:rFonts w:ascii="Arial" w:cs="Arial" w:eastAsia="Arial" w:hAnsi="Arial"/>
          <w:sz w:val="21"/>
          <w:szCs w:val="21"/>
          <w:color w:val="auto"/>
        </w:rPr>
        <w:t>If the percentile ranking does not equal a ranking shown in the above table, the percentage of your target number of restricted stock units that vest will be determined by a linear interpolation between the next lowest percentile shown in the table and the next highest percentile shown on the table.</w:t>
      </w:r>
    </w:p>
    <w:p>
      <w:pPr>
        <w:spacing w:after="0" w:line="217" w:lineRule="exact"/>
        <w:rPr>
          <w:sz w:val="20"/>
          <w:szCs w:val="20"/>
          <w:color w:val="auto"/>
        </w:rPr>
      </w:pPr>
    </w:p>
    <w:p>
      <w:pPr>
        <w:ind w:left="2380" w:right="1319" w:hanging="317"/>
        <w:spacing w:after="0" w:line="208" w:lineRule="auto"/>
        <w:tabs>
          <w:tab w:leader="none" w:pos="2380" w:val="left"/>
        </w:tabs>
        <w:numPr>
          <w:ilvl w:val="0"/>
          <w:numId w:val="64"/>
        </w:numPr>
        <w:rPr>
          <w:rFonts w:ascii="Courier New" w:cs="Courier New" w:eastAsia="Courier New" w:hAnsi="Courier New"/>
          <w:sz w:val="37"/>
          <w:szCs w:val="37"/>
          <w:color w:val="auto"/>
          <w:vertAlign w:val="superscript"/>
        </w:rPr>
      </w:pPr>
      <w:r>
        <w:rPr>
          <w:rFonts w:ascii="Arial" w:cs="Arial" w:eastAsia="Arial" w:hAnsi="Arial"/>
          <w:sz w:val="19"/>
          <w:szCs w:val="19"/>
          <w:color w:val="auto"/>
        </w:rPr>
        <w:t>If the percentile ranking is at or above the 75</w:t>
      </w:r>
      <w:r>
        <w:rPr>
          <w:rFonts w:ascii="Arial" w:cs="Arial" w:eastAsia="Arial" w:hAnsi="Arial"/>
          <w:sz w:val="31"/>
          <w:szCs w:val="31"/>
          <w:color w:val="auto"/>
          <w:vertAlign w:val="superscript"/>
        </w:rPr>
        <w:t>th</w:t>
      </w:r>
      <w:r>
        <w:rPr>
          <w:rFonts w:ascii="Arial" w:cs="Arial" w:eastAsia="Arial" w:hAnsi="Arial"/>
          <w:sz w:val="19"/>
          <w:szCs w:val="19"/>
          <w:color w:val="auto"/>
        </w:rPr>
        <w:t xml:space="preserve"> percentile, 150% of your target number of restricted stock units will vest.</w:t>
      </w:r>
    </w:p>
    <w:p>
      <w:pPr>
        <w:spacing w:after="0" w:line="203" w:lineRule="exact"/>
        <w:rPr>
          <w:rFonts w:ascii="Courier New" w:cs="Courier New" w:eastAsia="Courier New" w:hAnsi="Courier New"/>
          <w:sz w:val="37"/>
          <w:szCs w:val="37"/>
          <w:color w:val="auto"/>
          <w:vertAlign w:val="superscript"/>
        </w:rPr>
      </w:pPr>
    </w:p>
    <w:p>
      <w:pPr>
        <w:ind w:left="2380" w:right="1179" w:hanging="317"/>
        <w:spacing w:after="0" w:line="188" w:lineRule="auto"/>
        <w:tabs>
          <w:tab w:leader="none" w:pos="2380" w:val="left"/>
        </w:tabs>
        <w:numPr>
          <w:ilvl w:val="0"/>
          <w:numId w:val="64"/>
        </w:numPr>
        <w:rPr>
          <w:rFonts w:ascii="Courier New" w:cs="Courier New" w:eastAsia="Courier New" w:hAnsi="Courier New"/>
          <w:sz w:val="41"/>
          <w:szCs w:val="41"/>
          <w:color w:val="auto"/>
          <w:vertAlign w:val="superscript"/>
        </w:rPr>
      </w:pPr>
      <w:r>
        <w:rPr>
          <w:rFonts w:ascii="Arial" w:cs="Arial" w:eastAsia="Arial" w:hAnsi="Arial"/>
          <w:sz w:val="21"/>
          <w:szCs w:val="21"/>
          <w:color w:val="auto"/>
        </w:rPr>
        <w:t>If the percentile ranking is at or below the 35</w:t>
      </w:r>
      <w:r>
        <w:rPr>
          <w:rFonts w:ascii="Arial" w:cs="Arial" w:eastAsia="Arial" w:hAnsi="Arial"/>
          <w:sz w:val="34"/>
          <w:szCs w:val="34"/>
          <w:color w:val="auto"/>
          <w:vertAlign w:val="superscript"/>
        </w:rPr>
        <w:t>th</w:t>
      </w:r>
      <w:r>
        <w:rPr>
          <w:rFonts w:ascii="Arial" w:cs="Arial" w:eastAsia="Arial" w:hAnsi="Arial"/>
          <w:sz w:val="21"/>
          <w:szCs w:val="21"/>
          <w:color w:val="auto"/>
        </w:rPr>
        <w:t xml:space="preserve"> percentile, none of your restricted stock units will vest.</w:t>
      </w:r>
    </w:p>
    <w:p>
      <w:pPr>
        <w:spacing w:after="0" w:line="196" w:lineRule="exact"/>
        <w:rPr>
          <w:sz w:val="20"/>
          <w:szCs w:val="20"/>
          <w:color w:val="auto"/>
        </w:rPr>
      </w:pPr>
    </w:p>
    <w:p>
      <w:pPr>
        <w:ind w:left="2380" w:right="1139" w:hanging="317"/>
        <w:spacing w:after="0" w:line="279" w:lineRule="auto"/>
        <w:tabs>
          <w:tab w:leader="none" w:pos="23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Compensation Committee also will determine and certify the percentile ranking of Sempra Energy’s cumulative total shareholder return for the performance period (as measured at the end of the performance period) among the companies (ranking by cumulative total shareholder returns) in the S&amp;P 500 Composite Index. If the Compensation Committee determines and certifies that Sempra Energy’s cumulative total shareholder return is at or above the 50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among the companies in the S&amp;P 500 Composite Index, the percentage of your target number of restricted stock units that vest will be not less than 100%.</w:t>
      </w:r>
    </w:p>
    <w:p>
      <w:pPr>
        <w:spacing w:after="0" w:line="147" w:lineRule="exact"/>
        <w:rPr>
          <w:rFonts w:ascii="Arial" w:cs="Arial" w:eastAsia="Arial" w:hAnsi="Arial"/>
          <w:sz w:val="18"/>
          <w:szCs w:val="18"/>
          <w:color w:val="auto"/>
        </w:rPr>
      </w:pPr>
    </w:p>
    <w:p>
      <w:pPr>
        <w:ind w:left="2380" w:right="1179" w:hanging="317"/>
        <w:spacing w:after="0" w:line="256" w:lineRule="auto"/>
        <w:tabs>
          <w:tab w:leader="none" w:pos="2380" w:val="left"/>
        </w:tabs>
        <w:numPr>
          <w:ilvl w:val="0"/>
          <w:numId w:val="65"/>
        </w:numPr>
        <w:rPr>
          <w:rFonts w:ascii="Arial" w:cs="Arial" w:eastAsia="Arial" w:hAnsi="Arial"/>
          <w:sz w:val="20"/>
          <w:szCs w:val="20"/>
          <w:color w:val="auto"/>
        </w:rPr>
      </w:pPr>
      <w:r>
        <w:rPr>
          <w:rFonts w:ascii="Arial" w:cs="Arial" w:eastAsia="Arial" w:hAnsi="Arial"/>
          <w:sz w:val="20"/>
          <w:szCs w:val="20"/>
          <w:color w:val="auto"/>
        </w:rPr>
        <w:t>As soon as reasonably practicable following the end of the performance period, the Compensation Committee will determine and certify the extent to which Sempra Energy has met the performance criteria and the extent, if any, as to which your restricted stock units have then vested. You will receive the number of shares of Common Stock equal to the number of your vested restricted stock units after the Compensation Committee’s determination and certification. Also, you will receive the number of shares of Common Stock equal to your dividend equivalents after the Compensation Committee’s determination and certification. Certificates for the shares will be issued to you or transferred to an account that you designate. When the shares of Common Stock are issued to you, your restricted stock units (vested and unvested) and your dividend equivalents w ill terminate.</w:t>
      </w:r>
    </w:p>
    <w:p>
      <w:pPr>
        <w:spacing w:after="0" w:line="169" w:lineRule="exact"/>
        <w:rPr>
          <w:sz w:val="20"/>
          <w:szCs w:val="20"/>
          <w:color w:val="auto"/>
        </w:rPr>
      </w:pPr>
    </w:p>
    <w:p>
      <w:pPr>
        <w:ind w:left="2060"/>
        <w:spacing w:after="0"/>
        <w:rPr>
          <w:sz w:val="20"/>
          <w:szCs w:val="20"/>
          <w:color w:val="auto"/>
        </w:rPr>
      </w:pPr>
      <w:r>
        <w:rPr>
          <w:rFonts w:ascii="Arial" w:cs="Arial" w:eastAsia="Arial" w:hAnsi="Arial"/>
          <w:sz w:val="21"/>
          <w:szCs w:val="21"/>
          <w:color w:val="auto"/>
        </w:rPr>
        <w:t>·</w:t>
      </w:r>
    </w:p>
    <w:p>
      <w:pPr>
        <w:sectPr>
          <w:pgSz w:w="11900" w:h="16842" w:orient="portrait"/>
          <w:cols w:equalWidth="0" w:num="1">
            <w:col w:w="9019"/>
          </w:cols>
          <w:pgMar w:left="1440" w:top="342" w:right="1440" w:bottom="0" w:gutter="0" w:footer="0" w:header="0"/>
        </w:sectPr>
      </w:pPr>
    </w:p>
    <w:bookmarkStart w:id="90" w:name="page91"/>
    <w:bookmarkEnd w:id="90"/>
    <w:p>
      <w:pPr>
        <w:ind w:left="3560" w:right="1199"/>
        <w:spacing w:after="0" w:line="289" w:lineRule="auto"/>
        <w:rPr>
          <w:sz w:val="20"/>
          <w:szCs w:val="20"/>
          <w:color w:val="auto"/>
        </w:rPr>
      </w:pPr>
      <w:r>
        <w:rPr>
          <w:rFonts w:ascii="Arial" w:cs="Arial" w:eastAsia="Arial" w:hAnsi="Arial"/>
          <w:sz w:val="20"/>
          <w:szCs w:val="20"/>
          <w:color w:val="auto"/>
        </w:rPr>
        <w:t xml:space="preserve">Examples illustrating the application of the vesting provisions are shown in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to this Award Agreement.</w:t>
      </w:r>
    </w:p>
    <w:p>
      <w:pPr>
        <w:spacing w:after="0" w:line="88" w:lineRule="exact"/>
        <w:rPr>
          <w:sz w:val="20"/>
          <w:szCs w:val="20"/>
          <w:color w:val="auto"/>
        </w:rPr>
      </w:pPr>
    </w:p>
    <w:p>
      <w:pPr>
        <w:ind w:left="2600" w:right="1159" w:hanging="2592"/>
        <w:spacing w:after="0" w:line="264" w:lineRule="auto"/>
        <w:tabs>
          <w:tab w:leader="none" w:pos="2580" w:val="left"/>
        </w:tabs>
        <w:rPr>
          <w:sz w:val="20"/>
          <w:szCs w:val="20"/>
          <w:color w:val="auto"/>
        </w:rPr>
      </w:pPr>
      <w:r>
        <w:rPr>
          <w:rFonts w:ascii="Arial" w:cs="Arial" w:eastAsia="Arial" w:hAnsi="Arial"/>
          <w:sz w:val="21"/>
          <w:szCs w:val="21"/>
          <w:b w:val="1"/>
          <w:bCs w:val="1"/>
          <w:color w:val="auto"/>
        </w:rPr>
        <w:t>Transfer Restrictions:</w:t>
      </w:r>
      <w:r>
        <w:rPr>
          <w:sz w:val="20"/>
          <w:szCs w:val="20"/>
          <w:color w:val="auto"/>
        </w:rPr>
        <w:tab/>
      </w:r>
      <w:r>
        <w:rPr>
          <w:rFonts w:ascii="Arial" w:cs="Arial" w:eastAsia="Arial" w:hAnsi="Arial"/>
          <w:sz w:val="21"/>
          <w:szCs w:val="21"/>
          <w:color w:val="auto"/>
        </w:rPr>
        <w:t>You may not sell or otherwise transfer or assign your restricted stock units (or your dividend equivalents).</w:t>
      </w:r>
    </w:p>
    <w:p>
      <w:pPr>
        <w:spacing w:after="0" w:line="117" w:lineRule="exact"/>
        <w:rPr>
          <w:sz w:val="20"/>
          <w:szCs w:val="20"/>
          <w:color w:val="auto"/>
        </w:rPr>
      </w:pPr>
    </w:p>
    <w:p>
      <w:pPr>
        <w:ind w:left="2600" w:right="1139" w:hanging="2592"/>
        <w:spacing w:after="0" w:line="287" w:lineRule="auto"/>
        <w:tabs>
          <w:tab w:leader="none" w:pos="2580" w:val="left"/>
        </w:tabs>
        <w:rPr>
          <w:sz w:val="20"/>
          <w:szCs w:val="20"/>
          <w:color w:val="auto"/>
        </w:rPr>
      </w:pPr>
      <w:r>
        <w:rPr>
          <w:rFonts w:ascii="Arial" w:cs="Arial" w:eastAsia="Arial" w:hAnsi="Arial"/>
          <w:sz w:val="21"/>
          <w:szCs w:val="21"/>
          <w:b w:val="1"/>
          <w:bCs w:val="1"/>
          <w:color w:val="auto"/>
        </w:rPr>
        <w:t>Dividend Equivalents:</w:t>
      </w:r>
      <w:r>
        <w:rPr>
          <w:sz w:val="20"/>
          <w:szCs w:val="20"/>
          <w:color w:val="auto"/>
        </w:rPr>
        <w:tab/>
      </w:r>
      <w:r>
        <w:rPr>
          <w:rFonts w:ascii="Arial" w:cs="Arial" w:eastAsia="Arial" w:hAnsi="Arial"/>
          <w:sz w:val="18"/>
          <w:szCs w:val="18"/>
          <w:color w:val="auto"/>
        </w:rPr>
        <w:t>You also have been awarded dividend equivalents with respect to your restricted stock units. Your dividend equivalents represent the right to receive additional shares of Common Stock in the future, subject to the terms and conditions of your award. Your dividend equivalents will be determined based on the dividends that you would have received, had you held shares of Common Stock equal to the vested number of your restricted stock units from the date of your award to the date of the distribution of shares of Common Stock following the vesting of your restricted stock units, and assuming that the dividends were reinvested in Common Stock (and any dividends on such shares were reinvested in Common Stock). The dividends will be deemed reinvested in Common Stock in the same manner as dividends reinvested pursuant to the terms of the Sempra Dividend Reinv estment Plan.</w:t>
      </w:r>
    </w:p>
    <w:p>
      <w:pPr>
        <w:spacing w:after="0" w:line="88" w:lineRule="exact"/>
        <w:rPr>
          <w:sz w:val="20"/>
          <w:szCs w:val="20"/>
          <w:color w:val="auto"/>
        </w:rPr>
      </w:pPr>
    </w:p>
    <w:p>
      <w:pPr>
        <w:jc w:val="both"/>
        <w:ind w:left="2600" w:right="1159"/>
        <w:spacing w:after="0" w:line="253" w:lineRule="auto"/>
        <w:rPr>
          <w:sz w:val="20"/>
          <w:szCs w:val="20"/>
          <w:color w:val="auto"/>
        </w:rPr>
      </w:pPr>
      <w:r>
        <w:rPr>
          <w:rFonts w:ascii="Arial" w:cs="Arial" w:eastAsia="Arial" w:hAnsi="Arial"/>
          <w:sz w:val="21"/>
          <w:szCs w:val="21"/>
          <w:color w:val="auto"/>
        </w:rPr>
        <w:t>Your dividend equivalents will be subject to the same transfer restrictions and forfeiture and vesting conditions as your restricted stock units. They will vest when your restricted stock units vest.</w:t>
      </w:r>
    </w:p>
    <w:p>
      <w:pPr>
        <w:spacing w:after="0" w:line="114" w:lineRule="exact"/>
        <w:rPr>
          <w:sz w:val="20"/>
          <w:szCs w:val="20"/>
          <w:color w:val="auto"/>
        </w:rPr>
      </w:pPr>
    </w:p>
    <w:p>
      <w:pPr>
        <w:ind w:left="2600" w:right="1339"/>
        <w:spacing w:after="0" w:line="291" w:lineRule="auto"/>
        <w:rPr>
          <w:sz w:val="20"/>
          <w:szCs w:val="20"/>
          <w:color w:val="auto"/>
        </w:rPr>
      </w:pPr>
      <w:r>
        <w:rPr>
          <w:rFonts w:ascii="Arial" w:cs="Arial" w:eastAsia="Arial" w:hAnsi="Arial"/>
          <w:sz w:val="18"/>
          <w:szCs w:val="18"/>
          <w:color w:val="auto"/>
        </w:rPr>
        <w:t>Also, your restricted stock units (and dividend equivalents) will be adjusted to reflect stock dividends on shares of Common Stock or as the result of a stock-split, recapitalization, reorganization or other similar transaction in accordance with the terms and conditions of the 2008 Long Term Incentive Plan. Any additional restricted stock units (and dividend equivalents) awarded to you as a result of such an adjustment also will be subject to the same transfer restrictions, forfeiture and vesting conditions and other terms and conditions that are applicable to your restricted stock units.</w:t>
      </w:r>
    </w:p>
    <w:p>
      <w:pPr>
        <w:spacing w:after="0" w:line="93" w:lineRule="exact"/>
        <w:rPr>
          <w:sz w:val="20"/>
          <w:szCs w:val="20"/>
          <w:color w:val="auto"/>
        </w:rPr>
      </w:pPr>
    </w:p>
    <w:p>
      <w:pPr>
        <w:ind w:left="2600" w:right="1499" w:hanging="2592"/>
        <w:spacing w:after="0" w:line="262" w:lineRule="auto"/>
        <w:tabs>
          <w:tab w:leader="none" w:pos="2580" w:val="left"/>
        </w:tabs>
        <w:rPr>
          <w:sz w:val="20"/>
          <w:szCs w:val="20"/>
          <w:color w:val="auto"/>
        </w:rPr>
      </w:pPr>
      <w:r>
        <w:rPr>
          <w:rFonts w:ascii="Arial" w:cs="Arial" w:eastAsia="Arial" w:hAnsi="Arial"/>
          <w:sz w:val="21"/>
          <w:szCs w:val="21"/>
          <w:b w:val="1"/>
          <w:bCs w:val="1"/>
          <w:color w:val="auto"/>
        </w:rPr>
        <w:t>No Shareholder Rights:</w:t>
      </w:r>
      <w:r>
        <w:rPr>
          <w:sz w:val="20"/>
          <w:szCs w:val="20"/>
          <w:color w:val="auto"/>
        </w:rPr>
        <w:tab/>
      </w:r>
      <w:r>
        <w:rPr>
          <w:rFonts w:ascii="Arial" w:cs="Arial" w:eastAsia="Arial" w:hAnsi="Arial"/>
          <w:sz w:val="20"/>
          <w:szCs w:val="20"/>
          <w:color w:val="auto"/>
        </w:rPr>
        <w:t>Your restricted stock units (and dividend equivalents) are not shares of Common Stock. You will have no rights as a shareholder unless and until shares of Common Stock are issued to you following the vesting of your restricted stock units (and dividend equivalents) as provided in this Agreement and the 2008 Long Term Incentive Plan.</w:t>
      </w:r>
    </w:p>
    <w:p>
      <w:pPr>
        <w:spacing w:after="0" w:line="122" w:lineRule="exact"/>
        <w:rPr>
          <w:sz w:val="20"/>
          <w:szCs w:val="20"/>
          <w:color w:val="auto"/>
        </w:rPr>
      </w:pPr>
    </w:p>
    <w:p>
      <w:pPr>
        <w:ind w:left="2600" w:right="1359" w:hanging="2592"/>
        <w:spacing w:after="0" w:line="249" w:lineRule="auto"/>
        <w:tabs>
          <w:tab w:leader="none" w:pos="2580" w:val="left"/>
        </w:tabs>
        <w:rPr>
          <w:sz w:val="20"/>
          <w:szCs w:val="20"/>
          <w:color w:val="auto"/>
        </w:rPr>
      </w:pPr>
      <w:r>
        <w:rPr>
          <w:rFonts w:ascii="Arial" w:cs="Arial" w:eastAsia="Arial" w:hAnsi="Arial"/>
          <w:sz w:val="21"/>
          <w:szCs w:val="21"/>
          <w:b w:val="1"/>
          <w:bCs w:val="1"/>
          <w:color w:val="auto"/>
        </w:rPr>
        <w:t>Distribution of Shares:</w:t>
      </w:r>
      <w:r>
        <w:rPr>
          <w:sz w:val="20"/>
          <w:szCs w:val="20"/>
          <w:color w:val="auto"/>
        </w:rPr>
        <w:tab/>
      </w:r>
      <w:r>
        <w:rPr>
          <w:rFonts w:ascii="Arial" w:cs="Arial" w:eastAsia="Arial" w:hAnsi="Arial"/>
          <w:sz w:val="21"/>
          <w:szCs w:val="21"/>
          <w:color w:val="auto"/>
        </w:rPr>
        <w:t>As described in “Vesting/Forfeiture” above, the Compensation Committee will determine and certify the extent to which Sempra Energy has met the performance criteria and the extent, if any, as to which your restricted stock units have then vested.</w:t>
      </w:r>
    </w:p>
    <w:p>
      <w:pPr>
        <w:spacing w:after="0" w:line="111" w:lineRule="exact"/>
        <w:rPr>
          <w:sz w:val="20"/>
          <w:szCs w:val="20"/>
          <w:color w:val="auto"/>
        </w:rPr>
      </w:pPr>
    </w:p>
    <w:p>
      <w:pPr>
        <w:ind w:left="2600" w:right="1179"/>
        <w:spacing w:after="0" w:line="274" w:lineRule="auto"/>
        <w:rPr>
          <w:sz w:val="20"/>
          <w:szCs w:val="20"/>
          <w:color w:val="auto"/>
        </w:rPr>
      </w:pPr>
      <w:r>
        <w:rPr>
          <w:rFonts w:ascii="Arial" w:cs="Arial" w:eastAsia="Arial" w:hAnsi="Arial"/>
          <w:sz w:val="19"/>
          <w:szCs w:val="19"/>
          <w:color w:val="auto"/>
        </w:rPr>
        <w:t>You will receive the number of shares of Common Stock equal to the number of your restricted stock units that have vested. However, in no event will you receive under this award, and other awards granted to you under the 2008 Long Term Incentive Plan in the same fiscal year of Sempra Energy, more than the maximum number of shares of Common Stock permitted under the 2008 Long Term Incentive Plan. Also, you will receive the number of shares of Common Stock equal to your dividend equivalents after the Compensation Committee’s determination and certification.</w:t>
      </w:r>
    </w:p>
    <w:p>
      <w:pPr>
        <w:spacing w:after="0" w:line="98" w:lineRule="exact"/>
        <w:rPr>
          <w:sz w:val="20"/>
          <w:szCs w:val="20"/>
          <w:color w:val="auto"/>
        </w:rPr>
      </w:pPr>
    </w:p>
    <w:p>
      <w:pPr>
        <w:ind w:left="2600" w:right="1299"/>
        <w:spacing w:after="0" w:line="247" w:lineRule="auto"/>
        <w:rPr>
          <w:sz w:val="20"/>
          <w:szCs w:val="20"/>
          <w:color w:val="auto"/>
        </w:rPr>
      </w:pPr>
      <w:r>
        <w:rPr>
          <w:rFonts w:ascii="Arial" w:cs="Arial" w:eastAsia="Arial" w:hAnsi="Arial"/>
          <w:sz w:val="21"/>
          <w:szCs w:val="21"/>
          <w:color w:val="auto"/>
        </w:rPr>
        <w:t>You will receive the shares as soon as practicable following the Compensation Committee’s determination and certification (and in no event later than March 15, 2014). Once you receive the shares of Common Stock, your vested and unvested restricted stock units (and dividend equivalents) will terminate.</w:t>
      </w:r>
    </w:p>
    <w:p>
      <w:pPr>
        <w:spacing w:after="0" w:line="12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Termination of Employment:</w:t>
      </w:r>
    </w:p>
    <w:p>
      <w:pPr>
        <w:spacing w:after="0" w:line="170" w:lineRule="exact"/>
        <w:rPr>
          <w:sz w:val="20"/>
          <w:szCs w:val="20"/>
          <w:color w:val="auto"/>
        </w:rPr>
      </w:pPr>
    </w:p>
    <w:p>
      <w:pPr>
        <w:ind w:left="2600" w:right="1339" w:hanging="2291"/>
        <w:spacing w:after="0" w:line="259" w:lineRule="auto"/>
        <w:tabs>
          <w:tab w:leader="none" w:pos="477" w:val="left"/>
        </w:tabs>
        <w:numPr>
          <w:ilvl w:val="0"/>
          <w:numId w:val="66"/>
        </w:numPr>
        <w:rPr>
          <w:rFonts w:ascii="Arial" w:cs="Arial" w:eastAsia="Arial" w:hAnsi="Arial"/>
          <w:sz w:val="21"/>
          <w:szCs w:val="21"/>
          <w:i w:val="1"/>
          <w:iCs w:val="1"/>
          <w:color w:val="auto"/>
        </w:rPr>
      </w:pPr>
      <w:r>
        <w:rPr>
          <w:rFonts w:ascii="Arial" w:cs="Arial" w:eastAsia="Arial" w:hAnsi="Arial"/>
          <w:sz w:val="21"/>
          <w:szCs w:val="21"/>
          <w:i w:val="1"/>
          <w:iCs w:val="1"/>
          <w:color w:val="auto"/>
        </w:rPr>
        <w:t>Termination:</w:t>
      </w:r>
      <w:r>
        <w:rPr>
          <w:rFonts w:ascii="Arial" w:cs="Arial" w:eastAsia="Arial" w:hAnsi="Arial"/>
          <w:sz w:val="20"/>
          <w:szCs w:val="20"/>
          <w:color w:val="auto"/>
        </w:rPr>
        <w:t>If your employment with Sempra Energy and its subsidiaries terminates for any reason prior to the vesting of your restricted stock units (and dividend equivalents) (other than under the circumstances set forth in the next paragraph), all of your restricted stock units (and dividend equivalents) will be forfeited. The vesting of your restricted stock units does not occur until the date of the Compensation Committee’s determination and certification described above.</w:t>
      </w:r>
    </w:p>
    <w:p>
      <w:pPr>
        <w:spacing w:after="0" w:line="99" w:lineRule="exact"/>
        <w:rPr>
          <w:sz w:val="20"/>
          <w:szCs w:val="20"/>
          <w:color w:val="auto"/>
        </w:rPr>
      </w:pPr>
    </w:p>
    <w:p>
      <w:pPr>
        <w:ind w:left="2600" w:right="1239"/>
        <w:spacing w:after="0" w:line="253" w:lineRule="auto"/>
        <w:rPr>
          <w:sz w:val="20"/>
          <w:szCs w:val="20"/>
          <w:color w:val="auto"/>
        </w:rPr>
      </w:pPr>
      <w:r>
        <w:rPr>
          <w:rFonts w:ascii="Arial" w:cs="Arial" w:eastAsia="Arial" w:hAnsi="Arial"/>
          <w:sz w:val="21"/>
          <w:szCs w:val="21"/>
          <w:color w:val="auto"/>
        </w:rPr>
        <w:t>If your employment terminates and you had both completed five years of continuous service with Sempra Energy and its subsidiaries AND met any of the following conditions:</w:t>
      </w:r>
    </w:p>
    <w:p>
      <w:pPr>
        <w:sectPr>
          <w:pgSz w:w="11900" w:h="16838" w:orient="portrait"/>
          <w:cols w:equalWidth="0" w:num="1">
            <w:col w:w="10199"/>
          </w:cols>
          <w:pgMar w:left="260" w:top="126" w:right="1440" w:bottom="0" w:gutter="0" w:footer="0" w:header="0"/>
        </w:sectPr>
      </w:pPr>
    </w:p>
    <w:bookmarkStart w:id="91" w:name="page92"/>
    <w:bookmarkEnd w:id="91"/>
    <w:p>
      <w:pPr>
        <w:ind w:left="3240" w:right="1219" w:hanging="323"/>
        <w:spacing w:after="0" w:line="264" w:lineRule="auto"/>
        <w:rPr>
          <w:sz w:val="20"/>
          <w:szCs w:val="20"/>
          <w:color w:val="auto"/>
        </w:rPr>
      </w:pPr>
      <w:r>
        <w:rPr>
          <w:rFonts w:ascii="Arial" w:cs="Arial" w:eastAsia="Arial" w:hAnsi="Arial"/>
          <w:sz w:val="21"/>
          <w:szCs w:val="21"/>
          <w:color w:val="auto"/>
        </w:rPr>
        <w:t>1.) your employment terminates after December 31, 2010 and at the date of termination you had attained age 55; or</w:t>
      </w:r>
    </w:p>
    <w:p>
      <w:pPr>
        <w:spacing w:after="0" w:line="90" w:lineRule="exact"/>
        <w:rPr>
          <w:sz w:val="20"/>
          <w:szCs w:val="20"/>
          <w:color w:val="auto"/>
        </w:rPr>
      </w:pPr>
    </w:p>
    <w:p>
      <w:pPr>
        <w:ind w:left="3240" w:right="1199" w:hanging="323"/>
        <w:spacing w:after="0" w:line="264" w:lineRule="auto"/>
        <w:rPr>
          <w:sz w:val="20"/>
          <w:szCs w:val="20"/>
          <w:color w:val="auto"/>
        </w:rPr>
      </w:pPr>
      <w:r>
        <w:rPr>
          <w:rFonts w:ascii="Arial" w:cs="Arial" w:eastAsia="Arial" w:hAnsi="Arial"/>
          <w:sz w:val="21"/>
          <w:szCs w:val="21"/>
          <w:color w:val="auto"/>
        </w:rPr>
        <w:t>2.) your employment terminates after November 30, 2010 and at the date of termination you had attained age 62; or</w:t>
      </w:r>
    </w:p>
    <w:p>
      <w:pPr>
        <w:spacing w:after="0" w:line="90" w:lineRule="exact"/>
        <w:rPr>
          <w:sz w:val="20"/>
          <w:szCs w:val="20"/>
          <w:color w:val="auto"/>
        </w:rPr>
      </w:pPr>
    </w:p>
    <w:p>
      <w:pPr>
        <w:ind w:left="3240" w:right="1439" w:hanging="323"/>
        <w:spacing w:after="0" w:line="317" w:lineRule="auto"/>
        <w:rPr>
          <w:sz w:val="20"/>
          <w:szCs w:val="20"/>
          <w:color w:val="auto"/>
        </w:rPr>
      </w:pPr>
      <w:r>
        <w:rPr>
          <w:rFonts w:ascii="Arial" w:cs="Arial" w:eastAsia="Arial" w:hAnsi="Arial"/>
          <w:sz w:val="19"/>
          <w:szCs w:val="19"/>
          <w:color w:val="auto"/>
        </w:rPr>
        <w:t>3.) at the date of termination you had attained age 65 and you were an officer subject to the company’s mandatory retirement policy;</w:t>
      </w:r>
    </w:p>
    <w:p>
      <w:pPr>
        <w:spacing w:after="0" w:line="58" w:lineRule="exact"/>
        <w:rPr>
          <w:sz w:val="20"/>
          <w:szCs w:val="20"/>
          <w:color w:val="auto"/>
        </w:rPr>
      </w:pPr>
    </w:p>
    <w:p>
      <w:pPr>
        <w:ind w:left="2600" w:right="1179"/>
        <w:spacing w:after="0" w:line="253" w:lineRule="auto"/>
        <w:rPr>
          <w:sz w:val="20"/>
          <w:szCs w:val="20"/>
          <w:color w:val="auto"/>
        </w:rPr>
      </w:pPr>
      <w:r>
        <w:rPr>
          <w:rFonts w:ascii="Arial" w:cs="Arial" w:eastAsia="Arial" w:hAnsi="Arial"/>
          <w:sz w:val="21"/>
          <w:szCs w:val="21"/>
          <w:color w:val="auto"/>
        </w:rPr>
        <w:t>your restricted stock units (and dividend equivalents) will not be forfeited but will continue to be subject to the transfer restrictions and vesting conditions and other terms and conditions of this Agreement</w:t>
      </w:r>
    </w:p>
    <w:p>
      <w:pPr>
        <w:spacing w:after="0" w:line="128" w:lineRule="exact"/>
        <w:rPr>
          <w:sz w:val="20"/>
          <w:szCs w:val="20"/>
          <w:color w:val="auto"/>
        </w:rPr>
      </w:pPr>
    </w:p>
    <w:p>
      <w:pPr>
        <w:ind w:left="2600" w:right="1319" w:hanging="2453"/>
        <w:spacing w:after="0" w:line="258" w:lineRule="auto"/>
        <w:tabs>
          <w:tab w:leader="none" w:pos="315" w:val="left"/>
        </w:tabs>
        <w:numPr>
          <w:ilvl w:val="0"/>
          <w:numId w:val="67"/>
        </w:numPr>
        <w:rPr>
          <w:rFonts w:ascii="Arial" w:cs="Arial" w:eastAsia="Arial" w:hAnsi="Arial"/>
          <w:sz w:val="21"/>
          <w:szCs w:val="21"/>
          <w:i w:val="1"/>
          <w:iCs w:val="1"/>
          <w:color w:val="auto"/>
        </w:rPr>
      </w:pPr>
      <w:r>
        <w:rPr>
          <w:rFonts w:ascii="Arial" w:cs="Arial" w:eastAsia="Arial" w:hAnsi="Arial"/>
          <w:sz w:val="21"/>
          <w:szCs w:val="21"/>
          <w:i w:val="1"/>
          <w:iCs w:val="1"/>
          <w:color w:val="auto"/>
        </w:rPr>
        <w:t>Leaves of Absence:</w:t>
      </w:r>
      <w:r>
        <w:rPr>
          <w:rFonts w:ascii="Arial" w:cs="Arial" w:eastAsia="Arial" w:hAnsi="Arial"/>
          <w:sz w:val="20"/>
          <w:szCs w:val="20"/>
          <w:color w:val="auto"/>
        </w:rPr>
        <w:t xml:space="preserve">Your employment does not terminate when you go on military leave, a sick leave or another </w:t>
      </w:r>
      <w:r>
        <w:rPr>
          <w:rFonts w:ascii="Arial" w:cs="Arial" w:eastAsia="Arial" w:hAnsi="Arial"/>
          <w:sz w:val="20"/>
          <w:szCs w:val="20"/>
          <w:i w:val="1"/>
          <w:iCs w:val="1"/>
          <w:color w:val="auto"/>
        </w:rPr>
        <w:t>bona fide</w:t>
      </w:r>
      <w:r>
        <w:rPr>
          <w:rFonts w:ascii="Arial" w:cs="Arial" w:eastAsia="Arial" w:hAnsi="Arial"/>
          <w:sz w:val="20"/>
          <w:szCs w:val="20"/>
          <w:color w:val="auto"/>
        </w:rPr>
        <w:t xml:space="preserve"> leave of absence, if the leave was approved by your employer in writing. But your employment will be treated as terminating 90 days after you went on leave, unless your right to return to active work is guaranteed by law or by a contract. And your employment terminates in any event when the approved leave ends, unless you immediately return to active work. Your employer determines which leaves count for this purpose.</w:t>
      </w:r>
    </w:p>
    <w:p>
      <w:pPr>
        <w:sectPr>
          <w:pgSz w:w="11900" w:h="16838" w:orient="portrait"/>
          <w:cols w:equalWidth="0" w:num="1">
            <w:col w:w="10199"/>
          </w:cols>
          <w:pgMar w:left="260" w:top="126" w:right="1440" w:bottom="85" w:gutter="0" w:footer="0" w:header="0"/>
        </w:sectPr>
      </w:pP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Taxes:</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right="1259"/>
        <w:spacing w:after="0" w:line="295" w:lineRule="auto"/>
        <w:rPr>
          <w:sz w:val="20"/>
          <w:szCs w:val="20"/>
          <w:color w:val="auto"/>
        </w:rPr>
      </w:pPr>
      <w:r>
        <w:rPr>
          <w:rFonts w:ascii="Arial" w:cs="Arial" w:eastAsia="Arial" w:hAnsi="Arial"/>
          <w:sz w:val="18"/>
          <w:szCs w:val="18"/>
          <w:i w:val="1"/>
          <w:iCs w:val="1"/>
          <w:color w:val="auto"/>
        </w:rPr>
        <w:t>The following is a general summary of the federal income tax consequences of your Restricted Stock Unit Award. The summary may not cover your particular circumstances because it does not consider foreign, state, local or other tax laws and does not describe future changes in tax rules. You are urged to consult your tax advisor regarding the specific tax consequences applicable to you rather than relying on this general summary.</w:t>
      </w:r>
    </w:p>
    <w:p>
      <w:pPr>
        <w:spacing w:after="0" w:line="94" w:lineRule="exact"/>
        <w:rPr>
          <w:sz w:val="20"/>
          <w:szCs w:val="20"/>
          <w:color w:val="auto"/>
        </w:rPr>
      </w:pPr>
    </w:p>
    <w:p>
      <w:pPr>
        <w:sectPr>
          <w:pgSz w:w="11900" w:h="16838" w:orient="portrait"/>
          <w:cols w:equalWidth="0" w:num="2">
            <w:col w:w="1880" w:space="720"/>
            <w:col w:w="7599"/>
          </w:cols>
          <w:pgMar w:left="260" w:top="126" w:right="1440" w:bottom="85" w:gutter="0" w:footer="0" w:header="0"/>
          <w:type w:val="continuous"/>
        </w:sectPr>
      </w:pPr>
    </w:p>
    <w:p>
      <w:pPr>
        <w:ind w:left="2600" w:right="1579" w:hanging="2291"/>
        <w:spacing w:after="0" w:line="253" w:lineRule="auto"/>
        <w:tabs>
          <w:tab w:leader="none" w:pos="477" w:val="left"/>
        </w:tabs>
        <w:numPr>
          <w:ilvl w:val="0"/>
          <w:numId w:val="68"/>
        </w:numPr>
        <w:rPr>
          <w:rFonts w:ascii="Arial" w:cs="Arial" w:eastAsia="Arial" w:hAnsi="Arial"/>
          <w:sz w:val="21"/>
          <w:szCs w:val="21"/>
          <w:i w:val="1"/>
          <w:iCs w:val="1"/>
          <w:color w:val="auto"/>
        </w:rPr>
      </w:pPr>
      <w:r>
        <w:rPr>
          <w:rFonts w:ascii="Arial" w:cs="Arial" w:eastAsia="Arial" w:hAnsi="Arial"/>
          <w:sz w:val="21"/>
          <w:szCs w:val="21"/>
          <w:i w:val="1"/>
          <w:iCs w:val="1"/>
          <w:color w:val="auto"/>
        </w:rPr>
        <w:t>Generally:</w:t>
      </w:r>
      <w:r>
        <w:rPr>
          <w:rFonts w:ascii="Arial" w:cs="Arial" w:eastAsia="Arial" w:hAnsi="Arial"/>
          <w:sz w:val="21"/>
          <w:szCs w:val="21"/>
          <w:color w:val="auto"/>
        </w:rPr>
        <w:t>You will not be subject to federal income taxes on your award until you receive shares of Common Stock following the vesting of your restricted stock units.</w:t>
      </w:r>
    </w:p>
    <w:p>
      <w:pPr>
        <w:spacing w:after="0" w:line="141" w:lineRule="exact"/>
        <w:rPr>
          <w:sz w:val="20"/>
          <w:szCs w:val="20"/>
          <w:color w:val="auto"/>
        </w:rPr>
      </w:pPr>
    </w:p>
    <w:p>
      <w:pPr>
        <w:ind w:left="2600" w:right="1319"/>
        <w:spacing w:after="0" w:line="317" w:lineRule="auto"/>
        <w:rPr>
          <w:sz w:val="20"/>
          <w:szCs w:val="20"/>
          <w:color w:val="auto"/>
        </w:rPr>
      </w:pPr>
      <w:r>
        <w:rPr>
          <w:rFonts w:ascii="Arial" w:cs="Arial" w:eastAsia="Arial" w:hAnsi="Arial"/>
          <w:sz w:val="19"/>
          <w:szCs w:val="19"/>
          <w:color w:val="auto"/>
        </w:rPr>
        <w:t>When you receive your shares, you will realize taxable income based on the fair market value of the shares at the time you receive the shares.</w:t>
      </w:r>
    </w:p>
    <w:p>
      <w:pPr>
        <w:spacing w:after="0" w:line="85" w:lineRule="exact"/>
        <w:rPr>
          <w:sz w:val="20"/>
          <w:szCs w:val="20"/>
          <w:color w:val="auto"/>
        </w:rPr>
      </w:pPr>
    </w:p>
    <w:p>
      <w:pPr>
        <w:ind w:left="2600" w:right="1339"/>
        <w:spacing w:after="0" w:line="253" w:lineRule="auto"/>
        <w:rPr>
          <w:sz w:val="20"/>
          <w:szCs w:val="20"/>
          <w:color w:val="auto"/>
        </w:rPr>
      </w:pPr>
      <w:r>
        <w:rPr>
          <w:rFonts w:ascii="Arial" w:cs="Arial" w:eastAsia="Arial" w:hAnsi="Arial"/>
          <w:sz w:val="21"/>
          <w:szCs w:val="21"/>
          <w:color w:val="auto"/>
        </w:rPr>
        <w:t>When you sell your shares you may also realize taxable gain (or loss) based upon the difference between the sales price and the amount that you have previously recognized as income.</w:t>
      </w:r>
    </w:p>
    <w:p>
      <w:pPr>
        <w:spacing w:after="0" w:line="128" w:lineRule="exact"/>
        <w:rPr>
          <w:sz w:val="20"/>
          <w:szCs w:val="20"/>
          <w:color w:val="auto"/>
        </w:rPr>
      </w:pPr>
    </w:p>
    <w:p>
      <w:pPr>
        <w:ind w:left="2600" w:right="1239" w:hanging="2291"/>
        <w:spacing w:after="0" w:line="244" w:lineRule="auto"/>
        <w:tabs>
          <w:tab w:leader="none" w:pos="477" w:val="left"/>
        </w:tabs>
        <w:numPr>
          <w:ilvl w:val="0"/>
          <w:numId w:val="69"/>
        </w:numPr>
        <w:rPr>
          <w:rFonts w:ascii="Arial" w:cs="Arial" w:eastAsia="Arial" w:hAnsi="Arial"/>
          <w:sz w:val="21"/>
          <w:szCs w:val="21"/>
          <w:i w:val="1"/>
          <w:iCs w:val="1"/>
          <w:color w:val="auto"/>
        </w:rPr>
      </w:pPr>
      <w:r>
        <w:rPr>
          <w:rFonts w:ascii="Arial" w:cs="Arial" w:eastAsia="Arial" w:hAnsi="Arial"/>
          <w:sz w:val="21"/>
          <w:szCs w:val="21"/>
          <w:i w:val="1"/>
          <w:iCs w:val="1"/>
          <w:color w:val="auto"/>
        </w:rPr>
        <w:t>Withholding Taxes:</w:t>
      </w:r>
      <w:r>
        <w:rPr>
          <w:rFonts w:ascii="Arial" w:cs="Arial" w:eastAsia="Arial" w:hAnsi="Arial"/>
          <w:sz w:val="21"/>
          <w:szCs w:val="21"/>
          <w:color w:val="auto"/>
        </w:rPr>
        <w:t>When you become subject to income taxes upon your receipt of the shares of Common Stock, Sempra Energy or its subsidiary is required to withhold taxes. Unless you instruct otherwise and pay or make arrangements satisfactory to Sempra Energy to pay these taxes, upon the distribution of your shares, Sempra Energy will withhold a sufficient number of the shares (valued at the distribution date fair market value) to cover the minimum required withholding taxes and transfer to you only the remaining balance of your shares.</w:t>
      </w:r>
    </w:p>
    <w:p>
      <w:pPr>
        <w:spacing w:after="0" w:line="110" w:lineRule="exact"/>
        <w:rPr>
          <w:sz w:val="20"/>
          <w:szCs w:val="20"/>
          <w:color w:val="auto"/>
        </w:rPr>
      </w:pPr>
    </w:p>
    <w:p>
      <w:pPr>
        <w:ind w:left="2600" w:right="1259" w:hanging="2592"/>
        <w:spacing w:after="0" w:line="277" w:lineRule="auto"/>
        <w:tabs>
          <w:tab w:leader="none" w:pos="2580" w:val="left"/>
        </w:tabs>
        <w:rPr>
          <w:sz w:val="20"/>
          <w:szCs w:val="20"/>
          <w:color w:val="auto"/>
        </w:rPr>
      </w:pPr>
      <w:r>
        <w:rPr>
          <w:rFonts w:ascii="Arial" w:cs="Arial" w:eastAsia="Arial" w:hAnsi="Arial"/>
          <w:sz w:val="21"/>
          <w:szCs w:val="21"/>
          <w:b w:val="1"/>
          <w:bCs w:val="1"/>
          <w:color w:val="auto"/>
        </w:rPr>
        <w:t>Retention Rights:</w:t>
      </w:r>
      <w:r>
        <w:rPr>
          <w:sz w:val="20"/>
          <w:szCs w:val="20"/>
          <w:color w:val="auto"/>
        </w:rPr>
        <w:tab/>
      </w:r>
      <w:r>
        <w:rPr>
          <w:rFonts w:ascii="Arial" w:cs="Arial" w:eastAsia="Arial" w:hAnsi="Arial"/>
          <w:sz w:val="19"/>
          <w:szCs w:val="19"/>
          <w:color w:val="auto"/>
        </w:rPr>
        <w:t>Neither your restricted stock unit award nor this Agreement gives you any right to be retained by Sempra Energy or any of its subsidiaries in any capacity and your employer reserves the right to terminate your employment at any time, with or without cause. The value of your award will not be included as compensation or earnings for purposes of any other benefit plan offered by Sempra Energy or any of its subsidiaries.</w:t>
      </w:r>
    </w:p>
    <w:p>
      <w:pPr>
        <w:spacing w:after="0" w:line="81" w:lineRule="exact"/>
        <w:rPr>
          <w:sz w:val="20"/>
          <w:szCs w:val="20"/>
          <w:color w:val="auto"/>
        </w:rPr>
      </w:pPr>
    </w:p>
    <w:p>
      <w:pPr>
        <w:ind w:left="2600" w:right="1159" w:hanging="2592"/>
        <w:spacing w:after="0" w:line="270" w:lineRule="auto"/>
        <w:tabs>
          <w:tab w:leader="none" w:pos="2580" w:val="left"/>
        </w:tabs>
        <w:rPr>
          <w:sz w:val="20"/>
          <w:szCs w:val="20"/>
          <w:color w:val="auto"/>
        </w:rPr>
      </w:pPr>
      <w:r>
        <w:rPr>
          <w:rFonts w:ascii="Arial" w:cs="Arial" w:eastAsia="Arial" w:hAnsi="Arial"/>
          <w:sz w:val="21"/>
          <w:szCs w:val="21"/>
          <w:b w:val="1"/>
          <w:bCs w:val="1"/>
          <w:color w:val="auto"/>
        </w:rPr>
        <w:t>Change in Control:</w:t>
      </w:r>
      <w:r>
        <w:rPr>
          <w:sz w:val="20"/>
          <w:szCs w:val="20"/>
          <w:color w:val="auto"/>
        </w:rPr>
        <w:tab/>
      </w:r>
      <w:r>
        <w:rPr>
          <w:rFonts w:ascii="Arial" w:cs="Arial" w:eastAsia="Arial" w:hAnsi="Arial"/>
          <w:sz w:val="19"/>
          <w:szCs w:val="19"/>
          <w:color w:val="auto"/>
        </w:rPr>
        <w:t>Subject to certain limitations set forth in the 2008 Long Term Incentive Plan, in the event of a Change in Control (as defined in the plan) of Sempra Energy during the portion of the performance period beginning on January 1, 2010 and ending on December 31, 2010, unless your restricted stock units have been forfeited prior to the Change in Control, 100% of your target number of restricted stock units will vest in the event of a Change in Control. In the event of a Change in Control of Sempra Energy during the portion of the performance period beginning on January 1, 2011 and ending on the first New York Stock Exchange trading day of 2014, unless your restricted stock units have been forfeited prior to the Change in Control, your restricted stock units will vest or be forfeited on the basis of the total shareholder return performance criteria set forth above unde r “Vesting/Forfeiture” as if the performance period had ended on the date immediately preceeding the date of the Change in Control.</w:t>
      </w:r>
    </w:p>
    <w:p>
      <w:pPr>
        <w:sectPr>
          <w:pgSz w:w="11900" w:h="16838" w:orient="portrait"/>
          <w:cols w:equalWidth="0" w:num="1">
            <w:col w:w="10199"/>
          </w:cols>
          <w:pgMar w:left="260" w:top="126" w:right="1440" w:bottom="85" w:gutter="0" w:footer="0" w:header="0"/>
          <w:type w:val="continuous"/>
        </w:sectPr>
      </w:pPr>
    </w:p>
    <w:bookmarkStart w:id="92" w:name="page93"/>
    <w:bookmarkEnd w:id="92"/>
    <w:p>
      <w:pPr>
        <w:ind w:left="2600" w:right="1199"/>
        <w:spacing w:after="0" w:line="247" w:lineRule="auto"/>
        <w:rPr>
          <w:sz w:val="20"/>
          <w:szCs w:val="20"/>
          <w:color w:val="auto"/>
        </w:rPr>
      </w:pPr>
      <w:r>
        <w:rPr>
          <w:rFonts w:ascii="Arial" w:cs="Arial" w:eastAsia="Arial" w:hAnsi="Arial"/>
          <w:sz w:val="21"/>
          <w:szCs w:val="21"/>
          <w:color w:val="auto"/>
        </w:rPr>
        <w:t>You will receive the number of shares of Common Stock equal to the number of your restricted stock units that have vested. Also, you will receive the number of shares of Common Stock equal to your dividend equivalents. You will receive the shares of Common Stock immediately prior to the date of the Change in Control.</w:t>
      </w:r>
    </w:p>
    <w:p>
      <w:pPr>
        <w:spacing w:after="0" w:line="81" w:lineRule="exact"/>
        <w:rPr>
          <w:sz w:val="20"/>
          <w:szCs w:val="20"/>
          <w:color w:val="auto"/>
        </w:rPr>
      </w:pPr>
    </w:p>
    <w:p>
      <w:pPr>
        <w:ind w:left="2600" w:right="1619"/>
        <w:spacing w:after="0" w:line="348" w:lineRule="auto"/>
        <w:rPr>
          <w:sz w:val="20"/>
          <w:szCs w:val="20"/>
          <w:color w:val="auto"/>
        </w:rPr>
      </w:pPr>
      <w:r>
        <w:rPr>
          <w:rFonts w:ascii="Arial" w:cs="Arial" w:eastAsia="Arial" w:hAnsi="Arial"/>
          <w:sz w:val="18"/>
          <w:szCs w:val="18"/>
          <w:color w:val="auto"/>
        </w:rPr>
        <w:t>Immediately following the Change in Control, your vested and unvested restricted stock units (and dividend equivalents) will terminate.</w:t>
      </w:r>
    </w:p>
    <w:p>
      <w:pPr>
        <w:spacing w:after="0" w:line="15" w:lineRule="exact"/>
        <w:rPr>
          <w:sz w:val="20"/>
          <w:szCs w:val="20"/>
          <w:color w:val="auto"/>
        </w:rPr>
      </w:pPr>
    </w:p>
    <w:p>
      <w:pPr>
        <w:ind w:left="2600" w:right="1339" w:hanging="2592"/>
        <w:spacing w:after="0" w:line="264" w:lineRule="auto"/>
        <w:tabs>
          <w:tab w:leader="none" w:pos="2580" w:val="left"/>
        </w:tabs>
        <w:rPr>
          <w:sz w:val="20"/>
          <w:szCs w:val="20"/>
          <w:color w:val="auto"/>
        </w:rPr>
      </w:pPr>
      <w:r>
        <w:rPr>
          <w:rFonts w:ascii="Arial" w:cs="Arial" w:eastAsia="Arial" w:hAnsi="Arial"/>
          <w:sz w:val="21"/>
          <w:szCs w:val="21"/>
          <w:b w:val="1"/>
          <w:bCs w:val="1"/>
          <w:color w:val="auto"/>
        </w:rPr>
        <w:t>Further Actions:</w:t>
      </w:r>
      <w:r>
        <w:rPr>
          <w:sz w:val="20"/>
          <w:szCs w:val="20"/>
          <w:color w:val="auto"/>
        </w:rPr>
        <w:tab/>
      </w:r>
      <w:r>
        <w:rPr>
          <w:rFonts w:ascii="Arial" w:cs="Arial" w:eastAsia="Arial" w:hAnsi="Arial"/>
          <w:sz w:val="21"/>
          <w:szCs w:val="21"/>
          <w:color w:val="auto"/>
        </w:rPr>
        <w:t>You agree to take all actions and execute all documents appropriate to carry out the provisions of this Agreement.</w:t>
      </w:r>
    </w:p>
    <w:p>
      <w:pPr>
        <w:spacing w:after="0" w:line="55" w:lineRule="exact"/>
        <w:rPr>
          <w:sz w:val="20"/>
          <w:szCs w:val="20"/>
          <w:color w:val="auto"/>
        </w:rPr>
      </w:pPr>
    </w:p>
    <w:p>
      <w:pPr>
        <w:ind w:left="2600" w:right="1339"/>
        <w:spacing w:after="0" w:line="262" w:lineRule="auto"/>
        <w:rPr>
          <w:sz w:val="20"/>
          <w:szCs w:val="20"/>
          <w:color w:val="auto"/>
        </w:rPr>
      </w:pPr>
      <w:r>
        <w:rPr>
          <w:rFonts w:ascii="Arial" w:cs="Arial" w:eastAsia="Arial" w:hAnsi="Arial"/>
          <w:sz w:val="20"/>
          <w:szCs w:val="20"/>
          <w:color w:val="auto"/>
        </w:rPr>
        <w:t>You also appoint as your attorney-in-fact each individual who at the time of so acting is the Secretary or an Assistant Secretary of Sempra Energy with full authority to effect any transfer of any shares of Common Stock distributable to you, including any transfer to pay withholding taxes, that is authorized by this Agreement.</w:t>
      </w:r>
    </w:p>
    <w:p>
      <w:pPr>
        <w:spacing w:after="0" w:line="116" w:lineRule="exact"/>
        <w:rPr>
          <w:sz w:val="20"/>
          <w:szCs w:val="20"/>
          <w:color w:val="auto"/>
        </w:rPr>
      </w:pPr>
    </w:p>
    <w:p>
      <w:pPr>
        <w:ind w:left="2600" w:right="1319" w:hanging="2592"/>
        <w:spacing w:after="0" w:line="264" w:lineRule="auto"/>
        <w:tabs>
          <w:tab w:leader="none" w:pos="2580" w:val="left"/>
        </w:tabs>
        <w:rPr>
          <w:sz w:val="20"/>
          <w:szCs w:val="20"/>
          <w:color w:val="auto"/>
        </w:rPr>
      </w:pPr>
      <w:r>
        <w:rPr>
          <w:rFonts w:ascii="Arial" w:cs="Arial" w:eastAsia="Arial" w:hAnsi="Arial"/>
          <w:sz w:val="21"/>
          <w:szCs w:val="21"/>
          <w:b w:val="1"/>
          <w:bCs w:val="1"/>
          <w:color w:val="auto"/>
        </w:rPr>
        <w:t>Applicable Law:</w:t>
      </w:r>
      <w:r>
        <w:rPr>
          <w:sz w:val="20"/>
          <w:szCs w:val="20"/>
          <w:color w:val="auto"/>
        </w:rPr>
        <w:tab/>
      </w:r>
      <w:r>
        <w:rPr>
          <w:rFonts w:ascii="Arial" w:cs="Arial" w:eastAsia="Arial" w:hAnsi="Arial"/>
          <w:sz w:val="21"/>
          <w:szCs w:val="21"/>
          <w:color w:val="auto"/>
        </w:rPr>
        <w:t>This Agreement will be interpreted and enforced under the laws of the State of California.</w:t>
      </w:r>
    </w:p>
    <w:p>
      <w:pPr>
        <w:spacing w:after="0" w:line="117" w:lineRule="exact"/>
        <w:rPr>
          <w:sz w:val="20"/>
          <w:szCs w:val="20"/>
          <w:color w:val="auto"/>
        </w:rPr>
      </w:pPr>
    </w:p>
    <w:p>
      <w:pPr>
        <w:ind w:left="2600" w:right="1159" w:hanging="2592"/>
        <w:spacing w:after="0" w:line="283" w:lineRule="auto"/>
        <w:tabs>
          <w:tab w:leader="none" w:pos="2580" w:val="left"/>
        </w:tabs>
        <w:rPr>
          <w:sz w:val="20"/>
          <w:szCs w:val="20"/>
          <w:color w:val="auto"/>
        </w:rPr>
      </w:pPr>
      <w:r>
        <w:rPr>
          <w:rFonts w:ascii="Arial" w:cs="Arial" w:eastAsia="Arial" w:hAnsi="Arial"/>
          <w:sz w:val="21"/>
          <w:szCs w:val="21"/>
          <w:b w:val="1"/>
          <w:bCs w:val="1"/>
          <w:color w:val="auto"/>
        </w:rPr>
        <w:t>Other Agreements:</w:t>
      </w:r>
      <w:r>
        <w:rPr>
          <w:sz w:val="20"/>
          <w:szCs w:val="20"/>
          <w:color w:val="auto"/>
        </w:rPr>
        <w:tab/>
      </w:r>
      <w:r>
        <w:rPr>
          <w:rFonts w:ascii="Arial" w:cs="Arial" w:eastAsia="Arial" w:hAnsi="Arial"/>
          <w:sz w:val="19"/>
          <w:szCs w:val="19"/>
          <w:color w:val="auto"/>
        </w:rPr>
        <w:t>In the event of any conflict between the terms of this Agreement and any written employment, severance or other employment-related agreement between you and Sempra Energy, the terms of this Agreement, or the terms of such other agreement, whichever are more favorable to you, shall prevail.</w:t>
      </w:r>
    </w:p>
    <w:p>
      <w:pPr>
        <w:spacing w:after="0" w:line="204" w:lineRule="exact"/>
        <w:rPr>
          <w:sz w:val="20"/>
          <w:szCs w:val="20"/>
          <w:color w:val="auto"/>
        </w:rPr>
      </w:pPr>
    </w:p>
    <w:p>
      <w:pPr>
        <w:jc w:val="center"/>
        <w:ind w:right="1159"/>
        <w:spacing w:after="0"/>
        <w:rPr>
          <w:sz w:val="20"/>
          <w:szCs w:val="20"/>
          <w:color w:val="auto"/>
        </w:rPr>
      </w:pPr>
      <w:r>
        <w:rPr>
          <w:rFonts w:ascii="Arial" w:cs="Arial" w:eastAsia="Arial" w:hAnsi="Arial"/>
          <w:sz w:val="21"/>
          <w:szCs w:val="21"/>
          <w:b w:val="1"/>
          <w:bCs w:val="1"/>
          <w:i w:val="1"/>
          <w:iCs w:val="1"/>
          <w:color w:val="auto"/>
        </w:rPr>
        <w:t>By signing the Cover Sheet/Summary of this Agreement, you agree</w:t>
      </w:r>
    </w:p>
    <w:p>
      <w:pPr>
        <w:spacing w:after="0" w:line="20" w:lineRule="exact"/>
        <w:rPr>
          <w:sz w:val="20"/>
          <w:szCs w:val="20"/>
          <w:color w:val="auto"/>
        </w:rPr>
      </w:pPr>
    </w:p>
    <w:p>
      <w:pPr>
        <w:jc w:val="center"/>
        <w:ind w:right="1159"/>
        <w:spacing w:after="0"/>
        <w:rPr>
          <w:sz w:val="20"/>
          <w:szCs w:val="20"/>
          <w:color w:val="auto"/>
        </w:rPr>
      </w:pPr>
      <w:r>
        <w:rPr>
          <w:rFonts w:ascii="Arial" w:cs="Arial" w:eastAsia="Arial" w:hAnsi="Arial"/>
          <w:sz w:val="20"/>
          <w:szCs w:val="20"/>
          <w:b w:val="1"/>
          <w:bCs w:val="1"/>
          <w:i w:val="1"/>
          <w:iCs w:val="1"/>
          <w:color w:val="auto"/>
        </w:rPr>
        <w:t>to all of the terms and conditions described above and in the 2008 Long Term Incentive Plan</w:t>
      </w:r>
    </w:p>
    <w:p>
      <w:pPr>
        <w:sectPr>
          <w:pgSz w:w="11900" w:h="16838" w:orient="portrait"/>
          <w:cols w:equalWidth="0" w:num="1">
            <w:col w:w="10199"/>
          </w:cols>
          <w:pgMar w:left="260" w:top="126" w:right="1440" w:bottom="1440" w:gutter="0" w:footer="0" w:header="0"/>
        </w:sectPr>
      </w:pPr>
    </w:p>
    <w:bookmarkStart w:id="93" w:name="page94"/>
    <w:bookmarkEnd w:id="93"/>
    <w:p>
      <w:pPr>
        <w:jc w:val="right"/>
        <w:ind w:right="1139"/>
        <w:spacing w:after="0"/>
        <w:rPr>
          <w:sz w:val="20"/>
          <w:szCs w:val="20"/>
          <w:color w:val="auto"/>
        </w:rPr>
      </w:pPr>
      <w:r>
        <w:rPr>
          <w:rFonts w:ascii="Arial" w:cs="Arial" w:eastAsia="Arial" w:hAnsi="Arial"/>
          <w:sz w:val="21"/>
          <w:szCs w:val="21"/>
          <w:b w:val="1"/>
          <w:bCs w:val="1"/>
          <w:u w:val="single" w:color="auto"/>
          <w:color w:val="auto"/>
        </w:rPr>
        <w:t>Exhibit A</w:t>
      </w:r>
    </w:p>
    <w:p>
      <w:pPr>
        <w:spacing w:after="0" w:line="245" w:lineRule="exact"/>
        <w:rPr>
          <w:sz w:val="20"/>
          <w:szCs w:val="20"/>
          <w:color w:val="auto"/>
        </w:rPr>
      </w:pPr>
    </w:p>
    <w:p>
      <w:pPr>
        <w:jc w:val="center"/>
        <w:ind w:right="1139"/>
        <w:spacing w:after="0"/>
        <w:rPr>
          <w:sz w:val="20"/>
          <w:szCs w:val="20"/>
          <w:color w:val="auto"/>
        </w:rPr>
      </w:pPr>
      <w:r>
        <w:rPr>
          <w:rFonts w:ascii="Arial" w:cs="Arial" w:eastAsia="Arial" w:hAnsi="Arial"/>
          <w:sz w:val="21"/>
          <w:szCs w:val="21"/>
          <w:b w:val="1"/>
          <w:bCs w:val="1"/>
          <w:color w:val="auto"/>
        </w:rPr>
        <w:t>Examples Illustrating the Determination</w:t>
      </w:r>
    </w:p>
    <w:p>
      <w:pPr>
        <w:spacing w:after="0" w:line="26" w:lineRule="exact"/>
        <w:rPr>
          <w:sz w:val="20"/>
          <w:szCs w:val="20"/>
          <w:color w:val="auto"/>
        </w:rPr>
      </w:pPr>
    </w:p>
    <w:p>
      <w:pPr>
        <w:jc w:val="center"/>
        <w:ind w:right="1139"/>
        <w:spacing w:after="0"/>
        <w:rPr>
          <w:sz w:val="20"/>
          <w:szCs w:val="20"/>
          <w:color w:val="auto"/>
        </w:rPr>
      </w:pPr>
      <w:r>
        <w:rPr>
          <w:rFonts w:ascii="Arial" w:cs="Arial" w:eastAsia="Arial" w:hAnsi="Arial"/>
          <w:sz w:val="21"/>
          <w:szCs w:val="21"/>
          <w:b w:val="1"/>
          <w:bCs w:val="1"/>
          <w:color w:val="auto"/>
        </w:rPr>
        <w:t>of the Vested Percentage of the</w:t>
      </w:r>
    </w:p>
    <w:p>
      <w:pPr>
        <w:spacing w:after="0" w:line="2" w:lineRule="exact"/>
        <w:rPr>
          <w:sz w:val="20"/>
          <w:szCs w:val="20"/>
          <w:color w:val="auto"/>
        </w:rPr>
      </w:pPr>
    </w:p>
    <w:p>
      <w:pPr>
        <w:jc w:val="center"/>
        <w:ind w:right="1139"/>
        <w:spacing w:after="0"/>
        <w:rPr>
          <w:sz w:val="20"/>
          <w:szCs w:val="20"/>
          <w:color w:val="auto"/>
        </w:rPr>
      </w:pPr>
      <w:r>
        <w:rPr>
          <w:rFonts w:ascii="Arial" w:cs="Arial" w:eastAsia="Arial" w:hAnsi="Arial"/>
          <w:sz w:val="21"/>
          <w:szCs w:val="21"/>
          <w:b w:val="1"/>
          <w:bCs w:val="1"/>
          <w:u w:val="single" w:color="auto"/>
          <w:color w:val="auto"/>
        </w:rPr>
        <w:t>Target Number of Restricted Stock Units</w:t>
      </w:r>
    </w:p>
    <w:p>
      <w:pPr>
        <w:spacing w:after="0" w:line="200" w:lineRule="exact"/>
        <w:rPr>
          <w:sz w:val="20"/>
          <w:szCs w:val="20"/>
          <w:color w:val="auto"/>
        </w:rPr>
      </w:pPr>
    </w:p>
    <w:p>
      <w:pPr>
        <w:spacing w:after="0" w:line="270" w:lineRule="exact"/>
        <w:rPr>
          <w:sz w:val="20"/>
          <w:szCs w:val="20"/>
          <w:color w:val="auto"/>
        </w:rPr>
      </w:pPr>
    </w:p>
    <w:p>
      <w:pPr>
        <w:ind w:right="1139" w:firstLine="648"/>
        <w:spacing w:after="0" w:line="277" w:lineRule="auto"/>
        <w:rPr>
          <w:sz w:val="20"/>
          <w:szCs w:val="20"/>
          <w:color w:val="auto"/>
        </w:rPr>
      </w:pPr>
      <w:r>
        <w:rPr>
          <w:rFonts w:ascii="Arial" w:cs="Arial" w:eastAsia="Arial" w:hAnsi="Arial"/>
          <w:sz w:val="19"/>
          <w:szCs w:val="19"/>
          <w:color w:val="auto"/>
        </w:rPr>
        <w:t>The following examples illustrate how the percentage of the target number of restricted stock units is to be determined. The examples assume that Sempra Energy achieves certain total cumulative shareholder returns for the performance period. The vested percentage of your target number of restricted stock units will be determined based on Sempra Energy’s actual cumulative total shareholder return for the performance period as measured at the end of the performance period. No assurance is given that Sempra Energy will achieve the cumulative total shareholder returns shown in the examples.</w:t>
      </w:r>
    </w:p>
    <w:p>
      <w:pPr>
        <w:spacing w:after="0" w:line="148"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Example 1</w:t>
      </w:r>
    </w:p>
    <w:p>
      <w:pPr>
        <w:spacing w:after="0" w:line="218" w:lineRule="exact"/>
        <w:rPr>
          <w:sz w:val="20"/>
          <w:szCs w:val="20"/>
          <w:color w:val="auto"/>
        </w:rPr>
      </w:pPr>
    </w:p>
    <w:p>
      <w:pPr>
        <w:ind w:right="1199" w:firstLine="648"/>
        <w:spacing w:after="0" w:line="294" w:lineRule="auto"/>
        <w:rPr>
          <w:sz w:val="20"/>
          <w:szCs w:val="20"/>
          <w:color w:val="auto"/>
        </w:rPr>
      </w:pPr>
      <w:r>
        <w:rPr>
          <w:rFonts w:ascii="Arial" w:cs="Arial" w:eastAsia="Arial" w:hAnsi="Arial"/>
          <w:sz w:val="18"/>
          <w:szCs w:val="18"/>
          <w:color w:val="auto"/>
        </w:rPr>
        <w:t xml:space="preserve">Sempra Energy’s total cumulative shareholder return for the performance period among the companies (ranked by total shareholder returns) in the </w:t>
      </w:r>
      <w:r>
        <w:rPr>
          <w:rFonts w:ascii="Arial" w:cs="Arial" w:eastAsia="Arial" w:hAnsi="Arial"/>
          <w:sz w:val="18"/>
          <w:szCs w:val="18"/>
          <w:u w:val="single" w:color="auto"/>
          <w:color w:val="auto"/>
        </w:rPr>
        <w:t>S&amp;P 500 Utility Index</w:t>
      </w:r>
      <w:r>
        <w:rPr>
          <w:rFonts w:ascii="Arial" w:cs="Arial" w:eastAsia="Arial" w:hAnsi="Arial"/>
          <w:sz w:val="18"/>
          <w:szCs w:val="18"/>
          <w:color w:val="auto"/>
        </w:rPr>
        <w:t>, as determined and certified by</w:t>
      </w:r>
    </w:p>
    <w:p>
      <w:pPr>
        <w:spacing w:after="0"/>
        <w:rPr>
          <w:sz w:val="20"/>
          <w:szCs w:val="20"/>
          <w:color w:val="auto"/>
        </w:rPr>
      </w:pPr>
      <w:r>
        <w:rPr>
          <w:rFonts w:ascii="Arial" w:cs="Arial" w:eastAsia="Arial" w:hAnsi="Arial"/>
          <w:sz w:val="21"/>
          <w:szCs w:val="21"/>
          <w:color w:val="auto"/>
        </w:rPr>
        <w:t xml:space="preserve">the Compensation Committee, is at the </w:t>
      </w:r>
      <w:r>
        <w:rPr>
          <w:rFonts w:ascii="Arial" w:cs="Arial" w:eastAsia="Arial" w:hAnsi="Arial"/>
          <w:sz w:val="21"/>
          <w:szCs w:val="21"/>
          <w:u w:val="single" w:color="auto"/>
          <w:color w:val="auto"/>
        </w:rPr>
        <w:t>80</w:t>
      </w:r>
      <w:r>
        <w:rPr>
          <w:rFonts w:ascii="Arial" w:cs="Arial" w:eastAsia="Arial" w:hAnsi="Arial"/>
          <w:sz w:val="34"/>
          <w:szCs w:val="34"/>
          <w:u w:val="single" w:color="auto"/>
          <w:color w:val="auto"/>
          <w:vertAlign w:val="superscript"/>
        </w:rPr>
        <w:t>th</w:t>
      </w:r>
      <w:r>
        <w:rPr>
          <w:rFonts w:ascii="Arial" w:cs="Arial" w:eastAsia="Arial" w:hAnsi="Arial"/>
          <w:sz w:val="21"/>
          <w:szCs w:val="21"/>
          <w:color w:val="auto"/>
        </w:rPr>
        <w:t xml:space="preserve"> </w:t>
      </w:r>
      <w:r>
        <w:rPr>
          <w:rFonts w:ascii="Arial" w:cs="Arial" w:eastAsia="Arial" w:hAnsi="Arial"/>
          <w:sz w:val="21"/>
          <w:szCs w:val="21"/>
          <w:u w:val="single" w:color="auto"/>
          <w:color w:val="auto"/>
        </w:rPr>
        <w:t>percentile</w:t>
      </w:r>
      <w:r>
        <w:rPr>
          <w:rFonts w:ascii="Arial" w:cs="Arial" w:eastAsia="Arial" w:hAnsi="Arial"/>
          <w:sz w:val="21"/>
          <w:szCs w:val="21"/>
          <w:color w:val="auto"/>
        </w:rPr>
        <w:t>.</w:t>
      </w:r>
    </w:p>
    <w:p>
      <w:pPr>
        <w:spacing w:after="0" w:line="122" w:lineRule="exact"/>
        <w:rPr>
          <w:sz w:val="20"/>
          <w:szCs w:val="20"/>
          <w:color w:val="auto"/>
        </w:rPr>
      </w:pPr>
    </w:p>
    <w:p>
      <w:pPr>
        <w:ind w:right="1879" w:firstLine="648"/>
        <w:spacing w:after="0" w:line="218" w:lineRule="auto"/>
        <w:rPr>
          <w:sz w:val="20"/>
          <w:szCs w:val="20"/>
          <w:color w:val="auto"/>
        </w:rPr>
      </w:pPr>
      <w:r>
        <w:rPr>
          <w:rFonts w:ascii="Arial" w:cs="Arial" w:eastAsia="Arial" w:hAnsi="Arial"/>
          <w:sz w:val="21"/>
          <w:szCs w:val="21"/>
          <w:color w:val="auto"/>
        </w:rPr>
        <w:t xml:space="preserve">Because Sempra Energy’s cumulative total cumulative shareholder return is </w:t>
      </w:r>
      <w:r>
        <w:rPr>
          <w:rFonts w:ascii="Arial" w:cs="Arial" w:eastAsia="Arial" w:hAnsi="Arial"/>
          <w:sz w:val="21"/>
          <w:szCs w:val="21"/>
          <w:u w:val="single" w:color="auto"/>
          <w:color w:val="auto"/>
        </w:rPr>
        <w:t>above the 75</w:t>
      </w:r>
      <w:r>
        <w:rPr>
          <w:rFonts w:ascii="Arial" w:cs="Arial" w:eastAsia="Arial" w:hAnsi="Arial"/>
          <w:sz w:val="34"/>
          <w:szCs w:val="34"/>
          <w:u w:val="single" w:color="auto"/>
          <w:color w:val="auto"/>
          <w:vertAlign w:val="superscript"/>
        </w:rPr>
        <w:t>th</w:t>
      </w:r>
      <w:r>
        <w:rPr>
          <w:rFonts w:ascii="Arial" w:cs="Arial" w:eastAsia="Arial" w:hAnsi="Arial"/>
          <w:sz w:val="21"/>
          <w:szCs w:val="21"/>
          <w:color w:val="auto"/>
        </w:rPr>
        <w:t xml:space="preserve"> </w:t>
      </w:r>
      <w:r>
        <w:rPr>
          <w:rFonts w:ascii="Arial" w:cs="Arial" w:eastAsia="Arial" w:hAnsi="Arial"/>
          <w:sz w:val="21"/>
          <w:szCs w:val="21"/>
          <w:u w:val="single" w:color="auto"/>
          <w:color w:val="auto"/>
        </w:rPr>
        <w:t>percentile</w:t>
      </w:r>
      <w:r>
        <w:rPr>
          <w:rFonts w:ascii="Arial" w:cs="Arial" w:eastAsia="Arial" w:hAnsi="Arial"/>
          <w:sz w:val="21"/>
          <w:szCs w:val="21"/>
          <w:color w:val="auto"/>
        </w:rPr>
        <w:t>, 150% of the target number of restricted stock units vest. This is the maximum number of restricted stock units under the award.</w:t>
      </w:r>
    </w:p>
    <w:p>
      <w:pPr>
        <w:spacing w:after="0" w:line="184"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Example 2</w:t>
      </w:r>
    </w:p>
    <w:p>
      <w:pPr>
        <w:spacing w:after="0" w:line="218" w:lineRule="exact"/>
        <w:rPr>
          <w:sz w:val="20"/>
          <w:szCs w:val="20"/>
          <w:color w:val="auto"/>
        </w:rPr>
      </w:pPr>
    </w:p>
    <w:p>
      <w:pPr>
        <w:ind w:right="1199" w:firstLine="648"/>
        <w:spacing w:after="0" w:line="294" w:lineRule="auto"/>
        <w:rPr>
          <w:sz w:val="20"/>
          <w:szCs w:val="20"/>
          <w:color w:val="auto"/>
        </w:rPr>
      </w:pPr>
      <w:r>
        <w:rPr>
          <w:rFonts w:ascii="Arial" w:cs="Arial" w:eastAsia="Arial" w:hAnsi="Arial"/>
          <w:sz w:val="18"/>
          <w:szCs w:val="18"/>
          <w:color w:val="auto"/>
        </w:rPr>
        <w:t xml:space="preserve">Sempra Energy’s cumulative total shareholder return for the performance period among the companies (ranked by total shareholder returns) in the </w:t>
      </w:r>
      <w:r>
        <w:rPr>
          <w:rFonts w:ascii="Arial" w:cs="Arial" w:eastAsia="Arial" w:hAnsi="Arial"/>
          <w:sz w:val="18"/>
          <w:szCs w:val="18"/>
          <w:u w:val="single" w:color="auto"/>
          <w:color w:val="auto"/>
        </w:rPr>
        <w:t>S&amp;P 500 Utility Index</w:t>
      </w:r>
      <w:r>
        <w:rPr>
          <w:rFonts w:ascii="Arial" w:cs="Arial" w:eastAsia="Arial" w:hAnsi="Arial"/>
          <w:sz w:val="18"/>
          <w:szCs w:val="18"/>
          <w:color w:val="auto"/>
        </w:rPr>
        <w:t>, as determined and certified by</w:t>
      </w:r>
    </w:p>
    <w:p>
      <w:pPr>
        <w:spacing w:after="0"/>
        <w:rPr>
          <w:sz w:val="20"/>
          <w:szCs w:val="20"/>
          <w:color w:val="auto"/>
        </w:rPr>
      </w:pPr>
      <w:r>
        <w:rPr>
          <w:rFonts w:ascii="Arial" w:cs="Arial" w:eastAsia="Arial" w:hAnsi="Arial"/>
          <w:sz w:val="21"/>
          <w:szCs w:val="21"/>
          <w:color w:val="auto"/>
        </w:rPr>
        <w:t xml:space="preserve">the Compensation Committee, is at the </w:t>
      </w:r>
      <w:r>
        <w:rPr>
          <w:rFonts w:ascii="Arial" w:cs="Arial" w:eastAsia="Arial" w:hAnsi="Arial"/>
          <w:sz w:val="21"/>
          <w:szCs w:val="21"/>
          <w:u w:val="single" w:color="auto"/>
          <w:color w:val="auto"/>
        </w:rPr>
        <w:t>67</w:t>
      </w:r>
      <w:r>
        <w:rPr>
          <w:rFonts w:ascii="Arial" w:cs="Arial" w:eastAsia="Arial" w:hAnsi="Arial"/>
          <w:sz w:val="34"/>
          <w:szCs w:val="34"/>
          <w:u w:val="single" w:color="auto"/>
          <w:color w:val="auto"/>
          <w:vertAlign w:val="superscript"/>
        </w:rPr>
        <w:t>th</w:t>
      </w:r>
      <w:r>
        <w:rPr>
          <w:rFonts w:ascii="Arial" w:cs="Arial" w:eastAsia="Arial" w:hAnsi="Arial"/>
          <w:sz w:val="21"/>
          <w:szCs w:val="21"/>
          <w:color w:val="auto"/>
        </w:rPr>
        <w:t xml:space="preserve"> </w:t>
      </w:r>
      <w:r>
        <w:rPr>
          <w:rFonts w:ascii="Arial" w:cs="Arial" w:eastAsia="Arial" w:hAnsi="Arial"/>
          <w:sz w:val="21"/>
          <w:szCs w:val="21"/>
          <w:u w:val="single" w:color="auto"/>
          <w:color w:val="auto"/>
        </w:rPr>
        <w:t>percentile</w:t>
      </w:r>
      <w:r>
        <w:rPr>
          <w:rFonts w:ascii="Arial" w:cs="Arial" w:eastAsia="Arial" w:hAnsi="Arial"/>
          <w:sz w:val="21"/>
          <w:szCs w:val="21"/>
          <w:color w:val="auto"/>
        </w:rPr>
        <w:t>.</w:t>
      </w:r>
    </w:p>
    <w:p>
      <w:pPr>
        <w:spacing w:after="0" w:line="101" w:lineRule="exact"/>
        <w:rPr>
          <w:sz w:val="20"/>
          <w:szCs w:val="20"/>
          <w:color w:val="auto"/>
        </w:rPr>
      </w:pPr>
    </w:p>
    <w:p>
      <w:pPr>
        <w:ind w:right="1719" w:firstLine="648"/>
        <w:spacing w:after="0" w:line="254" w:lineRule="auto"/>
        <w:rPr>
          <w:sz w:val="20"/>
          <w:szCs w:val="20"/>
          <w:color w:val="auto"/>
        </w:rPr>
      </w:pPr>
      <w:r>
        <w:rPr>
          <w:rFonts w:ascii="Arial" w:cs="Arial" w:eastAsia="Arial" w:hAnsi="Arial"/>
          <w:sz w:val="20"/>
          <w:szCs w:val="20"/>
          <w:color w:val="auto"/>
        </w:rPr>
        <w:t xml:space="preserve">The percentage of the target number of restricted stock units that vest is determined by a linear interpolation between the percentage based on the achievement of the </w:t>
      </w:r>
      <w:r>
        <w:rPr>
          <w:rFonts w:ascii="Arial" w:cs="Arial" w:eastAsia="Arial" w:hAnsi="Arial"/>
          <w:sz w:val="20"/>
          <w:szCs w:val="20"/>
          <w:u w:val="single" w:color="auto"/>
          <w:color w:val="auto"/>
        </w:rPr>
        <w:t>65</w:t>
      </w:r>
      <w:r>
        <w:rPr>
          <w:rFonts w:ascii="Arial" w:cs="Arial" w:eastAsia="Arial" w:hAnsi="Arial"/>
          <w:sz w:val="33"/>
          <w:szCs w:val="33"/>
          <w:u w:val="single" w:color="auto"/>
          <w:color w:val="auto"/>
          <w:vertAlign w:val="superscript"/>
        </w:rPr>
        <w:t>th</w:t>
      </w:r>
      <w:r>
        <w:rPr>
          <w:rFonts w:ascii="Arial" w:cs="Arial" w:eastAsia="Arial" w:hAnsi="Arial"/>
          <w:sz w:val="20"/>
          <w:szCs w:val="20"/>
          <w:color w:val="auto"/>
        </w:rPr>
        <w:t xml:space="preserve"> </w:t>
      </w:r>
      <w:r>
        <w:rPr>
          <w:rFonts w:ascii="Arial" w:cs="Arial" w:eastAsia="Arial" w:hAnsi="Arial"/>
          <w:sz w:val="20"/>
          <w:szCs w:val="20"/>
          <w:u w:val="single" w:color="auto"/>
          <w:color w:val="auto"/>
        </w:rPr>
        <w:t>percentile</w:t>
      </w:r>
      <w:r>
        <w:rPr>
          <w:rFonts w:ascii="Arial" w:cs="Arial" w:eastAsia="Arial" w:hAnsi="Arial"/>
          <w:sz w:val="20"/>
          <w:szCs w:val="20"/>
          <w:color w:val="auto"/>
        </w:rPr>
        <w:t xml:space="preserve"> (130%) and the percentage based on the achievement of the </w:t>
      </w:r>
      <w:r>
        <w:rPr>
          <w:rFonts w:ascii="Arial" w:cs="Arial" w:eastAsia="Arial" w:hAnsi="Arial"/>
          <w:sz w:val="20"/>
          <w:szCs w:val="20"/>
          <w:u w:val="single" w:color="auto"/>
          <w:color w:val="auto"/>
        </w:rPr>
        <w:t>70</w:t>
      </w:r>
      <w:r>
        <w:rPr>
          <w:rFonts w:ascii="Arial" w:cs="Arial" w:eastAsia="Arial" w:hAnsi="Arial"/>
          <w:sz w:val="33"/>
          <w:szCs w:val="33"/>
          <w:u w:val="single" w:color="auto"/>
          <w:color w:val="auto"/>
          <w:vertAlign w:val="superscript"/>
        </w:rPr>
        <w:t>th</w:t>
      </w:r>
      <w:r>
        <w:rPr>
          <w:rFonts w:ascii="Arial" w:cs="Arial" w:eastAsia="Arial" w:hAnsi="Arial"/>
          <w:sz w:val="20"/>
          <w:szCs w:val="20"/>
          <w:color w:val="auto"/>
        </w:rPr>
        <w:t xml:space="preserve"> </w:t>
      </w:r>
      <w:r>
        <w:rPr>
          <w:rFonts w:ascii="Arial" w:cs="Arial" w:eastAsia="Arial" w:hAnsi="Arial"/>
          <w:sz w:val="20"/>
          <w:szCs w:val="20"/>
          <w:u w:val="single" w:color="auto"/>
          <w:color w:val="auto"/>
        </w:rPr>
        <w:t>percentile</w:t>
      </w:r>
      <w:r>
        <w:rPr>
          <w:rFonts w:ascii="Arial" w:cs="Arial" w:eastAsia="Arial" w:hAnsi="Arial"/>
          <w:sz w:val="20"/>
          <w:szCs w:val="20"/>
          <w:color w:val="auto"/>
        </w:rPr>
        <w:t xml:space="preserve"> (140%).</w:t>
      </w:r>
    </w:p>
    <w:p>
      <w:pPr>
        <w:spacing w:after="0" w:line="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percentage is determined as follows:</w:t>
      </w:r>
    </w:p>
    <w:p>
      <w:pPr>
        <w:spacing w:after="0" w:line="229" w:lineRule="exact"/>
        <w:rPr>
          <w:sz w:val="20"/>
          <w:szCs w:val="20"/>
          <w:color w:val="auto"/>
        </w:rPr>
      </w:pPr>
    </w:p>
    <w:p>
      <w:pPr>
        <w:ind w:left="1960" w:hanging="655"/>
        <w:spacing w:after="0"/>
        <w:tabs>
          <w:tab w:leader="none" w:pos="1960" w:val="left"/>
        </w:tabs>
        <w:numPr>
          <w:ilvl w:val="0"/>
          <w:numId w:val="70"/>
        </w:numPr>
        <w:rPr>
          <w:rFonts w:ascii="Arial" w:cs="Arial" w:eastAsia="Arial" w:hAnsi="Arial"/>
          <w:sz w:val="40"/>
          <w:szCs w:val="40"/>
          <w:color w:val="auto"/>
          <w:vertAlign w:val="superscript"/>
        </w:rPr>
      </w:pPr>
      <w:r>
        <w:rPr>
          <w:rFonts w:ascii="Arial" w:cs="Arial" w:eastAsia="Arial" w:hAnsi="Arial"/>
          <w:sz w:val="20"/>
          <w:szCs w:val="20"/>
          <w:color w:val="auto"/>
        </w:rPr>
        <w:t xml:space="preserve">130% (the percentage based on the achievement of the </w:t>
      </w:r>
      <w:r>
        <w:rPr>
          <w:rFonts w:ascii="Arial" w:cs="Arial" w:eastAsia="Arial" w:hAnsi="Arial"/>
          <w:sz w:val="20"/>
          <w:szCs w:val="20"/>
          <w:u w:val="single" w:color="auto"/>
          <w:color w:val="auto"/>
        </w:rPr>
        <w:t>65</w:t>
      </w:r>
      <w:r>
        <w:rPr>
          <w:rFonts w:ascii="Arial" w:cs="Arial" w:eastAsia="Arial" w:hAnsi="Arial"/>
          <w:sz w:val="33"/>
          <w:szCs w:val="33"/>
          <w:u w:val="single" w:color="auto"/>
          <w:color w:val="auto"/>
          <w:vertAlign w:val="superscript"/>
        </w:rPr>
        <w:t>th</w:t>
      </w:r>
      <w:r>
        <w:rPr>
          <w:rFonts w:ascii="Arial" w:cs="Arial" w:eastAsia="Arial" w:hAnsi="Arial"/>
          <w:sz w:val="20"/>
          <w:szCs w:val="20"/>
          <w:color w:val="auto"/>
        </w:rPr>
        <w:t xml:space="preserve"> </w:t>
      </w:r>
      <w:r>
        <w:rPr>
          <w:rFonts w:ascii="Arial" w:cs="Arial" w:eastAsia="Arial" w:hAnsi="Arial"/>
          <w:sz w:val="20"/>
          <w:szCs w:val="20"/>
          <w:u w:val="single" w:color="auto"/>
          <w:color w:val="auto"/>
        </w:rPr>
        <w:t>percentile</w:t>
      </w:r>
      <w:r>
        <w:rPr>
          <w:rFonts w:ascii="Arial" w:cs="Arial" w:eastAsia="Arial" w:hAnsi="Arial"/>
          <w:sz w:val="20"/>
          <w:szCs w:val="20"/>
          <w:color w:val="auto"/>
        </w:rPr>
        <w:t>), plus</w:t>
      </w:r>
    </w:p>
    <w:p>
      <w:pPr>
        <w:spacing w:after="0" w:line="69" w:lineRule="exact"/>
        <w:rPr>
          <w:rFonts w:ascii="Arial" w:cs="Arial" w:eastAsia="Arial" w:hAnsi="Arial"/>
          <w:sz w:val="40"/>
          <w:szCs w:val="40"/>
          <w:color w:val="auto"/>
          <w:vertAlign w:val="superscript"/>
        </w:rPr>
      </w:pPr>
    </w:p>
    <w:p>
      <w:pPr>
        <w:ind w:left="660" w:right="1479" w:firstLine="645"/>
        <w:spacing w:after="0" w:line="270" w:lineRule="auto"/>
        <w:tabs>
          <w:tab w:leader="none" w:pos="1957" w:val="left"/>
        </w:tabs>
        <w:numPr>
          <w:ilvl w:val="0"/>
          <w:numId w:val="70"/>
        </w:numPr>
        <w:rPr>
          <w:rFonts w:ascii="Arial" w:cs="Arial" w:eastAsia="Arial" w:hAnsi="Arial"/>
          <w:sz w:val="34"/>
          <w:szCs w:val="34"/>
          <w:color w:val="auto"/>
          <w:vertAlign w:val="superscript"/>
        </w:rPr>
      </w:pPr>
      <w:r>
        <w:rPr>
          <w:rFonts w:ascii="Arial" w:cs="Arial" w:eastAsia="Arial" w:hAnsi="Arial"/>
          <w:sz w:val="18"/>
          <w:szCs w:val="18"/>
          <w:color w:val="auto"/>
        </w:rPr>
        <w:t xml:space="preserve">10% (the percentage based on the achievement of the </w:t>
      </w:r>
      <w:r>
        <w:rPr>
          <w:rFonts w:ascii="Arial" w:cs="Arial" w:eastAsia="Arial" w:hAnsi="Arial"/>
          <w:sz w:val="18"/>
          <w:szCs w:val="18"/>
          <w:u w:val="single" w:color="auto"/>
          <w:color w:val="auto"/>
        </w:rPr>
        <w:t>75</w:t>
      </w:r>
      <w:r>
        <w:rPr>
          <w:rFonts w:ascii="Arial" w:cs="Arial" w:eastAsia="Arial" w:hAnsi="Arial"/>
          <w:sz w:val="28"/>
          <w:szCs w:val="28"/>
          <w:u w:val="single" w:color="auto"/>
          <w:color w:val="auto"/>
          <w:vertAlign w:val="superscript"/>
        </w:rPr>
        <w:t>th</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percentile</w:t>
      </w:r>
      <w:r>
        <w:rPr>
          <w:rFonts w:ascii="Arial" w:cs="Arial" w:eastAsia="Arial" w:hAnsi="Arial"/>
          <w:sz w:val="18"/>
          <w:szCs w:val="18"/>
          <w:color w:val="auto"/>
        </w:rPr>
        <w:t xml:space="preserve">, less the percentage based on the achievement of the </w:t>
      </w:r>
      <w:r>
        <w:rPr>
          <w:rFonts w:ascii="Arial" w:cs="Arial" w:eastAsia="Arial" w:hAnsi="Arial"/>
          <w:sz w:val="18"/>
          <w:szCs w:val="18"/>
          <w:u w:val="single" w:color="auto"/>
          <w:color w:val="auto"/>
        </w:rPr>
        <w:t>65</w:t>
      </w:r>
      <w:r>
        <w:rPr>
          <w:rFonts w:ascii="Arial" w:cs="Arial" w:eastAsia="Arial" w:hAnsi="Arial"/>
          <w:sz w:val="28"/>
          <w:szCs w:val="28"/>
          <w:u w:val="single" w:color="auto"/>
          <w:color w:val="auto"/>
          <w:vertAlign w:val="superscript"/>
        </w:rPr>
        <w:t>th</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percentile</w:t>
      </w:r>
      <w:r>
        <w:rPr>
          <w:rFonts w:ascii="Arial" w:cs="Arial" w:eastAsia="Arial" w:hAnsi="Arial"/>
          <w:sz w:val="18"/>
          <w:szCs w:val="18"/>
          <w:color w:val="auto"/>
        </w:rPr>
        <w:t>), multiplied by an interpolation factor.</w:t>
      </w:r>
    </w:p>
    <w:p>
      <w:pPr>
        <w:spacing w:after="0" w:line="15" w:lineRule="exact"/>
        <w:rPr>
          <w:sz w:val="20"/>
          <w:szCs w:val="20"/>
          <w:color w:val="auto"/>
        </w:rPr>
      </w:pPr>
    </w:p>
    <w:p>
      <w:pPr>
        <w:ind w:right="1219" w:firstLine="648"/>
        <w:spacing w:after="0" w:line="233" w:lineRule="auto"/>
        <w:rPr>
          <w:sz w:val="20"/>
          <w:szCs w:val="20"/>
          <w:color w:val="auto"/>
        </w:rPr>
      </w:pPr>
      <w:r>
        <w:rPr>
          <w:rFonts w:ascii="Arial" w:cs="Arial" w:eastAsia="Arial" w:hAnsi="Arial"/>
          <w:sz w:val="21"/>
          <w:szCs w:val="21"/>
          <w:color w:val="auto"/>
        </w:rPr>
        <w:t>The interpolation factor equals (67</w:t>
      </w:r>
      <w:r>
        <w:rPr>
          <w:rFonts w:ascii="Arial" w:cs="Arial" w:eastAsia="Arial" w:hAnsi="Arial"/>
          <w:sz w:val="34"/>
          <w:szCs w:val="34"/>
          <w:color w:val="auto"/>
          <w:vertAlign w:val="superscript"/>
        </w:rPr>
        <w:t>th</w:t>
      </w:r>
      <w:r>
        <w:rPr>
          <w:rFonts w:ascii="Arial" w:cs="Arial" w:eastAsia="Arial" w:hAnsi="Arial"/>
          <w:sz w:val="21"/>
          <w:szCs w:val="21"/>
          <w:color w:val="auto"/>
        </w:rPr>
        <w:t xml:space="preserve"> percentile, less 65</w:t>
      </w:r>
      <w:r>
        <w:rPr>
          <w:rFonts w:ascii="Arial" w:cs="Arial" w:eastAsia="Arial" w:hAnsi="Arial"/>
          <w:sz w:val="34"/>
          <w:szCs w:val="34"/>
          <w:color w:val="auto"/>
          <w:vertAlign w:val="superscript"/>
        </w:rPr>
        <w:t>th</w:t>
      </w:r>
      <w:r>
        <w:rPr>
          <w:rFonts w:ascii="Arial" w:cs="Arial" w:eastAsia="Arial" w:hAnsi="Arial"/>
          <w:sz w:val="21"/>
          <w:szCs w:val="21"/>
          <w:color w:val="auto"/>
        </w:rPr>
        <w:t xml:space="preserve"> percentile), divided by (70</w:t>
      </w:r>
      <w:r>
        <w:rPr>
          <w:rFonts w:ascii="Arial" w:cs="Arial" w:eastAsia="Arial" w:hAnsi="Arial"/>
          <w:sz w:val="34"/>
          <w:szCs w:val="34"/>
          <w:color w:val="auto"/>
          <w:vertAlign w:val="superscript"/>
        </w:rPr>
        <w:t>th</w:t>
      </w:r>
      <w:r>
        <w:rPr>
          <w:rFonts w:ascii="Arial" w:cs="Arial" w:eastAsia="Arial" w:hAnsi="Arial"/>
          <w:sz w:val="21"/>
          <w:szCs w:val="21"/>
          <w:color w:val="auto"/>
        </w:rPr>
        <w:t xml:space="preserve"> percentile, less 65</w:t>
      </w:r>
      <w:r>
        <w:rPr>
          <w:rFonts w:ascii="Arial" w:cs="Arial" w:eastAsia="Arial" w:hAnsi="Arial"/>
          <w:sz w:val="34"/>
          <w:szCs w:val="34"/>
          <w:color w:val="auto"/>
          <w:vertAlign w:val="superscript"/>
        </w:rPr>
        <w:t>th</w:t>
      </w:r>
      <w:r>
        <w:rPr>
          <w:rFonts w:ascii="Arial" w:cs="Arial" w:eastAsia="Arial" w:hAnsi="Arial"/>
          <w:sz w:val="21"/>
          <w:szCs w:val="21"/>
          <w:color w:val="auto"/>
        </w:rPr>
        <w:t xml:space="preserve"> percentile), or two fifths (2/5).</w:t>
      </w:r>
    </w:p>
    <w:p>
      <w:pPr>
        <w:spacing w:after="0" w:line="78" w:lineRule="exact"/>
        <w:rPr>
          <w:sz w:val="20"/>
          <w:szCs w:val="20"/>
          <w:color w:val="auto"/>
        </w:rPr>
      </w:pPr>
    </w:p>
    <w:p>
      <w:pPr>
        <w:ind w:right="1459" w:firstLine="648"/>
        <w:spacing w:after="0" w:line="218" w:lineRule="auto"/>
        <w:rPr>
          <w:sz w:val="20"/>
          <w:szCs w:val="20"/>
          <w:color w:val="auto"/>
        </w:rPr>
      </w:pPr>
      <w:r>
        <w:rPr>
          <w:rFonts w:ascii="Arial" w:cs="Arial" w:eastAsia="Arial" w:hAnsi="Arial"/>
          <w:sz w:val="21"/>
          <w:szCs w:val="21"/>
          <w:color w:val="auto"/>
        </w:rPr>
        <w:t xml:space="preserve">The percentage based on the achievement of the </w:t>
      </w:r>
      <w:r>
        <w:rPr>
          <w:rFonts w:ascii="Arial" w:cs="Arial" w:eastAsia="Arial" w:hAnsi="Arial"/>
          <w:sz w:val="21"/>
          <w:szCs w:val="21"/>
          <w:u w:val="single" w:color="auto"/>
          <w:color w:val="auto"/>
        </w:rPr>
        <w:t>67</w:t>
      </w:r>
      <w:r>
        <w:rPr>
          <w:rFonts w:ascii="Arial" w:cs="Arial" w:eastAsia="Arial" w:hAnsi="Arial"/>
          <w:sz w:val="34"/>
          <w:szCs w:val="34"/>
          <w:u w:val="single" w:color="auto"/>
          <w:color w:val="auto"/>
          <w:vertAlign w:val="superscript"/>
        </w:rPr>
        <w:t>th</w:t>
      </w:r>
      <w:r>
        <w:rPr>
          <w:rFonts w:ascii="Arial" w:cs="Arial" w:eastAsia="Arial" w:hAnsi="Arial"/>
          <w:sz w:val="21"/>
          <w:szCs w:val="21"/>
          <w:color w:val="auto"/>
        </w:rPr>
        <w:t xml:space="preserve"> </w:t>
      </w:r>
      <w:r>
        <w:rPr>
          <w:rFonts w:ascii="Arial" w:cs="Arial" w:eastAsia="Arial" w:hAnsi="Arial"/>
          <w:sz w:val="21"/>
          <w:szCs w:val="21"/>
          <w:u w:val="single" w:color="auto"/>
          <w:color w:val="auto"/>
        </w:rPr>
        <w:t>percentile</w:t>
      </w:r>
      <w:r>
        <w:rPr>
          <w:rFonts w:ascii="Arial" w:cs="Arial" w:eastAsia="Arial" w:hAnsi="Arial"/>
          <w:sz w:val="21"/>
          <w:szCs w:val="21"/>
          <w:color w:val="auto"/>
        </w:rPr>
        <w:t xml:space="preserve"> equals: (a) 130%, plus (b) 10%, multiplied by 2/5, or 134%. Based on Sempra Energy’s cumulative total shareholder return, 134% of the target number of restricted stock units vest.</w:t>
      </w:r>
    </w:p>
    <w:p>
      <w:pPr>
        <w:spacing w:after="0" w:line="184"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Example 3</w:t>
      </w:r>
    </w:p>
    <w:p>
      <w:pPr>
        <w:spacing w:after="0" w:line="204" w:lineRule="exact"/>
        <w:rPr>
          <w:sz w:val="20"/>
          <w:szCs w:val="20"/>
          <w:color w:val="auto"/>
        </w:rPr>
      </w:pPr>
    </w:p>
    <w:p>
      <w:pPr>
        <w:ind w:right="1199" w:firstLine="648"/>
        <w:spacing w:after="0" w:line="253" w:lineRule="auto"/>
        <w:rPr>
          <w:sz w:val="20"/>
          <w:szCs w:val="20"/>
          <w:color w:val="auto"/>
        </w:rPr>
      </w:pPr>
      <w:r>
        <w:rPr>
          <w:rFonts w:ascii="Arial" w:cs="Arial" w:eastAsia="Arial" w:hAnsi="Arial"/>
          <w:sz w:val="21"/>
          <w:szCs w:val="21"/>
          <w:color w:val="auto"/>
        </w:rPr>
        <w:t xml:space="preserve">Sempra Energy’s cumulative total shareholder return for the performance period among the companies (ranked by total shareholder returns) in the </w:t>
      </w:r>
      <w:r>
        <w:rPr>
          <w:rFonts w:ascii="Arial" w:cs="Arial" w:eastAsia="Arial" w:hAnsi="Arial"/>
          <w:sz w:val="21"/>
          <w:szCs w:val="21"/>
          <w:u w:val="single" w:color="auto"/>
          <w:color w:val="auto"/>
        </w:rPr>
        <w:t>S&amp;P 500 Utility Index</w:t>
      </w:r>
      <w:r>
        <w:rPr>
          <w:rFonts w:ascii="Arial" w:cs="Arial" w:eastAsia="Arial" w:hAnsi="Arial"/>
          <w:sz w:val="21"/>
          <w:szCs w:val="21"/>
          <w:color w:val="auto"/>
        </w:rPr>
        <w:t xml:space="preserve">, as determined and certified by the Compensation Committee, is at the </w:t>
      </w:r>
      <w:r>
        <w:rPr>
          <w:rFonts w:ascii="Arial" w:cs="Arial" w:eastAsia="Arial" w:hAnsi="Arial"/>
          <w:sz w:val="21"/>
          <w:szCs w:val="21"/>
          <w:u w:val="single" w:color="auto"/>
          <w:color w:val="auto"/>
        </w:rPr>
        <w:t>45th percentile</w:t>
      </w:r>
      <w:r>
        <w:rPr>
          <w:rFonts w:ascii="Arial" w:cs="Arial" w:eastAsia="Arial" w:hAnsi="Arial"/>
          <w:sz w:val="21"/>
          <w:szCs w:val="21"/>
          <w:color w:val="auto"/>
        </w:rPr>
        <w:t>.</w:t>
      </w:r>
    </w:p>
    <w:p>
      <w:pPr>
        <w:spacing w:after="0" w:line="182" w:lineRule="exact"/>
        <w:rPr>
          <w:sz w:val="20"/>
          <w:szCs w:val="20"/>
          <w:color w:val="auto"/>
        </w:rPr>
      </w:pPr>
    </w:p>
    <w:p>
      <w:pPr>
        <w:ind w:right="1839" w:firstLine="648"/>
        <w:spacing w:after="0" w:line="294" w:lineRule="auto"/>
        <w:rPr>
          <w:sz w:val="20"/>
          <w:szCs w:val="20"/>
          <w:color w:val="auto"/>
        </w:rPr>
      </w:pPr>
      <w:r>
        <w:rPr>
          <w:rFonts w:ascii="Arial" w:cs="Arial" w:eastAsia="Arial" w:hAnsi="Arial"/>
          <w:sz w:val="18"/>
          <w:szCs w:val="18"/>
          <w:color w:val="auto"/>
        </w:rPr>
        <w:t xml:space="preserve">Sempra Energy’s cumulative total shareholder return for the performance period among the companies (ranked by total shareholder returns) in the </w:t>
      </w:r>
      <w:r>
        <w:rPr>
          <w:rFonts w:ascii="Arial" w:cs="Arial" w:eastAsia="Arial" w:hAnsi="Arial"/>
          <w:sz w:val="18"/>
          <w:szCs w:val="18"/>
          <w:u w:val="single" w:color="auto"/>
          <w:color w:val="auto"/>
        </w:rPr>
        <w:t>S&amp;P 500 Composite Index</w:t>
      </w:r>
      <w:r>
        <w:rPr>
          <w:rFonts w:ascii="Arial" w:cs="Arial" w:eastAsia="Arial" w:hAnsi="Arial"/>
          <w:sz w:val="18"/>
          <w:szCs w:val="18"/>
          <w:color w:val="auto"/>
        </w:rPr>
        <w:t>, as determined and</w:t>
      </w:r>
    </w:p>
    <w:p>
      <w:pPr>
        <w:spacing w:after="0"/>
        <w:rPr>
          <w:sz w:val="20"/>
          <w:szCs w:val="20"/>
          <w:color w:val="auto"/>
        </w:rPr>
      </w:pPr>
      <w:r>
        <w:rPr>
          <w:rFonts w:ascii="Arial" w:cs="Arial" w:eastAsia="Arial" w:hAnsi="Arial"/>
          <w:sz w:val="21"/>
          <w:szCs w:val="21"/>
          <w:color w:val="auto"/>
        </w:rPr>
        <w:t xml:space="preserve">certified by the Compensation, is </w:t>
      </w:r>
      <w:r>
        <w:rPr>
          <w:rFonts w:ascii="Arial" w:cs="Arial" w:eastAsia="Arial" w:hAnsi="Arial"/>
          <w:sz w:val="21"/>
          <w:szCs w:val="21"/>
          <w:u w:val="single" w:color="auto"/>
          <w:color w:val="auto"/>
        </w:rPr>
        <w:t>at or above</w:t>
      </w:r>
      <w:r>
        <w:rPr>
          <w:rFonts w:ascii="Arial" w:cs="Arial" w:eastAsia="Arial" w:hAnsi="Arial"/>
          <w:sz w:val="21"/>
          <w:szCs w:val="21"/>
          <w:color w:val="auto"/>
        </w:rPr>
        <w:t xml:space="preserve"> the </w:t>
      </w:r>
      <w:r>
        <w:rPr>
          <w:rFonts w:ascii="Arial" w:cs="Arial" w:eastAsia="Arial" w:hAnsi="Arial"/>
          <w:sz w:val="21"/>
          <w:szCs w:val="21"/>
          <w:u w:val="single" w:color="auto"/>
          <w:color w:val="auto"/>
        </w:rPr>
        <w:t>50</w:t>
      </w:r>
      <w:r>
        <w:rPr>
          <w:rFonts w:ascii="Arial" w:cs="Arial" w:eastAsia="Arial" w:hAnsi="Arial"/>
          <w:sz w:val="34"/>
          <w:szCs w:val="34"/>
          <w:u w:val="single" w:color="auto"/>
          <w:color w:val="auto"/>
          <w:vertAlign w:val="superscript"/>
        </w:rPr>
        <w:t>th</w:t>
      </w:r>
      <w:r>
        <w:rPr>
          <w:rFonts w:ascii="Arial" w:cs="Arial" w:eastAsia="Arial" w:hAnsi="Arial"/>
          <w:sz w:val="21"/>
          <w:szCs w:val="21"/>
          <w:color w:val="auto"/>
        </w:rPr>
        <w:t xml:space="preserve"> </w:t>
      </w:r>
      <w:r>
        <w:rPr>
          <w:rFonts w:ascii="Arial" w:cs="Arial" w:eastAsia="Arial" w:hAnsi="Arial"/>
          <w:sz w:val="21"/>
          <w:szCs w:val="21"/>
          <w:u w:val="single" w:color="auto"/>
          <w:color w:val="auto"/>
        </w:rPr>
        <w:t>percentile</w:t>
      </w:r>
      <w:r>
        <w:rPr>
          <w:rFonts w:ascii="Arial" w:cs="Arial" w:eastAsia="Arial" w:hAnsi="Arial"/>
          <w:sz w:val="21"/>
          <w:szCs w:val="21"/>
          <w:color w:val="auto"/>
        </w:rPr>
        <w:t>.</w:t>
      </w:r>
    </w:p>
    <w:p>
      <w:pPr>
        <w:spacing w:after="0" w:line="122" w:lineRule="exact"/>
        <w:rPr>
          <w:sz w:val="20"/>
          <w:szCs w:val="20"/>
          <w:color w:val="auto"/>
        </w:rPr>
      </w:pPr>
    </w:p>
    <w:p>
      <w:pPr>
        <w:ind w:right="1199" w:firstLine="648"/>
        <w:spacing w:after="0" w:line="223" w:lineRule="auto"/>
        <w:rPr>
          <w:sz w:val="20"/>
          <w:szCs w:val="20"/>
          <w:color w:val="auto"/>
        </w:rPr>
      </w:pPr>
      <w:r>
        <w:rPr>
          <w:rFonts w:ascii="Arial" w:cs="Arial" w:eastAsia="Arial" w:hAnsi="Arial"/>
          <w:sz w:val="21"/>
          <w:szCs w:val="21"/>
          <w:color w:val="auto"/>
        </w:rPr>
        <w:t xml:space="preserve">Because Sempra Energy’s cumulative total shareholder return is at the </w:t>
      </w:r>
      <w:r>
        <w:rPr>
          <w:rFonts w:ascii="Arial" w:cs="Arial" w:eastAsia="Arial" w:hAnsi="Arial"/>
          <w:sz w:val="21"/>
          <w:szCs w:val="21"/>
          <w:u w:val="single" w:color="auto"/>
          <w:color w:val="auto"/>
        </w:rPr>
        <w:t>45</w:t>
      </w:r>
      <w:r>
        <w:rPr>
          <w:rFonts w:ascii="Arial" w:cs="Arial" w:eastAsia="Arial" w:hAnsi="Arial"/>
          <w:sz w:val="34"/>
          <w:szCs w:val="34"/>
          <w:u w:val="single" w:color="auto"/>
          <w:color w:val="auto"/>
          <w:vertAlign w:val="superscript"/>
        </w:rPr>
        <w:t>th</w:t>
      </w:r>
      <w:r>
        <w:rPr>
          <w:rFonts w:ascii="Arial" w:cs="Arial" w:eastAsia="Arial" w:hAnsi="Arial"/>
          <w:sz w:val="21"/>
          <w:szCs w:val="21"/>
          <w:color w:val="auto"/>
        </w:rPr>
        <w:t xml:space="preserve"> </w:t>
      </w:r>
      <w:r>
        <w:rPr>
          <w:rFonts w:ascii="Arial" w:cs="Arial" w:eastAsia="Arial" w:hAnsi="Arial"/>
          <w:sz w:val="21"/>
          <w:szCs w:val="21"/>
          <w:u w:val="single" w:color="auto"/>
          <w:color w:val="auto"/>
        </w:rPr>
        <w:t>percentile</w:t>
      </w:r>
      <w:r>
        <w:rPr>
          <w:rFonts w:ascii="Arial" w:cs="Arial" w:eastAsia="Arial" w:hAnsi="Arial"/>
          <w:sz w:val="21"/>
          <w:szCs w:val="21"/>
          <w:color w:val="auto"/>
        </w:rPr>
        <w:t xml:space="preserve"> when ranked among the companies in the </w:t>
      </w:r>
      <w:r>
        <w:rPr>
          <w:rFonts w:ascii="Arial" w:cs="Arial" w:eastAsia="Arial" w:hAnsi="Arial"/>
          <w:sz w:val="21"/>
          <w:szCs w:val="21"/>
          <w:u w:val="single" w:color="auto"/>
          <w:color w:val="auto"/>
        </w:rPr>
        <w:t>S&amp;P 500 Utility Index</w:t>
      </w:r>
      <w:r>
        <w:rPr>
          <w:rFonts w:ascii="Arial" w:cs="Arial" w:eastAsia="Arial" w:hAnsi="Arial"/>
          <w:sz w:val="21"/>
          <w:szCs w:val="21"/>
          <w:color w:val="auto"/>
        </w:rPr>
        <w:t xml:space="preserve">, 70% of the target number of restricted stock units would vest (before taking into account Sempra Energy’s performance among the companies in the </w:t>
      </w:r>
      <w:r>
        <w:rPr>
          <w:rFonts w:ascii="Arial" w:cs="Arial" w:eastAsia="Arial" w:hAnsi="Arial"/>
          <w:sz w:val="21"/>
          <w:szCs w:val="21"/>
          <w:u w:val="single" w:color="auto"/>
          <w:color w:val="auto"/>
        </w:rPr>
        <w:t>S&amp;P 500</w:t>
      </w:r>
      <w:r>
        <w:rPr>
          <w:rFonts w:ascii="Arial" w:cs="Arial" w:eastAsia="Arial" w:hAnsi="Arial"/>
          <w:sz w:val="21"/>
          <w:szCs w:val="21"/>
          <w:color w:val="auto"/>
        </w:rPr>
        <w:t xml:space="preserve"> </w:t>
      </w:r>
      <w:r>
        <w:rPr>
          <w:rFonts w:ascii="Arial" w:cs="Arial" w:eastAsia="Arial" w:hAnsi="Arial"/>
          <w:sz w:val="21"/>
          <w:szCs w:val="21"/>
          <w:u w:val="single" w:color="auto"/>
          <w:color w:val="auto"/>
        </w:rPr>
        <w:t>Composite Index</w:t>
      </w:r>
      <w:r>
        <w:rPr>
          <w:rFonts w:ascii="Arial" w:cs="Arial" w:eastAsia="Arial" w:hAnsi="Arial"/>
          <w:sz w:val="21"/>
          <w:szCs w:val="21"/>
          <w:color w:val="auto"/>
        </w:rPr>
        <w:t>).</w:t>
      </w:r>
    </w:p>
    <w:p>
      <w:pPr>
        <w:spacing w:after="0" w:line="206" w:lineRule="exact"/>
        <w:rPr>
          <w:sz w:val="20"/>
          <w:szCs w:val="20"/>
          <w:color w:val="auto"/>
        </w:rPr>
      </w:pPr>
    </w:p>
    <w:p>
      <w:pPr>
        <w:ind w:right="1319" w:firstLine="648"/>
        <w:spacing w:after="0" w:line="218" w:lineRule="auto"/>
        <w:rPr>
          <w:sz w:val="20"/>
          <w:szCs w:val="20"/>
          <w:color w:val="auto"/>
        </w:rPr>
      </w:pPr>
      <w:r>
        <w:rPr>
          <w:rFonts w:ascii="Arial" w:cs="Arial" w:eastAsia="Arial" w:hAnsi="Arial"/>
          <w:sz w:val="21"/>
          <w:szCs w:val="21"/>
          <w:color w:val="auto"/>
        </w:rPr>
        <w:t xml:space="preserve">However, because Sempra Energy’s cumulative total shareholder return is </w:t>
      </w:r>
      <w:r>
        <w:rPr>
          <w:rFonts w:ascii="Arial" w:cs="Arial" w:eastAsia="Arial" w:hAnsi="Arial"/>
          <w:sz w:val="21"/>
          <w:szCs w:val="21"/>
          <w:u w:val="single" w:color="auto"/>
          <w:color w:val="auto"/>
        </w:rPr>
        <w:t>at or above the 50</w:t>
      </w:r>
      <w:r>
        <w:rPr>
          <w:rFonts w:ascii="Arial" w:cs="Arial" w:eastAsia="Arial" w:hAnsi="Arial"/>
          <w:sz w:val="34"/>
          <w:szCs w:val="34"/>
          <w:u w:val="single" w:color="auto"/>
          <w:color w:val="auto"/>
          <w:vertAlign w:val="superscript"/>
        </w:rPr>
        <w:t>th</w:t>
      </w:r>
      <w:r>
        <w:rPr>
          <w:rFonts w:ascii="Arial" w:cs="Arial" w:eastAsia="Arial" w:hAnsi="Arial"/>
          <w:sz w:val="21"/>
          <w:szCs w:val="21"/>
          <w:color w:val="auto"/>
        </w:rPr>
        <w:t xml:space="preserve"> </w:t>
      </w:r>
      <w:r>
        <w:rPr>
          <w:rFonts w:ascii="Arial" w:cs="Arial" w:eastAsia="Arial" w:hAnsi="Arial"/>
          <w:sz w:val="21"/>
          <w:szCs w:val="21"/>
          <w:u w:val="single" w:color="auto"/>
          <w:color w:val="auto"/>
        </w:rPr>
        <w:t>percentile</w:t>
      </w:r>
      <w:r>
        <w:rPr>
          <w:rFonts w:ascii="Arial" w:cs="Arial" w:eastAsia="Arial" w:hAnsi="Arial"/>
          <w:sz w:val="21"/>
          <w:szCs w:val="21"/>
          <w:color w:val="auto"/>
        </w:rPr>
        <w:t xml:space="preserve"> when ranked among the companies in the </w:t>
      </w:r>
      <w:r>
        <w:rPr>
          <w:rFonts w:ascii="Arial" w:cs="Arial" w:eastAsia="Arial" w:hAnsi="Arial"/>
          <w:sz w:val="21"/>
          <w:szCs w:val="21"/>
          <w:u w:val="single" w:color="auto"/>
          <w:color w:val="auto"/>
        </w:rPr>
        <w:t>S&amp;P 500 Composite Index</w:t>
      </w:r>
      <w:r>
        <w:rPr>
          <w:rFonts w:ascii="Arial" w:cs="Arial" w:eastAsia="Arial" w:hAnsi="Arial"/>
          <w:sz w:val="21"/>
          <w:szCs w:val="21"/>
          <w:color w:val="auto"/>
        </w:rPr>
        <w:t>, 100% of the target number of restricted stock units vest.</w:t>
      </w:r>
    </w:p>
    <w:p>
      <w:pPr>
        <w:sectPr>
          <w:pgSz w:w="11900" w:h="16838" w:orient="portrait"/>
          <w:cols w:equalWidth="0" w:num="1">
            <w:col w:w="10219"/>
          </w:cols>
          <w:pgMar w:left="240" w:top="120" w:right="1440" w:bottom="0" w:gutter="0" w:footer="0" w:header="0"/>
        </w:sectPr>
      </w:pPr>
    </w:p>
    <w:bookmarkStart w:id="94" w:name="page95"/>
    <w:bookmarkEnd w:id="94"/>
    <w:p>
      <w:pPr>
        <w:spacing w:after="0"/>
        <w:rPr>
          <w:sz w:val="20"/>
          <w:szCs w:val="20"/>
          <w:color w:val="auto"/>
        </w:rPr>
      </w:pPr>
      <w:r>
        <w:rPr>
          <w:rFonts w:ascii="Arial" w:cs="Arial" w:eastAsia="Arial" w:hAnsi="Arial"/>
          <w:sz w:val="21"/>
          <w:szCs w:val="21"/>
          <w:u w:val="single" w:color="auto"/>
          <w:color w:val="auto"/>
        </w:rPr>
        <w:t>Example 4</w:t>
      </w:r>
    </w:p>
    <w:p>
      <w:pPr>
        <w:spacing w:after="0" w:line="204" w:lineRule="exact"/>
        <w:rPr>
          <w:sz w:val="20"/>
          <w:szCs w:val="20"/>
          <w:color w:val="auto"/>
        </w:rPr>
      </w:pPr>
    </w:p>
    <w:p>
      <w:pPr>
        <w:ind w:right="1199" w:firstLine="648"/>
        <w:spacing w:after="0" w:line="253" w:lineRule="auto"/>
        <w:rPr>
          <w:sz w:val="20"/>
          <w:szCs w:val="20"/>
          <w:color w:val="auto"/>
        </w:rPr>
      </w:pPr>
      <w:r>
        <w:rPr>
          <w:rFonts w:ascii="Arial" w:cs="Arial" w:eastAsia="Arial" w:hAnsi="Arial"/>
          <w:sz w:val="21"/>
          <w:szCs w:val="21"/>
          <w:color w:val="auto"/>
        </w:rPr>
        <w:t xml:space="preserve">Sempra Energy’s cumulative total shareholder return for the performance period among the companies (ranked by total shareholder returns) in the </w:t>
      </w:r>
      <w:r>
        <w:rPr>
          <w:rFonts w:ascii="Arial" w:cs="Arial" w:eastAsia="Arial" w:hAnsi="Arial"/>
          <w:sz w:val="21"/>
          <w:szCs w:val="21"/>
          <w:u w:val="single" w:color="auto"/>
          <w:color w:val="auto"/>
        </w:rPr>
        <w:t>S&amp;P 500 Utility Index</w:t>
      </w:r>
      <w:r>
        <w:rPr>
          <w:rFonts w:ascii="Arial" w:cs="Arial" w:eastAsia="Arial" w:hAnsi="Arial"/>
          <w:sz w:val="21"/>
          <w:szCs w:val="21"/>
          <w:color w:val="auto"/>
        </w:rPr>
        <w:t xml:space="preserve">, as determined and certified by the Compensation Committee, is at the </w:t>
      </w:r>
      <w:r>
        <w:rPr>
          <w:rFonts w:ascii="Arial" w:cs="Arial" w:eastAsia="Arial" w:hAnsi="Arial"/>
          <w:sz w:val="21"/>
          <w:szCs w:val="21"/>
          <w:u w:val="single" w:color="auto"/>
          <w:color w:val="auto"/>
        </w:rPr>
        <w:t>30th percentile</w:t>
      </w:r>
      <w:r>
        <w:rPr>
          <w:rFonts w:ascii="Arial" w:cs="Arial" w:eastAsia="Arial" w:hAnsi="Arial"/>
          <w:sz w:val="21"/>
          <w:szCs w:val="21"/>
          <w:color w:val="auto"/>
        </w:rPr>
        <w:t>.</w:t>
      </w:r>
    </w:p>
    <w:p>
      <w:pPr>
        <w:spacing w:after="0" w:line="182" w:lineRule="exact"/>
        <w:rPr>
          <w:sz w:val="20"/>
          <w:szCs w:val="20"/>
          <w:color w:val="auto"/>
        </w:rPr>
      </w:pPr>
    </w:p>
    <w:p>
      <w:pPr>
        <w:ind w:right="1539" w:firstLine="648"/>
        <w:spacing w:after="0" w:line="271" w:lineRule="auto"/>
        <w:rPr>
          <w:sz w:val="20"/>
          <w:szCs w:val="20"/>
          <w:color w:val="auto"/>
        </w:rPr>
      </w:pPr>
      <w:r>
        <w:rPr>
          <w:rFonts w:ascii="Arial" w:cs="Arial" w:eastAsia="Arial" w:hAnsi="Arial"/>
          <w:sz w:val="20"/>
          <w:szCs w:val="20"/>
          <w:color w:val="auto"/>
        </w:rPr>
        <w:t xml:space="preserve">Also, Sempra Energy’s total shareholder return for the performance period among the companies (ranked by cumulative total shareholder returns) in the </w:t>
      </w:r>
      <w:r>
        <w:rPr>
          <w:rFonts w:ascii="Arial" w:cs="Arial" w:eastAsia="Arial" w:hAnsi="Arial"/>
          <w:sz w:val="20"/>
          <w:szCs w:val="20"/>
          <w:u w:val="single" w:color="auto"/>
          <w:color w:val="auto"/>
        </w:rPr>
        <w:t>S&amp;P 500 Composite Index</w:t>
      </w:r>
      <w:r>
        <w:rPr>
          <w:rFonts w:ascii="Arial" w:cs="Arial" w:eastAsia="Arial" w:hAnsi="Arial"/>
          <w:sz w:val="20"/>
          <w:szCs w:val="20"/>
          <w:color w:val="auto"/>
        </w:rPr>
        <w:t xml:space="preserve">, as determined and certified by the Compensation Committee, is </w:t>
      </w:r>
      <w:r>
        <w:rPr>
          <w:rFonts w:ascii="Arial" w:cs="Arial" w:eastAsia="Arial" w:hAnsi="Arial"/>
          <w:sz w:val="20"/>
          <w:szCs w:val="20"/>
          <w:u w:val="single" w:color="auto"/>
          <w:color w:val="auto"/>
        </w:rPr>
        <w:t>below the 50th percentile</w:t>
      </w:r>
      <w:r>
        <w:rPr>
          <w:rFonts w:ascii="Arial" w:cs="Arial" w:eastAsia="Arial" w:hAnsi="Arial"/>
          <w:sz w:val="20"/>
          <w:szCs w:val="20"/>
          <w:color w:val="auto"/>
        </w:rPr>
        <w:t>.</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Because Sempra Energy’s total shareholder return for the performance period among companies in</w:t>
      </w:r>
    </w:p>
    <w:p>
      <w:pPr>
        <w:spacing w:after="0" w:line="57" w:lineRule="exact"/>
        <w:rPr>
          <w:sz w:val="20"/>
          <w:szCs w:val="20"/>
          <w:color w:val="auto"/>
        </w:rPr>
      </w:pPr>
    </w:p>
    <w:p>
      <w:pPr>
        <w:ind w:right="1499"/>
        <w:spacing w:after="0" w:line="210" w:lineRule="auto"/>
        <w:rPr>
          <w:sz w:val="20"/>
          <w:szCs w:val="20"/>
          <w:color w:val="auto"/>
        </w:rPr>
      </w:pPr>
      <w:r>
        <w:rPr>
          <w:rFonts w:ascii="Arial" w:cs="Arial" w:eastAsia="Arial" w:hAnsi="Arial"/>
          <w:sz w:val="21"/>
          <w:szCs w:val="21"/>
          <w:color w:val="auto"/>
        </w:rPr>
        <w:t xml:space="preserve">the </w:t>
      </w:r>
      <w:r>
        <w:rPr>
          <w:rFonts w:ascii="Arial" w:cs="Arial" w:eastAsia="Arial" w:hAnsi="Arial"/>
          <w:sz w:val="21"/>
          <w:szCs w:val="21"/>
          <w:u w:val="single" w:color="auto"/>
          <w:color w:val="auto"/>
        </w:rPr>
        <w:t>S&amp;P 500 Utility Index</w:t>
      </w:r>
      <w:r>
        <w:rPr>
          <w:rFonts w:ascii="Arial" w:cs="Arial" w:eastAsia="Arial" w:hAnsi="Arial"/>
          <w:sz w:val="21"/>
          <w:szCs w:val="21"/>
          <w:color w:val="auto"/>
        </w:rPr>
        <w:t xml:space="preserve"> is </w:t>
      </w:r>
      <w:r>
        <w:rPr>
          <w:rFonts w:ascii="Arial" w:cs="Arial" w:eastAsia="Arial" w:hAnsi="Arial"/>
          <w:sz w:val="21"/>
          <w:szCs w:val="21"/>
          <w:u w:val="single" w:color="auto"/>
          <w:color w:val="auto"/>
        </w:rPr>
        <w:t>below the 35</w:t>
      </w:r>
      <w:r>
        <w:rPr>
          <w:rFonts w:ascii="Arial" w:cs="Arial" w:eastAsia="Arial" w:hAnsi="Arial"/>
          <w:sz w:val="34"/>
          <w:szCs w:val="34"/>
          <w:u w:val="single" w:color="auto"/>
          <w:color w:val="auto"/>
          <w:vertAlign w:val="superscript"/>
        </w:rPr>
        <w:t>th</w:t>
      </w:r>
      <w:r>
        <w:rPr>
          <w:rFonts w:ascii="Arial" w:cs="Arial" w:eastAsia="Arial" w:hAnsi="Arial"/>
          <w:sz w:val="21"/>
          <w:szCs w:val="21"/>
          <w:color w:val="auto"/>
        </w:rPr>
        <w:t xml:space="preserve"> </w:t>
      </w:r>
      <w:r>
        <w:rPr>
          <w:rFonts w:ascii="Arial" w:cs="Arial" w:eastAsia="Arial" w:hAnsi="Arial"/>
          <w:sz w:val="21"/>
          <w:szCs w:val="21"/>
          <w:u w:val="single" w:color="auto"/>
          <w:color w:val="auto"/>
        </w:rPr>
        <w:t>percentile</w:t>
      </w:r>
      <w:r>
        <w:rPr>
          <w:rFonts w:ascii="Arial" w:cs="Arial" w:eastAsia="Arial" w:hAnsi="Arial"/>
          <w:sz w:val="21"/>
          <w:szCs w:val="21"/>
          <w:color w:val="auto"/>
        </w:rPr>
        <w:t>, none of the target number of restricted stock units vest.</w:t>
      </w:r>
    </w:p>
    <w:p>
      <w:pPr>
        <w:sectPr>
          <w:pgSz w:w="11900" w:h="16838" w:orient="portrait"/>
          <w:cols w:equalWidth="0" w:num="1">
            <w:col w:w="10219"/>
          </w:cols>
          <w:pgMar w:left="240" w:top="126" w:right="1440" w:bottom="1440" w:gutter="0" w:footer="0" w:header="0"/>
        </w:sectPr>
      </w:pPr>
    </w:p>
    <w:bookmarkStart w:id="95" w:name="page96"/>
    <w:bookmarkEnd w:id="95"/>
    <w:p>
      <w:pPr>
        <w:jc w:val="center"/>
        <w:ind w:right="499"/>
        <w:spacing w:after="0"/>
        <w:rPr>
          <w:sz w:val="20"/>
          <w:szCs w:val="20"/>
          <w:color w:val="auto"/>
        </w:rPr>
      </w:pPr>
      <w:r>
        <w:rPr>
          <w:rFonts w:ascii="Arial" w:cs="Arial" w:eastAsia="Arial" w:hAnsi="Arial"/>
          <w:sz w:val="18"/>
          <w:szCs w:val="18"/>
          <w:b w:val="1"/>
          <w:bCs w:val="1"/>
          <w:color w:val="auto"/>
        </w:rPr>
        <w:t>EXHIBIT 12.1</w:t>
      </w:r>
    </w:p>
    <w:p>
      <w:pPr>
        <w:spacing w:after="0" w:line="32"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SEMPRA ENERGY</w:t>
      </w:r>
    </w:p>
    <w:p>
      <w:pPr>
        <w:spacing w:after="0" w:line="2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COMPUTATION OF RATIO OF EARNINGS TO COMBINED FIXED CHARGES</w:t>
      </w:r>
    </w:p>
    <w:p>
      <w:pPr>
        <w:spacing w:after="0" w:line="2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AND PREFERRED STOCK DIVIDENDS</w:t>
      </w:r>
    </w:p>
    <w:p>
      <w:pPr>
        <w:spacing w:after="0" w:line="2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(Dollars in millions)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March 31,</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19"/>
                <w:szCs w:val="19"/>
                <w:color w:val="auto"/>
              </w:rPr>
            </w:pP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2005</w:t>
            </w:r>
          </w:p>
        </w:tc>
        <w:tc>
          <w:tcPr>
            <w:tcW w:w="1100" w:type="dxa"/>
            <w:vAlign w:val="bottom"/>
            <w:gridSpan w:val="2"/>
          </w:tcPr>
          <w:p>
            <w:pPr>
              <w:jc w:val="right"/>
              <w:ind w:right="190"/>
              <w:spacing w:after="0"/>
              <w:rPr>
                <w:sz w:val="20"/>
                <w:szCs w:val="20"/>
                <w:color w:val="auto"/>
              </w:rPr>
            </w:pPr>
            <w:r>
              <w:rPr>
                <w:rFonts w:ascii="Arial" w:cs="Arial" w:eastAsia="Arial" w:hAnsi="Arial"/>
                <w:sz w:val="18"/>
                <w:szCs w:val="18"/>
                <w:color w:val="auto"/>
              </w:rPr>
              <w:t>2006</w:t>
            </w:r>
          </w:p>
        </w:tc>
        <w:tc>
          <w:tcPr>
            <w:tcW w:w="1080" w:type="dxa"/>
            <w:vAlign w:val="bottom"/>
            <w:gridSpan w:val="2"/>
          </w:tcPr>
          <w:p>
            <w:pPr>
              <w:jc w:val="right"/>
              <w:ind w:right="190"/>
              <w:spacing w:after="0"/>
              <w:rPr>
                <w:sz w:val="20"/>
                <w:szCs w:val="20"/>
                <w:color w:val="auto"/>
              </w:rPr>
            </w:pPr>
            <w:r>
              <w:rPr>
                <w:rFonts w:ascii="Arial" w:cs="Arial" w:eastAsia="Arial" w:hAnsi="Arial"/>
                <w:sz w:val="18"/>
                <w:szCs w:val="18"/>
                <w:color w:val="auto"/>
              </w:rPr>
              <w:t>2007</w:t>
            </w:r>
          </w:p>
        </w:tc>
        <w:tc>
          <w:tcPr>
            <w:tcW w:w="1100" w:type="dxa"/>
            <w:vAlign w:val="bottom"/>
            <w:gridSpan w:val="2"/>
          </w:tcPr>
          <w:p>
            <w:pPr>
              <w:jc w:val="right"/>
              <w:ind w:right="190"/>
              <w:spacing w:after="0"/>
              <w:rPr>
                <w:sz w:val="20"/>
                <w:szCs w:val="20"/>
                <w:color w:val="auto"/>
              </w:rPr>
            </w:pPr>
            <w:r>
              <w:rPr>
                <w:rFonts w:ascii="Arial" w:cs="Arial" w:eastAsia="Arial" w:hAnsi="Arial"/>
                <w:sz w:val="18"/>
                <w:szCs w:val="18"/>
                <w:color w:val="auto"/>
              </w:rPr>
              <w:t>2008</w:t>
            </w:r>
          </w:p>
        </w:tc>
        <w:tc>
          <w:tcPr>
            <w:tcW w:w="1100" w:type="dxa"/>
            <w:vAlign w:val="bottom"/>
            <w:gridSpan w:val="2"/>
          </w:tcPr>
          <w:p>
            <w:pPr>
              <w:jc w:val="right"/>
              <w:ind w:right="170"/>
              <w:spacing w:after="0"/>
              <w:rPr>
                <w:sz w:val="20"/>
                <w:szCs w:val="20"/>
                <w:color w:val="auto"/>
              </w:rPr>
            </w:pPr>
            <w:r>
              <w:rPr>
                <w:rFonts w:ascii="Arial" w:cs="Arial" w:eastAsia="Arial" w:hAnsi="Arial"/>
                <w:sz w:val="18"/>
                <w:szCs w:val="18"/>
                <w:color w:val="auto"/>
              </w:rPr>
              <w:t>2009</w:t>
            </w:r>
          </w:p>
        </w:tc>
        <w:tc>
          <w:tcPr>
            <w:tcW w:w="1140" w:type="dxa"/>
            <w:vAlign w:val="bottom"/>
            <w:gridSpan w:val="2"/>
          </w:tcPr>
          <w:p>
            <w:pPr>
              <w:jc w:val="right"/>
              <w:ind w:right="19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09"/>
        </w:trPr>
        <w:tc>
          <w:tcPr>
            <w:tcW w:w="3280" w:type="dxa"/>
            <w:vAlign w:val="bottom"/>
          </w:tcPr>
          <w:p>
            <w:pPr>
              <w:spacing w:after="0"/>
              <w:rPr>
                <w:sz w:val="20"/>
                <w:szCs w:val="20"/>
                <w:color w:val="auto"/>
              </w:rPr>
            </w:pPr>
            <w:r>
              <w:rPr>
                <w:rFonts w:ascii="Arial" w:cs="Arial" w:eastAsia="Arial" w:hAnsi="Arial"/>
                <w:sz w:val="18"/>
                <w:szCs w:val="18"/>
                <w:color w:val="auto"/>
              </w:rPr>
              <w:t>Fixed charges and preferred stock</w:t>
            </w:r>
          </w:p>
        </w:tc>
        <w:tc>
          <w:tcPr>
            <w:tcW w:w="9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80" w:type="dxa"/>
            <w:vAlign w:val="bottom"/>
          </w:tcPr>
          <w:p>
            <w:pPr>
              <w:ind w:left="260"/>
              <w:spacing w:after="0"/>
              <w:rPr>
                <w:sz w:val="20"/>
                <w:szCs w:val="20"/>
                <w:color w:val="auto"/>
              </w:rPr>
            </w:pPr>
            <w:r>
              <w:rPr>
                <w:rFonts w:ascii="Arial" w:cs="Arial" w:eastAsia="Arial" w:hAnsi="Arial"/>
                <w:sz w:val="18"/>
                <w:szCs w:val="18"/>
                <w:color w:val="auto"/>
              </w:rPr>
              <w:t>dividends:</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Interest</w:t>
            </w:r>
          </w:p>
        </w:tc>
        <w:tc>
          <w:tcPr>
            <w:tcW w:w="920" w:type="dxa"/>
            <w:vAlign w:val="bottom"/>
          </w:tcPr>
          <w:p>
            <w:pPr>
              <w:jc w:val="right"/>
              <w:spacing w:after="0"/>
              <w:rPr>
                <w:sz w:val="20"/>
                <w:szCs w:val="20"/>
                <w:color w:val="auto"/>
              </w:rPr>
            </w:pPr>
            <w:r>
              <w:rPr>
                <w:rFonts w:ascii="Arial" w:cs="Arial" w:eastAsia="Arial" w:hAnsi="Arial"/>
                <w:sz w:val="18"/>
                <w:szCs w:val="18"/>
                <w:color w:val="auto"/>
              </w:rPr>
              <w:t>$ 342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$ 413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$ 379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$ 353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$ 455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$ 121</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Interest portion of annual rentals</w:t>
            </w: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Preferred dividends of subsidiaries (1)</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3280" w:type="dxa"/>
            <w:vAlign w:val="bottom"/>
          </w:tcPr>
          <w:p>
            <w:pPr>
              <w:ind w:left="240"/>
              <w:spacing w:after="0"/>
              <w:rPr>
                <w:sz w:val="20"/>
                <w:szCs w:val="20"/>
                <w:color w:val="auto"/>
              </w:rPr>
            </w:pPr>
            <w:r>
              <w:rPr>
                <w:rFonts w:ascii="Arial" w:cs="Arial" w:eastAsia="Arial" w:hAnsi="Arial"/>
                <w:sz w:val="18"/>
                <w:szCs w:val="18"/>
                <w:color w:val="auto"/>
              </w:rPr>
              <w:t>Total fixed charges</w:t>
            </w:r>
          </w:p>
        </w:tc>
        <w:tc>
          <w:tcPr>
            <w:tcW w:w="920" w:type="dxa"/>
            <w:vAlign w:val="bottom"/>
          </w:tcPr>
          <w:p>
            <w:pPr>
              <w:jc w:val="right"/>
              <w:spacing w:after="0"/>
              <w:rPr>
                <w:sz w:val="20"/>
                <w:szCs w:val="20"/>
                <w:color w:val="auto"/>
              </w:rPr>
            </w:pPr>
            <w:r>
              <w:rPr>
                <w:rFonts w:ascii="Arial" w:cs="Arial" w:eastAsia="Arial" w:hAnsi="Arial"/>
                <w:sz w:val="18"/>
                <w:szCs w:val="18"/>
                <w:color w:val="auto"/>
              </w:rPr>
              <w:t>357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434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399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369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470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5"/>
        </w:trPr>
        <w:tc>
          <w:tcPr>
            <w:tcW w:w="3280" w:type="dxa"/>
            <w:vAlign w:val="bottom"/>
          </w:tcPr>
          <w:p>
            <w:pPr>
              <w:spacing w:after="0"/>
              <w:rPr>
                <w:sz w:val="20"/>
                <w:szCs w:val="20"/>
                <w:color w:val="auto"/>
              </w:rPr>
            </w:pPr>
            <w:r>
              <w:rPr>
                <w:rFonts w:ascii="Arial" w:cs="Arial" w:eastAsia="Arial" w:hAnsi="Arial"/>
                <w:sz w:val="18"/>
                <w:szCs w:val="18"/>
                <w:color w:val="auto"/>
              </w:rPr>
              <w:t>Preferred dividends for purpose of</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80" w:type="dxa"/>
            <w:vAlign w:val="bottom"/>
          </w:tcPr>
          <w:p>
            <w:pPr>
              <w:ind w:left="260"/>
              <w:spacing w:after="0"/>
              <w:rPr>
                <w:sz w:val="20"/>
                <w:szCs w:val="20"/>
                <w:color w:val="auto"/>
              </w:rPr>
            </w:pPr>
            <w:r>
              <w:rPr>
                <w:rFonts w:ascii="Arial" w:cs="Arial" w:eastAsia="Arial" w:hAnsi="Arial"/>
                <w:sz w:val="18"/>
                <w:szCs w:val="18"/>
                <w:color w:val="auto"/>
              </w:rPr>
              <w:t>ratio</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5"/>
        </w:trPr>
        <w:tc>
          <w:tcPr>
            <w:tcW w:w="3280" w:type="dxa"/>
            <w:vAlign w:val="bottom"/>
          </w:tcPr>
          <w:p>
            <w:pPr>
              <w:spacing w:after="0" w:line="195" w:lineRule="exact"/>
              <w:rPr>
                <w:sz w:val="20"/>
                <w:szCs w:val="20"/>
                <w:color w:val="auto"/>
              </w:rPr>
            </w:pPr>
            <w:r>
              <w:rPr>
                <w:rFonts w:ascii="Arial" w:cs="Arial" w:eastAsia="Arial" w:hAnsi="Arial"/>
                <w:sz w:val="18"/>
                <w:szCs w:val="18"/>
                <w:color w:val="auto"/>
              </w:rPr>
              <w:t>Total fixed charges and preferred</w:t>
            </w:r>
          </w:p>
        </w:tc>
        <w:tc>
          <w:tcPr>
            <w:tcW w:w="9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280" w:type="dxa"/>
            <w:vAlign w:val="bottom"/>
          </w:tcPr>
          <w:p>
            <w:pPr>
              <w:ind w:left="260"/>
              <w:spacing w:after="0"/>
              <w:rPr>
                <w:sz w:val="20"/>
                <w:szCs w:val="20"/>
                <w:color w:val="auto"/>
              </w:rPr>
            </w:pPr>
            <w:r>
              <w:rPr>
                <w:rFonts w:ascii="Arial" w:cs="Arial" w:eastAsia="Arial" w:hAnsi="Arial"/>
                <w:sz w:val="18"/>
                <w:szCs w:val="18"/>
                <w:color w:val="auto"/>
              </w:rPr>
              <w:t>dividends for purpose of ratio</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$ 357</w:t>
            </w:r>
          </w:p>
        </w:tc>
        <w:tc>
          <w:tcPr>
            <w:tcW w:w="1100" w:type="dxa"/>
            <w:vAlign w:val="bottom"/>
            <w:gridSpan w:val="2"/>
            <w:vMerge w:val="restart"/>
          </w:tcPr>
          <w:p>
            <w:pPr>
              <w:jc w:val="right"/>
              <w:spacing w:after="0"/>
              <w:rPr>
                <w:sz w:val="20"/>
                <w:szCs w:val="20"/>
                <w:color w:val="auto"/>
              </w:rPr>
            </w:pPr>
            <w:r>
              <w:rPr>
                <w:rFonts w:ascii="Arial" w:cs="Arial" w:eastAsia="Arial" w:hAnsi="Arial"/>
                <w:sz w:val="18"/>
                <w:szCs w:val="18"/>
                <w:color w:val="auto"/>
              </w:rPr>
              <w:t>$ 434</w:t>
            </w:r>
          </w:p>
        </w:tc>
        <w:tc>
          <w:tcPr>
            <w:tcW w:w="1080" w:type="dxa"/>
            <w:vAlign w:val="bottom"/>
            <w:gridSpan w:val="2"/>
            <w:vMerge w:val="restart"/>
          </w:tcPr>
          <w:p>
            <w:pPr>
              <w:jc w:val="right"/>
              <w:spacing w:after="0"/>
              <w:rPr>
                <w:sz w:val="20"/>
                <w:szCs w:val="20"/>
                <w:color w:val="auto"/>
              </w:rPr>
            </w:pPr>
            <w:r>
              <w:rPr>
                <w:rFonts w:ascii="Arial" w:cs="Arial" w:eastAsia="Arial" w:hAnsi="Arial"/>
                <w:sz w:val="18"/>
                <w:szCs w:val="18"/>
                <w:color w:val="auto"/>
              </w:rPr>
              <w:t>$ 399</w:t>
            </w:r>
          </w:p>
        </w:tc>
        <w:tc>
          <w:tcPr>
            <w:tcW w:w="1100" w:type="dxa"/>
            <w:vAlign w:val="bottom"/>
            <w:gridSpan w:val="2"/>
            <w:vMerge w:val="restart"/>
          </w:tcPr>
          <w:p>
            <w:pPr>
              <w:jc w:val="right"/>
              <w:spacing w:after="0"/>
              <w:rPr>
                <w:sz w:val="20"/>
                <w:szCs w:val="20"/>
                <w:color w:val="auto"/>
              </w:rPr>
            </w:pPr>
            <w:r>
              <w:rPr>
                <w:rFonts w:ascii="Arial" w:cs="Arial" w:eastAsia="Arial" w:hAnsi="Arial"/>
                <w:sz w:val="18"/>
                <w:szCs w:val="18"/>
                <w:color w:val="auto"/>
              </w:rPr>
              <w:t>$ 369</w:t>
            </w:r>
          </w:p>
        </w:tc>
        <w:tc>
          <w:tcPr>
            <w:tcW w:w="1100" w:type="dxa"/>
            <w:vAlign w:val="bottom"/>
            <w:gridSpan w:val="2"/>
            <w:vMerge w:val="restart"/>
          </w:tcPr>
          <w:p>
            <w:pPr>
              <w:jc w:val="right"/>
              <w:spacing w:after="0"/>
              <w:rPr>
                <w:sz w:val="20"/>
                <w:szCs w:val="20"/>
                <w:color w:val="auto"/>
              </w:rPr>
            </w:pPr>
            <w:r>
              <w:rPr>
                <w:rFonts w:ascii="Arial" w:cs="Arial" w:eastAsia="Arial" w:hAnsi="Arial"/>
                <w:sz w:val="18"/>
                <w:szCs w:val="18"/>
                <w:color w:val="auto"/>
              </w:rPr>
              <w:t>$ 470</w:t>
            </w:r>
          </w:p>
        </w:tc>
        <w:tc>
          <w:tcPr>
            <w:tcW w:w="1140" w:type="dxa"/>
            <w:vAlign w:val="bottom"/>
            <w:gridSpan w:val="2"/>
            <w:vMerge w:val="restart"/>
          </w:tcPr>
          <w:p>
            <w:pPr>
              <w:jc w:val="right"/>
              <w:spacing w:after="0"/>
              <w:rPr>
                <w:sz w:val="20"/>
                <w:szCs w:val="20"/>
                <w:color w:val="auto"/>
              </w:rPr>
            </w:pPr>
            <w:r>
              <w:rPr>
                <w:rFonts w:ascii="Arial" w:cs="Arial" w:eastAsia="Arial" w:hAnsi="Arial"/>
                <w:sz w:val="18"/>
                <w:szCs w:val="18"/>
                <w:color w:val="auto"/>
              </w:rPr>
              <w:t>$ 126</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Arial" w:cs="Arial" w:eastAsia="Arial" w:hAnsi="Arial"/>
                <w:sz w:val="18"/>
                <w:szCs w:val="18"/>
                <w:color w:val="auto"/>
              </w:rPr>
              <w:t>Earnings:</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280" w:type="dxa"/>
            <w:vAlign w:val="bottom"/>
            <w:vMerge w:val="continue"/>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280" w:type="dxa"/>
            <w:vAlign w:val="bottom"/>
          </w:tcPr>
          <w:p>
            <w:pPr>
              <w:spacing w:after="0"/>
              <w:rPr>
                <w:sz w:val="20"/>
                <w:szCs w:val="20"/>
                <w:color w:val="auto"/>
              </w:rPr>
            </w:pPr>
            <w:r>
              <w:rPr>
                <w:rFonts w:ascii="Arial" w:cs="Arial" w:eastAsia="Arial" w:hAnsi="Arial"/>
                <w:sz w:val="18"/>
                <w:szCs w:val="18"/>
                <w:color w:val="auto"/>
              </w:rPr>
              <w:t>Pretax income from continuing</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80" w:type="dxa"/>
            <w:vAlign w:val="bottom"/>
          </w:tcPr>
          <w:p>
            <w:pPr>
              <w:ind w:left="260"/>
              <w:spacing w:after="0" w:line="202" w:lineRule="exact"/>
              <w:rPr>
                <w:sz w:val="20"/>
                <w:szCs w:val="20"/>
                <w:color w:val="auto"/>
              </w:rPr>
            </w:pPr>
            <w:r>
              <w:rPr>
                <w:rFonts w:ascii="Arial" w:cs="Arial" w:eastAsia="Arial" w:hAnsi="Arial"/>
                <w:sz w:val="18"/>
                <w:szCs w:val="18"/>
                <w:color w:val="auto"/>
              </w:rPr>
              <w:t>operations before adjustment for</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tcPr>
          <w:p>
            <w:pPr>
              <w:ind w:left="260"/>
              <w:spacing w:after="0" w:line="202" w:lineRule="exact"/>
              <w:rPr>
                <w:sz w:val="20"/>
                <w:szCs w:val="20"/>
                <w:color w:val="auto"/>
              </w:rPr>
            </w:pPr>
            <w:r>
              <w:rPr>
                <w:rFonts w:ascii="Arial" w:cs="Arial" w:eastAsia="Arial" w:hAnsi="Arial"/>
                <w:sz w:val="18"/>
                <w:szCs w:val="18"/>
                <w:color w:val="auto"/>
              </w:rPr>
              <w:t>income or loss from equity</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280" w:type="dxa"/>
            <w:vAlign w:val="bottom"/>
          </w:tcPr>
          <w:p>
            <w:pPr>
              <w:ind w:left="260"/>
              <w:spacing w:after="0"/>
              <w:rPr>
                <w:sz w:val="20"/>
                <w:szCs w:val="20"/>
                <w:color w:val="auto"/>
              </w:rPr>
            </w:pPr>
            <w:r>
              <w:rPr>
                <w:rFonts w:ascii="Arial" w:cs="Arial" w:eastAsia="Arial" w:hAnsi="Arial"/>
                <w:sz w:val="18"/>
                <w:szCs w:val="18"/>
                <w:color w:val="auto"/>
              </w:rPr>
              <w:t>investees</w:t>
            </w:r>
          </w:p>
        </w:tc>
        <w:tc>
          <w:tcPr>
            <w:tcW w:w="920" w:type="dxa"/>
            <w:vAlign w:val="bottom"/>
          </w:tcPr>
          <w:p>
            <w:pPr>
              <w:jc w:val="right"/>
              <w:spacing w:after="0"/>
              <w:rPr>
                <w:sz w:val="20"/>
                <w:szCs w:val="20"/>
                <w:color w:val="auto"/>
              </w:rPr>
            </w:pPr>
            <w:r>
              <w:rPr>
                <w:rFonts w:ascii="Arial" w:cs="Arial" w:eastAsia="Arial" w:hAnsi="Arial"/>
                <w:sz w:val="18"/>
                <w:szCs w:val="18"/>
                <w:color w:val="auto"/>
              </w:rPr>
              <w:t>$ 891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$ 1,579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$ 1,538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$ 1,009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$ 977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$ 124</w:t>
            </w:r>
          </w:p>
        </w:tc>
        <w:tc>
          <w:tcPr>
            <w:tcW w:w="0" w:type="dxa"/>
            <w:vAlign w:val="bottom"/>
          </w:tcPr>
          <w:p>
            <w:pPr>
              <w:spacing w:after="0"/>
              <w:rPr>
                <w:sz w:val="1"/>
                <w:szCs w:val="1"/>
                <w:color w:val="auto"/>
              </w:rPr>
            </w:pPr>
          </w:p>
        </w:tc>
      </w:tr>
      <w:tr>
        <w:trPr>
          <w:trHeight w:val="243"/>
        </w:trPr>
        <w:tc>
          <w:tcPr>
            <w:tcW w:w="3280" w:type="dxa"/>
            <w:vAlign w:val="bottom"/>
          </w:tcPr>
          <w:p>
            <w:pPr>
              <w:spacing w:after="0"/>
              <w:rPr>
                <w:sz w:val="20"/>
                <w:szCs w:val="20"/>
                <w:color w:val="auto"/>
              </w:rPr>
            </w:pPr>
            <w:r>
              <w:rPr>
                <w:rFonts w:ascii="Arial" w:cs="Arial" w:eastAsia="Arial" w:hAnsi="Arial"/>
                <w:sz w:val="18"/>
                <w:szCs w:val="18"/>
                <w:color w:val="auto"/>
              </w:rPr>
              <w:t>Add:</w:t>
            </w: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100"/>
              <w:spacing w:after="0"/>
              <w:rPr>
                <w:sz w:val="20"/>
                <w:szCs w:val="20"/>
                <w:color w:val="auto"/>
              </w:rPr>
            </w:pPr>
            <w:r>
              <w:rPr>
                <w:rFonts w:ascii="Arial" w:cs="Arial" w:eastAsia="Arial" w:hAnsi="Arial"/>
                <w:sz w:val="18"/>
                <w:szCs w:val="18"/>
                <w:color w:val="auto"/>
              </w:rPr>
              <w:t>Total fixed charges (from above)</w:t>
            </w:r>
          </w:p>
        </w:tc>
        <w:tc>
          <w:tcPr>
            <w:tcW w:w="920" w:type="dxa"/>
            <w:vAlign w:val="bottom"/>
          </w:tcPr>
          <w:p>
            <w:pPr>
              <w:jc w:val="right"/>
              <w:spacing w:after="0"/>
              <w:rPr>
                <w:sz w:val="20"/>
                <w:szCs w:val="20"/>
                <w:color w:val="auto"/>
              </w:rPr>
            </w:pPr>
            <w:r>
              <w:rPr>
                <w:rFonts w:ascii="Arial" w:cs="Arial" w:eastAsia="Arial" w:hAnsi="Arial"/>
                <w:sz w:val="18"/>
                <w:szCs w:val="18"/>
                <w:color w:val="auto"/>
              </w:rPr>
              <w:t>357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434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399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369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470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5"/>
        </w:trPr>
        <w:tc>
          <w:tcPr>
            <w:tcW w:w="3280" w:type="dxa"/>
            <w:vAlign w:val="bottom"/>
          </w:tcPr>
          <w:p>
            <w:pPr>
              <w:ind w:left="100"/>
              <w:spacing w:after="0"/>
              <w:rPr>
                <w:sz w:val="20"/>
                <w:szCs w:val="20"/>
                <w:color w:val="auto"/>
              </w:rPr>
            </w:pPr>
            <w:r>
              <w:rPr>
                <w:rFonts w:ascii="Arial" w:cs="Arial" w:eastAsia="Arial" w:hAnsi="Arial"/>
                <w:sz w:val="18"/>
                <w:szCs w:val="18"/>
                <w:color w:val="auto"/>
              </w:rPr>
              <w:t>Distributed income of equity</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80" w:type="dxa"/>
            <w:vAlign w:val="bottom"/>
          </w:tcPr>
          <w:p>
            <w:pPr>
              <w:ind w:left="260"/>
              <w:spacing w:after="0"/>
              <w:rPr>
                <w:sz w:val="20"/>
                <w:szCs w:val="20"/>
                <w:color w:val="auto"/>
              </w:rPr>
            </w:pPr>
            <w:r>
              <w:rPr>
                <w:rFonts w:ascii="Arial" w:cs="Arial" w:eastAsia="Arial" w:hAnsi="Arial"/>
                <w:sz w:val="18"/>
                <w:szCs w:val="18"/>
                <w:color w:val="auto"/>
              </w:rPr>
              <w:t>investees</w:t>
            </w:r>
          </w:p>
        </w:tc>
        <w:tc>
          <w:tcPr>
            <w:tcW w:w="920" w:type="dxa"/>
            <w:vAlign w:val="bottom"/>
          </w:tcPr>
          <w:p>
            <w:pPr>
              <w:jc w:val="right"/>
              <w:spacing w:after="0"/>
              <w:rPr>
                <w:sz w:val="20"/>
                <w:szCs w:val="20"/>
                <w:color w:val="auto"/>
              </w:rPr>
            </w:pPr>
            <w:r>
              <w:rPr>
                <w:rFonts w:ascii="Arial" w:cs="Arial" w:eastAsia="Arial" w:hAnsi="Arial"/>
                <w:sz w:val="18"/>
                <w:szCs w:val="18"/>
                <w:color w:val="auto"/>
              </w:rPr>
              <w:t>73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431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133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493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Less:</w:t>
      </w:r>
    </w:p>
    <w:p>
      <w:pPr>
        <w:sectPr>
          <w:pgSz w:w="11900" w:h="16838" w:orient="portrait"/>
          <w:cols w:equalWidth="0" w:num="1">
            <w:col w:w="10199"/>
          </w:cols>
          <w:pgMar w:left="260" w:top="886" w:right="1440" w:bottom="1440" w:gutter="0" w:footer="0" w:header="0"/>
        </w:sectPr>
      </w:pP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Interest capitalized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Preferred dividends of subsidiaries</w:t>
      </w:r>
    </w:p>
    <w:p>
      <w:pPr>
        <w:spacing w:after="0" w:line="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Total earnings for purpose of ratio</w:t>
      </w:r>
    </w:p>
    <w:p>
      <w:pPr>
        <w:spacing w:after="0" w:line="23" w:lineRule="exact"/>
        <w:rPr>
          <w:sz w:val="20"/>
          <w:szCs w:val="20"/>
          <w:color w:val="auto"/>
        </w:rPr>
      </w:pPr>
    </w:p>
    <w:p>
      <w:pPr>
        <w:ind w:left="260" w:right="40" w:hanging="258"/>
        <w:spacing w:after="0"/>
        <w:rPr>
          <w:sz w:val="20"/>
          <w:szCs w:val="20"/>
          <w:color w:val="auto"/>
        </w:rPr>
      </w:pPr>
      <w:r>
        <w:rPr>
          <w:rFonts w:ascii="Arial" w:cs="Arial" w:eastAsia="Arial" w:hAnsi="Arial"/>
          <w:sz w:val="18"/>
          <w:szCs w:val="18"/>
          <w:color w:val="auto"/>
        </w:rPr>
        <w:t>Ratio of earnings to combined fixed charges and preferred stock dividends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Ratio of earnings to fixed charges</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920" w:type="dxa"/>
            <w:vAlign w:val="bottom"/>
          </w:tcPr>
          <w:p>
            <w:pPr>
              <w:jc w:val="right"/>
              <w:spacing w:after="0"/>
              <w:rPr>
                <w:sz w:val="20"/>
                <w:szCs w:val="20"/>
                <w:color w:val="auto"/>
              </w:rPr>
            </w:pPr>
            <w:r>
              <w:rPr>
                <w:rFonts w:ascii="Arial" w:cs="Arial" w:eastAsia="Arial" w:hAnsi="Arial"/>
                <w:sz w:val="18"/>
                <w:szCs w:val="18"/>
                <w:color w:val="auto"/>
              </w:rPr>
              <w:t>28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419"/>
        </w:trPr>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$ 1,283</w:t>
            </w:r>
          </w:p>
        </w:tc>
        <w:tc>
          <w:tcPr>
            <w:tcW w:w="18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$ 2,376</w:t>
            </w:r>
          </w:p>
        </w:tc>
        <w:tc>
          <w:tcPr>
            <w:tcW w:w="18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$ 1,846</w:t>
            </w:r>
          </w:p>
        </w:tc>
        <w:tc>
          <w:tcPr>
            <w:tcW w:w="18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$ 1,401</w:t>
            </w:r>
          </w:p>
        </w:tc>
        <w:tc>
          <w:tcPr>
            <w:tcW w:w="18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$ 1,854</w:t>
            </w:r>
          </w:p>
        </w:tc>
        <w:tc>
          <w:tcPr>
            <w:tcW w:w="18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$ 254</w:t>
            </w: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575"/>
        </w:trPr>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180" w:type="dxa"/>
            <w:vAlign w:val="bottom"/>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18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180" w:type="dxa"/>
            <w:vAlign w:val="bottom"/>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80" w:type="dxa"/>
            <w:vAlign w:val="bottom"/>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18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453"/>
        </w:trPr>
        <w:tc>
          <w:tcPr>
            <w:tcW w:w="920" w:type="dxa"/>
            <w:vAlign w:val="bottom"/>
          </w:tcPr>
          <w:p>
            <w:pPr>
              <w:jc w:val="right"/>
              <w:spacing w:after="0"/>
              <w:rPr>
                <w:sz w:val="20"/>
                <w:szCs w:val="20"/>
                <w:color w:val="auto"/>
              </w:rPr>
            </w:pPr>
            <w:r>
              <w:rPr>
                <w:rFonts w:ascii="Arial" w:cs="Arial" w:eastAsia="Arial" w:hAnsi="Arial"/>
                <w:sz w:val="18"/>
                <w:szCs w:val="18"/>
                <w:color w:val="auto"/>
              </w:rPr>
              <w:t>3.59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5.47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4.63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3.80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3.94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2.02</w:t>
            </w:r>
          </w:p>
        </w:tc>
      </w:tr>
      <w:tr>
        <w:trPr>
          <w:trHeight w:val="20"/>
        </w:trPr>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2860" w:space="420"/>
            <w:col w:w="6919"/>
          </w:cols>
          <w:pgMar w:left="260" w:top="886" w:right="1440" w:bottom="1440" w:gutter="0" w:footer="0" w:header="0"/>
          <w:type w:val="continuous"/>
        </w:sectPr>
      </w:pPr>
    </w:p>
    <w:p>
      <w:pPr>
        <w:spacing w:after="0" w:line="42" w:lineRule="exact"/>
        <w:rPr>
          <w:sz w:val="20"/>
          <w:szCs w:val="20"/>
          <w:color w:val="auto"/>
        </w:rPr>
      </w:pPr>
    </w:p>
    <w:p>
      <w:pPr>
        <w:ind w:left="360" w:right="879" w:hanging="300"/>
        <w:spacing w:after="0" w:line="246" w:lineRule="auto"/>
        <w:tabs>
          <w:tab w:leader="none" w:pos="3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computing this ratio, “Preferred dividends of subsidiaries” represents the before-tax earnings necessary to pay such dividends, computed at the effective tax rates for the applicable periods.</w:t>
      </w:r>
    </w:p>
    <w:p>
      <w:pPr>
        <w:sectPr>
          <w:pgSz w:w="11900" w:h="16838" w:orient="portrait"/>
          <w:cols w:equalWidth="0" w:num="1">
            <w:col w:w="10199"/>
          </w:cols>
          <w:pgMar w:left="260" w:top="886" w:right="1440" w:bottom="1440" w:gutter="0" w:footer="0" w:header="0"/>
          <w:type w:val="continuous"/>
        </w:sectPr>
      </w:pPr>
    </w:p>
    <w:bookmarkStart w:id="96" w:name="page97"/>
    <w:bookmarkEnd w:id="96"/>
    <w:p>
      <w:pPr>
        <w:jc w:val="center"/>
        <w:ind w:right="499"/>
        <w:spacing w:after="0"/>
        <w:rPr>
          <w:sz w:val="20"/>
          <w:szCs w:val="20"/>
          <w:color w:val="auto"/>
        </w:rPr>
      </w:pPr>
      <w:r>
        <w:rPr>
          <w:rFonts w:ascii="Arial" w:cs="Arial" w:eastAsia="Arial" w:hAnsi="Arial"/>
          <w:sz w:val="18"/>
          <w:szCs w:val="18"/>
          <w:b w:val="1"/>
          <w:bCs w:val="1"/>
          <w:color w:val="auto"/>
        </w:rPr>
        <w:t>EXHIBIT 12.2</w:t>
      </w:r>
    </w:p>
    <w:p>
      <w:pPr>
        <w:spacing w:after="0" w:line="32"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SAN DIEGO GAS &amp; ELECTRIC COMPANY</w:t>
      </w:r>
    </w:p>
    <w:p>
      <w:pPr>
        <w:spacing w:after="0" w:line="2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COMPUTATION OF RATIO OF EARNINGS TO COMBINED FIXED CHARGES</w:t>
      </w:r>
    </w:p>
    <w:p>
      <w:pPr>
        <w:spacing w:after="0" w:line="2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AND PREFERRED STOCK DIVIDENDS</w:t>
      </w:r>
    </w:p>
    <w:p>
      <w:pPr>
        <w:spacing w:after="0" w:line="2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(Dollars in millions)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March 31,</w:t>
            </w:r>
          </w:p>
        </w:tc>
        <w:tc>
          <w:tcPr>
            <w:tcW w:w="0" w:type="dxa"/>
            <w:vAlign w:val="bottom"/>
          </w:tcPr>
          <w:p>
            <w:pPr>
              <w:spacing w:after="0"/>
              <w:rPr>
                <w:sz w:val="1"/>
                <w:szCs w:val="1"/>
                <w:color w:val="auto"/>
              </w:rPr>
            </w:pPr>
          </w:p>
        </w:tc>
      </w:tr>
      <w:tr>
        <w:trPr>
          <w:trHeight w:val="230"/>
        </w:trPr>
        <w:tc>
          <w:tcPr>
            <w:tcW w:w="3000" w:type="dxa"/>
            <w:vAlign w:val="bottom"/>
          </w:tcPr>
          <w:p>
            <w:pPr>
              <w:spacing w:after="0"/>
              <w:rPr>
                <w:sz w:val="19"/>
                <w:szCs w:val="19"/>
                <w:color w:val="auto"/>
              </w:rPr>
            </w:pP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2005</w:t>
            </w:r>
          </w:p>
        </w:tc>
        <w:tc>
          <w:tcPr>
            <w:tcW w:w="1160" w:type="dxa"/>
            <w:vAlign w:val="bottom"/>
            <w:gridSpan w:val="2"/>
          </w:tcPr>
          <w:p>
            <w:pPr>
              <w:jc w:val="right"/>
              <w:ind w:right="230"/>
              <w:spacing w:after="0"/>
              <w:rPr>
                <w:sz w:val="20"/>
                <w:szCs w:val="20"/>
                <w:color w:val="auto"/>
              </w:rPr>
            </w:pPr>
            <w:r>
              <w:rPr>
                <w:rFonts w:ascii="Arial" w:cs="Arial" w:eastAsia="Arial" w:hAnsi="Arial"/>
                <w:sz w:val="18"/>
                <w:szCs w:val="18"/>
                <w:color w:val="auto"/>
              </w:rPr>
              <w:t>2006</w:t>
            </w:r>
          </w:p>
        </w:tc>
        <w:tc>
          <w:tcPr>
            <w:tcW w:w="1140" w:type="dxa"/>
            <w:vAlign w:val="bottom"/>
            <w:gridSpan w:val="2"/>
          </w:tcPr>
          <w:p>
            <w:pPr>
              <w:jc w:val="right"/>
              <w:ind w:right="210"/>
              <w:spacing w:after="0"/>
              <w:rPr>
                <w:sz w:val="20"/>
                <w:szCs w:val="20"/>
                <w:color w:val="auto"/>
              </w:rPr>
            </w:pPr>
            <w:r>
              <w:rPr>
                <w:rFonts w:ascii="Arial" w:cs="Arial" w:eastAsia="Arial" w:hAnsi="Arial"/>
                <w:sz w:val="18"/>
                <w:szCs w:val="18"/>
                <w:color w:val="auto"/>
              </w:rPr>
              <w:t>2007</w:t>
            </w:r>
          </w:p>
        </w:tc>
        <w:tc>
          <w:tcPr>
            <w:tcW w:w="1140" w:type="dxa"/>
            <w:vAlign w:val="bottom"/>
            <w:gridSpan w:val="2"/>
          </w:tcPr>
          <w:p>
            <w:pPr>
              <w:jc w:val="right"/>
              <w:ind w:right="210"/>
              <w:spacing w:after="0"/>
              <w:rPr>
                <w:sz w:val="20"/>
                <w:szCs w:val="20"/>
                <w:color w:val="auto"/>
              </w:rPr>
            </w:pPr>
            <w:r>
              <w:rPr>
                <w:rFonts w:ascii="Arial" w:cs="Arial" w:eastAsia="Arial" w:hAnsi="Arial"/>
                <w:sz w:val="18"/>
                <w:szCs w:val="18"/>
                <w:color w:val="auto"/>
              </w:rPr>
              <w:t>2008</w:t>
            </w:r>
          </w:p>
        </w:tc>
        <w:tc>
          <w:tcPr>
            <w:tcW w:w="1160" w:type="dxa"/>
            <w:vAlign w:val="bottom"/>
            <w:gridSpan w:val="2"/>
          </w:tcPr>
          <w:p>
            <w:pPr>
              <w:jc w:val="right"/>
              <w:ind w:right="210"/>
              <w:spacing w:after="0"/>
              <w:rPr>
                <w:sz w:val="20"/>
                <w:szCs w:val="20"/>
                <w:color w:val="auto"/>
              </w:rPr>
            </w:pPr>
            <w:r>
              <w:rPr>
                <w:rFonts w:ascii="Arial" w:cs="Arial" w:eastAsia="Arial" w:hAnsi="Arial"/>
                <w:sz w:val="18"/>
                <w:szCs w:val="18"/>
                <w:color w:val="auto"/>
              </w:rPr>
              <w:t>2009</w:t>
            </w:r>
          </w:p>
        </w:tc>
        <w:tc>
          <w:tcPr>
            <w:tcW w:w="1180" w:type="dxa"/>
            <w:vAlign w:val="bottom"/>
            <w:gridSpan w:val="2"/>
          </w:tcPr>
          <w:p>
            <w:pPr>
              <w:jc w:val="right"/>
              <w:ind w:right="23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09"/>
        </w:trPr>
        <w:tc>
          <w:tcPr>
            <w:tcW w:w="3000" w:type="dxa"/>
            <w:vAlign w:val="bottom"/>
          </w:tcPr>
          <w:p>
            <w:pPr>
              <w:spacing w:after="0"/>
              <w:rPr>
                <w:sz w:val="20"/>
                <w:szCs w:val="20"/>
                <w:color w:val="auto"/>
              </w:rPr>
            </w:pPr>
            <w:r>
              <w:rPr>
                <w:rFonts w:ascii="Arial" w:cs="Arial" w:eastAsia="Arial" w:hAnsi="Arial"/>
                <w:sz w:val="18"/>
                <w:szCs w:val="18"/>
                <w:color w:val="auto"/>
              </w:rPr>
              <w:t>Fixed Charges and Preferred</w:t>
            </w: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000" w:type="dxa"/>
            <w:vAlign w:val="bottom"/>
          </w:tcPr>
          <w:p>
            <w:pPr>
              <w:ind w:left="260"/>
              <w:spacing w:after="0"/>
              <w:rPr>
                <w:sz w:val="20"/>
                <w:szCs w:val="20"/>
                <w:color w:val="auto"/>
              </w:rPr>
            </w:pPr>
            <w:r>
              <w:rPr>
                <w:rFonts w:ascii="Arial" w:cs="Arial" w:eastAsia="Arial" w:hAnsi="Arial"/>
                <w:sz w:val="18"/>
                <w:szCs w:val="18"/>
                <w:color w:val="auto"/>
              </w:rPr>
              <w:t>Stock Dividends:</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Interest</w:t>
            </w:r>
          </w:p>
        </w:tc>
        <w:tc>
          <w:tcPr>
            <w:tcW w:w="940" w:type="dxa"/>
            <w:vAlign w:val="bottom"/>
          </w:tcPr>
          <w:p>
            <w:pPr>
              <w:jc w:val="right"/>
              <w:spacing w:after="0"/>
              <w:rPr>
                <w:sz w:val="20"/>
                <w:szCs w:val="20"/>
                <w:color w:val="auto"/>
              </w:rPr>
            </w:pPr>
            <w:r>
              <w:rPr>
                <w:rFonts w:ascii="Arial" w:cs="Arial" w:eastAsia="Arial" w:hAnsi="Arial"/>
                <w:sz w:val="18"/>
                <w:szCs w:val="18"/>
                <w:color w:val="auto"/>
              </w:rPr>
              <w:t>$ 77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$ 102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$ 105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$ 107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$ 118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$ 35</w:t>
            </w: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Interest portion of annual rentals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000" w:type="dxa"/>
            <w:vAlign w:val="bottom"/>
          </w:tcPr>
          <w:p>
            <w:pPr>
              <w:spacing w:after="0"/>
              <w:rPr>
                <w:sz w:val="20"/>
                <w:szCs w:val="20"/>
                <w:color w:val="auto"/>
              </w:rPr>
            </w:pPr>
            <w:r>
              <w:rPr>
                <w:rFonts w:ascii="Arial" w:cs="Arial" w:eastAsia="Arial" w:hAnsi="Arial"/>
                <w:sz w:val="18"/>
                <w:szCs w:val="18"/>
                <w:color w:val="auto"/>
              </w:rPr>
              <w:t>Total fixed charges</w:t>
            </w:r>
          </w:p>
        </w:tc>
        <w:tc>
          <w:tcPr>
            <w:tcW w:w="940" w:type="dxa"/>
            <w:vAlign w:val="bottom"/>
          </w:tcPr>
          <w:p>
            <w:pPr>
              <w:jc w:val="right"/>
              <w:spacing w:after="0"/>
              <w:rPr>
                <w:sz w:val="20"/>
                <w:szCs w:val="20"/>
                <w:color w:val="auto"/>
              </w:rPr>
            </w:pPr>
            <w:r>
              <w:rPr>
                <w:rFonts w:ascii="Arial" w:cs="Arial" w:eastAsia="Arial" w:hAnsi="Arial"/>
                <w:sz w:val="18"/>
                <w:szCs w:val="18"/>
                <w:color w:val="auto"/>
              </w:rPr>
              <w:t>80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Preferred stock dividends (1)</w:t>
            </w: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9"/>
        </w:trPr>
        <w:tc>
          <w:tcPr>
            <w:tcW w:w="3000" w:type="dxa"/>
            <w:vAlign w:val="bottom"/>
          </w:tcPr>
          <w:p>
            <w:pPr>
              <w:ind w:left="60"/>
              <w:spacing w:after="0"/>
              <w:rPr>
                <w:sz w:val="20"/>
                <w:szCs w:val="20"/>
                <w:color w:val="auto"/>
              </w:rPr>
            </w:pPr>
            <w:r>
              <w:rPr>
                <w:rFonts w:ascii="Arial" w:cs="Arial" w:eastAsia="Arial" w:hAnsi="Arial"/>
                <w:sz w:val="18"/>
                <w:szCs w:val="18"/>
                <w:color w:val="auto"/>
              </w:rPr>
              <w:t>Combined fixed charges and</w:t>
            </w: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000" w:type="dxa"/>
            <w:vAlign w:val="bottom"/>
          </w:tcPr>
          <w:p>
            <w:pPr>
              <w:ind w:left="260"/>
              <w:spacing w:after="0" w:line="202" w:lineRule="exact"/>
              <w:rPr>
                <w:sz w:val="20"/>
                <w:szCs w:val="20"/>
                <w:color w:val="auto"/>
              </w:rPr>
            </w:pPr>
            <w:r>
              <w:rPr>
                <w:rFonts w:ascii="Arial" w:cs="Arial" w:eastAsia="Arial" w:hAnsi="Arial"/>
                <w:sz w:val="18"/>
                <w:szCs w:val="18"/>
                <w:color w:val="auto"/>
              </w:rPr>
              <w:t>preferred stock dividends for</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$ 86</w:t>
            </w:r>
          </w:p>
        </w:tc>
        <w:tc>
          <w:tcPr>
            <w:tcW w:w="1160" w:type="dxa"/>
            <w:vAlign w:val="bottom"/>
            <w:gridSpan w:val="2"/>
            <w:vMerge w:val="restart"/>
          </w:tcPr>
          <w:p>
            <w:pPr>
              <w:jc w:val="right"/>
              <w:spacing w:after="0"/>
              <w:rPr>
                <w:sz w:val="20"/>
                <w:szCs w:val="20"/>
                <w:color w:val="auto"/>
              </w:rPr>
            </w:pPr>
            <w:r>
              <w:rPr>
                <w:rFonts w:ascii="Arial" w:cs="Arial" w:eastAsia="Arial" w:hAnsi="Arial"/>
                <w:sz w:val="18"/>
                <w:szCs w:val="18"/>
                <w:color w:val="auto"/>
              </w:rPr>
              <w:t>$ 113</w:t>
            </w:r>
          </w:p>
        </w:tc>
        <w:tc>
          <w:tcPr>
            <w:tcW w:w="1140" w:type="dxa"/>
            <w:vAlign w:val="bottom"/>
            <w:gridSpan w:val="2"/>
            <w:vMerge w:val="restart"/>
          </w:tcPr>
          <w:p>
            <w:pPr>
              <w:jc w:val="right"/>
              <w:spacing w:after="0"/>
              <w:rPr>
                <w:sz w:val="20"/>
                <w:szCs w:val="20"/>
                <w:color w:val="auto"/>
              </w:rPr>
            </w:pPr>
            <w:r>
              <w:rPr>
                <w:rFonts w:ascii="Arial" w:cs="Arial" w:eastAsia="Arial" w:hAnsi="Arial"/>
                <w:sz w:val="18"/>
                <w:szCs w:val="18"/>
                <w:color w:val="auto"/>
              </w:rPr>
              <w:t>$ 115</w:t>
            </w:r>
          </w:p>
        </w:tc>
        <w:tc>
          <w:tcPr>
            <w:tcW w:w="1140" w:type="dxa"/>
            <w:vAlign w:val="bottom"/>
            <w:gridSpan w:val="2"/>
            <w:vMerge w:val="restart"/>
          </w:tcPr>
          <w:p>
            <w:pPr>
              <w:jc w:val="right"/>
              <w:spacing w:after="0"/>
              <w:rPr>
                <w:sz w:val="20"/>
                <w:szCs w:val="20"/>
                <w:color w:val="auto"/>
              </w:rPr>
            </w:pPr>
            <w:r>
              <w:rPr>
                <w:rFonts w:ascii="Arial" w:cs="Arial" w:eastAsia="Arial" w:hAnsi="Arial"/>
                <w:sz w:val="18"/>
                <w:szCs w:val="18"/>
                <w:color w:val="auto"/>
              </w:rPr>
              <w:t>$ 115</w:t>
            </w:r>
          </w:p>
        </w:tc>
        <w:tc>
          <w:tcPr>
            <w:tcW w:w="1160" w:type="dxa"/>
            <w:vAlign w:val="bottom"/>
            <w:gridSpan w:val="2"/>
            <w:vMerge w:val="restart"/>
          </w:tcPr>
          <w:p>
            <w:pPr>
              <w:jc w:val="right"/>
              <w:spacing w:after="0"/>
              <w:rPr>
                <w:sz w:val="20"/>
                <w:szCs w:val="20"/>
                <w:color w:val="auto"/>
              </w:rPr>
            </w:pPr>
            <w:r>
              <w:rPr>
                <w:rFonts w:ascii="Arial" w:cs="Arial" w:eastAsia="Arial" w:hAnsi="Arial"/>
                <w:sz w:val="18"/>
                <w:szCs w:val="18"/>
                <w:color w:val="auto"/>
              </w:rPr>
              <w:t>$ 126</w:t>
            </w:r>
          </w:p>
        </w:tc>
        <w:tc>
          <w:tcPr>
            <w:tcW w:w="1180" w:type="dxa"/>
            <w:vAlign w:val="bottom"/>
            <w:gridSpan w:val="2"/>
            <w:vMerge w:val="restart"/>
          </w:tcPr>
          <w:p>
            <w:pPr>
              <w:jc w:val="right"/>
              <w:spacing w:after="0"/>
              <w:rPr>
                <w:sz w:val="20"/>
                <w:szCs w:val="20"/>
                <w:color w:val="auto"/>
              </w:rPr>
            </w:pPr>
            <w:r>
              <w:rPr>
                <w:rFonts w:ascii="Arial" w:cs="Arial" w:eastAsia="Arial" w:hAnsi="Arial"/>
                <w:sz w:val="18"/>
                <w:szCs w:val="18"/>
                <w:color w:val="auto"/>
              </w:rPr>
              <w:t>$ 37</w:t>
            </w:r>
          </w:p>
        </w:tc>
        <w:tc>
          <w:tcPr>
            <w:tcW w:w="0" w:type="dxa"/>
            <w:vAlign w:val="bottom"/>
          </w:tcPr>
          <w:p>
            <w:pPr>
              <w:spacing w:after="0"/>
              <w:rPr>
                <w:sz w:val="1"/>
                <w:szCs w:val="1"/>
                <w:color w:val="auto"/>
              </w:rPr>
            </w:pPr>
          </w:p>
        </w:tc>
      </w:tr>
      <w:tr>
        <w:trPr>
          <w:trHeight w:val="176"/>
        </w:trPr>
        <w:tc>
          <w:tcPr>
            <w:tcW w:w="3000" w:type="dxa"/>
            <w:vAlign w:val="bottom"/>
          </w:tcPr>
          <w:p>
            <w:pPr>
              <w:ind w:left="260"/>
              <w:spacing w:after="0" w:line="176" w:lineRule="exact"/>
              <w:rPr>
                <w:sz w:val="20"/>
                <w:szCs w:val="20"/>
                <w:color w:val="auto"/>
              </w:rPr>
            </w:pPr>
            <w:r>
              <w:rPr>
                <w:rFonts w:ascii="Arial" w:cs="Arial" w:eastAsia="Arial" w:hAnsi="Arial"/>
                <w:sz w:val="18"/>
                <w:szCs w:val="18"/>
                <w:color w:val="auto"/>
              </w:rPr>
              <w:t>purpose of ratio</w:t>
            </w:r>
          </w:p>
        </w:tc>
        <w:tc>
          <w:tcPr>
            <w:tcW w:w="940" w:type="dxa"/>
            <w:vAlign w:val="bottom"/>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00" w:type="dxa"/>
            <w:vAlign w:val="bottom"/>
            <w:vMerge w:val="restart"/>
          </w:tcPr>
          <w:p>
            <w:pPr>
              <w:spacing w:after="0"/>
              <w:rPr>
                <w:sz w:val="20"/>
                <w:szCs w:val="20"/>
                <w:color w:val="auto"/>
              </w:rPr>
            </w:pPr>
            <w:r>
              <w:rPr>
                <w:rFonts w:ascii="Arial" w:cs="Arial" w:eastAsia="Arial" w:hAnsi="Arial"/>
                <w:sz w:val="18"/>
                <w:szCs w:val="18"/>
                <w:color w:val="auto"/>
              </w:rPr>
              <w:t>Earnings:</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000" w:type="dxa"/>
            <w:vAlign w:val="bottom"/>
            <w:vMerge w:val="continue"/>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000" w:type="dxa"/>
            <w:vAlign w:val="bottom"/>
          </w:tcPr>
          <w:p>
            <w:pPr>
              <w:spacing w:after="0"/>
              <w:rPr>
                <w:sz w:val="20"/>
                <w:szCs w:val="20"/>
                <w:color w:val="auto"/>
              </w:rPr>
            </w:pPr>
            <w:r>
              <w:rPr>
                <w:rFonts w:ascii="Arial" w:cs="Arial" w:eastAsia="Arial" w:hAnsi="Arial"/>
                <w:sz w:val="18"/>
                <w:szCs w:val="18"/>
                <w:color w:val="auto"/>
              </w:rPr>
              <w:t>Pretax income from continuing</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000" w:type="dxa"/>
            <w:vAlign w:val="bottom"/>
          </w:tcPr>
          <w:p>
            <w:pPr>
              <w:ind w:left="260"/>
              <w:spacing w:after="0"/>
              <w:rPr>
                <w:sz w:val="20"/>
                <w:szCs w:val="20"/>
                <w:color w:val="auto"/>
              </w:rPr>
            </w:pPr>
            <w:r>
              <w:rPr>
                <w:rFonts w:ascii="Arial" w:cs="Arial" w:eastAsia="Arial" w:hAnsi="Arial"/>
                <w:sz w:val="18"/>
                <w:szCs w:val="18"/>
                <w:color w:val="auto"/>
              </w:rPr>
              <w:t>operations</w:t>
            </w:r>
          </w:p>
        </w:tc>
        <w:tc>
          <w:tcPr>
            <w:tcW w:w="940" w:type="dxa"/>
            <w:vAlign w:val="bottom"/>
          </w:tcPr>
          <w:p>
            <w:pPr>
              <w:jc w:val="right"/>
              <w:spacing w:after="0"/>
              <w:rPr>
                <w:sz w:val="20"/>
                <w:szCs w:val="20"/>
                <w:color w:val="auto"/>
              </w:rPr>
            </w:pPr>
            <w:r>
              <w:rPr>
                <w:rFonts w:ascii="Arial" w:cs="Arial" w:eastAsia="Arial" w:hAnsi="Arial"/>
                <w:sz w:val="18"/>
                <w:szCs w:val="18"/>
                <w:color w:val="auto"/>
              </w:rPr>
              <w:t>$ 356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$ 394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$ 406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$ 451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$ 550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$ 107</w:t>
            </w: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Total fixed charges (from above)</w:t>
            </w:r>
          </w:p>
        </w:tc>
        <w:tc>
          <w:tcPr>
            <w:tcW w:w="940" w:type="dxa"/>
            <w:vAlign w:val="bottom"/>
          </w:tcPr>
          <w:p>
            <w:pPr>
              <w:jc w:val="right"/>
              <w:spacing w:after="0"/>
              <w:rPr>
                <w:sz w:val="20"/>
                <w:szCs w:val="20"/>
                <w:color w:val="auto"/>
              </w:rPr>
            </w:pPr>
            <w:r>
              <w:rPr>
                <w:rFonts w:ascii="Arial" w:cs="Arial" w:eastAsia="Arial" w:hAnsi="Arial"/>
                <w:sz w:val="18"/>
                <w:szCs w:val="18"/>
                <w:color w:val="auto"/>
              </w:rPr>
              <w:t>80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Less: Interest capitalized</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000" w:type="dxa"/>
            <w:vAlign w:val="bottom"/>
          </w:tcPr>
          <w:p>
            <w:pPr>
              <w:spacing w:after="0"/>
              <w:rPr>
                <w:sz w:val="20"/>
                <w:szCs w:val="20"/>
                <w:color w:val="auto"/>
              </w:rPr>
            </w:pPr>
            <w:r>
              <w:rPr>
                <w:rFonts w:ascii="Arial" w:cs="Arial" w:eastAsia="Arial" w:hAnsi="Arial"/>
                <w:sz w:val="18"/>
                <w:szCs w:val="18"/>
                <w:color w:val="auto"/>
              </w:rPr>
              <w:t>Total earnings for purpose of ratio</w:t>
            </w:r>
          </w:p>
        </w:tc>
        <w:tc>
          <w:tcPr>
            <w:tcW w:w="940" w:type="dxa"/>
            <w:vAlign w:val="bottom"/>
          </w:tcPr>
          <w:p>
            <w:pPr>
              <w:jc w:val="right"/>
              <w:spacing w:after="0"/>
              <w:rPr>
                <w:sz w:val="20"/>
                <w:szCs w:val="20"/>
                <w:color w:val="auto"/>
              </w:rPr>
            </w:pPr>
            <w:r>
              <w:rPr>
                <w:rFonts w:ascii="Arial" w:cs="Arial" w:eastAsia="Arial" w:hAnsi="Arial"/>
                <w:sz w:val="18"/>
                <w:szCs w:val="18"/>
                <w:color w:val="auto"/>
              </w:rPr>
              <w:t>$ 435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$ 498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$ 511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$ 546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$ 665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$ 142</w:t>
            </w:r>
          </w:p>
        </w:tc>
        <w:tc>
          <w:tcPr>
            <w:tcW w:w="0" w:type="dxa"/>
            <w:vAlign w:val="bottom"/>
          </w:tcPr>
          <w:p>
            <w:pPr>
              <w:spacing w:after="0"/>
              <w:rPr>
                <w:sz w:val="1"/>
                <w:szCs w:val="1"/>
                <w:color w:val="auto"/>
              </w:rPr>
            </w:pPr>
          </w:p>
        </w:tc>
      </w:tr>
      <w:tr>
        <w:trPr>
          <w:trHeight w:val="20"/>
        </w:trPr>
        <w:tc>
          <w:tcPr>
            <w:tcW w:w="3000" w:type="dxa"/>
            <w:vAlign w:val="bottom"/>
            <w:vMerge w:val="restart"/>
          </w:tcPr>
          <w:p>
            <w:pPr>
              <w:spacing w:after="0"/>
              <w:rPr>
                <w:sz w:val="20"/>
                <w:szCs w:val="20"/>
                <w:color w:val="auto"/>
              </w:rPr>
            </w:pPr>
            <w:r>
              <w:rPr>
                <w:rFonts w:ascii="Arial" w:cs="Arial" w:eastAsia="Arial" w:hAnsi="Arial"/>
                <w:sz w:val="18"/>
                <w:szCs w:val="18"/>
                <w:color w:val="auto"/>
              </w:rPr>
              <w:t>Ratio of earnings to combined</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tcPr>
          <w:p>
            <w:pPr>
              <w:ind w:left="260"/>
              <w:spacing w:after="0" w:line="202" w:lineRule="exact"/>
              <w:rPr>
                <w:sz w:val="20"/>
                <w:szCs w:val="20"/>
                <w:color w:val="auto"/>
              </w:rPr>
            </w:pPr>
            <w:r>
              <w:rPr>
                <w:rFonts w:ascii="Arial" w:cs="Arial" w:eastAsia="Arial" w:hAnsi="Arial"/>
                <w:sz w:val="18"/>
                <w:szCs w:val="18"/>
                <w:color w:val="auto"/>
              </w:rPr>
              <w:t>fixed charges and preferred</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5.06</w:t>
            </w:r>
          </w:p>
        </w:tc>
        <w:tc>
          <w:tcPr>
            <w:tcW w:w="200" w:type="dxa"/>
            <w:vAlign w:val="bottom"/>
            <w:vMerge w:val="restart"/>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4.41</w:t>
            </w:r>
          </w:p>
        </w:tc>
        <w:tc>
          <w:tcPr>
            <w:tcW w:w="180" w:type="dxa"/>
            <w:vAlign w:val="bottom"/>
            <w:vMerge w:val="restart"/>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4.44</w:t>
            </w:r>
          </w:p>
        </w:tc>
        <w:tc>
          <w:tcPr>
            <w:tcW w:w="200" w:type="dxa"/>
            <w:vAlign w:val="bottom"/>
            <w:vMerge w:val="restart"/>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4.75</w:t>
            </w:r>
          </w:p>
        </w:tc>
        <w:tc>
          <w:tcPr>
            <w:tcW w:w="200" w:type="dxa"/>
            <w:vAlign w:val="bottom"/>
            <w:vMerge w:val="restart"/>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5.28</w:t>
            </w:r>
          </w:p>
        </w:tc>
        <w:tc>
          <w:tcPr>
            <w:tcW w:w="180" w:type="dxa"/>
            <w:vAlign w:val="bottom"/>
            <w:vMerge w:val="restart"/>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181"/>
        </w:trPr>
        <w:tc>
          <w:tcPr>
            <w:tcW w:w="3000" w:type="dxa"/>
            <w:vAlign w:val="bottom"/>
          </w:tcPr>
          <w:p>
            <w:pPr>
              <w:ind w:left="260"/>
              <w:spacing w:after="0" w:line="176" w:lineRule="exact"/>
              <w:rPr>
                <w:sz w:val="20"/>
                <w:szCs w:val="20"/>
                <w:color w:val="auto"/>
              </w:rPr>
            </w:pPr>
            <w:r>
              <w:rPr>
                <w:rFonts w:ascii="Arial" w:cs="Arial" w:eastAsia="Arial" w:hAnsi="Arial"/>
                <w:sz w:val="18"/>
                <w:szCs w:val="18"/>
                <w:color w:val="auto"/>
              </w:rPr>
              <w:t>stock dividends</w:t>
            </w:r>
          </w:p>
        </w:tc>
        <w:tc>
          <w:tcPr>
            <w:tcW w:w="94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000" w:type="dxa"/>
            <w:vAlign w:val="bottom"/>
          </w:tcPr>
          <w:p>
            <w:pPr>
              <w:spacing w:after="0"/>
              <w:rPr>
                <w:sz w:val="20"/>
                <w:szCs w:val="20"/>
                <w:color w:val="auto"/>
              </w:rPr>
            </w:pPr>
            <w:r>
              <w:rPr>
                <w:rFonts w:ascii="Arial" w:cs="Arial" w:eastAsia="Arial" w:hAnsi="Arial"/>
                <w:sz w:val="18"/>
                <w:szCs w:val="18"/>
                <w:color w:val="auto"/>
              </w:rPr>
              <w:t>Ratio of earnings to fixed charges</w:t>
            </w:r>
          </w:p>
        </w:tc>
        <w:tc>
          <w:tcPr>
            <w:tcW w:w="940" w:type="dxa"/>
            <w:vAlign w:val="bottom"/>
          </w:tcPr>
          <w:p>
            <w:pPr>
              <w:jc w:val="right"/>
              <w:spacing w:after="0"/>
              <w:rPr>
                <w:sz w:val="20"/>
                <w:szCs w:val="20"/>
                <w:color w:val="auto"/>
              </w:rPr>
            </w:pPr>
            <w:r>
              <w:rPr>
                <w:rFonts w:ascii="Arial" w:cs="Arial" w:eastAsia="Arial" w:hAnsi="Arial"/>
                <w:sz w:val="18"/>
                <w:szCs w:val="18"/>
                <w:color w:val="auto"/>
              </w:rPr>
              <w:t>5.44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4.74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4.73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5.06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5.59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1079" w:hanging="352"/>
        <w:spacing w:after="0" w:line="246"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computing this ratio, “Preferred stock dividends” represents the before-tax earnings necessary to pay such dividends, computed at the effective tax rates for the applicable periods.</w:t>
      </w:r>
    </w:p>
    <w:p>
      <w:pPr>
        <w:sectPr>
          <w:pgSz w:w="11900" w:h="16838" w:orient="portrait"/>
          <w:cols w:equalWidth="0" w:num="1">
            <w:col w:w="10199"/>
          </w:cols>
          <w:pgMar w:left="260" w:top="886" w:right="1440" w:bottom="1440" w:gutter="0" w:footer="0" w:header="0"/>
        </w:sectPr>
      </w:pPr>
    </w:p>
    <w:bookmarkStart w:id="97" w:name="page98"/>
    <w:bookmarkEnd w:id="97"/>
    <w:p>
      <w:pPr>
        <w:jc w:val="center"/>
        <w:ind w:right="499"/>
        <w:spacing w:after="0"/>
        <w:rPr>
          <w:sz w:val="20"/>
          <w:szCs w:val="20"/>
          <w:color w:val="auto"/>
        </w:rPr>
      </w:pPr>
      <w:r>
        <w:rPr>
          <w:rFonts w:ascii="Arial" w:cs="Arial" w:eastAsia="Arial" w:hAnsi="Arial"/>
          <w:sz w:val="18"/>
          <w:szCs w:val="18"/>
          <w:b w:val="1"/>
          <w:bCs w:val="1"/>
          <w:color w:val="auto"/>
        </w:rPr>
        <w:t>EXHIBIT 12.3</w:t>
      </w:r>
    </w:p>
    <w:p>
      <w:pPr>
        <w:spacing w:after="0" w:line="32"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PACIFIC ENTERPRISES</w:t>
      </w:r>
    </w:p>
    <w:p>
      <w:pPr>
        <w:spacing w:after="0" w:line="2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COMPUTATION OF RATIO OF EARNINGS TO COMBINED FIXED CHARGES</w:t>
      </w:r>
    </w:p>
    <w:p>
      <w:pPr>
        <w:spacing w:after="0" w:line="2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AND PREFERRED STOCK DIVIDENDS</w:t>
      </w:r>
    </w:p>
    <w:p>
      <w:pPr>
        <w:spacing w:after="0" w:line="2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(Dollars in millions)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March 31,</w:t>
            </w:r>
          </w:p>
        </w:tc>
        <w:tc>
          <w:tcPr>
            <w:tcW w:w="0" w:type="dxa"/>
            <w:vAlign w:val="bottom"/>
          </w:tcPr>
          <w:p>
            <w:pPr>
              <w:spacing w:after="0"/>
              <w:rPr>
                <w:sz w:val="1"/>
                <w:szCs w:val="1"/>
                <w:color w:val="auto"/>
              </w:rPr>
            </w:pPr>
          </w:p>
        </w:tc>
      </w:tr>
      <w:tr>
        <w:trPr>
          <w:trHeight w:val="230"/>
        </w:trPr>
        <w:tc>
          <w:tcPr>
            <w:tcW w:w="2800" w:type="dxa"/>
            <w:vAlign w:val="bottom"/>
          </w:tcPr>
          <w:p>
            <w:pPr>
              <w:spacing w:after="0"/>
              <w:rPr>
                <w:sz w:val="19"/>
                <w:szCs w:val="19"/>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2005</w:t>
            </w:r>
          </w:p>
        </w:tc>
        <w:tc>
          <w:tcPr>
            <w:tcW w:w="1180" w:type="dxa"/>
            <w:vAlign w:val="bottom"/>
            <w:gridSpan w:val="2"/>
          </w:tcPr>
          <w:p>
            <w:pPr>
              <w:jc w:val="right"/>
              <w:ind w:right="230"/>
              <w:spacing w:after="0"/>
              <w:rPr>
                <w:sz w:val="20"/>
                <w:szCs w:val="20"/>
                <w:color w:val="auto"/>
              </w:rPr>
            </w:pPr>
            <w:r>
              <w:rPr>
                <w:rFonts w:ascii="Arial" w:cs="Arial" w:eastAsia="Arial" w:hAnsi="Arial"/>
                <w:sz w:val="18"/>
                <w:szCs w:val="18"/>
                <w:color w:val="auto"/>
              </w:rPr>
              <w:t>2006</w:t>
            </w:r>
          </w:p>
        </w:tc>
        <w:tc>
          <w:tcPr>
            <w:tcW w:w="1180" w:type="dxa"/>
            <w:vAlign w:val="bottom"/>
            <w:gridSpan w:val="2"/>
          </w:tcPr>
          <w:p>
            <w:pPr>
              <w:jc w:val="right"/>
              <w:ind w:right="230"/>
              <w:spacing w:after="0"/>
              <w:rPr>
                <w:sz w:val="20"/>
                <w:szCs w:val="20"/>
                <w:color w:val="auto"/>
              </w:rPr>
            </w:pPr>
            <w:r>
              <w:rPr>
                <w:rFonts w:ascii="Arial" w:cs="Arial" w:eastAsia="Arial" w:hAnsi="Arial"/>
                <w:sz w:val="18"/>
                <w:szCs w:val="18"/>
                <w:color w:val="auto"/>
              </w:rPr>
              <w:t>2007</w:t>
            </w:r>
          </w:p>
        </w:tc>
        <w:tc>
          <w:tcPr>
            <w:tcW w:w="1160" w:type="dxa"/>
            <w:vAlign w:val="bottom"/>
            <w:gridSpan w:val="2"/>
          </w:tcPr>
          <w:p>
            <w:pPr>
              <w:jc w:val="right"/>
              <w:ind w:right="210"/>
              <w:spacing w:after="0"/>
              <w:rPr>
                <w:sz w:val="20"/>
                <w:szCs w:val="20"/>
                <w:color w:val="auto"/>
              </w:rPr>
            </w:pPr>
            <w:r>
              <w:rPr>
                <w:rFonts w:ascii="Arial" w:cs="Arial" w:eastAsia="Arial" w:hAnsi="Arial"/>
                <w:sz w:val="18"/>
                <w:szCs w:val="18"/>
                <w:color w:val="auto"/>
              </w:rPr>
              <w:t>2008</w:t>
            </w:r>
          </w:p>
        </w:tc>
        <w:tc>
          <w:tcPr>
            <w:tcW w:w="1200" w:type="dxa"/>
            <w:vAlign w:val="bottom"/>
            <w:gridSpan w:val="2"/>
          </w:tcPr>
          <w:p>
            <w:pPr>
              <w:jc w:val="right"/>
              <w:ind w:right="230"/>
              <w:spacing w:after="0"/>
              <w:rPr>
                <w:sz w:val="20"/>
                <w:szCs w:val="20"/>
                <w:color w:val="auto"/>
              </w:rPr>
            </w:pPr>
            <w:r>
              <w:rPr>
                <w:rFonts w:ascii="Arial" w:cs="Arial" w:eastAsia="Arial" w:hAnsi="Arial"/>
                <w:sz w:val="18"/>
                <w:szCs w:val="18"/>
                <w:color w:val="auto"/>
              </w:rPr>
              <w:t>2009</w:t>
            </w:r>
          </w:p>
        </w:tc>
        <w:tc>
          <w:tcPr>
            <w:tcW w:w="1220" w:type="dxa"/>
            <w:vAlign w:val="bottom"/>
            <w:gridSpan w:val="2"/>
          </w:tcPr>
          <w:p>
            <w:pPr>
              <w:jc w:val="right"/>
              <w:ind w:right="25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23"/>
        </w:trPr>
        <w:tc>
          <w:tcPr>
            <w:tcW w:w="2800" w:type="dxa"/>
            <w:vAlign w:val="bottom"/>
          </w:tcPr>
          <w:p>
            <w:pPr>
              <w:spacing w:after="0"/>
              <w:rPr>
                <w:sz w:val="20"/>
                <w:szCs w:val="20"/>
                <w:color w:val="auto"/>
              </w:rPr>
            </w:pPr>
            <w:r>
              <w:rPr>
                <w:rFonts w:ascii="Arial" w:cs="Arial" w:eastAsia="Arial" w:hAnsi="Arial"/>
                <w:sz w:val="18"/>
                <w:szCs w:val="18"/>
                <w:color w:val="auto"/>
              </w:rPr>
              <w:t>Fixed Charges:</w:t>
            </w:r>
          </w:p>
        </w:tc>
        <w:tc>
          <w:tcPr>
            <w:tcW w:w="9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Interest</w:t>
            </w:r>
          </w:p>
        </w:tc>
        <w:tc>
          <w:tcPr>
            <w:tcW w:w="980" w:type="dxa"/>
            <w:vAlign w:val="bottom"/>
          </w:tcPr>
          <w:p>
            <w:pPr>
              <w:jc w:val="right"/>
              <w:spacing w:after="0"/>
              <w:rPr>
                <w:sz w:val="20"/>
                <w:szCs w:val="20"/>
                <w:color w:val="auto"/>
              </w:rPr>
            </w:pPr>
            <w:r>
              <w:rPr>
                <w:rFonts w:ascii="Arial" w:cs="Arial" w:eastAsia="Arial" w:hAnsi="Arial"/>
                <w:sz w:val="18"/>
                <w:szCs w:val="18"/>
                <w:color w:val="auto"/>
              </w:rPr>
              <w:t>$ 55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$ 78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$ 78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$ 68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$ 75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$ 18</w:t>
            </w: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Interest portion of annual rentals</w:t>
            </w: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800" w:type="dxa"/>
            <w:vAlign w:val="bottom"/>
          </w:tcPr>
          <w:p>
            <w:pPr>
              <w:spacing w:after="0"/>
              <w:rPr>
                <w:sz w:val="20"/>
                <w:szCs w:val="20"/>
                <w:color w:val="auto"/>
              </w:rPr>
            </w:pPr>
            <w:r>
              <w:rPr>
                <w:rFonts w:ascii="Arial" w:cs="Arial" w:eastAsia="Arial" w:hAnsi="Arial"/>
                <w:sz w:val="18"/>
                <w:szCs w:val="18"/>
                <w:color w:val="auto"/>
              </w:rPr>
              <w:t>Preferred dividends of subsidiary</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200" w:type="dxa"/>
            <w:vAlign w:val="bottom"/>
            <w:vMerge w:val="restart"/>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80" w:type="dxa"/>
            <w:vAlign w:val="bottom"/>
            <w:vMerge w:val="restart"/>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80" w:type="dxa"/>
            <w:vAlign w:val="bottom"/>
            <w:vMerge w:val="restart"/>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220" w:type="dxa"/>
            <w:vAlign w:val="bottom"/>
            <w:vMerge w:val="restart"/>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200" w:type="dxa"/>
            <w:vAlign w:val="bottom"/>
            <w:vMerge w:val="restart"/>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8"/>
        </w:trPr>
        <w:tc>
          <w:tcPr>
            <w:tcW w:w="2800" w:type="dxa"/>
            <w:vAlign w:val="bottom"/>
          </w:tcPr>
          <w:p>
            <w:pPr>
              <w:ind w:left="260"/>
              <w:spacing w:after="0" w:line="203" w:lineRule="exact"/>
              <w:rPr>
                <w:sz w:val="20"/>
                <w:szCs w:val="20"/>
                <w:color w:val="auto"/>
              </w:rPr>
            </w:pPr>
            <w:r>
              <w:rPr>
                <w:rFonts w:ascii="Arial" w:cs="Arial" w:eastAsia="Arial" w:hAnsi="Arial"/>
                <w:sz w:val="18"/>
                <w:szCs w:val="18"/>
                <w:color w:val="auto"/>
              </w:rPr>
              <w:t>(1)</w:t>
            </w:r>
          </w:p>
        </w:tc>
        <w:tc>
          <w:tcPr>
            <w:tcW w:w="980" w:type="dxa"/>
            <w:vAlign w:val="bottom"/>
            <w:tcBorders>
              <w:bottom w:val="single" w:sz="8" w:color="auto"/>
            </w:tcBorders>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800" w:type="dxa"/>
            <w:vAlign w:val="bottom"/>
          </w:tcPr>
          <w:p>
            <w:pPr>
              <w:spacing w:after="0"/>
              <w:rPr>
                <w:sz w:val="20"/>
                <w:szCs w:val="20"/>
                <w:color w:val="auto"/>
              </w:rPr>
            </w:pPr>
            <w:r>
              <w:rPr>
                <w:rFonts w:ascii="Arial" w:cs="Arial" w:eastAsia="Arial" w:hAnsi="Arial"/>
                <w:sz w:val="18"/>
                <w:szCs w:val="18"/>
                <w:color w:val="auto"/>
              </w:rPr>
              <w:t>Total fixed charges</w:t>
            </w:r>
          </w:p>
        </w:tc>
        <w:tc>
          <w:tcPr>
            <w:tcW w:w="980" w:type="dxa"/>
            <w:vAlign w:val="bottom"/>
          </w:tcPr>
          <w:p>
            <w:pPr>
              <w:jc w:val="right"/>
              <w:spacing w:after="0"/>
              <w:rPr>
                <w:sz w:val="20"/>
                <w:szCs w:val="20"/>
                <w:color w:val="auto"/>
              </w:rPr>
            </w:pPr>
            <w:r>
              <w:rPr>
                <w:rFonts w:ascii="Arial" w:cs="Arial" w:eastAsia="Arial" w:hAnsi="Arial"/>
                <w:sz w:val="18"/>
                <w:szCs w:val="18"/>
                <w:color w:val="auto"/>
              </w:rPr>
              <w:t>60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Preferred stock dividends (1)</w:t>
            </w: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9"/>
        </w:trPr>
        <w:tc>
          <w:tcPr>
            <w:tcW w:w="2800" w:type="dxa"/>
            <w:vAlign w:val="bottom"/>
          </w:tcPr>
          <w:p>
            <w:pPr>
              <w:spacing w:after="0"/>
              <w:rPr>
                <w:sz w:val="20"/>
                <w:szCs w:val="20"/>
                <w:color w:val="auto"/>
              </w:rPr>
            </w:pPr>
            <w:r>
              <w:rPr>
                <w:rFonts w:ascii="Arial" w:cs="Arial" w:eastAsia="Arial" w:hAnsi="Arial"/>
                <w:sz w:val="18"/>
                <w:szCs w:val="18"/>
                <w:color w:val="auto"/>
              </w:rPr>
              <w:t>Combined fixed charges and</w:t>
            </w: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800" w:type="dxa"/>
            <w:vAlign w:val="bottom"/>
          </w:tcPr>
          <w:p>
            <w:pPr>
              <w:ind w:left="260"/>
              <w:spacing w:after="0" w:line="202" w:lineRule="exact"/>
              <w:rPr>
                <w:sz w:val="20"/>
                <w:szCs w:val="20"/>
                <w:color w:val="auto"/>
              </w:rPr>
            </w:pPr>
            <w:r>
              <w:rPr>
                <w:rFonts w:ascii="Arial" w:cs="Arial" w:eastAsia="Arial" w:hAnsi="Arial"/>
                <w:sz w:val="18"/>
                <w:szCs w:val="18"/>
                <w:color w:val="auto"/>
              </w:rPr>
              <w:t>preferred stock dividends for</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$ 66</w:t>
            </w:r>
          </w:p>
        </w:tc>
        <w:tc>
          <w:tcPr>
            <w:tcW w:w="1180" w:type="dxa"/>
            <w:vAlign w:val="bottom"/>
            <w:gridSpan w:val="2"/>
            <w:vMerge w:val="restart"/>
          </w:tcPr>
          <w:p>
            <w:pPr>
              <w:jc w:val="right"/>
              <w:spacing w:after="0"/>
              <w:rPr>
                <w:sz w:val="20"/>
                <w:szCs w:val="20"/>
                <w:color w:val="auto"/>
              </w:rPr>
            </w:pPr>
            <w:r>
              <w:rPr>
                <w:rFonts w:ascii="Arial" w:cs="Arial" w:eastAsia="Arial" w:hAnsi="Arial"/>
                <w:sz w:val="18"/>
                <w:szCs w:val="18"/>
                <w:color w:val="auto"/>
              </w:rPr>
              <w:t>$ 90</w:t>
            </w:r>
          </w:p>
        </w:tc>
        <w:tc>
          <w:tcPr>
            <w:tcW w:w="1180" w:type="dxa"/>
            <w:vAlign w:val="bottom"/>
            <w:gridSpan w:val="2"/>
            <w:vMerge w:val="restart"/>
          </w:tcPr>
          <w:p>
            <w:pPr>
              <w:jc w:val="right"/>
              <w:spacing w:after="0"/>
              <w:rPr>
                <w:sz w:val="20"/>
                <w:szCs w:val="20"/>
                <w:color w:val="auto"/>
              </w:rPr>
            </w:pPr>
            <w:r>
              <w:rPr>
                <w:rFonts w:ascii="Arial" w:cs="Arial" w:eastAsia="Arial" w:hAnsi="Arial"/>
                <w:sz w:val="18"/>
                <w:szCs w:val="18"/>
                <w:color w:val="auto"/>
              </w:rPr>
              <w:t>$ 89</w:t>
            </w:r>
          </w:p>
        </w:tc>
        <w:tc>
          <w:tcPr>
            <w:tcW w:w="1160" w:type="dxa"/>
            <w:vAlign w:val="bottom"/>
            <w:gridSpan w:val="2"/>
            <w:vMerge w:val="restart"/>
          </w:tcPr>
          <w:p>
            <w:pPr>
              <w:jc w:val="right"/>
              <w:spacing w:after="0"/>
              <w:rPr>
                <w:sz w:val="20"/>
                <w:szCs w:val="20"/>
                <w:color w:val="auto"/>
              </w:rPr>
            </w:pPr>
            <w:r>
              <w:rPr>
                <w:rFonts w:ascii="Arial" w:cs="Arial" w:eastAsia="Arial" w:hAnsi="Arial"/>
                <w:sz w:val="18"/>
                <w:szCs w:val="18"/>
                <w:color w:val="auto"/>
              </w:rPr>
              <w:t>$ 78</w:t>
            </w:r>
          </w:p>
        </w:tc>
        <w:tc>
          <w:tcPr>
            <w:tcW w:w="1200" w:type="dxa"/>
            <w:vAlign w:val="bottom"/>
            <w:gridSpan w:val="2"/>
            <w:vMerge w:val="restart"/>
          </w:tcPr>
          <w:p>
            <w:pPr>
              <w:jc w:val="right"/>
              <w:spacing w:after="0"/>
              <w:rPr>
                <w:sz w:val="20"/>
                <w:szCs w:val="20"/>
                <w:color w:val="auto"/>
              </w:rPr>
            </w:pPr>
            <w:r>
              <w:rPr>
                <w:rFonts w:ascii="Arial" w:cs="Arial" w:eastAsia="Arial" w:hAnsi="Arial"/>
                <w:sz w:val="18"/>
                <w:szCs w:val="18"/>
                <w:color w:val="auto"/>
              </w:rPr>
              <w:t>$ 84</w:t>
            </w:r>
          </w:p>
        </w:tc>
        <w:tc>
          <w:tcPr>
            <w:tcW w:w="1220" w:type="dxa"/>
            <w:vAlign w:val="bottom"/>
            <w:gridSpan w:val="2"/>
            <w:vMerge w:val="restart"/>
          </w:tcPr>
          <w:p>
            <w:pPr>
              <w:jc w:val="right"/>
              <w:spacing w:after="0"/>
              <w:rPr>
                <w:sz w:val="20"/>
                <w:szCs w:val="20"/>
                <w:color w:val="auto"/>
              </w:rPr>
            </w:pPr>
            <w:r>
              <w:rPr>
                <w:rFonts w:ascii="Arial" w:cs="Arial" w:eastAsia="Arial" w:hAnsi="Arial"/>
                <w:sz w:val="18"/>
                <w:szCs w:val="18"/>
                <w:color w:val="auto"/>
              </w:rPr>
              <w:t>$ 21</w:t>
            </w:r>
          </w:p>
        </w:tc>
        <w:tc>
          <w:tcPr>
            <w:tcW w:w="0" w:type="dxa"/>
            <w:vAlign w:val="bottom"/>
          </w:tcPr>
          <w:p>
            <w:pPr>
              <w:spacing w:after="0"/>
              <w:rPr>
                <w:sz w:val="1"/>
                <w:szCs w:val="1"/>
                <w:color w:val="auto"/>
              </w:rPr>
            </w:pPr>
          </w:p>
        </w:tc>
      </w:tr>
      <w:tr>
        <w:trPr>
          <w:trHeight w:val="176"/>
        </w:trPr>
        <w:tc>
          <w:tcPr>
            <w:tcW w:w="2800" w:type="dxa"/>
            <w:vAlign w:val="bottom"/>
          </w:tcPr>
          <w:p>
            <w:pPr>
              <w:ind w:left="260"/>
              <w:spacing w:after="0" w:line="176" w:lineRule="exact"/>
              <w:rPr>
                <w:sz w:val="20"/>
                <w:szCs w:val="20"/>
                <w:color w:val="auto"/>
              </w:rPr>
            </w:pPr>
            <w:r>
              <w:rPr>
                <w:rFonts w:ascii="Arial" w:cs="Arial" w:eastAsia="Arial" w:hAnsi="Arial"/>
                <w:sz w:val="18"/>
                <w:szCs w:val="18"/>
                <w:color w:val="auto"/>
              </w:rPr>
              <w:t>purpose of ratio</w:t>
            </w:r>
          </w:p>
        </w:tc>
        <w:tc>
          <w:tcPr>
            <w:tcW w:w="980" w:type="dxa"/>
            <w:vAlign w:val="bottom"/>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0" w:type="dxa"/>
            <w:vAlign w:val="bottom"/>
            <w:vMerge w:val="restart"/>
          </w:tcPr>
          <w:p>
            <w:pPr>
              <w:spacing w:after="0"/>
              <w:rPr>
                <w:sz w:val="20"/>
                <w:szCs w:val="20"/>
                <w:color w:val="auto"/>
              </w:rPr>
            </w:pPr>
            <w:r>
              <w:rPr>
                <w:rFonts w:ascii="Arial" w:cs="Arial" w:eastAsia="Arial" w:hAnsi="Arial"/>
                <w:sz w:val="18"/>
                <w:szCs w:val="18"/>
                <w:color w:val="auto"/>
              </w:rPr>
              <w:t>Earnings:</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800" w:type="dxa"/>
            <w:vAlign w:val="bottom"/>
            <w:vMerge w:val="continue"/>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800" w:type="dxa"/>
            <w:vAlign w:val="bottom"/>
          </w:tcPr>
          <w:p>
            <w:pPr>
              <w:spacing w:after="0"/>
              <w:rPr>
                <w:sz w:val="20"/>
                <w:szCs w:val="20"/>
                <w:color w:val="auto"/>
              </w:rPr>
            </w:pPr>
            <w:r>
              <w:rPr>
                <w:rFonts w:ascii="Arial" w:cs="Arial" w:eastAsia="Arial" w:hAnsi="Arial"/>
                <w:sz w:val="18"/>
                <w:szCs w:val="18"/>
                <w:color w:val="auto"/>
              </w:rPr>
              <w:t>Pretax income from continuing</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800" w:type="dxa"/>
            <w:vAlign w:val="bottom"/>
          </w:tcPr>
          <w:p>
            <w:pPr>
              <w:ind w:left="260"/>
              <w:spacing w:after="0"/>
              <w:rPr>
                <w:sz w:val="20"/>
                <w:szCs w:val="20"/>
                <w:color w:val="auto"/>
              </w:rPr>
            </w:pPr>
            <w:r>
              <w:rPr>
                <w:rFonts w:ascii="Arial" w:cs="Arial" w:eastAsia="Arial" w:hAnsi="Arial"/>
                <w:sz w:val="18"/>
                <w:szCs w:val="18"/>
                <w:color w:val="auto"/>
              </w:rPr>
              <w:t>operations</w:t>
            </w:r>
          </w:p>
        </w:tc>
        <w:tc>
          <w:tcPr>
            <w:tcW w:w="980" w:type="dxa"/>
            <w:vAlign w:val="bottom"/>
          </w:tcPr>
          <w:p>
            <w:pPr>
              <w:jc w:val="right"/>
              <w:spacing w:after="0"/>
              <w:rPr>
                <w:sz w:val="20"/>
                <w:szCs w:val="20"/>
                <w:color w:val="auto"/>
              </w:rPr>
            </w:pPr>
            <w:r>
              <w:rPr>
                <w:rFonts w:ascii="Arial" w:cs="Arial" w:eastAsia="Arial" w:hAnsi="Arial"/>
                <w:sz w:val="18"/>
                <w:szCs w:val="18"/>
                <w:color w:val="auto"/>
              </w:rPr>
              <w:t>$ 325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$ 426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$ 408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$ 394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$ 415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$ 122</w:t>
            </w: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Total fixed charges (from above)</w:t>
            </w:r>
          </w:p>
        </w:tc>
        <w:tc>
          <w:tcPr>
            <w:tcW w:w="980" w:type="dxa"/>
            <w:vAlign w:val="bottom"/>
          </w:tcPr>
          <w:p>
            <w:pPr>
              <w:jc w:val="right"/>
              <w:spacing w:after="0"/>
              <w:rPr>
                <w:sz w:val="20"/>
                <w:szCs w:val="20"/>
                <w:color w:val="auto"/>
              </w:rPr>
            </w:pPr>
            <w:r>
              <w:rPr>
                <w:rFonts w:ascii="Arial" w:cs="Arial" w:eastAsia="Arial" w:hAnsi="Arial"/>
                <w:sz w:val="18"/>
                <w:szCs w:val="18"/>
                <w:color w:val="auto"/>
              </w:rPr>
              <w:t>60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Less: Interest capitalized</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800" w:type="dxa"/>
            <w:vAlign w:val="bottom"/>
          </w:tcPr>
          <w:p>
            <w:pPr>
              <w:spacing w:after="0"/>
              <w:rPr>
                <w:sz w:val="20"/>
                <w:szCs w:val="20"/>
                <w:color w:val="auto"/>
              </w:rPr>
            </w:pPr>
            <w:r>
              <w:rPr>
                <w:rFonts w:ascii="Arial" w:cs="Arial" w:eastAsia="Arial" w:hAnsi="Arial"/>
                <w:sz w:val="18"/>
                <w:szCs w:val="18"/>
                <w:color w:val="auto"/>
              </w:rPr>
              <w:t>Less: Preferred dividends of</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200" w:type="dxa"/>
            <w:vAlign w:val="bottom"/>
            <w:vMerge w:val="restart"/>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80" w:type="dxa"/>
            <w:vAlign w:val="bottom"/>
            <w:vMerge w:val="restart"/>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80" w:type="dxa"/>
            <w:vAlign w:val="bottom"/>
            <w:vMerge w:val="restart"/>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220" w:type="dxa"/>
            <w:vAlign w:val="bottom"/>
            <w:vMerge w:val="restart"/>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200" w:type="dxa"/>
            <w:vAlign w:val="bottom"/>
            <w:vMerge w:val="restart"/>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8"/>
        </w:trPr>
        <w:tc>
          <w:tcPr>
            <w:tcW w:w="2800" w:type="dxa"/>
            <w:vAlign w:val="bottom"/>
          </w:tcPr>
          <w:p>
            <w:pPr>
              <w:ind w:left="260"/>
              <w:spacing w:after="0" w:line="203" w:lineRule="exact"/>
              <w:rPr>
                <w:sz w:val="20"/>
                <w:szCs w:val="20"/>
                <w:color w:val="auto"/>
              </w:rPr>
            </w:pPr>
            <w:r>
              <w:rPr>
                <w:rFonts w:ascii="Arial" w:cs="Arial" w:eastAsia="Arial" w:hAnsi="Arial"/>
                <w:sz w:val="18"/>
                <w:szCs w:val="18"/>
                <w:color w:val="auto"/>
              </w:rPr>
              <w:t>subsidiary (1)</w:t>
            </w:r>
          </w:p>
        </w:tc>
        <w:tc>
          <w:tcPr>
            <w:tcW w:w="980" w:type="dxa"/>
            <w:vAlign w:val="bottom"/>
            <w:tcBorders>
              <w:bottom w:val="single" w:sz="8" w:color="auto"/>
            </w:tcBorders>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800" w:type="dxa"/>
            <w:vAlign w:val="bottom"/>
          </w:tcPr>
          <w:p>
            <w:pPr>
              <w:spacing w:after="0"/>
              <w:rPr>
                <w:sz w:val="20"/>
                <w:szCs w:val="20"/>
                <w:color w:val="auto"/>
              </w:rPr>
            </w:pPr>
            <w:r>
              <w:rPr>
                <w:rFonts w:ascii="Arial" w:cs="Arial" w:eastAsia="Arial" w:hAnsi="Arial"/>
                <w:sz w:val="18"/>
                <w:szCs w:val="18"/>
                <w:color w:val="auto"/>
              </w:rPr>
              <w:t>Total earnings for purpose of ratio</w:t>
            </w:r>
          </w:p>
        </w:tc>
        <w:tc>
          <w:tcPr>
            <w:tcW w:w="980" w:type="dxa"/>
            <w:vAlign w:val="bottom"/>
          </w:tcPr>
          <w:p>
            <w:pPr>
              <w:jc w:val="right"/>
              <w:spacing w:after="0"/>
              <w:rPr>
                <w:sz w:val="20"/>
                <w:szCs w:val="20"/>
                <w:color w:val="auto"/>
              </w:rPr>
            </w:pPr>
            <w:r>
              <w:rPr>
                <w:rFonts w:ascii="Arial" w:cs="Arial" w:eastAsia="Arial" w:hAnsi="Arial"/>
                <w:sz w:val="18"/>
                <w:szCs w:val="18"/>
                <w:color w:val="auto"/>
              </w:rPr>
              <w:t>$ 384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$ 508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$ 489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$ 465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$ 490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$ 140</w:t>
            </w:r>
          </w:p>
        </w:tc>
        <w:tc>
          <w:tcPr>
            <w:tcW w:w="0" w:type="dxa"/>
            <w:vAlign w:val="bottom"/>
          </w:tcPr>
          <w:p>
            <w:pPr>
              <w:spacing w:after="0"/>
              <w:rPr>
                <w:sz w:val="1"/>
                <w:szCs w:val="1"/>
                <w:color w:val="auto"/>
              </w:rPr>
            </w:pPr>
          </w:p>
        </w:tc>
      </w:tr>
      <w:tr>
        <w:trPr>
          <w:trHeight w:val="20"/>
        </w:trPr>
        <w:tc>
          <w:tcPr>
            <w:tcW w:w="2800" w:type="dxa"/>
            <w:vAlign w:val="bottom"/>
            <w:vMerge w:val="restart"/>
          </w:tcPr>
          <w:p>
            <w:pPr>
              <w:spacing w:after="0"/>
              <w:rPr>
                <w:sz w:val="20"/>
                <w:szCs w:val="20"/>
                <w:color w:val="auto"/>
              </w:rPr>
            </w:pPr>
            <w:r>
              <w:rPr>
                <w:rFonts w:ascii="Arial" w:cs="Arial" w:eastAsia="Arial" w:hAnsi="Arial"/>
                <w:sz w:val="18"/>
                <w:szCs w:val="18"/>
                <w:color w:val="auto"/>
              </w:rPr>
              <w:t>Ratio of earnings to combined</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tcPr>
          <w:p>
            <w:pPr>
              <w:ind w:left="260"/>
              <w:spacing w:after="0" w:line="202" w:lineRule="exact"/>
              <w:rPr>
                <w:sz w:val="20"/>
                <w:szCs w:val="20"/>
                <w:color w:val="auto"/>
              </w:rPr>
            </w:pPr>
            <w:r>
              <w:rPr>
                <w:rFonts w:ascii="Arial" w:cs="Arial" w:eastAsia="Arial" w:hAnsi="Arial"/>
                <w:sz w:val="18"/>
                <w:szCs w:val="18"/>
                <w:color w:val="auto"/>
              </w:rPr>
              <w:t>fixed charges and preferred</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5.82</w:t>
            </w:r>
          </w:p>
        </w:tc>
        <w:tc>
          <w:tcPr>
            <w:tcW w:w="200" w:type="dxa"/>
            <w:vAlign w:val="bottom"/>
            <w:vMerge w:val="restart"/>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5.64</w:t>
            </w:r>
          </w:p>
        </w:tc>
        <w:tc>
          <w:tcPr>
            <w:tcW w:w="180" w:type="dxa"/>
            <w:vAlign w:val="bottom"/>
            <w:vMerge w:val="restart"/>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5.49</w:t>
            </w:r>
          </w:p>
        </w:tc>
        <w:tc>
          <w:tcPr>
            <w:tcW w:w="180" w:type="dxa"/>
            <w:vAlign w:val="bottom"/>
            <w:vMerge w:val="restart"/>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5.96</w:t>
            </w:r>
          </w:p>
        </w:tc>
        <w:tc>
          <w:tcPr>
            <w:tcW w:w="220" w:type="dxa"/>
            <w:vAlign w:val="bottom"/>
            <w:vMerge w:val="restart"/>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5.83</w:t>
            </w:r>
          </w:p>
        </w:tc>
        <w:tc>
          <w:tcPr>
            <w:tcW w:w="200" w:type="dxa"/>
            <w:vAlign w:val="bottom"/>
            <w:vMerge w:val="restart"/>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181"/>
        </w:trPr>
        <w:tc>
          <w:tcPr>
            <w:tcW w:w="2800" w:type="dxa"/>
            <w:vAlign w:val="bottom"/>
          </w:tcPr>
          <w:p>
            <w:pPr>
              <w:ind w:left="260"/>
              <w:spacing w:after="0" w:line="176" w:lineRule="exact"/>
              <w:rPr>
                <w:sz w:val="20"/>
                <w:szCs w:val="20"/>
                <w:color w:val="auto"/>
              </w:rPr>
            </w:pPr>
            <w:r>
              <w:rPr>
                <w:rFonts w:ascii="Arial" w:cs="Arial" w:eastAsia="Arial" w:hAnsi="Arial"/>
                <w:sz w:val="18"/>
                <w:szCs w:val="18"/>
                <w:color w:val="auto"/>
              </w:rPr>
              <w:t>stock dividends</w:t>
            </w:r>
          </w:p>
        </w:tc>
        <w:tc>
          <w:tcPr>
            <w:tcW w:w="98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800" w:type="dxa"/>
            <w:vAlign w:val="bottom"/>
          </w:tcPr>
          <w:p>
            <w:pPr>
              <w:spacing w:after="0"/>
              <w:rPr>
                <w:sz w:val="20"/>
                <w:szCs w:val="20"/>
                <w:color w:val="auto"/>
              </w:rPr>
            </w:pPr>
            <w:r>
              <w:rPr>
                <w:rFonts w:ascii="Arial" w:cs="Arial" w:eastAsia="Arial" w:hAnsi="Arial"/>
                <w:sz w:val="18"/>
                <w:szCs w:val="18"/>
                <w:color w:val="auto"/>
              </w:rPr>
              <w:t>Ratio of earnings to fixed charges</w:t>
            </w:r>
          </w:p>
        </w:tc>
        <w:tc>
          <w:tcPr>
            <w:tcW w:w="980" w:type="dxa"/>
            <w:vAlign w:val="bottom"/>
          </w:tcPr>
          <w:p>
            <w:pPr>
              <w:jc w:val="right"/>
              <w:spacing w:after="0"/>
              <w:rPr>
                <w:sz w:val="20"/>
                <w:szCs w:val="20"/>
                <w:color w:val="auto"/>
              </w:rPr>
            </w:pPr>
            <w:r>
              <w:rPr>
                <w:rFonts w:ascii="Arial" w:cs="Arial" w:eastAsia="Arial" w:hAnsi="Arial"/>
                <w:sz w:val="18"/>
                <w:szCs w:val="18"/>
                <w:color w:val="auto"/>
              </w:rPr>
              <w:t>6.40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6.05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5.89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6.46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6.28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right="559" w:hanging="385"/>
        <w:spacing w:after="0" w:line="246" w:lineRule="auto"/>
        <w:tabs>
          <w:tab w:leader="none" w:pos="5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 computing this ratio, “Preferred dividends of subsidiary” and "Preferred stock dividends" represent the before-tax earnings necessary to pay such dividends, computed at the effective tax rates for the applicable periods.</w:t>
      </w:r>
    </w:p>
    <w:p>
      <w:pPr>
        <w:sectPr>
          <w:pgSz w:w="11900" w:h="16838" w:orient="portrait"/>
          <w:cols w:equalWidth="0" w:num="1">
            <w:col w:w="10199"/>
          </w:cols>
          <w:pgMar w:left="260" w:top="886" w:right="1440" w:bottom="1440" w:gutter="0" w:footer="0" w:header="0"/>
        </w:sectPr>
      </w:pPr>
    </w:p>
    <w:bookmarkStart w:id="98" w:name="page99"/>
    <w:bookmarkEnd w:id="98"/>
    <w:p>
      <w:pPr>
        <w:jc w:val="center"/>
        <w:ind w:right="499"/>
        <w:spacing w:after="0"/>
        <w:rPr>
          <w:sz w:val="20"/>
          <w:szCs w:val="20"/>
          <w:color w:val="auto"/>
        </w:rPr>
      </w:pPr>
      <w:r>
        <w:rPr>
          <w:rFonts w:ascii="Arial" w:cs="Arial" w:eastAsia="Arial" w:hAnsi="Arial"/>
          <w:sz w:val="18"/>
          <w:szCs w:val="18"/>
          <w:b w:val="1"/>
          <w:bCs w:val="1"/>
          <w:color w:val="auto"/>
        </w:rPr>
        <w:t>EXHIBIT 12.4</w:t>
      </w:r>
    </w:p>
    <w:p>
      <w:pPr>
        <w:spacing w:after="0" w:line="32"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SOUTHERN CALIFORNIA GAS COMPANY</w:t>
      </w:r>
    </w:p>
    <w:p>
      <w:pPr>
        <w:spacing w:after="0" w:line="2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COMPUTATION OF RATIO OF EARNINGS TO COMBINED FIXED CHARGES</w:t>
      </w:r>
    </w:p>
    <w:p>
      <w:pPr>
        <w:spacing w:after="0" w:line="2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AND PREFERRED STOCK DIVIDENDS</w:t>
      </w:r>
    </w:p>
    <w:p>
      <w:pPr>
        <w:spacing w:after="0" w:line="2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(Dollars in millions)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March 31,</w:t>
            </w:r>
          </w:p>
        </w:tc>
        <w:tc>
          <w:tcPr>
            <w:tcW w:w="0" w:type="dxa"/>
            <w:vAlign w:val="bottom"/>
          </w:tcPr>
          <w:p>
            <w:pPr>
              <w:spacing w:after="0"/>
              <w:rPr>
                <w:sz w:val="1"/>
                <w:szCs w:val="1"/>
                <w:color w:val="auto"/>
              </w:rPr>
            </w:pPr>
          </w:p>
        </w:tc>
      </w:tr>
      <w:tr>
        <w:trPr>
          <w:trHeight w:val="230"/>
        </w:trPr>
        <w:tc>
          <w:tcPr>
            <w:tcW w:w="2800" w:type="dxa"/>
            <w:vAlign w:val="bottom"/>
          </w:tcPr>
          <w:p>
            <w:pPr>
              <w:spacing w:after="0"/>
              <w:rPr>
                <w:sz w:val="19"/>
                <w:szCs w:val="19"/>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2005</w:t>
            </w:r>
          </w:p>
        </w:tc>
        <w:tc>
          <w:tcPr>
            <w:tcW w:w="1180" w:type="dxa"/>
            <w:vAlign w:val="bottom"/>
            <w:gridSpan w:val="2"/>
          </w:tcPr>
          <w:p>
            <w:pPr>
              <w:jc w:val="right"/>
              <w:ind w:right="230"/>
              <w:spacing w:after="0"/>
              <w:rPr>
                <w:sz w:val="20"/>
                <w:szCs w:val="20"/>
                <w:color w:val="auto"/>
              </w:rPr>
            </w:pPr>
            <w:r>
              <w:rPr>
                <w:rFonts w:ascii="Arial" w:cs="Arial" w:eastAsia="Arial" w:hAnsi="Arial"/>
                <w:sz w:val="18"/>
                <w:szCs w:val="18"/>
                <w:color w:val="auto"/>
              </w:rPr>
              <w:t>2006</w:t>
            </w:r>
          </w:p>
        </w:tc>
        <w:tc>
          <w:tcPr>
            <w:tcW w:w="1180" w:type="dxa"/>
            <w:vAlign w:val="bottom"/>
            <w:gridSpan w:val="2"/>
          </w:tcPr>
          <w:p>
            <w:pPr>
              <w:jc w:val="right"/>
              <w:ind w:right="230"/>
              <w:spacing w:after="0"/>
              <w:rPr>
                <w:sz w:val="20"/>
                <w:szCs w:val="20"/>
                <w:color w:val="auto"/>
              </w:rPr>
            </w:pPr>
            <w:r>
              <w:rPr>
                <w:rFonts w:ascii="Arial" w:cs="Arial" w:eastAsia="Arial" w:hAnsi="Arial"/>
                <w:sz w:val="18"/>
                <w:szCs w:val="18"/>
                <w:color w:val="auto"/>
              </w:rPr>
              <w:t>2007</w:t>
            </w:r>
          </w:p>
        </w:tc>
        <w:tc>
          <w:tcPr>
            <w:tcW w:w="1160" w:type="dxa"/>
            <w:vAlign w:val="bottom"/>
            <w:gridSpan w:val="2"/>
          </w:tcPr>
          <w:p>
            <w:pPr>
              <w:jc w:val="right"/>
              <w:ind w:right="210"/>
              <w:spacing w:after="0"/>
              <w:rPr>
                <w:sz w:val="20"/>
                <w:szCs w:val="20"/>
                <w:color w:val="auto"/>
              </w:rPr>
            </w:pPr>
            <w:r>
              <w:rPr>
                <w:rFonts w:ascii="Arial" w:cs="Arial" w:eastAsia="Arial" w:hAnsi="Arial"/>
                <w:sz w:val="18"/>
                <w:szCs w:val="18"/>
                <w:color w:val="auto"/>
              </w:rPr>
              <w:t>2008</w:t>
            </w:r>
          </w:p>
        </w:tc>
        <w:tc>
          <w:tcPr>
            <w:tcW w:w="1200" w:type="dxa"/>
            <w:vAlign w:val="bottom"/>
            <w:gridSpan w:val="2"/>
          </w:tcPr>
          <w:p>
            <w:pPr>
              <w:jc w:val="right"/>
              <w:ind w:right="230"/>
              <w:spacing w:after="0"/>
              <w:rPr>
                <w:sz w:val="20"/>
                <w:szCs w:val="20"/>
                <w:color w:val="auto"/>
              </w:rPr>
            </w:pPr>
            <w:r>
              <w:rPr>
                <w:rFonts w:ascii="Arial" w:cs="Arial" w:eastAsia="Arial" w:hAnsi="Arial"/>
                <w:sz w:val="18"/>
                <w:szCs w:val="18"/>
                <w:color w:val="auto"/>
              </w:rPr>
              <w:t>2009</w:t>
            </w:r>
          </w:p>
        </w:tc>
        <w:tc>
          <w:tcPr>
            <w:tcW w:w="1220" w:type="dxa"/>
            <w:vAlign w:val="bottom"/>
            <w:gridSpan w:val="2"/>
          </w:tcPr>
          <w:p>
            <w:pPr>
              <w:jc w:val="right"/>
              <w:ind w:right="25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23"/>
        </w:trPr>
        <w:tc>
          <w:tcPr>
            <w:tcW w:w="2800" w:type="dxa"/>
            <w:vAlign w:val="bottom"/>
          </w:tcPr>
          <w:p>
            <w:pPr>
              <w:spacing w:after="0"/>
              <w:rPr>
                <w:sz w:val="20"/>
                <w:szCs w:val="20"/>
                <w:color w:val="auto"/>
              </w:rPr>
            </w:pPr>
            <w:r>
              <w:rPr>
                <w:rFonts w:ascii="Arial" w:cs="Arial" w:eastAsia="Arial" w:hAnsi="Arial"/>
                <w:sz w:val="18"/>
                <w:szCs w:val="18"/>
                <w:color w:val="auto"/>
              </w:rPr>
              <w:t>Fixed Charges:</w:t>
            </w:r>
          </w:p>
        </w:tc>
        <w:tc>
          <w:tcPr>
            <w:tcW w:w="9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Interest</w:t>
            </w:r>
          </w:p>
        </w:tc>
        <w:tc>
          <w:tcPr>
            <w:tcW w:w="980" w:type="dxa"/>
            <w:vAlign w:val="bottom"/>
          </w:tcPr>
          <w:p>
            <w:pPr>
              <w:jc w:val="right"/>
              <w:spacing w:after="0"/>
              <w:rPr>
                <w:sz w:val="20"/>
                <w:szCs w:val="20"/>
                <w:color w:val="auto"/>
              </w:rPr>
            </w:pPr>
            <w:r>
              <w:rPr>
                <w:rFonts w:ascii="Arial" w:cs="Arial" w:eastAsia="Arial" w:hAnsi="Arial"/>
                <w:sz w:val="18"/>
                <w:szCs w:val="18"/>
                <w:color w:val="auto"/>
              </w:rPr>
              <w:t>$ 50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$ 72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$ 72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$ 65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$ 74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$ 18</w:t>
            </w: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Interest portion of annual rentals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800" w:type="dxa"/>
            <w:vAlign w:val="bottom"/>
          </w:tcPr>
          <w:p>
            <w:pPr>
              <w:spacing w:after="0"/>
              <w:rPr>
                <w:sz w:val="20"/>
                <w:szCs w:val="20"/>
                <w:color w:val="auto"/>
              </w:rPr>
            </w:pPr>
            <w:r>
              <w:rPr>
                <w:rFonts w:ascii="Arial" w:cs="Arial" w:eastAsia="Arial" w:hAnsi="Arial"/>
                <w:sz w:val="18"/>
                <w:szCs w:val="18"/>
                <w:color w:val="auto"/>
              </w:rPr>
              <w:t>Total fixed charges</w:t>
            </w:r>
          </w:p>
        </w:tc>
        <w:tc>
          <w:tcPr>
            <w:tcW w:w="980" w:type="dxa"/>
            <w:vAlign w:val="bottom"/>
          </w:tcPr>
          <w:p>
            <w:pPr>
              <w:jc w:val="right"/>
              <w:spacing w:after="0"/>
              <w:rPr>
                <w:sz w:val="20"/>
                <w:szCs w:val="20"/>
                <w:color w:val="auto"/>
              </w:rPr>
            </w:pPr>
            <w:r>
              <w:rPr>
                <w:rFonts w:ascii="Arial" w:cs="Arial" w:eastAsia="Arial" w:hAnsi="Arial"/>
                <w:sz w:val="18"/>
                <w:szCs w:val="18"/>
                <w:color w:val="auto"/>
              </w:rPr>
              <w:t>53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Preferred stock dividends (1)</w:t>
            </w: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2800" w:type="dxa"/>
            <w:vAlign w:val="bottom"/>
          </w:tcPr>
          <w:p>
            <w:pPr>
              <w:spacing w:after="0"/>
              <w:rPr>
                <w:sz w:val="20"/>
                <w:szCs w:val="20"/>
                <w:color w:val="auto"/>
              </w:rPr>
            </w:pPr>
            <w:r>
              <w:rPr>
                <w:rFonts w:ascii="Arial" w:cs="Arial" w:eastAsia="Arial" w:hAnsi="Arial"/>
                <w:sz w:val="18"/>
                <w:szCs w:val="18"/>
                <w:color w:val="auto"/>
              </w:rPr>
              <w:t>Combined fixed charges and</w:t>
            </w: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800" w:type="dxa"/>
            <w:vAlign w:val="bottom"/>
          </w:tcPr>
          <w:p>
            <w:pPr>
              <w:ind w:left="260"/>
              <w:spacing w:after="0" w:line="202" w:lineRule="exact"/>
              <w:rPr>
                <w:sz w:val="20"/>
                <w:szCs w:val="20"/>
                <w:color w:val="auto"/>
              </w:rPr>
            </w:pPr>
            <w:r>
              <w:rPr>
                <w:rFonts w:ascii="Arial" w:cs="Arial" w:eastAsia="Arial" w:hAnsi="Arial"/>
                <w:sz w:val="18"/>
                <w:szCs w:val="18"/>
                <w:color w:val="auto"/>
              </w:rPr>
              <w:t>preferred stock dividends for</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$ 55</w:t>
            </w:r>
          </w:p>
        </w:tc>
        <w:tc>
          <w:tcPr>
            <w:tcW w:w="1180" w:type="dxa"/>
            <w:vAlign w:val="bottom"/>
            <w:gridSpan w:val="2"/>
            <w:vMerge w:val="restart"/>
          </w:tcPr>
          <w:p>
            <w:pPr>
              <w:jc w:val="right"/>
              <w:spacing w:after="0"/>
              <w:rPr>
                <w:sz w:val="20"/>
                <w:szCs w:val="20"/>
                <w:color w:val="auto"/>
              </w:rPr>
            </w:pPr>
            <w:r>
              <w:rPr>
                <w:rFonts w:ascii="Arial" w:cs="Arial" w:eastAsia="Arial" w:hAnsi="Arial"/>
                <w:sz w:val="18"/>
                <w:szCs w:val="18"/>
                <w:color w:val="auto"/>
              </w:rPr>
              <w:t>$ 78</w:t>
            </w:r>
          </w:p>
        </w:tc>
        <w:tc>
          <w:tcPr>
            <w:tcW w:w="1180" w:type="dxa"/>
            <w:vAlign w:val="bottom"/>
            <w:gridSpan w:val="2"/>
            <w:vMerge w:val="restart"/>
          </w:tcPr>
          <w:p>
            <w:pPr>
              <w:jc w:val="right"/>
              <w:spacing w:after="0"/>
              <w:rPr>
                <w:sz w:val="20"/>
                <w:szCs w:val="20"/>
                <w:color w:val="auto"/>
              </w:rPr>
            </w:pPr>
            <w:r>
              <w:rPr>
                <w:rFonts w:ascii="Arial" w:cs="Arial" w:eastAsia="Arial" w:hAnsi="Arial"/>
                <w:sz w:val="18"/>
                <w:szCs w:val="18"/>
                <w:color w:val="auto"/>
              </w:rPr>
              <w:t>$ 77</w:t>
            </w:r>
          </w:p>
        </w:tc>
        <w:tc>
          <w:tcPr>
            <w:tcW w:w="1160" w:type="dxa"/>
            <w:vAlign w:val="bottom"/>
            <w:gridSpan w:val="2"/>
            <w:vMerge w:val="restart"/>
          </w:tcPr>
          <w:p>
            <w:pPr>
              <w:jc w:val="right"/>
              <w:spacing w:after="0"/>
              <w:rPr>
                <w:sz w:val="20"/>
                <w:szCs w:val="20"/>
                <w:color w:val="auto"/>
              </w:rPr>
            </w:pPr>
            <w:r>
              <w:rPr>
                <w:rFonts w:ascii="Arial" w:cs="Arial" w:eastAsia="Arial" w:hAnsi="Arial"/>
                <w:sz w:val="18"/>
                <w:szCs w:val="18"/>
                <w:color w:val="auto"/>
              </w:rPr>
              <w:t>$ 69</w:t>
            </w:r>
          </w:p>
        </w:tc>
        <w:tc>
          <w:tcPr>
            <w:tcW w:w="1200" w:type="dxa"/>
            <w:vAlign w:val="bottom"/>
            <w:gridSpan w:val="2"/>
            <w:vMerge w:val="restart"/>
          </w:tcPr>
          <w:p>
            <w:pPr>
              <w:jc w:val="right"/>
              <w:spacing w:after="0"/>
              <w:rPr>
                <w:sz w:val="20"/>
                <w:szCs w:val="20"/>
                <w:color w:val="auto"/>
              </w:rPr>
            </w:pPr>
            <w:r>
              <w:rPr>
                <w:rFonts w:ascii="Arial" w:cs="Arial" w:eastAsia="Arial" w:hAnsi="Arial"/>
                <w:sz w:val="18"/>
                <w:szCs w:val="18"/>
                <w:color w:val="auto"/>
              </w:rPr>
              <w:t>$ 77</w:t>
            </w:r>
          </w:p>
        </w:tc>
        <w:tc>
          <w:tcPr>
            <w:tcW w:w="1220" w:type="dxa"/>
            <w:vAlign w:val="bottom"/>
            <w:gridSpan w:val="2"/>
            <w:vMerge w:val="restart"/>
          </w:tcPr>
          <w:p>
            <w:pPr>
              <w:jc w:val="right"/>
              <w:spacing w:after="0"/>
              <w:rPr>
                <w:sz w:val="20"/>
                <w:szCs w:val="20"/>
                <w:color w:val="auto"/>
              </w:rPr>
            </w:pPr>
            <w:r>
              <w:rPr>
                <w:rFonts w:ascii="Arial" w:cs="Arial" w:eastAsia="Arial" w:hAnsi="Arial"/>
                <w:sz w:val="18"/>
                <w:szCs w:val="18"/>
                <w:color w:val="auto"/>
              </w:rPr>
              <w:t>$ 19</w:t>
            </w:r>
          </w:p>
        </w:tc>
        <w:tc>
          <w:tcPr>
            <w:tcW w:w="0" w:type="dxa"/>
            <w:vAlign w:val="bottom"/>
          </w:tcPr>
          <w:p>
            <w:pPr>
              <w:spacing w:after="0"/>
              <w:rPr>
                <w:sz w:val="1"/>
                <w:szCs w:val="1"/>
                <w:color w:val="auto"/>
              </w:rPr>
            </w:pPr>
          </w:p>
        </w:tc>
      </w:tr>
      <w:tr>
        <w:trPr>
          <w:trHeight w:val="176"/>
        </w:trPr>
        <w:tc>
          <w:tcPr>
            <w:tcW w:w="2800" w:type="dxa"/>
            <w:vAlign w:val="bottom"/>
          </w:tcPr>
          <w:p>
            <w:pPr>
              <w:ind w:left="260"/>
              <w:spacing w:after="0" w:line="176" w:lineRule="exact"/>
              <w:rPr>
                <w:sz w:val="20"/>
                <w:szCs w:val="20"/>
                <w:color w:val="auto"/>
              </w:rPr>
            </w:pPr>
            <w:r>
              <w:rPr>
                <w:rFonts w:ascii="Arial" w:cs="Arial" w:eastAsia="Arial" w:hAnsi="Arial"/>
                <w:sz w:val="18"/>
                <w:szCs w:val="18"/>
                <w:color w:val="auto"/>
              </w:rPr>
              <w:t>purpose of ratio</w:t>
            </w:r>
          </w:p>
        </w:tc>
        <w:tc>
          <w:tcPr>
            <w:tcW w:w="980" w:type="dxa"/>
            <w:vAlign w:val="bottom"/>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0" w:type="dxa"/>
            <w:vAlign w:val="bottom"/>
            <w:vMerge w:val="restart"/>
          </w:tcPr>
          <w:p>
            <w:pPr>
              <w:spacing w:after="0"/>
              <w:rPr>
                <w:sz w:val="20"/>
                <w:szCs w:val="20"/>
                <w:color w:val="auto"/>
              </w:rPr>
            </w:pPr>
            <w:r>
              <w:rPr>
                <w:rFonts w:ascii="Arial" w:cs="Arial" w:eastAsia="Arial" w:hAnsi="Arial"/>
                <w:sz w:val="18"/>
                <w:szCs w:val="18"/>
                <w:color w:val="auto"/>
              </w:rPr>
              <w:t>Earnings:</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800" w:type="dxa"/>
            <w:vAlign w:val="bottom"/>
            <w:vMerge w:val="continue"/>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800" w:type="dxa"/>
            <w:vAlign w:val="bottom"/>
          </w:tcPr>
          <w:p>
            <w:pPr>
              <w:spacing w:after="0"/>
              <w:rPr>
                <w:sz w:val="20"/>
                <w:szCs w:val="20"/>
                <w:color w:val="auto"/>
              </w:rPr>
            </w:pPr>
            <w:r>
              <w:rPr>
                <w:rFonts w:ascii="Arial" w:cs="Arial" w:eastAsia="Arial" w:hAnsi="Arial"/>
                <w:sz w:val="18"/>
                <w:szCs w:val="18"/>
                <w:color w:val="auto"/>
              </w:rPr>
              <w:t>Pretax income from continuing</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800" w:type="dxa"/>
            <w:vAlign w:val="bottom"/>
          </w:tcPr>
          <w:p>
            <w:pPr>
              <w:ind w:left="260"/>
              <w:spacing w:after="0"/>
              <w:rPr>
                <w:sz w:val="20"/>
                <w:szCs w:val="20"/>
                <w:color w:val="auto"/>
              </w:rPr>
            </w:pPr>
            <w:r>
              <w:rPr>
                <w:rFonts w:ascii="Arial" w:cs="Arial" w:eastAsia="Arial" w:hAnsi="Arial"/>
                <w:sz w:val="18"/>
                <w:szCs w:val="18"/>
                <w:color w:val="auto"/>
              </w:rPr>
              <w:t>operations</w:t>
            </w:r>
          </w:p>
        </w:tc>
        <w:tc>
          <w:tcPr>
            <w:tcW w:w="980" w:type="dxa"/>
            <w:vAlign w:val="bottom"/>
          </w:tcPr>
          <w:p>
            <w:pPr>
              <w:jc w:val="right"/>
              <w:spacing w:after="0"/>
              <w:rPr>
                <w:sz w:val="20"/>
                <w:szCs w:val="20"/>
                <w:color w:val="auto"/>
              </w:rPr>
            </w:pPr>
            <w:r>
              <w:rPr>
                <w:rFonts w:ascii="Arial" w:cs="Arial" w:eastAsia="Arial" w:hAnsi="Arial"/>
                <w:sz w:val="18"/>
                <w:szCs w:val="18"/>
                <w:color w:val="auto"/>
              </w:rPr>
              <w:t>$ 309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$ 397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$ 391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$ 385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$ 418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5"/>
        </w:trPr>
        <w:tc>
          <w:tcPr>
            <w:tcW w:w="2800" w:type="dxa"/>
            <w:vAlign w:val="bottom"/>
          </w:tcPr>
          <w:p>
            <w:pPr>
              <w:spacing w:after="0"/>
              <w:rPr>
                <w:sz w:val="20"/>
                <w:szCs w:val="20"/>
                <w:color w:val="auto"/>
              </w:rPr>
            </w:pPr>
            <w:r>
              <w:rPr>
                <w:rFonts w:ascii="Arial" w:cs="Arial" w:eastAsia="Arial" w:hAnsi="Arial"/>
                <w:sz w:val="18"/>
                <w:szCs w:val="18"/>
                <w:color w:val="auto"/>
              </w:rPr>
              <w:t>Add: Total fixed charges (from</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800" w:type="dxa"/>
            <w:vAlign w:val="bottom"/>
          </w:tcPr>
          <w:p>
            <w:pPr>
              <w:ind w:left="260"/>
              <w:spacing w:after="0"/>
              <w:rPr>
                <w:sz w:val="20"/>
                <w:szCs w:val="20"/>
                <w:color w:val="auto"/>
              </w:rPr>
            </w:pPr>
            <w:r>
              <w:rPr>
                <w:rFonts w:ascii="Arial" w:cs="Arial" w:eastAsia="Arial" w:hAnsi="Arial"/>
                <w:sz w:val="18"/>
                <w:szCs w:val="18"/>
                <w:color w:val="auto"/>
              </w:rPr>
              <w:t>above)</w:t>
            </w:r>
          </w:p>
        </w:tc>
        <w:tc>
          <w:tcPr>
            <w:tcW w:w="980" w:type="dxa"/>
            <w:vAlign w:val="bottom"/>
          </w:tcPr>
          <w:p>
            <w:pPr>
              <w:jc w:val="right"/>
              <w:spacing w:after="0"/>
              <w:rPr>
                <w:sz w:val="20"/>
                <w:szCs w:val="20"/>
                <w:color w:val="auto"/>
              </w:rPr>
            </w:pPr>
            <w:r>
              <w:rPr>
                <w:rFonts w:ascii="Arial" w:cs="Arial" w:eastAsia="Arial" w:hAnsi="Arial"/>
                <w:sz w:val="18"/>
                <w:szCs w:val="18"/>
                <w:color w:val="auto"/>
              </w:rPr>
              <w:t>53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Less: Interest capitalized</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800" w:type="dxa"/>
            <w:vAlign w:val="bottom"/>
          </w:tcPr>
          <w:p>
            <w:pPr>
              <w:spacing w:after="0"/>
              <w:rPr>
                <w:sz w:val="20"/>
                <w:szCs w:val="20"/>
                <w:color w:val="auto"/>
              </w:rPr>
            </w:pPr>
            <w:r>
              <w:rPr>
                <w:rFonts w:ascii="Arial" w:cs="Arial" w:eastAsia="Arial" w:hAnsi="Arial"/>
                <w:sz w:val="18"/>
                <w:szCs w:val="18"/>
                <w:color w:val="auto"/>
              </w:rPr>
              <w:t>Total earnings for purpose of ratio</w:t>
            </w:r>
          </w:p>
        </w:tc>
        <w:tc>
          <w:tcPr>
            <w:tcW w:w="980" w:type="dxa"/>
            <w:vAlign w:val="bottom"/>
          </w:tcPr>
          <w:p>
            <w:pPr>
              <w:jc w:val="right"/>
              <w:spacing w:after="0"/>
              <w:rPr>
                <w:sz w:val="20"/>
                <w:szCs w:val="20"/>
                <w:color w:val="auto"/>
              </w:rPr>
            </w:pPr>
            <w:r>
              <w:rPr>
                <w:rFonts w:ascii="Arial" w:cs="Arial" w:eastAsia="Arial" w:hAnsi="Arial"/>
                <w:sz w:val="18"/>
                <w:szCs w:val="18"/>
                <w:color w:val="auto"/>
              </w:rPr>
              <w:t>$ 362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$ 472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$ 465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$ 452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$ 492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$ 139</w:t>
            </w:r>
          </w:p>
        </w:tc>
        <w:tc>
          <w:tcPr>
            <w:tcW w:w="0" w:type="dxa"/>
            <w:vAlign w:val="bottom"/>
          </w:tcPr>
          <w:p>
            <w:pPr>
              <w:spacing w:after="0"/>
              <w:rPr>
                <w:sz w:val="1"/>
                <w:szCs w:val="1"/>
                <w:color w:val="auto"/>
              </w:rPr>
            </w:pPr>
          </w:p>
        </w:tc>
      </w:tr>
      <w:tr>
        <w:trPr>
          <w:trHeight w:val="20"/>
        </w:trPr>
        <w:tc>
          <w:tcPr>
            <w:tcW w:w="2800" w:type="dxa"/>
            <w:vAlign w:val="bottom"/>
            <w:vMerge w:val="restart"/>
          </w:tcPr>
          <w:p>
            <w:pPr>
              <w:spacing w:after="0"/>
              <w:rPr>
                <w:sz w:val="20"/>
                <w:szCs w:val="20"/>
                <w:color w:val="auto"/>
              </w:rPr>
            </w:pPr>
            <w:r>
              <w:rPr>
                <w:rFonts w:ascii="Arial" w:cs="Arial" w:eastAsia="Arial" w:hAnsi="Arial"/>
                <w:sz w:val="18"/>
                <w:szCs w:val="18"/>
                <w:color w:val="auto"/>
              </w:rPr>
              <w:t>Ratio of earnings to combined</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tcPr>
          <w:p>
            <w:pPr>
              <w:ind w:left="260"/>
              <w:spacing w:after="0" w:line="202" w:lineRule="exact"/>
              <w:rPr>
                <w:sz w:val="20"/>
                <w:szCs w:val="20"/>
                <w:color w:val="auto"/>
              </w:rPr>
            </w:pPr>
            <w:r>
              <w:rPr>
                <w:rFonts w:ascii="Arial" w:cs="Arial" w:eastAsia="Arial" w:hAnsi="Arial"/>
                <w:sz w:val="18"/>
                <w:szCs w:val="18"/>
                <w:color w:val="auto"/>
              </w:rPr>
              <w:t>fixed charges and preferred</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6.58</w:t>
            </w:r>
          </w:p>
        </w:tc>
        <w:tc>
          <w:tcPr>
            <w:tcW w:w="200" w:type="dxa"/>
            <w:vAlign w:val="bottom"/>
            <w:vMerge w:val="restart"/>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6.05</w:t>
            </w:r>
          </w:p>
        </w:tc>
        <w:tc>
          <w:tcPr>
            <w:tcW w:w="180" w:type="dxa"/>
            <w:vAlign w:val="bottom"/>
            <w:vMerge w:val="restart"/>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6.04</w:t>
            </w:r>
          </w:p>
        </w:tc>
        <w:tc>
          <w:tcPr>
            <w:tcW w:w="180" w:type="dxa"/>
            <w:vAlign w:val="bottom"/>
            <w:vMerge w:val="restart"/>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6.55</w:t>
            </w:r>
          </w:p>
        </w:tc>
        <w:tc>
          <w:tcPr>
            <w:tcW w:w="220" w:type="dxa"/>
            <w:vAlign w:val="bottom"/>
            <w:vMerge w:val="restart"/>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6.39</w:t>
            </w:r>
          </w:p>
        </w:tc>
        <w:tc>
          <w:tcPr>
            <w:tcW w:w="200" w:type="dxa"/>
            <w:vAlign w:val="bottom"/>
            <w:vMerge w:val="restart"/>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181"/>
        </w:trPr>
        <w:tc>
          <w:tcPr>
            <w:tcW w:w="2800" w:type="dxa"/>
            <w:vAlign w:val="bottom"/>
          </w:tcPr>
          <w:p>
            <w:pPr>
              <w:ind w:left="260"/>
              <w:spacing w:after="0" w:line="176" w:lineRule="exact"/>
              <w:rPr>
                <w:sz w:val="20"/>
                <w:szCs w:val="20"/>
                <w:color w:val="auto"/>
              </w:rPr>
            </w:pPr>
            <w:r>
              <w:rPr>
                <w:rFonts w:ascii="Arial" w:cs="Arial" w:eastAsia="Arial" w:hAnsi="Arial"/>
                <w:sz w:val="18"/>
                <w:szCs w:val="18"/>
                <w:color w:val="auto"/>
              </w:rPr>
              <w:t>stock dividends</w:t>
            </w:r>
          </w:p>
        </w:tc>
        <w:tc>
          <w:tcPr>
            <w:tcW w:w="98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800" w:type="dxa"/>
            <w:vAlign w:val="bottom"/>
          </w:tcPr>
          <w:p>
            <w:pPr>
              <w:spacing w:after="0"/>
              <w:rPr>
                <w:sz w:val="20"/>
                <w:szCs w:val="20"/>
                <w:color w:val="auto"/>
              </w:rPr>
            </w:pPr>
            <w:r>
              <w:rPr>
                <w:rFonts w:ascii="Arial" w:cs="Arial" w:eastAsia="Arial" w:hAnsi="Arial"/>
                <w:sz w:val="18"/>
                <w:szCs w:val="18"/>
                <w:color w:val="auto"/>
              </w:rPr>
              <w:t>Ratio of earnings to fixed charges</w:t>
            </w:r>
          </w:p>
        </w:tc>
        <w:tc>
          <w:tcPr>
            <w:tcW w:w="980" w:type="dxa"/>
            <w:vAlign w:val="bottom"/>
          </w:tcPr>
          <w:p>
            <w:pPr>
              <w:jc w:val="right"/>
              <w:spacing w:after="0"/>
              <w:rPr>
                <w:sz w:val="20"/>
                <w:szCs w:val="20"/>
                <w:color w:val="auto"/>
              </w:rPr>
            </w:pPr>
            <w:r>
              <w:rPr>
                <w:rFonts w:ascii="Arial" w:cs="Arial" w:eastAsia="Arial" w:hAnsi="Arial"/>
                <w:sz w:val="18"/>
                <w:szCs w:val="18"/>
                <w:color w:val="auto"/>
              </w:rPr>
              <w:t>6.83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6.21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6.20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6.75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6.56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right="1039" w:hanging="385"/>
        <w:spacing w:after="0" w:line="246" w:lineRule="auto"/>
        <w:tabs>
          <w:tab w:leader="none" w:pos="5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computing this ratio, “Preferred stock dividends” represents the before-tax earnings necessary to pay such dividends, computed at the effective tax rates for the applicable periods.</w:t>
      </w:r>
    </w:p>
    <w:p>
      <w:pPr>
        <w:sectPr>
          <w:pgSz w:w="11900" w:h="16838" w:orient="portrait"/>
          <w:cols w:equalWidth="0" w:num="1">
            <w:col w:w="10199"/>
          </w:cols>
          <w:pgMar w:left="260" w:top="886" w:right="1440" w:bottom="1440" w:gutter="0" w:footer="0" w:header="0"/>
        </w:sectPr>
      </w:pPr>
    </w:p>
    <w:bookmarkStart w:id="99" w:name="page100"/>
    <w:bookmarkEnd w:id="99"/>
    <w:p>
      <w:pPr>
        <w:ind w:left="10120"/>
        <w:spacing w:after="0"/>
        <w:rPr>
          <w:sz w:val="20"/>
          <w:szCs w:val="20"/>
          <w:color w:val="auto"/>
        </w:rPr>
      </w:pPr>
      <w:r>
        <w:rPr>
          <w:rFonts w:ascii="Arial" w:cs="Arial" w:eastAsia="Arial" w:hAnsi="Arial"/>
          <w:sz w:val="21"/>
          <w:szCs w:val="21"/>
          <w:color w:val="auto"/>
        </w:rPr>
        <w:t>EXHIBIT 31.1</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Donald E. Felsinger, certify that:</w:t>
      </w:r>
    </w:p>
    <w:p>
      <w:pPr>
        <w:spacing w:after="0" w:line="260" w:lineRule="exact"/>
        <w:rPr>
          <w:sz w:val="20"/>
          <w:szCs w:val="20"/>
          <w:color w:val="auto"/>
        </w:rPr>
      </w:pPr>
    </w:p>
    <w:p>
      <w:pPr>
        <w:ind w:left="340" w:hanging="332"/>
        <w:spacing w:after="0"/>
        <w:tabs>
          <w:tab w:leader="none" w:pos="340" w:val="left"/>
        </w:tabs>
        <w:numPr>
          <w:ilvl w:val="0"/>
          <w:numId w:val="75"/>
        </w:numPr>
        <w:rPr>
          <w:rFonts w:ascii="Arial" w:cs="Arial" w:eastAsia="Arial" w:hAnsi="Arial"/>
          <w:sz w:val="22"/>
          <w:szCs w:val="22"/>
          <w:color w:val="auto"/>
        </w:rPr>
      </w:pPr>
      <w:r>
        <w:rPr>
          <w:rFonts w:ascii="Arial" w:cs="Arial" w:eastAsia="Arial" w:hAnsi="Arial"/>
          <w:sz w:val="22"/>
          <w:szCs w:val="22"/>
          <w:color w:val="auto"/>
        </w:rPr>
        <w:t>I have reviewed this report on Form 10-Q of Sempra Energy;</w:t>
      </w:r>
    </w:p>
    <w:p>
      <w:pPr>
        <w:spacing w:after="0" w:line="260" w:lineRule="exact"/>
        <w:rPr>
          <w:rFonts w:ascii="Arial" w:cs="Arial" w:eastAsia="Arial" w:hAnsi="Arial"/>
          <w:sz w:val="22"/>
          <w:szCs w:val="22"/>
          <w:color w:val="auto"/>
        </w:rPr>
      </w:pPr>
    </w:p>
    <w:p>
      <w:pPr>
        <w:ind w:left="340" w:right="220" w:hanging="332"/>
        <w:spacing w:after="0"/>
        <w:tabs>
          <w:tab w:leader="none" w:pos="340" w:val="left"/>
        </w:tabs>
        <w:numPr>
          <w:ilvl w:val="0"/>
          <w:numId w:val="75"/>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0" w:lineRule="exact"/>
        <w:rPr>
          <w:rFonts w:ascii="Arial" w:cs="Arial" w:eastAsia="Arial" w:hAnsi="Arial"/>
          <w:sz w:val="22"/>
          <w:szCs w:val="22"/>
          <w:color w:val="auto"/>
        </w:rPr>
      </w:pPr>
    </w:p>
    <w:p>
      <w:pPr>
        <w:ind w:left="340" w:right="300" w:hanging="332"/>
        <w:spacing w:after="0"/>
        <w:tabs>
          <w:tab w:leader="none" w:pos="340" w:val="left"/>
        </w:tabs>
        <w:numPr>
          <w:ilvl w:val="0"/>
          <w:numId w:val="75"/>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0" w:lineRule="exact"/>
        <w:rPr>
          <w:rFonts w:ascii="Arial" w:cs="Arial" w:eastAsia="Arial" w:hAnsi="Arial"/>
          <w:sz w:val="22"/>
          <w:szCs w:val="22"/>
          <w:color w:val="auto"/>
        </w:rPr>
      </w:pPr>
    </w:p>
    <w:p>
      <w:pPr>
        <w:ind w:left="340" w:hanging="332"/>
        <w:spacing w:after="0"/>
        <w:tabs>
          <w:tab w:leader="none" w:pos="340" w:val="left"/>
        </w:tabs>
        <w:numPr>
          <w:ilvl w:val="0"/>
          <w:numId w:val="75"/>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0" w:lineRule="exact"/>
        <w:rPr>
          <w:rFonts w:ascii="Arial" w:cs="Arial" w:eastAsia="Arial" w:hAnsi="Arial"/>
          <w:sz w:val="22"/>
          <w:szCs w:val="22"/>
          <w:color w:val="auto"/>
        </w:rPr>
      </w:pPr>
    </w:p>
    <w:p>
      <w:pPr>
        <w:ind w:left="980" w:right="300" w:hanging="324"/>
        <w:spacing w:after="0" w:line="238" w:lineRule="auto"/>
        <w:tabs>
          <w:tab w:leader="none" w:pos="980" w:val="left"/>
        </w:tabs>
        <w:numPr>
          <w:ilvl w:val="1"/>
          <w:numId w:val="75"/>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9" w:lineRule="exact"/>
        <w:rPr>
          <w:rFonts w:ascii="Arial" w:cs="Arial" w:eastAsia="Arial" w:hAnsi="Arial"/>
          <w:sz w:val="22"/>
          <w:szCs w:val="22"/>
          <w:color w:val="auto"/>
        </w:rPr>
      </w:pPr>
    </w:p>
    <w:p>
      <w:pPr>
        <w:ind w:left="980" w:right="200" w:hanging="324"/>
        <w:spacing w:after="0" w:line="297" w:lineRule="auto"/>
        <w:tabs>
          <w:tab w:leader="none" w:pos="980" w:val="left"/>
        </w:tabs>
        <w:numPr>
          <w:ilvl w:val="1"/>
          <w:numId w:val="75"/>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40" w:hanging="324"/>
        <w:spacing w:after="0"/>
        <w:tabs>
          <w:tab w:leader="none" w:pos="980" w:val="left"/>
        </w:tabs>
        <w:numPr>
          <w:ilvl w:val="1"/>
          <w:numId w:val="75"/>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0" w:lineRule="exact"/>
        <w:rPr>
          <w:rFonts w:ascii="Arial" w:cs="Arial" w:eastAsia="Arial" w:hAnsi="Arial"/>
          <w:sz w:val="22"/>
          <w:szCs w:val="22"/>
          <w:color w:val="auto"/>
        </w:rPr>
      </w:pPr>
    </w:p>
    <w:p>
      <w:pPr>
        <w:ind w:left="980" w:right="200" w:hanging="324"/>
        <w:spacing w:after="0" w:line="238" w:lineRule="auto"/>
        <w:tabs>
          <w:tab w:leader="none" w:pos="980" w:val="left"/>
        </w:tabs>
        <w:numPr>
          <w:ilvl w:val="1"/>
          <w:numId w:val="75"/>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9" w:lineRule="exact"/>
        <w:rPr>
          <w:rFonts w:ascii="Arial" w:cs="Arial" w:eastAsia="Arial" w:hAnsi="Arial"/>
          <w:sz w:val="22"/>
          <w:szCs w:val="22"/>
          <w:color w:val="auto"/>
        </w:rPr>
      </w:pPr>
    </w:p>
    <w:p>
      <w:pPr>
        <w:ind w:left="340" w:right="140" w:hanging="332"/>
        <w:spacing w:after="0"/>
        <w:tabs>
          <w:tab w:leader="none" w:pos="340" w:val="left"/>
        </w:tabs>
        <w:numPr>
          <w:ilvl w:val="0"/>
          <w:numId w:val="75"/>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0" w:lineRule="exact"/>
        <w:rPr>
          <w:rFonts w:ascii="Arial" w:cs="Arial" w:eastAsia="Arial" w:hAnsi="Arial"/>
          <w:sz w:val="22"/>
          <w:szCs w:val="22"/>
          <w:color w:val="auto"/>
        </w:rPr>
      </w:pPr>
    </w:p>
    <w:p>
      <w:pPr>
        <w:ind w:left="980" w:right="80" w:hanging="324"/>
        <w:spacing w:after="0"/>
        <w:tabs>
          <w:tab w:leader="none" w:pos="980" w:val="left"/>
        </w:tabs>
        <w:numPr>
          <w:ilvl w:val="1"/>
          <w:numId w:val="75"/>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22"/>
          <w:szCs w:val="22"/>
          <w:color w:val="auto"/>
        </w:rPr>
      </w:pPr>
    </w:p>
    <w:p>
      <w:pPr>
        <w:ind w:left="980" w:right="400" w:hanging="324"/>
        <w:spacing w:after="0" w:line="251" w:lineRule="auto"/>
        <w:tabs>
          <w:tab w:leader="none" w:pos="980" w:val="left"/>
        </w:tabs>
        <w:numPr>
          <w:ilvl w:val="1"/>
          <w:numId w:val="75"/>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May 4, 2010</w:t>
      </w:r>
    </w:p>
    <w:p>
      <w:pPr>
        <w:spacing w:after="0" w:line="281" w:lineRule="exact"/>
        <w:rPr>
          <w:sz w:val="20"/>
          <w:szCs w:val="20"/>
          <w:color w:val="auto"/>
        </w:rPr>
      </w:pPr>
    </w:p>
    <w:p>
      <w:pPr>
        <w:ind w:left="9680"/>
        <w:spacing w:after="0"/>
        <w:rPr>
          <w:sz w:val="20"/>
          <w:szCs w:val="20"/>
          <w:color w:val="auto"/>
        </w:rPr>
      </w:pPr>
      <w:r>
        <w:rPr>
          <w:rFonts w:ascii="Arial" w:cs="Arial" w:eastAsia="Arial" w:hAnsi="Arial"/>
          <w:sz w:val="16"/>
          <w:szCs w:val="16"/>
          <w:color w:val="auto"/>
        </w:rPr>
        <w:t>/S/ Donald E. Felsinger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38100</wp:posOffset>
            </wp:positionV>
            <wp:extent cx="255587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3" w:lineRule="exact"/>
        <w:rPr>
          <w:sz w:val="20"/>
          <w:szCs w:val="20"/>
          <w:color w:val="auto"/>
        </w:rPr>
      </w:pPr>
    </w:p>
    <w:p>
      <w:pPr>
        <w:ind w:left="9960"/>
        <w:spacing w:after="0"/>
        <w:rPr>
          <w:sz w:val="20"/>
          <w:szCs w:val="20"/>
          <w:color w:val="auto"/>
        </w:rPr>
      </w:pPr>
      <w:r>
        <w:rPr>
          <w:rFonts w:ascii="Arial" w:cs="Arial" w:eastAsia="Arial" w:hAnsi="Arial"/>
          <w:sz w:val="16"/>
          <w:szCs w:val="16"/>
          <w:color w:val="auto"/>
        </w:rPr>
        <w:t>Donald E. Felsinger</w:t>
      </w:r>
    </w:p>
    <w:p>
      <w:pPr>
        <w:spacing w:after="0" w:line="59" w:lineRule="exact"/>
        <w:rPr>
          <w:sz w:val="20"/>
          <w:szCs w:val="20"/>
          <w:color w:val="auto"/>
        </w:rPr>
      </w:pPr>
    </w:p>
    <w:p>
      <w:pPr>
        <w:ind w:left="968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420"/>
          </w:cols>
          <w:pgMar w:left="240" w:top="118" w:right="239" w:bottom="1440" w:gutter="0" w:footer="0" w:header="0"/>
        </w:sectPr>
      </w:pPr>
    </w:p>
    <w:bookmarkStart w:id="100" w:name="page101"/>
    <w:bookmarkEnd w:id="100"/>
    <w:p>
      <w:pPr>
        <w:ind w:left="10120"/>
        <w:spacing w:after="0"/>
        <w:rPr>
          <w:sz w:val="20"/>
          <w:szCs w:val="20"/>
          <w:color w:val="auto"/>
        </w:rPr>
      </w:pPr>
      <w:r>
        <w:rPr>
          <w:rFonts w:ascii="Arial" w:cs="Arial" w:eastAsia="Arial" w:hAnsi="Arial"/>
          <w:sz w:val="21"/>
          <w:szCs w:val="21"/>
          <w:color w:val="auto"/>
        </w:rPr>
        <w:t>EXHIBIT 31.2</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Mark A. Snell, certify that:</w:t>
      </w:r>
    </w:p>
    <w:p>
      <w:pPr>
        <w:spacing w:after="0" w:line="260" w:lineRule="exact"/>
        <w:rPr>
          <w:sz w:val="20"/>
          <w:szCs w:val="20"/>
          <w:color w:val="auto"/>
        </w:rPr>
      </w:pPr>
    </w:p>
    <w:p>
      <w:pPr>
        <w:ind w:left="340" w:hanging="332"/>
        <w:spacing w:after="0"/>
        <w:tabs>
          <w:tab w:leader="none" w:pos="340" w:val="left"/>
        </w:tabs>
        <w:numPr>
          <w:ilvl w:val="0"/>
          <w:numId w:val="76"/>
        </w:numPr>
        <w:rPr>
          <w:rFonts w:ascii="Arial" w:cs="Arial" w:eastAsia="Arial" w:hAnsi="Arial"/>
          <w:sz w:val="22"/>
          <w:szCs w:val="22"/>
          <w:color w:val="auto"/>
        </w:rPr>
      </w:pPr>
      <w:r>
        <w:rPr>
          <w:rFonts w:ascii="Arial" w:cs="Arial" w:eastAsia="Arial" w:hAnsi="Arial"/>
          <w:sz w:val="22"/>
          <w:szCs w:val="22"/>
          <w:color w:val="auto"/>
        </w:rPr>
        <w:t>I have reviewed this report on Form 10-Q of Sempra Energy;</w:t>
      </w:r>
    </w:p>
    <w:p>
      <w:pPr>
        <w:spacing w:after="0" w:line="260" w:lineRule="exact"/>
        <w:rPr>
          <w:rFonts w:ascii="Arial" w:cs="Arial" w:eastAsia="Arial" w:hAnsi="Arial"/>
          <w:sz w:val="22"/>
          <w:szCs w:val="22"/>
          <w:color w:val="auto"/>
        </w:rPr>
      </w:pPr>
    </w:p>
    <w:p>
      <w:pPr>
        <w:ind w:left="340" w:right="220" w:hanging="332"/>
        <w:spacing w:after="0"/>
        <w:tabs>
          <w:tab w:leader="none" w:pos="340" w:val="left"/>
        </w:tabs>
        <w:numPr>
          <w:ilvl w:val="0"/>
          <w:numId w:val="76"/>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0" w:lineRule="exact"/>
        <w:rPr>
          <w:rFonts w:ascii="Arial" w:cs="Arial" w:eastAsia="Arial" w:hAnsi="Arial"/>
          <w:sz w:val="22"/>
          <w:szCs w:val="22"/>
          <w:color w:val="auto"/>
        </w:rPr>
      </w:pPr>
    </w:p>
    <w:p>
      <w:pPr>
        <w:ind w:left="340" w:right="300" w:hanging="332"/>
        <w:spacing w:after="0"/>
        <w:tabs>
          <w:tab w:leader="none" w:pos="340" w:val="left"/>
        </w:tabs>
        <w:numPr>
          <w:ilvl w:val="0"/>
          <w:numId w:val="76"/>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0" w:lineRule="exact"/>
        <w:rPr>
          <w:rFonts w:ascii="Arial" w:cs="Arial" w:eastAsia="Arial" w:hAnsi="Arial"/>
          <w:sz w:val="22"/>
          <w:szCs w:val="22"/>
          <w:color w:val="auto"/>
        </w:rPr>
      </w:pPr>
    </w:p>
    <w:p>
      <w:pPr>
        <w:ind w:left="340" w:hanging="332"/>
        <w:spacing w:after="0"/>
        <w:tabs>
          <w:tab w:leader="none" w:pos="340" w:val="left"/>
        </w:tabs>
        <w:numPr>
          <w:ilvl w:val="0"/>
          <w:numId w:val="76"/>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0" w:lineRule="exact"/>
        <w:rPr>
          <w:rFonts w:ascii="Arial" w:cs="Arial" w:eastAsia="Arial" w:hAnsi="Arial"/>
          <w:sz w:val="22"/>
          <w:szCs w:val="22"/>
          <w:color w:val="auto"/>
        </w:rPr>
      </w:pPr>
    </w:p>
    <w:p>
      <w:pPr>
        <w:ind w:left="980" w:right="300" w:hanging="324"/>
        <w:spacing w:after="0" w:line="238" w:lineRule="auto"/>
        <w:tabs>
          <w:tab w:leader="none" w:pos="980" w:val="left"/>
        </w:tabs>
        <w:numPr>
          <w:ilvl w:val="1"/>
          <w:numId w:val="76"/>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9" w:lineRule="exact"/>
        <w:rPr>
          <w:rFonts w:ascii="Arial" w:cs="Arial" w:eastAsia="Arial" w:hAnsi="Arial"/>
          <w:sz w:val="22"/>
          <w:szCs w:val="22"/>
          <w:color w:val="auto"/>
        </w:rPr>
      </w:pPr>
    </w:p>
    <w:p>
      <w:pPr>
        <w:ind w:left="980" w:right="200" w:hanging="324"/>
        <w:spacing w:after="0" w:line="297" w:lineRule="auto"/>
        <w:tabs>
          <w:tab w:leader="none" w:pos="980" w:val="left"/>
        </w:tabs>
        <w:numPr>
          <w:ilvl w:val="1"/>
          <w:numId w:val="76"/>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40" w:hanging="324"/>
        <w:spacing w:after="0"/>
        <w:tabs>
          <w:tab w:leader="none" w:pos="980" w:val="left"/>
        </w:tabs>
        <w:numPr>
          <w:ilvl w:val="1"/>
          <w:numId w:val="76"/>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0" w:lineRule="exact"/>
        <w:rPr>
          <w:rFonts w:ascii="Arial" w:cs="Arial" w:eastAsia="Arial" w:hAnsi="Arial"/>
          <w:sz w:val="22"/>
          <w:szCs w:val="22"/>
          <w:color w:val="auto"/>
        </w:rPr>
      </w:pPr>
    </w:p>
    <w:p>
      <w:pPr>
        <w:ind w:left="980" w:right="200" w:hanging="324"/>
        <w:spacing w:after="0" w:line="238" w:lineRule="auto"/>
        <w:tabs>
          <w:tab w:leader="none" w:pos="980" w:val="left"/>
        </w:tabs>
        <w:numPr>
          <w:ilvl w:val="1"/>
          <w:numId w:val="76"/>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9" w:lineRule="exact"/>
        <w:rPr>
          <w:rFonts w:ascii="Arial" w:cs="Arial" w:eastAsia="Arial" w:hAnsi="Arial"/>
          <w:sz w:val="22"/>
          <w:szCs w:val="22"/>
          <w:color w:val="auto"/>
        </w:rPr>
      </w:pPr>
    </w:p>
    <w:p>
      <w:pPr>
        <w:ind w:left="340" w:right="140" w:hanging="332"/>
        <w:spacing w:after="0"/>
        <w:tabs>
          <w:tab w:leader="none" w:pos="340" w:val="left"/>
        </w:tabs>
        <w:numPr>
          <w:ilvl w:val="0"/>
          <w:numId w:val="76"/>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0" w:lineRule="exact"/>
        <w:rPr>
          <w:rFonts w:ascii="Arial" w:cs="Arial" w:eastAsia="Arial" w:hAnsi="Arial"/>
          <w:sz w:val="22"/>
          <w:szCs w:val="22"/>
          <w:color w:val="auto"/>
        </w:rPr>
      </w:pPr>
    </w:p>
    <w:p>
      <w:pPr>
        <w:ind w:left="980" w:right="80" w:hanging="324"/>
        <w:spacing w:after="0"/>
        <w:tabs>
          <w:tab w:leader="none" w:pos="980" w:val="left"/>
        </w:tabs>
        <w:numPr>
          <w:ilvl w:val="1"/>
          <w:numId w:val="76"/>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22"/>
          <w:szCs w:val="22"/>
          <w:color w:val="auto"/>
        </w:rPr>
      </w:pPr>
    </w:p>
    <w:p>
      <w:pPr>
        <w:ind w:left="980" w:right="400" w:hanging="324"/>
        <w:spacing w:after="0" w:line="251" w:lineRule="auto"/>
        <w:tabs>
          <w:tab w:leader="none" w:pos="980" w:val="left"/>
        </w:tabs>
        <w:numPr>
          <w:ilvl w:val="1"/>
          <w:numId w:val="76"/>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May 4, 2010</w:t>
      </w:r>
    </w:p>
    <w:p>
      <w:pPr>
        <w:spacing w:after="0" w:line="281" w:lineRule="exact"/>
        <w:rPr>
          <w:sz w:val="20"/>
          <w:szCs w:val="20"/>
          <w:color w:val="auto"/>
        </w:rPr>
      </w:pPr>
    </w:p>
    <w:p>
      <w:pPr>
        <w:ind w:left="10100"/>
        <w:spacing w:after="0"/>
        <w:rPr>
          <w:sz w:val="20"/>
          <w:szCs w:val="20"/>
          <w:color w:val="auto"/>
        </w:rPr>
      </w:pPr>
      <w:r>
        <w:rPr>
          <w:rFonts w:ascii="Arial" w:cs="Arial" w:eastAsia="Arial" w:hAnsi="Arial"/>
          <w:sz w:val="17"/>
          <w:szCs w:val="17"/>
          <w:color w:val="auto"/>
        </w:rPr>
        <w:t>/S/ Mark A. Snell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4747260</wp:posOffset>
            </wp:positionH>
            <wp:positionV relativeFrom="paragraph">
              <wp:posOffset>30480</wp:posOffset>
            </wp:positionV>
            <wp:extent cx="250444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41" w:lineRule="exact"/>
        <w:rPr>
          <w:sz w:val="20"/>
          <w:szCs w:val="20"/>
          <w:color w:val="auto"/>
        </w:rPr>
      </w:pPr>
    </w:p>
    <w:p>
      <w:pPr>
        <w:ind w:left="10380"/>
        <w:spacing w:after="0"/>
        <w:rPr>
          <w:sz w:val="20"/>
          <w:szCs w:val="20"/>
          <w:color w:val="auto"/>
        </w:rPr>
      </w:pPr>
      <w:r>
        <w:rPr>
          <w:rFonts w:ascii="Arial" w:cs="Arial" w:eastAsia="Arial" w:hAnsi="Arial"/>
          <w:sz w:val="17"/>
          <w:szCs w:val="17"/>
          <w:color w:val="auto"/>
        </w:rPr>
        <w:t>Mark A. Snell</w:t>
      </w:r>
    </w:p>
    <w:p>
      <w:pPr>
        <w:spacing w:after="0" w:line="48" w:lineRule="exact"/>
        <w:rPr>
          <w:sz w:val="20"/>
          <w:szCs w:val="20"/>
          <w:color w:val="auto"/>
        </w:rPr>
      </w:pPr>
    </w:p>
    <w:p>
      <w:pPr>
        <w:ind w:left="974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420"/>
          </w:cols>
          <w:pgMar w:left="240" w:top="118" w:right="239" w:bottom="1440" w:gutter="0" w:footer="0" w:header="0"/>
        </w:sectPr>
      </w:pPr>
    </w:p>
    <w:bookmarkStart w:id="101" w:name="page102"/>
    <w:bookmarkEnd w:id="101"/>
    <w:p>
      <w:pPr>
        <w:ind w:left="10120"/>
        <w:spacing w:after="0"/>
        <w:rPr>
          <w:sz w:val="20"/>
          <w:szCs w:val="20"/>
          <w:color w:val="auto"/>
        </w:rPr>
      </w:pPr>
      <w:r>
        <w:rPr>
          <w:rFonts w:ascii="Arial" w:cs="Arial" w:eastAsia="Arial" w:hAnsi="Arial"/>
          <w:sz w:val="21"/>
          <w:szCs w:val="21"/>
          <w:color w:val="auto"/>
        </w:rPr>
        <w:t>EXHIBIT 31.3</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Jessie J. Knight, Jr., certify that:</w:t>
      </w:r>
    </w:p>
    <w:p>
      <w:pPr>
        <w:spacing w:after="0" w:line="260" w:lineRule="exact"/>
        <w:rPr>
          <w:sz w:val="20"/>
          <w:szCs w:val="20"/>
          <w:color w:val="auto"/>
        </w:rPr>
      </w:pPr>
    </w:p>
    <w:p>
      <w:pPr>
        <w:ind w:left="340" w:hanging="332"/>
        <w:spacing w:after="0"/>
        <w:tabs>
          <w:tab w:leader="none" w:pos="340" w:val="left"/>
        </w:tabs>
        <w:numPr>
          <w:ilvl w:val="0"/>
          <w:numId w:val="77"/>
        </w:numPr>
        <w:rPr>
          <w:rFonts w:ascii="Arial" w:cs="Arial" w:eastAsia="Arial" w:hAnsi="Arial"/>
          <w:sz w:val="22"/>
          <w:szCs w:val="22"/>
          <w:color w:val="auto"/>
        </w:rPr>
      </w:pPr>
      <w:r>
        <w:rPr>
          <w:rFonts w:ascii="Arial" w:cs="Arial" w:eastAsia="Arial" w:hAnsi="Arial"/>
          <w:sz w:val="22"/>
          <w:szCs w:val="22"/>
          <w:color w:val="auto"/>
        </w:rPr>
        <w:t>I have reviewed this report on Form 10-Q of San Diego Gas &amp; Electric Company;</w:t>
      </w:r>
    </w:p>
    <w:p>
      <w:pPr>
        <w:spacing w:after="0" w:line="260" w:lineRule="exact"/>
        <w:rPr>
          <w:rFonts w:ascii="Arial" w:cs="Arial" w:eastAsia="Arial" w:hAnsi="Arial"/>
          <w:sz w:val="22"/>
          <w:szCs w:val="22"/>
          <w:color w:val="auto"/>
        </w:rPr>
      </w:pPr>
    </w:p>
    <w:p>
      <w:pPr>
        <w:ind w:left="340" w:right="220" w:hanging="332"/>
        <w:spacing w:after="0"/>
        <w:tabs>
          <w:tab w:leader="none" w:pos="340" w:val="left"/>
        </w:tabs>
        <w:numPr>
          <w:ilvl w:val="0"/>
          <w:numId w:val="77"/>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0" w:lineRule="exact"/>
        <w:rPr>
          <w:rFonts w:ascii="Arial" w:cs="Arial" w:eastAsia="Arial" w:hAnsi="Arial"/>
          <w:sz w:val="22"/>
          <w:szCs w:val="22"/>
          <w:color w:val="auto"/>
        </w:rPr>
      </w:pPr>
    </w:p>
    <w:p>
      <w:pPr>
        <w:ind w:left="340" w:right="300" w:hanging="332"/>
        <w:spacing w:after="0"/>
        <w:tabs>
          <w:tab w:leader="none" w:pos="340" w:val="left"/>
        </w:tabs>
        <w:numPr>
          <w:ilvl w:val="0"/>
          <w:numId w:val="77"/>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0" w:lineRule="exact"/>
        <w:rPr>
          <w:rFonts w:ascii="Arial" w:cs="Arial" w:eastAsia="Arial" w:hAnsi="Arial"/>
          <w:sz w:val="22"/>
          <w:szCs w:val="22"/>
          <w:color w:val="auto"/>
        </w:rPr>
      </w:pPr>
    </w:p>
    <w:p>
      <w:pPr>
        <w:ind w:left="340" w:hanging="332"/>
        <w:spacing w:after="0"/>
        <w:tabs>
          <w:tab w:leader="none" w:pos="340" w:val="left"/>
        </w:tabs>
        <w:numPr>
          <w:ilvl w:val="0"/>
          <w:numId w:val="77"/>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0" w:lineRule="exact"/>
        <w:rPr>
          <w:rFonts w:ascii="Arial" w:cs="Arial" w:eastAsia="Arial" w:hAnsi="Arial"/>
          <w:sz w:val="22"/>
          <w:szCs w:val="22"/>
          <w:color w:val="auto"/>
        </w:rPr>
      </w:pPr>
    </w:p>
    <w:p>
      <w:pPr>
        <w:ind w:left="980" w:right="300" w:hanging="324"/>
        <w:spacing w:after="0" w:line="238" w:lineRule="auto"/>
        <w:tabs>
          <w:tab w:leader="none" w:pos="980" w:val="left"/>
        </w:tabs>
        <w:numPr>
          <w:ilvl w:val="1"/>
          <w:numId w:val="77"/>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9" w:lineRule="exact"/>
        <w:rPr>
          <w:rFonts w:ascii="Arial" w:cs="Arial" w:eastAsia="Arial" w:hAnsi="Arial"/>
          <w:sz w:val="22"/>
          <w:szCs w:val="22"/>
          <w:color w:val="auto"/>
        </w:rPr>
      </w:pPr>
    </w:p>
    <w:p>
      <w:pPr>
        <w:ind w:left="980" w:right="200" w:hanging="324"/>
        <w:spacing w:after="0" w:line="297" w:lineRule="auto"/>
        <w:tabs>
          <w:tab w:leader="none" w:pos="980" w:val="left"/>
        </w:tabs>
        <w:numPr>
          <w:ilvl w:val="1"/>
          <w:numId w:val="77"/>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40" w:hanging="324"/>
        <w:spacing w:after="0"/>
        <w:tabs>
          <w:tab w:leader="none" w:pos="980" w:val="left"/>
        </w:tabs>
        <w:numPr>
          <w:ilvl w:val="1"/>
          <w:numId w:val="77"/>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0" w:lineRule="exact"/>
        <w:rPr>
          <w:rFonts w:ascii="Arial" w:cs="Arial" w:eastAsia="Arial" w:hAnsi="Arial"/>
          <w:sz w:val="22"/>
          <w:szCs w:val="22"/>
          <w:color w:val="auto"/>
        </w:rPr>
      </w:pPr>
    </w:p>
    <w:p>
      <w:pPr>
        <w:ind w:left="980" w:right="200" w:hanging="324"/>
        <w:spacing w:after="0" w:line="238" w:lineRule="auto"/>
        <w:tabs>
          <w:tab w:leader="none" w:pos="980" w:val="left"/>
        </w:tabs>
        <w:numPr>
          <w:ilvl w:val="1"/>
          <w:numId w:val="77"/>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9" w:lineRule="exact"/>
        <w:rPr>
          <w:rFonts w:ascii="Arial" w:cs="Arial" w:eastAsia="Arial" w:hAnsi="Arial"/>
          <w:sz w:val="22"/>
          <w:szCs w:val="22"/>
          <w:color w:val="auto"/>
        </w:rPr>
      </w:pPr>
    </w:p>
    <w:p>
      <w:pPr>
        <w:ind w:left="340" w:right="140" w:hanging="332"/>
        <w:spacing w:after="0"/>
        <w:tabs>
          <w:tab w:leader="none" w:pos="340" w:val="left"/>
        </w:tabs>
        <w:numPr>
          <w:ilvl w:val="0"/>
          <w:numId w:val="77"/>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0" w:lineRule="exact"/>
        <w:rPr>
          <w:rFonts w:ascii="Arial" w:cs="Arial" w:eastAsia="Arial" w:hAnsi="Arial"/>
          <w:sz w:val="22"/>
          <w:szCs w:val="22"/>
          <w:color w:val="auto"/>
        </w:rPr>
      </w:pPr>
    </w:p>
    <w:p>
      <w:pPr>
        <w:ind w:left="980" w:right="80" w:hanging="324"/>
        <w:spacing w:after="0"/>
        <w:tabs>
          <w:tab w:leader="none" w:pos="980" w:val="left"/>
        </w:tabs>
        <w:numPr>
          <w:ilvl w:val="1"/>
          <w:numId w:val="77"/>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22"/>
          <w:szCs w:val="22"/>
          <w:color w:val="auto"/>
        </w:rPr>
      </w:pPr>
    </w:p>
    <w:p>
      <w:pPr>
        <w:ind w:left="980" w:right="400" w:hanging="324"/>
        <w:spacing w:after="0" w:line="251" w:lineRule="auto"/>
        <w:tabs>
          <w:tab w:leader="none" w:pos="980" w:val="left"/>
        </w:tabs>
        <w:numPr>
          <w:ilvl w:val="1"/>
          <w:numId w:val="77"/>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May 4, 2010</w:t>
      </w:r>
    </w:p>
    <w:p>
      <w:pPr>
        <w:spacing w:after="0" w:line="281" w:lineRule="exact"/>
        <w:rPr>
          <w:sz w:val="20"/>
          <w:szCs w:val="20"/>
          <w:color w:val="auto"/>
        </w:rPr>
      </w:pPr>
    </w:p>
    <w:p>
      <w:pPr>
        <w:ind w:left="9720"/>
        <w:spacing w:after="0"/>
        <w:rPr>
          <w:sz w:val="20"/>
          <w:szCs w:val="20"/>
          <w:color w:val="auto"/>
        </w:rPr>
      </w:pPr>
      <w:r>
        <w:rPr>
          <w:rFonts w:ascii="Arial" w:cs="Arial" w:eastAsia="Arial" w:hAnsi="Arial"/>
          <w:sz w:val="16"/>
          <w:szCs w:val="16"/>
          <w:color w:val="auto"/>
        </w:rPr>
        <w:t>/S/ Jessie J. Knight, Jr</w:t>
      </w:r>
      <w:r>
        <w:rPr>
          <w:rFonts w:ascii="Arial" w:cs="Arial" w:eastAsia="Arial" w:hAnsi="Arial"/>
          <w:sz w:val="16"/>
          <w:szCs w:val="16"/>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38100</wp:posOffset>
            </wp:positionV>
            <wp:extent cx="260731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53" w:lineRule="exact"/>
        <w:rPr>
          <w:sz w:val="20"/>
          <w:szCs w:val="20"/>
          <w:color w:val="auto"/>
        </w:rPr>
      </w:pPr>
    </w:p>
    <w:p>
      <w:pPr>
        <w:ind w:left="10020"/>
        <w:spacing w:after="0"/>
        <w:rPr>
          <w:sz w:val="20"/>
          <w:szCs w:val="20"/>
          <w:color w:val="auto"/>
        </w:rPr>
      </w:pPr>
      <w:r>
        <w:rPr>
          <w:rFonts w:ascii="Arial" w:cs="Arial" w:eastAsia="Arial" w:hAnsi="Arial"/>
          <w:sz w:val="16"/>
          <w:szCs w:val="16"/>
          <w:color w:val="auto"/>
        </w:rPr>
        <w:t>Jessie J. Knight, Jr.</w:t>
      </w:r>
    </w:p>
    <w:p>
      <w:pPr>
        <w:spacing w:after="0" w:line="59" w:lineRule="exact"/>
        <w:rPr>
          <w:sz w:val="20"/>
          <w:szCs w:val="20"/>
          <w:color w:val="auto"/>
        </w:rPr>
      </w:pPr>
    </w:p>
    <w:p>
      <w:pPr>
        <w:ind w:left="968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420"/>
          </w:cols>
          <w:pgMar w:left="240" w:top="118" w:right="239" w:bottom="1440" w:gutter="0" w:footer="0" w:header="0"/>
        </w:sectPr>
      </w:pPr>
    </w:p>
    <w:bookmarkStart w:id="102" w:name="page103"/>
    <w:bookmarkEnd w:id="102"/>
    <w:p>
      <w:pPr>
        <w:ind w:left="10120"/>
        <w:spacing w:after="0"/>
        <w:rPr>
          <w:sz w:val="20"/>
          <w:szCs w:val="20"/>
          <w:color w:val="auto"/>
        </w:rPr>
      </w:pPr>
      <w:r>
        <w:rPr>
          <w:rFonts w:ascii="Arial" w:cs="Arial" w:eastAsia="Arial" w:hAnsi="Arial"/>
          <w:sz w:val="21"/>
          <w:szCs w:val="21"/>
          <w:color w:val="auto"/>
        </w:rPr>
        <w:t>EXHIBIT 31.4</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Robert M. Schlax, certify that:</w:t>
      </w:r>
    </w:p>
    <w:p>
      <w:pPr>
        <w:spacing w:after="0" w:line="260" w:lineRule="exact"/>
        <w:rPr>
          <w:sz w:val="20"/>
          <w:szCs w:val="20"/>
          <w:color w:val="auto"/>
        </w:rPr>
      </w:pPr>
    </w:p>
    <w:p>
      <w:pPr>
        <w:ind w:left="340" w:hanging="332"/>
        <w:spacing w:after="0"/>
        <w:tabs>
          <w:tab w:leader="none" w:pos="340" w:val="left"/>
        </w:tabs>
        <w:numPr>
          <w:ilvl w:val="0"/>
          <w:numId w:val="78"/>
        </w:numPr>
        <w:rPr>
          <w:rFonts w:ascii="Arial" w:cs="Arial" w:eastAsia="Arial" w:hAnsi="Arial"/>
          <w:sz w:val="22"/>
          <w:szCs w:val="22"/>
          <w:color w:val="auto"/>
        </w:rPr>
      </w:pPr>
      <w:r>
        <w:rPr>
          <w:rFonts w:ascii="Arial" w:cs="Arial" w:eastAsia="Arial" w:hAnsi="Arial"/>
          <w:sz w:val="22"/>
          <w:szCs w:val="22"/>
          <w:color w:val="auto"/>
        </w:rPr>
        <w:t>I have reviewed this report on Form 10-Q of San Diego Gas &amp; Electric Company;</w:t>
      </w:r>
    </w:p>
    <w:p>
      <w:pPr>
        <w:spacing w:after="0" w:line="260" w:lineRule="exact"/>
        <w:rPr>
          <w:rFonts w:ascii="Arial" w:cs="Arial" w:eastAsia="Arial" w:hAnsi="Arial"/>
          <w:sz w:val="22"/>
          <w:szCs w:val="22"/>
          <w:color w:val="auto"/>
        </w:rPr>
      </w:pPr>
    </w:p>
    <w:p>
      <w:pPr>
        <w:ind w:left="340" w:right="220" w:hanging="332"/>
        <w:spacing w:after="0"/>
        <w:tabs>
          <w:tab w:leader="none" w:pos="340" w:val="left"/>
        </w:tabs>
        <w:numPr>
          <w:ilvl w:val="0"/>
          <w:numId w:val="78"/>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0" w:lineRule="exact"/>
        <w:rPr>
          <w:rFonts w:ascii="Arial" w:cs="Arial" w:eastAsia="Arial" w:hAnsi="Arial"/>
          <w:sz w:val="22"/>
          <w:szCs w:val="22"/>
          <w:color w:val="auto"/>
        </w:rPr>
      </w:pPr>
    </w:p>
    <w:p>
      <w:pPr>
        <w:ind w:left="340" w:right="300" w:hanging="332"/>
        <w:spacing w:after="0"/>
        <w:tabs>
          <w:tab w:leader="none" w:pos="340" w:val="left"/>
        </w:tabs>
        <w:numPr>
          <w:ilvl w:val="0"/>
          <w:numId w:val="78"/>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0" w:lineRule="exact"/>
        <w:rPr>
          <w:rFonts w:ascii="Arial" w:cs="Arial" w:eastAsia="Arial" w:hAnsi="Arial"/>
          <w:sz w:val="22"/>
          <w:szCs w:val="22"/>
          <w:color w:val="auto"/>
        </w:rPr>
      </w:pPr>
    </w:p>
    <w:p>
      <w:pPr>
        <w:ind w:left="340" w:hanging="332"/>
        <w:spacing w:after="0"/>
        <w:tabs>
          <w:tab w:leader="none" w:pos="340" w:val="left"/>
        </w:tabs>
        <w:numPr>
          <w:ilvl w:val="0"/>
          <w:numId w:val="78"/>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0" w:lineRule="exact"/>
        <w:rPr>
          <w:rFonts w:ascii="Arial" w:cs="Arial" w:eastAsia="Arial" w:hAnsi="Arial"/>
          <w:sz w:val="22"/>
          <w:szCs w:val="22"/>
          <w:color w:val="auto"/>
        </w:rPr>
      </w:pPr>
    </w:p>
    <w:p>
      <w:pPr>
        <w:ind w:left="980" w:right="300" w:hanging="324"/>
        <w:spacing w:after="0" w:line="238" w:lineRule="auto"/>
        <w:tabs>
          <w:tab w:leader="none" w:pos="980" w:val="left"/>
        </w:tabs>
        <w:numPr>
          <w:ilvl w:val="1"/>
          <w:numId w:val="78"/>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9" w:lineRule="exact"/>
        <w:rPr>
          <w:rFonts w:ascii="Arial" w:cs="Arial" w:eastAsia="Arial" w:hAnsi="Arial"/>
          <w:sz w:val="22"/>
          <w:szCs w:val="22"/>
          <w:color w:val="auto"/>
        </w:rPr>
      </w:pPr>
    </w:p>
    <w:p>
      <w:pPr>
        <w:ind w:left="980" w:right="200" w:hanging="324"/>
        <w:spacing w:after="0" w:line="297" w:lineRule="auto"/>
        <w:tabs>
          <w:tab w:leader="none" w:pos="980" w:val="left"/>
        </w:tabs>
        <w:numPr>
          <w:ilvl w:val="1"/>
          <w:numId w:val="78"/>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40" w:hanging="324"/>
        <w:spacing w:after="0"/>
        <w:tabs>
          <w:tab w:leader="none" w:pos="980" w:val="left"/>
        </w:tabs>
        <w:numPr>
          <w:ilvl w:val="1"/>
          <w:numId w:val="78"/>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0" w:lineRule="exact"/>
        <w:rPr>
          <w:rFonts w:ascii="Arial" w:cs="Arial" w:eastAsia="Arial" w:hAnsi="Arial"/>
          <w:sz w:val="22"/>
          <w:szCs w:val="22"/>
          <w:color w:val="auto"/>
        </w:rPr>
      </w:pPr>
    </w:p>
    <w:p>
      <w:pPr>
        <w:ind w:left="980" w:right="200" w:hanging="324"/>
        <w:spacing w:after="0" w:line="238" w:lineRule="auto"/>
        <w:tabs>
          <w:tab w:leader="none" w:pos="980" w:val="left"/>
        </w:tabs>
        <w:numPr>
          <w:ilvl w:val="1"/>
          <w:numId w:val="78"/>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9" w:lineRule="exact"/>
        <w:rPr>
          <w:rFonts w:ascii="Arial" w:cs="Arial" w:eastAsia="Arial" w:hAnsi="Arial"/>
          <w:sz w:val="22"/>
          <w:szCs w:val="22"/>
          <w:color w:val="auto"/>
        </w:rPr>
      </w:pPr>
    </w:p>
    <w:p>
      <w:pPr>
        <w:ind w:left="340" w:right="140" w:hanging="332"/>
        <w:spacing w:after="0"/>
        <w:tabs>
          <w:tab w:leader="none" w:pos="340" w:val="left"/>
        </w:tabs>
        <w:numPr>
          <w:ilvl w:val="0"/>
          <w:numId w:val="78"/>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0" w:lineRule="exact"/>
        <w:rPr>
          <w:rFonts w:ascii="Arial" w:cs="Arial" w:eastAsia="Arial" w:hAnsi="Arial"/>
          <w:sz w:val="22"/>
          <w:szCs w:val="22"/>
          <w:color w:val="auto"/>
        </w:rPr>
      </w:pPr>
    </w:p>
    <w:p>
      <w:pPr>
        <w:ind w:left="980" w:right="80" w:hanging="324"/>
        <w:spacing w:after="0"/>
        <w:tabs>
          <w:tab w:leader="none" w:pos="980" w:val="left"/>
        </w:tabs>
        <w:numPr>
          <w:ilvl w:val="1"/>
          <w:numId w:val="78"/>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22"/>
          <w:szCs w:val="22"/>
          <w:color w:val="auto"/>
        </w:rPr>
      </w:pPr>
    </w:p>
    <w:p>
      <w:pPr>
        <w:ind w:left="980" w:right="400" w:hanging="324"/>
        <w:spacing w:after="0" w:line="251" w:lineRule="auto"/>
        <w:tabs>
          <w:tab w:leader="none" w:pos="980" w:val="left"/>
        </w:tabs>
        <w:numPr>
          <w:ilvl w:val="1"/>
          <w:numId w:val="78"/>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May 4, 2010</w:t>
      </w:r>
    </w:p>
    <w:p>
      <w:pPr>
        <w:spacing w:after="0" w:line="281" w:lineRule="exact"/>
        <w:rPr>
          <w:sz w:val="20"/>
          <w:szCs w:val="20"/>
          <w:color w:val="auto"/>
        </w:rPr>
      </w:pPr>
    </w:p>
    <w:p>
      <w:pPr>
        <w:ind w:left="9840"/>
        <w:spacing w:after="0"/>
        <w:rPr>
          <w:sz w:val="20"/>
          <w:szCs w:val="20"/>
          <w:color w:val="auto"/>
        </w:rPr>
      </w:pPr>
      <w:r>
        <w:rPr>
          <w:rFonts w:ascii="Arial" w:cs="Arial" w:eastAsia="Arial" w:hAnsi="Arial"/>
          <w:sz w:val="17"/>
          <w:szCs w:val="17"/>
          <w:color w:val="auto"/>
        </w:rPr>
        <w:t>/S/ 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4798695</wp:posOffset>
            </wp:positionH>
            <wp:positionV relativeFrom="paragraph">
              <wp:posOffset>30480</wp:posOffset>
            </wp:positionV>
            <wp:extent cx="245237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41" w:lineRule="exact"/>
        <w:rPr>
          <w:sz w:val="20"/>
          <w:szCs w:val="20"/>
          <w:color w:val="auto"/>
        </w:rPr>
      </w:pPr>
    </w:p>
    <w:p>
      <w:pPr>
        <w:ind w:left="10140"/>
        <w:spacing w:after="0"/>
        <w:rPr>
          <w:sz w:val="20"/>
          <w:szCs w:val="20"/>
          <w:color w:val="auto"/>
        </w:rPr>
      </w:pPr>
      <w:r>
        <w:rPr>
          <w:rFonts w:ascii="Arial" w:cs="Arial" w:eastAsia="Arial" w:hAnsi="Arial"/>
          <w:sz w:val="16"/>
          <w:szCs w:val="16"/>
          <w:color w:val="auto"/>
        </w:rPr>
        <w:t>Robert M. Schlax</w:t>
      </w:r>
    </w:p>
    <w:p>
      <w:pPr>
        <w:spacing w:after="0" w:line="59" w:lineRule="exact"/>
        <w:rPr>
          <w:sz w:val="20"/>
          <w:szCs w:val="20"/>
          <w:color w:val="auto"/>
        </w:rPr>
      </w:pPr>
    </w:p>
    <w:p>
      <w:pPr>
        <w:ind w:left="974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420"/>
          </w:cols>
          <w:pgMar w:left="240" w:top="118" w:right="239" w:bottom="1440" w:gutter="0" w:footer="0" w:header="0"/>
        </w:sectPr>
      </w:pPr>
    </w:p>
    <w:bookmarkStart w:id="103" w:name="page104"/>
    <w:bookmarkEnd w:id="103"/>
    <w:p>
      <w:pPr>
        <w:ind w:left="10120"/>
        <w:spacing w:after="0"/>
        <w:rPr>
          <w:sz w:val="20"/>
          <w:szCs w:val="20"/>
          <w:color w:val="auto"/>
        </w:rPr>
      </w:pPr>
      <w:r>
        <w:rPr>
          <w:rFonts w:ascii="Arial" w:cs="Arial" w:eastAsia="Arial" w:hAnsi="Arial"/>
          <w:sz w:val="21"/>
          <w:szCs w:val="21"/>
          <w:color w:val="auto"/>
        </w:rPr>
        <w:t>EXHIBIT 31.5</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Michael W. Allman, certify that:</w:t>
      </w:r>
    </w:p>
    <w:p>
      <w:pPr>
        <w:spacing w:after="0" w:line="260" w:lineRule="exact"/>
        <w:rPr>
          <w:sz w:val="20"/>
          <w:szCs w:val="20"/>
          <w:color w:val="auto"/>
        </w:rPr>
      </w:pPr>
    </w:p>
    <w:p>
      <w:pPr>
        <w:ind w:left="340" w:hanging="332"/>
        <w:spacing w:after="0"/>
        <w:tabs>
          <w:tab w:leader="none" w:pos="340" w:val="left"/>
        </w:tabs>
        <w:numPr>
          <w:ilvl w:val="0"/>
          <w:numId w:val="79"/>
        </w:numPr>
        <w:rPr>
          <w:rFonts w:ascii="Arial" w:cs="Arial" w:eastAsia="Arial" w:hAnsi="Arial"/>
          <w:sz w:val="22"/>
          <w:szCs w:val="22"/>
          <w:color w:val="auto"/>
        </w:rPr>
      </w:pPr>
      <w:r>
        <w:rPr>
          <w:rFonts w:ascii="Arial" w:cs="Arial" w:eastAsia="Arial" w:hAnsi="Arial"/>
          <w:sz w:val="22"/>
          <w:szCs w:val="22"/>
          <w:color w:val="auto"/>
        </w:rPr>
        <w:t>I have reviewed this report on Form 10-Q of Pacific Enterprises;</w:t>
      </w:r>
    </w:p>
    <w:p>
      <w:pPr>
        <w:spacing w:after="0" w:line="260" w:lineRule="exact"/>
        <w:rPr>
          <w:rFonts w:ascii="Arial" w:cs="Arial" w:eastAsia="Arial" w:hAnsi="Arial"/>
          <w:sz w:val="22"/>
          <w:szCs w:val="22"/>
          <w:color w:val="auto"/>
        </w:rPr>
      </w:pPr>
    </w:p>
    <w:p>
      <w:pPr>
        <w:ind w:left="340" w:right="220" w:hanging="332"/>
        <w:spacing w:after="0"/>
        <w:tabs>
          <w:tab w:leader="none" w:pos="340" w:val="left"/>
        </w:tabs>
        <w:numPr>
          <w:ilvl w:val="0"/>
          <w:numId w:val="79"/>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0" w:lineRule="exact"/>
        <w:rPr>
          <w:rFonts w:ascii="Arial" w:cs="Arial" w:eastAsia="Arial" w:hAnsi="Arial"/>
          <w:sz w:val="22"/>
          <w:szCs w:val="22"/>
          <w:color w:val="auto"/>
        </w:rPr>
      </w:pPr>
    </w:p>
    <w:p>
      <w:pPr>
        <w:ind w:left="340" w:right="300" w:hanging="332"/>
        <w:spacing w:after="0"/>
        <w:tabs>
          <w:tab w:leader="none" w:pos="340" w:val="left"/>
        </w:tabs>
        <w:numPr>
          <w:ilvl w:val="0"/>
          <w:numId w:val="79"/>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0" w:lineRule="exact"/>
        <w:rPr>
          <w:rFonts w:ascii="Arial" w:cs="Arial" w:eastAsia="Arial" w:hAnsi="Arial"/>
          <w:sz w:val="22"/>
          <w:szCs w:val="22"/>
          <w:color w:val="auto"/>
        </w:rPr>
      </w:pPr>
    </w:p>
    <w:p>
      <w:pPr>
        <w:ind w:left="340" w:hanging="332"/>
        <w:spacing w:after="0"/>
        <w:tabs>
          <w:tab w:leader="none" w:pos="340"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0" w:lineRule="exact"/>
        <w:rPr>
          <w:rFonts w:ascii="Arial" w:cs="Arial" w:eastAsia="Arial" w:hAnsi="Arial"/>
          <w:sz w:val="22"/>
          <w:szCs w:val="22"/>
          <w:color w:val="auto"/>
        </w:rPr>
      </w:pPr>
    </w:p>
    <w:p>
      <w:pPr>
        <w:ind w:left="980" w:right="300" w:hanging="324"/>
        <w:spacing w:after="0" w:line="238" w:lineRule="auto"/>
        <w:tabs>
          <w:tab w:leader="none" w:pos="980" w:val="left"/>
        </w:tabs>
        <w:numPr>
          <w:ilvl w:val="1"/>
          <w:numId w:val="79"/>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9" w:lineRule="exact"/>
        <w:rPr>
          <w:rFonts w:ascii="Arial" w:cs="Arial" w:eastAsia="Arial" w:hAnsi="Arial"/>
          <w:sz w:val="22"/>
          <w:szCs w:val="22"/>
          <w:color w:val="auto"/>
        </w:rPr>
      </w:pPr>
    </w:p>
    <w:p>
      <w:pPr>
        <w:ind w:left="980" w:right="200" w:hanging="324"/>
        <w:spacing w:after="0" w:line="297" w:lineRule="auto"/>
        <w:tabs>
          <w:tab w:leader="none" w:pos="980" w:val="left"/>
        </w:tabs>
        <w:numPr>
          <w:ilvl w:val="1"/>
          <w:numId w:val="79"/>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40" w:hanging="324"/>
        <w:spacing w:after="0"/>
        <w:tabs>
          <w:tab w:leader="none" w:pos="980" w:val="left"/>
        </w:tabs>
        <w:numPr>
          <w:ilvl w:val="1"/>
          <w:numId w:val="79"/>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0" w:lineRule="exact"/>
        <w:rPr>
          <w:rFonts w:ascii="Arial" w:cs="Arial" w:eastAsia="Arial" w:hAnsi="Arial"/>
          <w:sz w:val="22"/>
          <w:szCs w:val="22"/>
          <w:color w:val="auto"/>
        </w:rPr>
      </w:pPr>
    </w:p>
    <w:p>
      <w:pPr>
        <w:ind w:left="980" w:right="200" w:hanging="324"/>
        <w:spacing w:after="0" w:line="238" w:lineRule="auto"/>
        <w:tabs>
          <w:tab w:leader="none" w:pos="980" w:val="left"/>
        </w:tabs>
        <w:numPr>
          <w:ilvl w:val="1"/>
          <w:numId w:val="79"/>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9" w:lineRule="exact"/>
        <w:rPr>
          <w:rFonts w:ascii="Arial" w:cs="Arial" w:eastAsia="Arial" w:hAnsi="Arial"/>
          <w:sz w:val="22"/>
          <w:szCs w:val="22"/>
          <w:color w:val="auto"/>
        </w:rPr>
      </w:pPr>
    </w:p>
    <w:p>
      <w:pPr>
        <w:ind w:left="340" w:right="140" w:hanging="332"/>
        <w:spacing w:after="0"/>
        <w:tabs>
          <w:tab w:leader="none" w:pos="340"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0" w:lineRule="exact"/>
        <w:rPr>
          <w:rFonts w:ascii="Arial" w:cs="Arial" w:eastAsia="Arial" w:hAnsi="Arial"/>
          <w:sz w:val="22"/>
          <w:szCs w:val="22"/>
          <w:color w:val="auto"/>
        </w:rPr>
      </w:pPr>
    </w:p>
    <w:p>
      <w:pPr>
        <w:ind w:left="980" w:right="80" w:hanging="324"/>
        <w:spacing w:after="0"/>
        <w:tabs>
          <w:tab w:leader="none" w:pos="980" w:val="left"/>
        </w:tabs>
        <w:numPr>
          <w:ilvl w:val="1"/>
          <w:numId w:val="79"/>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22"/>
          <w:szCs w:val="22"/>
          <w:color w:val="auto"/>
        </w:rPr>
      </w:pPr>
    </w:p>
    <w:p>
      <w:pPr>
        <w:ind w:left="980" w:right="400" w:hanging="324"/>
        <w:spacing w:after="0" w:line="251" w:lineRule="auto"/>
        <w:tabs>
          <w:tab w:leader="none" w:pos="980" w:val="left"/>
        </w:tabs>
        <w:numPr>
          <w:ilvl w:val="1"/>
          <w:numId w:val="79"/>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May 4, 2010</w:t>
      </w:r>
    </w:p>
    <w:p>
      <w:pPr>
        <w:spacing w:after="0" w:line="281" w:lineRule="exact"/>
        <w:rPr>
          <w:sz w:val="20"/>
          <w:szCs w:val="20"/>
          <w:color w:val="auto"/>
        </w:rPr>
      </w:pPr>
    </w:p>
    <w:p>
      <w:pPr>
        <w:ind w:left="9700"/>
        <w:spacing w:after="0"/>
        <w:rPr>
          <w:sz w:val="20"/>
          <w:szCs w:val="20"/>
          <w:color w:val="auto"/>
        </w:rPr>
      </w:pPr>
      <w:r>
        <w:rPr>
          <w:rFonts w:ascii="Arial" w:cs="Arial" w:eastAsia="Arial" w:hAnsi="Arial"/>
          <w:sz w:val="17"/>
          <w:szCs w:val="17"/>
          <w:color w:val="auto"/>
        </w:rPr>
        <w:t>/S/ Michael W. Allman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5107940</wp:posOffset>
            </wp:positionH>
            <wp:positionV relativeFrom="paragraph">
              <wp:posOffset>30480</wp:posOffset>
            </wp:positionV>
            <wp:extent cx="214376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41" w:lineRule="exact"/>
        <w:rPr>
          <w:sz w:val="20"/>
          <w:szCs w:val="20"/>
          <w:color w:val="auto"/>
        </w:rPr>
      </w:pPr>
    </w:p>
    <w:p>
      <w:pPr>
        <w:ind w:left="9980"/>
        <w:spacing w:after="0"/>
        <w:rPr>
          <w:sz w:val="20"/>
          <w:szCs w:val="20"/>
          <w:color w:val="auto"/>
        </w:rPr>
      </w:pPr>
      <w:r>
        <w:rPr>
          <w:rFonts w:ascii="Arial" w:cs="Arial" w:eastAsia="Arial" w:hAnsi="Arial"/>
          <w:sz w:val="17"/>
          <w:szCs w:val="17"/>
          <w:color w:val="auto"/>
        </w:rPr>
        <w:t>Michael W. Allman</w:t>
      </w:r>
    </w:p>
    <w:p>
      <w:pPr>
        <w:spacing w:after="0" w:line="48" w:lineRule="exact"/>
        <w:rPr>
          <w:sz w:val="20"/>
          <w:szCs w:val="20"/>
          <w:color w:val="auto"/>
        </w:rPr>
      </w:pPr>
    </w:p>
    <w:p>
      <w:pPr>
        <w:ind w:left="968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420"/>
          </w:cols>
          <w:pgMar w:left="240" w:top="118" w:right="239" w:bottom="1440" w:gutter="0" w:footer="0" w:header="0"/>
        </w:sectPr>
      </w:pPr>
    </w:p>
    <w:bookmarkStart w:id="104" w:name="page105"/>
    <w:bookmarkEnd w:id="104"/>
    <w:p>
      <w:pPr>
        <w:ind w:left="10120"/>
        <w:spacing w:after="0"/>
        <w:rPr>
          <w:sz w:val="20"/>
          <w:szCs w:val="20"/>
          <w:color w:val="auto"/>
        </w:rPr>
      </w:pPr>
      <w:r>
        <w:rPr>
          <w:rFonts w:ascii="Arial" w:cs="Arial" w:eastAsia="Arial" w:hAnsi="Arial"/>
          <w:sz w:val="21"/>
          <w:szCs w:val="21"/>
          <w:color w:val="auto"/>
        </w:rPr>
        <w:t>EXHIBIT 31.6</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Robert M. Schlax, certify that:</w:t>
      </w:r>
    </w:p>
    <w:p>
      <w:pPr>
        <w:spacing w:after="0" w:line="260" w:lineRule="exact"/>
        <w:rPr>
          <w:sz w:val="20"/>
          <w:szCs w:val="20"/>
          <w:color w:val="auto"/>
        </w:rPr>
      </w:pPr>
    </w:p>
    <w:p>
      <w:pPr>
        <w:ind w:left="340" w:hanging="332"/>
        <w:spacing w:after="0"/>
        <w:tabs>
          <w:tab w:leader="none" w:pos="340" w:val="left"/>
        </w:tabs>
        <w:numPr>
          <w:ilvl w:val="0"/>
          <w:numId w:val="80"/>
        </w:numPr>
        <w:rPr>
          <w:rFonts w:ascii="Arial" w:cs="Arial" w:eastAsia="Arial" w:hAnsi="Arial"/>
          <w:sz w:val="22"/>
          <w:szCs w:val="22"/>
          <w:color w:val="auto"/>
        </w:rPr>
      </w:pPr>
      <w:r>
        <w:rPr>
          <w:rFonts w:ascii="Arial" w:cs="Arial" w:eastAsia="Arial" w:hAnsi="Arial"/>
          <w:sz w:val="22"/>
          <w:szCs w:val="22"/>
          <w:color w:val="auto"/>
        </w:rPr>
        <w:t>I have reviewed this report on Form 10-Q of Pacific Enterprises;</w:t>
      </w:r>
    </w:p>
    <w:p>
      <w:pPr>
        <w:spacing w:after="0" w:line="260" w:lineRule="exact"/>
        <w:rPr>
          <w:rFonts w:ascii="Arial" w:cs="Arial" w:eastAsia="Arial" w:hAnsi="Arial"/>
          <w:sz w:val="22"/>
          <w:szCs w:val="22"/>
          <w:color w:val="auto"/>
        </w:rPr>
      </w:pPr>
    </w:p>
    <w:p>
      <w:pPr>
        <w:ind w:left="340" w:right="220" w:hanging="332"/>
        <w:spacing w:after="0"/>
        <w:tabs>
          <w:tab w:leader="none" w:pos="340" w:val="left"/>
        </w:tabs>
        <w:numPr>
          <w:ilvl w:val="0"/>
          <w:numId w:val="80"/>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0" w:lineRule="exact"/>
        <w:rPr>
          <w:rFonts w:ascii="Arial" w:cs="Arial" w:eastAsia="Arial" w:hAnsi="Arial"/>
          <w:sz w:val="22"/>
          <w:szCs w:val="22"/>
          <w:color w:val="auto"/>
        </w:rPr>
      </w:pPr>
    </w:p>
    <w:p>
      <w:pPr>
        <w:ind w:left="340" w:right="300" w:hanging="332"/>
        <w:spacing w:after="0"/>
        <w:tabs>
          <w:tab w:leader="none" w:pos="340" w:val="left"/>
        </w:tabs>
        <w:numPr>
          <w:ilvl w:val="0"/>
          <w:numId w:val="80"/>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0" w:lineRule="exact"/>
        <w:rPr>
          <w:rFonts w:ascii="Arial" w:cs="Arial" w:eastAsia="Arial" w:hAnsi="Arial"/>
          <w:sz w:val="22"/>
          <w:szCs w:val="22"/>
          <w:color w:val="auto"/>
        </w:rPr>
      </w:pPr>
    </w:p>
    <w:p>
      <w:pPr>
        <w:ind w:left="340" w:hanging="332"/>
        <w:spacing w:after="0"/>
        <w:tabs>
          <w:tab w:leader="none" w:pos="340" w:val="left"/>
        </w:tabs>
        <w:numPr>
          <w:ilvl w:val="0"/>
          <w:numId w:val="80"/>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0" w:lineRule="exact"/>
        <w:rPr>
          <w:rFonts w:ascii="Arial" w:cs="Arial" w:eastAsia="Arial" w:hAnsi="Arial"/>
          <w:sz w:val="22"/>
          <w:szCs w:val="22"/>
          <w:color w:val="auto"/>
        </w:rPr>
      </w:pPr>
    </w:p>
    <w:p>
      <w:pPr>
        <w:ind w:left="980" w:right="300" w:hanging="324"/>
        <w:spacing w:after="0" w:line="238" w:lineRule="auto"/>
        <w:tabs>
          <w:tab w:leader="none" w:pos="980" w:val="left"/>
        </w:tabs>
        <w:numPr>
          <w:ilvl w:val="1"/>
          <w:numId w:val="80"/>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9" w:lineRule="exact"/>
        <w:rPr>
          <w:rFonts w:ascii="Arial" w:cs="Arial" w:eastAsia="Arial" w:hAnsi="Arial"/>
          <w:sz w:val="22"/>
          <w:szCs w:val="22"/>
          <w:color w:val="auto"/>
        </w:rPr>
      </w:pPr>
    </w:p>
    <w:p>
      <w:pPr>
        <w:ind w:left="980" w:right="200" w:hanging="324"/>
        <w:spacing w:after="0" w:line="297" w:lineRule="auto"/>
        <w:tabs>
          <w:tab w:leader="none" w:pos="980" w:val="left"/>
        </w:tabs>
        <w:numPr>
          <w:ilvl w:val="1"/>
          <w:numId w:val="80"/>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40" w:hanging="324"/>
        <w:spacing w:after="0"/>
        <w:tabs>
          <w:tab w:leader="none" w:pos="980" w:val="left"/>
        </w:tabs>
        <w:numPr>
          <w:ilvl w:val="1"/>
          <w:numId w:val="80"/>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0" w:lineRule="exact"/>
        <w:rPr>
          <w:rFonts w:ascii="Arial" w:cs="Arial" w:eastAsia="Arial" w:hAnsi="Arial"/>
          <w:sz w:val="22"/>
          <w:szCs w:val="22"/>
          <w:color w:val="auto"/>
        </w:rPr>
      </w:pPr>
    </w:p>
    <w:p>
      <w:pPr>
        <w:ind w:left="980" w:right="200" w:hanging="324"/>
        <w:spacing w:after="0" w:line="238" w:lineRule="auto"/>
        <w:tabs>
          <w:tab w:leader="none" w:pos="980" w:val="left"/>
        </w:tabs>
        <w:numPr>
          <w:ilvl w:val="1"/>
          <w:numId w:val="80"/>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9" w:lineRule="exact"/>
        <w:rPr>
          <w:rFonts w:ascii="Arial" w:cs="Arial" w:eastAsia="Arial" w:hAnsi="Arial"/>
          <w:sz w:val="22"/>
          <w:szCs w:val="22"/>
          <w:color w:val="auto"/>
        </w:rPr>
      </w:pPr>
    </w:p>
    <w:p>
      <w:pPr>
        <w:ind w:left="340" w:right="140" w:hanging="332"/>
        <w:spacing w:after="0"/>
        <w:tabs>
          <w:tab w:leader="none" w:pos="340" w:val="left"/>
        </w:tabs>
        <w:numPr>
          <w:ilvl w:val="0"/>
          <w:numId w:val="80"/>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0" w:lineRule="exact"/>
        <w:rPr>
          <w:rFonts w:ascii="Arial" w:cs="Arial" w:eastAsia="Arial" w:hAnsi="Arial"/>
          <w:sz w:val="22"/>
          <w:szCs w:val="22"/>
          <w:color w:val="auto"/>
        </w:rPr>
      </w:pPr>
    </w:p>
    <w:p>
      <w:pPr>
        <w:ind w:left="980" w:right="80" w:hanging="324"/>
        <w:spacing w:after="0"/>
        <w:tabs>
          <w:tab w:leader="none" w:pos="980" w:val="left"/>
        </w:tabs>
        <w:numPr>
          <w:ilvl w:val="1"/>
          <w:numId w:val="80"/>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22"/>
          <w:szCs w:val="22"/>
          <w:color w:val="auto"/>
        </w:rPr>
      </w:pPr>
    </w:p>
    <w:p>
      <w:pPr>
        <w:ind w:left="980" w:right="400" w:hanging="324"/>
        <w:spacing w:after="0" w:line="251" w:lineRule="auto"/>
        <w:tabs>
          <w:tab w:leader="none" w:pos="980" w:val="left"/>
        </w:tabs>
        <w:numPr>
          <w:ilvl w:val="1"/>
          <w:numId w:val="80"/>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May 4, 2010</w:t>
      </w:r>
    </w:p>
    <w:p>
      <w:pPr>
        <w:spacing w:after="0" w:line="281" w:lineRule="exact"/>
        <w:rPr>
          <w:sz w:val="20"/>
          <w:szCs w:val="20"/>
          <w:color w:val="auto"/>
        </w:rPr>
      </w:pPr>
    </w:p>
    <w:p>
      <w:pPr>
        <w:ind w:left="9840"/>
        <w:spacing w:after="0"/>
        <w:rPr>
          <w:sz w:val="20"/>
          <w:szCs w:val="20"/>
          <w:color w:val="auto"/>
        </w:rPr>
      </w:pPr>
      <w:r>
        <w:rPr>
          <w:rFonts w:ascii="Arial" w:cs="Arial" w:eastAsia="Arial" w:hAnsi="Arial"/>
          <w:sz w:val="17"/>
          <w:szCs w:val="17"/>
          <w:color w:val="auto"/>
        </w:rPr>
        <w:t>/S/ 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5313680</wp:posOffset>
            </wp:positionH>
            <wp:positionV relativeFrom="paragraph">
              <wp:posOffset>30480</wp:posOffset>
            </wp:positionV>
            <wp:extent cx="19380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41" w:lineRule="exact"/>
        <w:rPr>
          <w:sz w:val="20"/>
          <w:szCs w:val="20"/>
          <w:color w:val="auto"/>
        </w:rPr>
      </w:pPr>
    </w:p>
    <w:p>
      <w:pPr>
        <w:ind w:left="10140"/>
        <w:spacing w:after="0"/>
        <w:rPr>
          <w:sz w:val="20"/>
          <w:szCs w:val="20"/>
          <w:color w:val="auto"/>
        </w:rPr>
      </w:pPr>
      <w:r>
        <w:rPr>
          <w:rFonts w:ascii="Arial" w:cs="Arial" w:eastAsia="Arial" w:hAnsi="Arial"/>
          <w:sz w:val="16"/>
          <w:szCs w:val="16"/>
          <w:color w:val="auto"/>
        </w:rPr>
        <w:t>Robert M. Schlax</w:t>
      </w:r>
    </w:p>
    <w:p>
      <w:pPr>
        <w:spacing w:after="0" w:line="59" w:lineRule="exact"/>
        <w:rPr>
          <w:sz w:val="20"/>
          <w:szCs w:val="20"/>
          <w:color w:val="auto"/>
        </w:rPr>
      </w:pPr>
    </w:p>
    <w:p>
      <w:pPr>
        <w:ind w:left="974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420"/>
          </w:cols>
          <w:pgMar w:left="240" w:top="118" w:right="239" w:bottom="1440" w:gutter="0" w:footer="0" w:header="0"/>
        </w:sectPr>
      </w:pPr>
    </w:p>
    <w:bookmarkStart w:id="105" w:name="page106"/>
    <w:bookmarkEnd w:id="105"/>
    <w:p>
      <w:pPr>
        <w:ind w:left="10120"/>
        <w:spacing w:after="0"/>
        <w:rPr>
          <w:sz w:val="20"/>
          <w:szCs w:val="20"/>
          <w:color w:val="auto"/>
        </w:rPr>
      </w:pPr>
      <w:r>
        <w:rPr>
          <w:rFonts w:ascii="Arial" w:cs="Arial" w:eastAsia="Arial" w:hAnsi="Arial"/>
          <w:sz w:val="21"/>
          <w:szCs w:val="21"/>
          <w:color w:val="auto"/>
        </w:rPr>
        <w:t>EXHIBIT 31.7</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Michael W. Allman, certify that:</w:t>
      </w:r>
    </w:p>
    <w:p>
      <w:pPr>
        <w:spacing w:after="0" w:line="260" w:lineRule="exact"/>
        <w:rPr>
          <w:sz w:val="20"/>
          <w:szCs w:val="20"/>
          <w:color w:val="auto"/>
        </w:rPr>
      </w:pPr>
    </w:p>
    <w:p>
      <w:pPr>
        <w:ind w:left="340" w:hanging="332"/>
        <w:spacing w:after="0"/>
        <w:tabs>
          <w:tab w:leader="none" w:pos="340" w:val="left"/>
        </w:tabs>
        <w:numPr>
          <w:ilvl w:val="0"/>
          <w:numId w:val="81"/>
        </w:numPr>
        <w:rPr>
          <w:rFonts w:ascii="Arial" w:cs="Arial" w:eastAsia="Arial" w:hAnsi="Arial"/>
          <w:sz w:val="22"/>
          <w:szCs w:val="22"/>
          <w:color w:val="auto"/>
        </w:rPr>
      </w:pPr>
      <w:r>
        <w:rPr>
          <w:rFonts w:ascii="Arial" w:cs="Arial" w:eastAsia="Arial" w:hAnsi="Arial"/>
          <w:sz w:val="22"/>
          <w:szCs w:val="22"/>
          <w:color w:val="auto"/>
        </w:rPr>
        <w:t>I have reviewed this report on Form 10-Q of Southern California Gas Company;</w:t>
      </w:r>
    </w:p>
    <w:p>
      <w:pPr>
        <w:spacing w:after="0" w:line="260" w:lineRule="exact"/>
        <w:rPr>
          <w:rFonts w:ascii="Arial" w:cs="Arial" w:eastAsia="Arial" w:hAnsi="Arial"/>
          <w:sz w:val="22"/>
          <w:szCs w:val="22"/>
          <w:color w:val="auto"/>
        </w:rPr>
      </w:pPr>
    </w:p>
    <w:p>
      <w:pPr>
        <w:ind w:left="340" w:right="220" w:hanging="332"/>
        <w:spacing w:after="0"/>
        <w:tabs>
          <w:tab w:leader="none" w:pos="340" w:val="left"/>
        </w:tabs>
        <w:numPr>
          <w:ilvl w:val="0"/>
          <w:numId w:val="81"/>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0" w:lineRule="exact"/>
        <w:rPr>
          <w:rFonts w:ascii="Arial" w:cs="Arial" w:eastAsia="Arial" w:hAnsi="Arial"/>
          <w:sz w:val="22"/>
          <w:szCs w:val="22"/>
          <w:color w:val="auto"/>
        </w:rPr>
      </w:pPr>
    </w:p>
    <w:p>
      <w:pPr>
        <w:ind w:left="340" w:right="300" w:hanging="332"/>
        <w:spacing w:after="0"/>
        <w:tabs>
          <w:tab w:leader="none" w:pos="340" w:val="left"/>
        </w:tabs>
        <w:numPr>
          <w:ilvl w:val="0"/>
          <w:numId w:val="81"/>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0" w:lineRule="exact"/>
        <w:rPr>
          <w:rFonts w:ascii="Arial" w:cs="Arial" w:eastAsia="Arial" w:hAnsi="Arial"/>
          <w:sz w:val="22"/>
          <w:szCs w:val="22"/>
          <w:color w:val="auto"/>
        </w:rPr>
      </w:pPr>
    </w:p>
    <w:p>
      <w:pPr>
        <w:ind w:left="340" w:hanging="332"/>
        <w:spacing w:after="0"/>
        <w:tabs>
          <w:tab w:leader="none" w:pos="340" w:val="left"/>
        </w:tabs>
        <w:numPr>
          <w:ilvl w:val="0"/>
          <w:numId w:val="81"/>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0" w:lineRule="exact"/>
        <w:rPr>
          <w:rFonts w:ascii="Arial" w:cs="Arial" w:eastAsia="Arial" w:hAnsi="Arial"/>
          <w:sz w:val="22"/>
          <w:szCs w:val="22"/>
          <w:color w:val="auto"/>
        </w:rPr>
      </w:pPr>
    </w:p>
    <w:p>
      <w:pPr>
        <w:ind w:left="980" w:right="300" w:hanging="324"/>
        <w:spacing w:after="0" w:line="238" w:lineRule="auto"/>
        <w:tabs>
          <w:tab w:leader="none" w:pos="980" w:val="left"/>
        </w:tabs>
        <w:numPr>
          <w:ilvl w:val="1"/>
          <w:numId w:val="81"/>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9" w:lineRule="exact"/>
        <w:rPr>
          <w:rFonts w:ascii="Arial" w:cs="Arial" w:eastAsia="Arial" w:hAnsi="Arial"/>
          <w:sz w:val="22"/>
          <w:szCs w:val="22"/>
          <w:color w:val="auto"/>
        </w:rPr>
      </w:pPr>
    </w:p>
    <w:p>
      <w:pPr>
        <w:ind w:left="980" w:right="200" w:hanging="324"/>
        <w:spacing w:after="0" w:line="297" w:lineRule="auto"/>
        <w:tabs>
          <w:tab w:leader="none" w:pos="980" w:val="left"/>
        </w:tabs>
        <w:numPr>
          <w:ilvl w:val="1"/>
          <w:numId w:val="81"/>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40" w:hanging="324"/>
        <w:spacing w:after="0"/>
        <w:tabs>
          <w:tab w:leader="none" w:pos="980" w:val="left"/>
        </w:tabs>
        <w:numPr>
          <w:ilvl w:val="1"/>
          <w:numId w:val="81"/>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0" w:lineRule="exact"/>
        <w:rPr>
          <w:rFonts w:ascii="Arial" w:cs="Arial" w:eastAsia="Arial" w:hAnsi="Arial"/>
          <w:sz w:val="22"/>
          <w:szCs w:val="22"/>
          <w:color w:val="auto"/>
        </w:rPr>
      </w:pPr>
    </w:p>
    <w:p>
      <w:pPr>
        <w:ind w:left="980" w:right="200" w:hanging="324"/>
        <w:spacing w:after="0" w:line="238" w:lineRule="auto"/>
        <w:tabs>
          <w:tab w:leader="none" w:pos="980" w:val="left"/>
        </w:tabs>
        <w:numPr>
          <w:ilvl w:val="1"/>
          <w:numId w:val="81"/>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9" w:lineRule="exact"/>
        <w:rPr>
          <w:rFonts w:ascii="Arial" w:cs="Arial" w:eastAsia="Arial" w:hAnsi="Arial"/>
          <w:sz w:val="22"/>
          <w:szCs w:val="22"/>
          <w:color w:val="auto"/>
        </w:rPr>
      </w:pPr>
    </w:p>
    <w:p>
      <w:pPr>
        <w:ind w:left="340" w:right="140" w:hanging="332"/>
        <w:spacing w:after="0"/>
        <w:tabs>
          <w:tab w:leader="none" w:pos="340" w:val="left"/>
        </w:tabs>
        <w:numPr>
          <w:ilvl w:val="0"/>
          <w:numId w:val="81"/>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0" w:lineRule="exact"/>
        <w:rPr>
          <w:rFonts w:ascii="Arial" w:cs="Arial" w:eastAsia="Arial" w:hAnsi="Arial"/>
          <w:sz w:val="22"/>
          <w:szCs w:val="22"/>
          <w:color w:val="auto"/>
        </w:rPr>
      </w:pPr>
    </w:p>
    <w:p>
      <w:pPr>
        <w:ind w:left="980" w:right="80" w:hanging="324"/>
        <w:spacing w:after="0"/>
        <w:tabs>
          <w:tab w:leader="none" w:pos="980" w:val="left"/>
        </w:tabs>
        <w:numPr>
          <w:ilvl w:val="1"/>
          <w:numId w:val="81"/>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22"/>
          <w:szCs w:val="22"/>
          <w:color w:val="auto"/>
        </w:rPr>
      </w:pPr>
    </w:p>
    <w:p>
      <w:pPr>
        <w:ind w:left="980" w:right="400" w:hanging="324"/>
        <w:spacing w:after="0" w:line="251" w:lineRule="auto"/>
        <w:tabs>
          <w:tab w:leader="none" w:pos="980" w:val="left"/>
        </w:tabs>
        <w:numPr>
          <w:ilvl w:val="1"/>
          <w:numId w:val="81"/>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May 4, 2010</w:t>
      </w:r>
    </w:p>
    <w:p>
      <w:pPr>
        <w:spacing w:after="0" w:line="281" w:lineRule="exact"/>
        <w:rPr>
          <w:sz w:val="20"/>
          <w:szCs w:val="20"/>
          <w:color w:val="auto"/>
        </w:rPr>
      </w:pPr>
    </w:p>
    <w:p>
      <w:pPr>
        <w:ind w:left="9700"/>
        <w:spacing w:after="0"/>
        <w:rPr>
          <w:sz w:val="20"/>
          <w:szCs w:val="20"/>
          <w:color w:val="auto"/>
        </w:rPr>
      </w:pPr>
      <w:r>
        <w:rPr>
          <w:rFonts w:ascii="Arial" w:cs="Arial" w:eastAsia="Arial" w:hAnsi="Arial"/>
          <w:sz w:val="17"/>
          <w:szCs w:val="17"/>
          <w:color w:val="auto"/>
        </w:rPr>
        <w:t>/S/ Michael W. Allman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30480</wp:posOffset>
            </wp:positionV>
            <wp:extent cx="240093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41" w:lineRule="exact"/>
        <w:rPr>
          <w:sz w:val="20"/>
          <w:szCs w:val="20"/>
          <w:color w:val="auto"/>
        </w:rPr>
      </w:pPr>
    </w:p>
    <w:p>
      <w:pPr>
        <w:ind w:left="9980"/>
        <w:spacing w:after="0"/>
        <w:rPr>
          <w:sz w:val="20"/>
          <w:szCs w:val="20"/>
          <w:color w:val="auto"/>
        </w:rPr>
      </w:pPr>
      <w:r>
        <w:rPr>
          <w:rFonts w:ascii="Arial" w:cs="Arial" w:eastAsia="Arial" w:hAnsi="Arial"/>
          <w:sz w:val="17"/>
          <w:szCs w:val="17"/>
          <w:color w:val="auto"/>
        </w:rPr>
        <w:t>Michael W. Allman</w:t>
      </w:r>
    </w:p>
    <w:p>
      <w:pPr>
        <w:spacing w:after="0" w:line="48" w:lineRule="exact"/>
        <w:rPr>
          <w:sz w:val="20"/>
          <w:szCs w:val="20"/>
          <w:color w:val="auto"/>
        </w:rPr>
      </w:pPr>
    </w:p>
    <w:p>
      <w:pPr>
        <w:ind w:left="968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420"/>
          </w:cols>
          <w:pgMar w:left="240" w:top="118" w:right="239" w:bottom="1440" w:gutter="0" w:footer="0" w:header="0"/>
        </w:sectPr>
      </w:pPr>
    </w:p>
    <w:bookmarkStart w:id="106" w:name="page107"/>
    <w:bookmarkEnd w:id="106"/>
    <w:p>
      <w:pPr>
        <w:ind w:left="10120"/>
        <w:spacing w:after="0"/>
        <w:rPr>
          <w:sz w:val="20"/>
          <w:szCs w:val="20"/>
          <w:color w:val="auto"/>
        </w:rPr>
      </w:pPr>
      <w:r>
        <w:rPr>
          <w:rFonts w:ascii="Arial" w:cs="Arial" w:eastAsia="Arial" w:hAnsi="Arial"/>
          <w:sz w:val="21"/>
          <w:szCs w:val="21"/>
          <w:color w:val="auto"/>
        </w:rPr>
        <w:t>EXHIBIT 31.8</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Robert M. Schlax, certify that:</w:t>
      </w:r>
    </w:p>
    <w:p>
      <w:pPr>
        <w:spacing w:after="0" w:line="260" w:lineRule="exact"/>
        <w:rPr>
          <w:sz w:val="20"/>
          <w:szCs w:val="20"/>
          <w:color w:val="auto"/>
        </w:rPr>
      </w:pPr>
    </w:p>
    <w:p>
      <w:pPr>
        <w:ind w:left="340" w:hanging="332"/>
        <w:spacing w:after="0"/>
        <w:tabs>
          <w:tab w:leader="none" w:pos="340" w:val="left"/>
        </w:tabs>
        <w:numPr>
          <w:ilvl w:val="0"/>
          <w:numId w:val="82"/>
        </w:numPr>
        <w:rPr>
          <w:rFonts w:ascii="Arial" w:cs="Arial" w:eastAsia="Arial" w:hAnsi="Arial"/>
          <w:sz w:val="22"/>
          <w:szCs w:val="22"/>
          <w:color w:val="auto"/>
        </w:rPr>
      </w:pPr>
      <w:r>
        <w:rPr>
          <w:rFonts w:ascii="Arial" w:cs="Arial" w:eastAsia="Arial" w:hAnsi="Arial"/>
          <w:sz w:val="22"/>
          <w:szCs w:val="22"/>
          <w:color w:val="auto"/>
        </w:rPr>
        <w:t>I have reviewed this report on Form 10-Q of Southern California Gas Company;</w:t>
      </w:r>
    </w:p>
    <w:p>
      <w:pPr>
        <w:spacing w:after="0" w:line="260" w:lineRule="exact"/>
        <w:rPr>
          <w:rFonts w:ascii="Arial" w:cs="Arial" w:eastAsia="Arial" w:hAnsi="Arial"/>
          <w:sz w:val="22"/>
          <w:szCs w:val="22"/>
          <w:color w:val="auto"/>
        </w:rPr>
      </w:pPr>
    </w:p>
    <w:p>
      <w:pPr>
        <w:ind w:left="340" w:right="220" w:hanging="332"/>
        <w:spacing w:after="0"/>
        <w:tabs>
          <w:tab w:leader="none" w:pos="340" w:val="left"/>
        </w:tabs>
        <w:numPr>
          <w:ilvl w:val="0"/>
          <w:numId w:val="82"/>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0" w:lineRule="exact"/>
        <w:rPr>
          <w:rFonts w:ascii="Arial" w:cs="Arial" w:eastAsia="Arial" w:hAnsi="Arial"/>
          <w:sz w:val="22"/>
          <w:szCs w:val="22"/>
          <w:color w:val="auto"/>
        </w:rPr>
      </w:pPr>
    </w:p>
    <w:p>
      <w:pPr>
        <w:ind w:left="340" w:right="300" w:hanging="332"/>
        <w:spacing w:after="0"/>
        <w:tabs>
          <w:tab w:leader="none" w:pos="340" w:val="left"/>
        </w:tabs>
        <w:numPr>
          <w:ilvl w:val="0"/>
          <w:numId w:val="82"/>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0" w:lineRule="exact"/>
        <w:rPr>
          <w:rFonts w:ascii="Arial" w:cs="Arial" w:eastAsia="Arial" w:hAnsi="Arial"/>
          <w:sz w:val="22"/>
          <w:szCs w:val="22"/>
          <w:color w:val="auto"/>
        </w:rPr>
      </w:pPr>
    </w:p>
    <w:p>
      <w:pPr>
        <w:ind w:left="340" w:hanging="332"/>
        <w:spacing w:after="0"/>
        <w:tabs>
          <w:tab w:leader="none" w:pos="340" w:val="left"/>
        </w:tabs>
        <w:numPr>
          <w:ilvl w:val="0"/>
          <w:numId w:val="82"/>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0" w:lineRule="exact"/>
        <w:rPr>
          <w:rFonts w:ascii="Arial" w:cs="Arial" w:eastAsia="Arial" w:hAnsi="Arial"/>
          <w:sz w:val="22"/>
          <w:szCs w:val="22"/>
          <w:color w:val="auto"/>
        </w:rPr>
      </w:pPr>
    </w:p>
    <w:p>
      <w:pPr>
        <w:ind w:left="980" w:right="300" w:hanging="324"/>
        <w:spacing w:after="0" w:line="238" w:lineRule="auto"/>
        <w:tabs>
          <w:tab w:leader="none" w:pos="980" w:val="left"/>
        </w:tabs>
        <w:numPr>
          <w:ilvl w:val="1"/>
          <w:numId w:val="82"/>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9" w:lineRule="exact"/>
        <w:rPr>
          <w:rFonts w:ascii="Arial" w:cs="Arial" w:eastAsia="Arial" w:hAnsi="Arial"/>
          <w:sz w:val="22"/>
          <w:szCs w:val="22"/>
          <w:color w:val="auto"/>
        </w:rPr>
      </w:pPr>
    </w:p>
    <w:p>
      <w:pPr>
        <w:ind w:left="980" w:right="200" w:hanging="324"/>
        <w:spacing w:after="0" w:line="297" w:lineRule="auto"/>
        <w:tabs>
          <w:tab w:leader="none" w:pos="980" w:val="left"/>
        </w:tabs>
        <w:numPr>
          <w:ilvl w:val="1"/>
          <w:numId w:val="82"/>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40" w:hanging="324"/>
        <w:spacing w:after="0"/>
        <w:tabs>
          <w:tab w:leader="none" w:pos="980" w:val="left"/>
        </w:tabs>
        <w:numPr>
          <w:ilvl w:val="1"/>
          <w:numId w:val="82"/>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0" w:lineRule="exact"/>
        <w:rPr>
          <w:rFonts w:ascii="Arial" w:cs="Arial" w:eastAsia="Arial" w:hAnsi="Arial"/>
          <w:sz w:val="22"/>
          <w:szCs w:val="22"/>
          <w:color w:val="auto"/>
        </w:rPr>
      </w:pPr>
    </w:p>
    <w:p>
      <w:pPr>
        <w:ind w:left="980" w:right="200" w:hanging="324"/>
        <w:spacing w:after="0" w:line="238" w:lineRule="auto"/>
        <w:tabs>
          <w:tab w:leader="none" w:pos="980" w:val="left"/>
        </w:tabs>
        <w:numPr>
          <w:ilvl w:val="1"/>
          <w:numId w:val="82"/>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9" w:lineRule="exact"/>
        <w:rPr>
          <w:rFonts w:ascii="Arial" w:cs="Arial" w:eastAsia="Arial" w:hAnsi="Arial"/>
          <w:sz w:val="22"/>
          <w:szCs w:val="22"/>
          <w:color w:val="auto"/>
        </w:rPr>
      </w:pPr>
    </w:p>
    <w:p>
      <w:pPr>
        <w:ind w:left="340" w:right="140" w:hanging="332"/>
        <w:spacing w:after="0"/>
        <w:tabs>
          <w:tab w:leader="none" w:pos="340" w:val="left"/>
        </w:tabs>
        <w:numPr>
          <w:ilvl w:val="0"/>
          <w:numId w:val="82"/>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0" w:lineRule="exact"/>
        <w:rPr>
          <w:rFonts w:ascii="Arial" w:cs="Arial" w:eastAsia="Arial" w:hAnsi="Arial"/>
          <w:sz w:val="22"/>
          <w:szCs w:val="22"/>
          <w:color w:val="auto"/>
        </w:rPr>
      </w:pPr>
    </w:p>
    <w:p>
      <w:pPr>
        <w:ind w:left="980" w:right="80" w:hanging="324"/>
        <w:spacing w:after="0"/>
        <w:tabs>
          <w:tab w:leader="none" w:pos="980" w:val="left"/>
        </w:tabs>
        <w:numPr>
          <w:ilvl w:val="1"/>
          <w:numId w:val="82"/>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22"/>
          <w:szCs w:val="22"/>
          <w:color w:val="auto"/>
        </w:rPr>
      </w:pPr>
    </w:p>
    <w:p>
      <w:pPr>
        <w:ind w:left="980" w:right="400" w:hanging="324"/>
        <w:spacing w:after="0" w:line="251" w:lineRule="auto"/>
        <w:tabs>
          <w:tab w:leader="none" w:pos="980" w:val="left"/>
        </w:tabs>
        <w:numPr>
          <w:ilvl w:val="1"/>
          <w:numId w:val="82"/>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May 4, 2010</w:t>
      </w:r>
    </w:p>
    <w:p>
      <w:pPr>
        <w:spacing w:after="0" w:line="281" w:lineRule="exact"/>
        <w:rPr>
          <w:sz w:val="20"/>
          <w:szCs w:val="20"/>
          <w:color w:val="auto"/>
        </w:rPr>
      </w:pPr>
    </w:p>
    <w:p>
      <w:pPr>
        <w:ind w:left="9840"/>
        <w:spacing w:after="0"/>
        <w:rPr>
          <w:sz w:val="20"/>
          <w:szCs w:val="20"/>
          <w:color w:val="auto"/>
        </w:rPr>
      </w:pPr>
      <w:r>
        <w:rPr>
          <w:rFonts w:ascii="Arial" w:cs="Arial" w:eastAsia="Arial" w:hAnsi="Arial"/>
          <w:sz w:val="17"/>
          <w:szCs w:val="17"/>
          <w:color w:val="auto"/>
        </w:rPr>
        <w:t>/S/ 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30480</wp:posOffset>
            </wp:positionV>
            <wp:extent cx="229806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41" w:lineRule="exact"/>
        <w:rPr>
          <w:sz w:val="20"/>
          <w:szCs w:val="20"/>
          <w:color w:val="auto"/>
        </w:rPr>
      </w:pPr>
    </w:p>
    <w:p>
      <w:pPr>
        <w:ind w:left="10140"/>
        <w:spacing w:after="0"/>
        <w:rPr>
          <w:sz w:val="20"/>
          <w:szCs w:val="20"/>
          <w:color w:val="auto"/>
        </w:rPr>
      </w:pPr>
      <w:r>
        <w:rPr>
          <w:rFonts w:ascii="Arial" w:cs="Arial" w:eastAsia="Arial" w:hAnsi="Arial"/>
          <w:sz w:val="16"/>
          <w:szCs w:val="16"/>
          <w:color w:val="auto"/>
        </w:rPr>
        <w:t>Robert M. Schlax</w:t>
      </w:r>
    </w:p>
    <w:p>
      <w:pPr>
        <w:spacing w:after="0" w:line="59" w:lineRule="exact"/>
        <w:rPr>
          <w:sz w:val="20"/>
          <w:szCs w:val="20"/>
          <w:color w:val="auto"/>
        </w:rPr>
      </w:pPr>
    </w:p>
    <w:p>
      <w:pPr>
        <w:ind w:left="974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420"/>
          </w:cols>
          <w:pgMar w:left="240" w:top="118"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22"/>
          <w:szCs w:val="22"/>
          <w:color w:val="auto"/>
        </w:rPr>
        <w:t>Exhibit 32.1</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 of Chief Executive Officer</w:t>
      </w:r>
    </w:p>
    <w:p>
      <w:pPr>
        <w:spacing w:after="0" w:line="233" w:lineRule="exact"/>
        <w:rPr>
          <w:sz w:val="20"/>
          <w:szCs w:val="20"/>
          <w:color w:val="auto"/>
        </w:rPr>
      </w:pPr>
    </w:p>
    <w:p>
      <w:pPr>
        <w:ind w:right="360"/>
        <w:spacing w:after="0" w:line="251" w:lineRule="auto"/>
        <w:rPr>
          <w:sz w:val="20"/>
          <w:szCs w:val="20"/>
          <w:color w:val="auto"/>
        </w:rPr>
      </w:pPr>
      <w:r>
        <w:rPr>
          <w:rFonts w:ascii="Arial" w:cs="Arial" w:eastAsia="Arial" w:hAnsi="Arial"/>
          <w:sz w:val="22"/>
          <w:szCs w:val="22"/>
          <w:color w:val="auto"/>
        </w:rPr>
        <w:t>Pursuant to 18 U.S.C. Sec 1350, as created by Section 906 of the Sarbanes-Oxley Act of 2002, the undersigned Chief Executive Officer of Sempra Energy (the "Company") certifies that:</w:t>
      </w:r>
    </w:p>
    <w:p>
      <w:pPr>
        <w:spacing w:after="0" w:line="227" w:lineRule="exact"/>
        <w:rPr>
          <w:sz w:val="20"/>
          <w:szCs w:val="20"/>
          <w:color w:val="auto"/>
        </w:rPr>
      </w:pPr>
    </w:p>
    <w:p>
      <w:pPr>
        <w:jc w:val="both"/>
        <w:ind w:left="1300" w:right="420" w:hanging="644"/>
        <w:spacing w:after="0" w:line="258" w:lineRule="auto"/>
        <w:tabs>
          <w:tab w:leader="none" w:pos="1300" w:val="left"/>
        </w:tabs>
        <w:numPr>
          <w:ilvl w:val="0"/>
          <w:numId w:val="83"/>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March 31, 2010 (the "Quarterly Report") fully complies with the requirements of Section 13(a) or Section 15(d), as applicable, of the Securities Exchange Act of 1934, as amended; and</w:t>
      </w:r>
    </w:p>
    <w:p>
      <w:pPr>
        <w:spacing w:after="0" w:line="220" w:lineRule="exact"/>
        <w:rPr>
          <w:rFonts w:ascii="Arial" w:cs="Arial" w:eastAsia="Arial" w:hAnsi="Arial"/>
          <w:sz w:val="21"/>
          <w:szCs w:val="21"/>
          <w:color w:val="auto"/>
        </w:rPr>
      </w:pPr>
    </w:p>
    <w:p>
      <w:pPr>
        <w:ind w:left="1300" w:right="60" w:hanging="644"/>
        <w:spacing w:after="0" w:line="251" w:lineRule="auto"/>
        <w:tabs>
          <w:tab w:leader="none" w:pos="1300"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May 4, 2010</w:t>
      </w:r>
    </w:p>
    <w:p>
      <w:pPr>
        <w:spacing w:after="0" w:line="375" w:lineRule="exact"/>
        <w:rPr>
          <w:sz w:val="20"/>
          <w:szCs w:val="20"/>
          <w:color w:val="auto"/>
        </w:rPr>
      </w:pPr>
    </w:p>
    <w:p>
      <w:pPr>
        <w:ind w:left="9680"/>
        <w:spacing w:after="0"/>
        <w:rPr>
          <w:sz w:val="20"/>
          <w:szCs w:val="20"/>
          <w:color w:val="auto"/>
        </w:rPr>
      </w:pPr>
      <w:r>
        <w:rPr>
          <w:rFonts w:ascii="Arial" w:cs="Arial" w:eastAsia="Arial" w:hAnsi="Arial"/>
          <w:sz w:val="16"/>
          <w:szCs w:val="16"/>
          <w:color w:val="auto"/>
        </w:rPr>
        <w:t>/S/ Donald E. Felsinger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5005070</wp:posOffset>
            </wp:positionH>
            <wp:positionV relativeFrom="paragraph">
              <wp:posOffset>38100</wp:posOffset>
            </wp:positionV>
            <wp:extent cx="224663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53" w:lineRule="exact"/>
        <w:rPr>
          <w:sz w:val="20"/>
          <w:szCs w:val="20"/>
          <w:color w:val="auto"/>
        </w:rPr>
      </w:pPr>
    </w:p>
    <w:p>
      <w:pPr>
        <w:ind w:left="9960"/>
        <w:spacing w:after="0"/>
        <w:rPr>
          <w:sz w:val="20"/>
          <w:szCs w:val="20"/>
          <w:color w:val="auto"/>
        </w:rPr>
      </w:pPr>
      <w:r>
        <w:rPr>
          <w:rFonts w:ascii="Arial" w:cs="Arial" w:eastAsia="Arial" w:hAnsi="Arial"/>
          <w:sz w:val="16"/>
          <w:szCs w:val="16"/>
          <w:color w:val="auto"/>
        </w:rPr>
        <w:t>Donald E. Felsinger</w:t>
      </w:r>
    </w:p>
    <w:p>
      <w:pPr>
        <w:spacing w:after="0" w:line="59" w:lineRule="exact"/>
        <w:rPr>
          <w:sz w:val="20"/>
          <w:szCs w:val="20"/>
          <w:color w:val="auto"/>
        </w:rPr>
      </w:pPr>
    </w:p>
    <w:p>
      <w:pPr>
        <w:ind w:left="968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420"/>
          </w:cols>
          <w:pgMar w:left="240" w:top="118"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22"/>
          <w:szCs w:val="22"/>
          <w:color w:val="auto"/>
        </w:rPr>
        <w:t>Exhibit 32.2</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 of Chief Financial Officer</w:t>
      </w:r>
    </w:p>
    <w:p>
      <w:pPr>
        <w:spacing w:after="0" w:line="233" w:lineRule="exact"/>
        <w:rPr>
          <w:sz w:val="20"/>
          <w:szCs w:val="20"/>
          <w:color w:val="auto"/>
        </w:rPr>
      </w:pPr>
    </w:p>
    <w:p>
      <w:pPr>
        <w:ind w:right="420"/>
        <w:spacing w:after="0" w:line="251" w:lineRule="auto"/>
        <w:rPr>
          <w:sz w:val="20"/>
          <w:szCs w:val="20"/>
          <w:color w:val="auto"/>
        </w:rPr>
      </w:pPr>
      <w:r>
        <w:rPr>
          <w:rFonts w:ascii="Arial" w:cs="Arial" w:eastAsia="Arial" w:hAnsi="Arial"/>
          <w:sz w:val="22"/>
          <w:szCs w:val="22"/>
          <w:color w:val="auto"/>
        </w:rPr>
        <w:t>Pursuant to 18 U.S.C. Sec 1350, as created by Section 906 of the Sarbanes-Oxley Act of 2002, the undersigned Chief Financial Officer of Sempra Energy (the "Company") certifies that:</w:t>
      </w:r>
    </w:p>
    <w:p>
      <w:pPr>
        <w:spacing w:after="0" w:line="227" w:lineRule="exact"/>
        <w:rPr>
          <w:sz w:val="20"/>
          <w:szCs w:val="20"/>
          <w:color w:val="auto"/>
        </w:rPr>
      </w:pPr>
    </w:p>
    <w:p>
      <w:pPr>
        <w:jc w:val="both"/>
        <w:ind w:left="1300" w:right="420" w:hanging="644"/>
        <w:spacing w:after="0" w:line="258" w:lineRule="auto"/>
        <w:tabs>
          <w:tab w:leader="none" w:pos="1300" w:val="left"/>
        </w:tabs>
        <w:numPr>
          <w:ilvl w:val="0"/>
          <w:numId w:val="84"/>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March 31, 2010 (the "Quarterly Report") fully complies with the requirements of Section 13(a) or Section 15(d), as applicable, of the Securities Exchange Act of 1934, as amended; and</w:t>
      </w:r>
    </w:p>
    <w:p>
      <w:pPr>
        <w:spacing w:after="0" w:line="220" w:lineRule="exact"/>
        <w:rPr>
          <w:rFonts w:ascii="Arial" w:cs="Arial" w:eastAsia="Arial" w:hAnsi="Arial"/>
          <w:sz w:val="21"/>
          <w:szCs w:val="21"/>
          <w:color w:val="auto"/>
        </w:rPr>
      </w:pPr>
    </w:p>
    <w:p>
      <w:pPr>
        <w:ind w:left="1300" w:right="60" w:hanging="644"/>
        <w:spacing w:after="0" w:line="251" w:lineRule="auto"/>
        <w:tabs>
          <w:tab w:leader="none" w:pos="1300" w:val="left"/>
        </w:tabs>
        <w:numPr>
          <w:ilvl w:val="0"/>
          <w:numId w:val="84"/>
        </w:numPr>
        <w:rPr>
          <w:rFonts w:ascii="Arial" w:cs="Arial" w:eastAsia="Arial" w:hAnsi="Arial"/>
          <w:sz w:val="22"/>
          <w:szCs w:val="22"/>
          <w:color w:val="auto"/>
        </w:rPr>
      </w:pPr>
      <w:r>
        <w:rPr>
          <w:rFonts w:ascii="Arial" w:cs="Arial" w:eastAsia="Arial" w:hAnsi="Arial"/>
          <w:sz w:val="22"/>
          <w:szCs w:val="22"/>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May 4, 2010</w:t>
      </w:r>
    </w:p>
    <w:p>
      <w:pPr>
        <w:spacing w:after="0" w:line="375" w:lineRule="exact"/>
        <w:rPr>
          <w:sz w:val="20"/>
          <w:szCs w:val="20"/>
          <w:color w:val="auto"/>
        </w:rPr>
      </w:pPr>
    </w:p>
    <w:p>
      <w:pPr>
        <w:ind w:left="10100"/>
        <w:spacing w:after="0"/>
        <w:rPr>
          <w:sz w:val="20"/>
          <w:szCs w:val="20"/>
          <w:color w:val="auto"/>
        </w:rPr>
      </w:pPr>
      <w:r>
        <w:rPr>
          <w:rFonts w:ascii="Arial" w:cs="Arial" w:eastAsia="Arial" w:hAnsi="Arial"/>
          <w:sz w:val="17"/>
          <w:szCs w:val="17"/>
          <w:color w:val="auto"/>
        </w:rPr>
        <w:t>/S/ Mark A. Snell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30480</wp:posOffset>
            </wp:positionV>
            <wp:extent cx="23495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41" w:lineRule="exact"/>
        <w:rPr>
          <w:sz w:val="20"/>
          <w:szCs w:val="20"/>
          <w:color w:val="auto"/>
        </w:rPr>
      </w:pPr>
    </w:p>
    <w:p>
      <w:pPr>
        <w:ind w:left="10380"/>
        <w:spacing w:after="0"/>
        <w:rPr>
          <w:sz w:val="20"/>
          <w:szCs w:val="20"/>
          <w:color w:val="auto"/>
        </w:rPr>
      </w:pPr>
      <w:r>
        <w:rPr>
          <w:rFonts w:ascii="Arial" w:cs="Arial" w:eastAsia="Arial" w:hAnsi="Arial"/>
          <w:sz w:val="17"/>
          <w:szCs w:val="17"/>
          <w:color w:val="auto"/>
        </w:rPr>
        <w:t>Mark A. Snell</w:t>
      </w:r>
    </w:p>
    <w:p>
      <w:pPr>
        <w:spacing w:after="0" w:line="48" w:lineRule="exact"/>
        <w:rPr>
          <w:sz w:val="20"/>
          <w:szCs w:val="20"/>
          <w:color w:val="auto"/>
        </w:rPr>
      </w:pPr>
    </w:p>
    <w:p>
      <w:pPr>
        <w:ind w:left="974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420"/>
          </w:cols>
          <w:pgMar w:left="240" w:top="118"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22"/>
          <w:szCs w:val="22"/>
          <w:color w:val="auto"/>
        </w:rPr>
        <w:t>Exhibit 32.3</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 of Chief Executive Officer</w:t>
      </w:r>
    </w:p>
    <w:p>
      <w:pPr>
        <w:spacing w:after="0" w:line="233" w:lineRule="exact"/>
        <w:rPr>
          <w:sz w:val="20"/>
          <w:szCs w:val="20"/>
          <w:color w:val="auto"/>
        </w:rPr>
      </w:pPr>
    </w:p>
    <w:p>
      <w:pPr>
        <w:ind w:right="360"/>
        <w:spacing w:after="0" w:line="251" w:lineRule="auto"/>
        <w:rPr>
          <w:sz w:val="20"/>
          <w:szCs w:val="20"/>
          <w:color w:val="auto"/>
        </w:rPr>
      </w:pPr>
      <w:r>
        <w:rPr>
          <w:rFonts w:ascii="Arial" w:cs="Arial" w:eastAsia="Arial" w:hAnsi="Arial"/>
          <w:sz w:val="22"/>
          <w:szCs w:val="22"/>
          <w:color w:val="auto"/>
        </w:rPr>
        <w:t>Pursuant to 18 U.S.C. Sec 1350, as created by Section 906 of the Sarbanes-Oxley Act of 2002, the undersigned Chief Executive Officer of San Diego Gas &amp; Electric Company (the "Company") certifies that:</w:t>
      </w:r>
    </w:p>
    <w:p>
      <w:pPr>
        <w:spacing w:after="0" w:line="227" w:lineRule="exact"/>
        <w:rPr>
          <w:sz w:val="20"/>
          <w:szCs w:val="20"/>
          <w:color w:val="auto"/>
        </w:rPr>
      </w:pPr>
    </w:p>
    <w:p>
      <w:pPr>
        <w:jc w:val="both"/>
        <w:ind w:left="1300" w:right="420" w:hanging="644"/>
        <w:spacing w:after="0" w:line="258" w:lineRule="auto"/>
        <w:tabs>
          <w:tab w:leader="none" w:pos="1300" w:val="left"/>
        </w:tabs>
        <w:numPr>
          <w:ilvl w:val="0"/>
          <w:numId w:val="85"/>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March 31, 2010 (the "Quarterly Report") fully complies with the requirements of Section 13(a) or Section 15(d), as applicable, of the Securities Exchange Act of 1934, as amended; and</w:t>
      </w:r>
    </w:p>
    <w:p>
      <w:pPr>
        <w:spacing w:after="0" w:line="220" w:lineRule="exact"/>
        <w:rPr>
          <w:rFonts w:ascii="Arial" w:cs="Arial" w:eastAsia="Arial" w:hAnsi="Arial"/>
          <w:sz w:val="21"/>
          <w:szCs w:val="21"/>
          <w:color w:val="auto"/>
        </w:rPr>
      </w:pPr>
    </w:p>
    <w:p>
      <w:pPr>
        <w:ind w:left="1300" w:right="60" w:hanging="644"/>
        <w:spacing w:after="0" w:line="251" w:lineRule="auto"/>
        <w:tabs>
          <w:tab w:leader="none" w:pos="1300"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May 4, 2010</w:t>
      </w:r>
    </w:p>
    <w:p>
      <w:pPr>
        <w:spacing w:after="0" w:line="375" w:lineRule="exact"/>
        <w:rPr>
          <w:sz w:val="20"/>
          <w:szCs w:val="20"/>
          <w:color w:val="auto"/>
        </w:rPr>
      </w:pPr>
    </w:p>
    <w:p>
      <w:pPr>
        <w:ind w:left="9740"/>
        <w:spacing w:after="0"/>
        <w:rPr>
          <w:sz w:val="20"/>
          <w:szCs w:val="20"/>
          <w:color w:val="auto"/>
        </w:rPr>
      </w:pPr>
      <w:r>
        <w:rPr>
          <w:rFonts w:ascii="Arial" w:cs="Arial" w:eastAsia="Arial" w:hAnsi="Arial"/>
          <w:sz w:val="16"/>
          <w:szCs w:val="16"/>
          <w:color w:val="auto"/>
        </w:rPr>
        <w:t>/S/ Jessie J. Knight,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38100</wp:posOffset>
            </wp:positionV>
            <wp:extent cx="240093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53" w:lineRule="exact"/>
        <w:rPr>
          <w:sz w:val="20"/>
          <w:szCs w:val="20"/>
          <w:color w:val="auto"/>
        </w:rPr>
      </w:pPr>
    </w:p>
    <w:p>
      <w:pPr>
        <w:ind w:left="10020"/>
        <w:spacing w:after="0"/>
        <w:rPr>
          <w:sz w:val="20"/>
          <w:szCs w:val="20"/>
          <w:color w:val="auto"/>
        </w:rPr>
      </w:pPr>
      <w:r>
        <w:rPr>
          <w:rFonts w:ascii="Arial" w:cs="Arial" w:eastAsia="Arial" w:hAnsi="Arial"/>
          <w:sz w:val="16"/>
          <w:szCs w:val="16"/>
          <w:color w:val="auto"/>
        </w:rPr>
        <w:t>Jessie J. Knight, Jr.</w:t>
      </w:r>
    </w:p>
    <w:p>
      <w:pPr>
        <w:spacing w:after="0" w:line="59" w:lineRule="exact"/>
        <w:rPr>
          <w:sz w:val="20"/>
          <w:szCs w:val="20"/>
          <w:color w:val="auto"/>
        </w:rPr>
      </w:pPr>
    </w:p>
    <w:p>
      <w:pPr>
        <w:ind w:left="968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420"/>
          </w:cols>
          <w:pgMar w:left="240" w:top="118"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22"/>
          <w:szCs w:val="22"/>
          <w:color w:val="auto"/>
        </w:rPr>
        <w:t>Exhibit 32.4</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 of Chief Financial Officer</w:t>
      </w:r>
    </w:p>
    <w:p>
      <w:pPr>
        <w:spacing w:after="0" w:line="233" w:lineRule="exact"/>
        <w:rPr>
          <w:sz w:val="20"/>
          <w:szCs w:val="20"/>
          <w:color w:val="auto"/>
        </w:rPr>
      </w:pPr>
    </w:p>
    <w:p>
      <w:pPr>
        <w:ind w:right="420"/>
        <w:spacing w:after="0" w:line="251" w:lineRule="auto"/>
        <w:rPr>
          <w:sz w:val="20"/>
          <w:szCs w:val="20"/>
          <w:color w:val="auto"/>
        </w:rPr>
      </w:pPr>
      <w:r>
        <w:rPr>
          <w:rFonts w:ascii="Arial" w:cs="Arial" w:eastAsia="Arial" w:hAnsi="Arial"/>
          <w:sz w:val="22"/>
          <w:szCs w:val="22"/>
          <w:color w:val="auto"/>
        </w:rPr>
        <w:t>Pursuant to 18 U.S.C. Sec 1350, as created by Section 906 of the Sarbanes-Oxley Act of 2002, the undersigned Chief Financial Officer of San Diego Gas &amp; Electric Company (the "Company") certifies that:</w:t>
      </w:r>
    </w:p>
    <w:p>
      <w:pPr>
        <w:spacing w:after="0" w:line="227" w:lineRule="exact"/>
        <w:rPr>
          <w:sz w:val="20"/>
          <w:szCs w:val="20"/>
          <w:color w:val="auto"/>
        </w:rPr>
      </w:pPr>
    </w:p>
    <w:p>
      <w:pPr>
        <w:jc w:val="both"/>
        <w:ind w:left="1300" w:right="420" w:hanging="644"/>
        <w:spacing w:after="0" w:line="258" w:lineRule="auto"/>
        <w:tabs>
          <w:tab w:leader="none" w:pos="1300" w:val="left"/>
        </w:tabs>
        <w:numPr>
          <w:ilvl w:val="0"/>
          <w:numId w:val="86"/>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March 31, 2010 (the "Quarterly Report") fully complies with the requirements of Section 13(a) or Section 15(d), as applicable, of the Securities Exchange Act of 1934, as amended; and</w:t>
      </w:r>
    </w:p>
    <w:p>
      <w:pPr>
        <w:spacing w:after="0" w:line="220" w:lineRule="exact"/>
        <w:rPr>
          <w:rFonts w:ascii="Arial" w:cs="Arial" w:eastAsia="Arial" w:hAnsi="Arial"/>
          <w:sz w:val="21"/>
          <w:szCs w:val="21"/>
          <w:color w:val="auto"/>
        </w:rPr>
      </w:pPr>
    </w:p>
    <w:p>
      <w:pPr>
        <w:ind w:left="1300" w:right="60" w:hanging="644"/>
        <w:spacing w:after="0" w:line="251" w:lineRule="auto"/>
        <w:tabs>
          <w:tab w:leader="none" w:pos="1300" w:val="left"/>
        </w:tabs>
        <w:numPr>
          <w:ilvl w:val="0"/>
          <w:numId w:val="86"/>
        </w:numPr>
        <w:rPr>
          <w:rFonts w:ascii="Arial" w:cs="Arial" w:eastAsia="Arial" w:hAnsi="Arial"/>
          <w:sz w:val="22"/>
          <w:szCs w:val="22"/>
          <w:color w:val="auto"/>
        </w:rPr>
      </w:pPr>
      <w:r>
        <w:rPr>
          <w:rFonts w:ascii="Arial" w:cs="Arial" w:eastAsia="Arial" w:hAnsi="Arial"/>
          <w:sz w:val="22"/>
          <w:szCs w:val="22"/>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May 4, 2010</w:t>
      </w:r>
    </w:p>
    <w:p>
      <w:pPr>
        <w:spacing w:after="0" w:line="375" w:lineRule="exact"/>
        <w:rPr>
          <w:sz w:val="20"/>
          <w:szCs w:val="20"/>
          <w:color w:val="auto"/>
        </w:rPr>
      </w:pPr>
    </w:p>
    <w:p>
      <w:pPr>
        <w:ind w:left="9840"/>
        <w:spacing w:after="0"/>
        <w:rPr>
          <w:sz w:val="20"/>
          <w:szCs w:val="20"/>
          <w:color w:val="auto"/>
        </w:rPr>
      </w:pPr>
      <w:r>
        <w:rPr>
          <w:rFonts w:ascii="Arial" w:cs="Arial" w:eastAsia="Arial" w:hAnsi="Arial"/>
          <w:sz w:val="17"/>
          <w:szCs w:val="17"/>
          <w:color w:val="auto"/>
        </w:rPr>
        <w:t>/S/ 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30480</wp:posOffset>
            </wp:positionV>
            <wp:extent cx="23495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41" w:lineRule="exact"/>
        <w:rPr>
          <w:sz w:val="20"/>
          <w:szCs w:val="20"/>
          <w:color w:val="auto"/>
        </w:rPr>
      </w:pPr>
    </w:p>
    <w:p>
      <w:pPr>
        <w:ind w:left="10140"/>
        <w:spacing w:after="0"/>
        <w:rPr>
          <w:sz w:val="20"/>
          <w:szCs w:val="20"/>
          <w:color w:val="auto"/>
        </w:rPr>
      </w:pPr>
      <w:r>
        <w:rPr>
          <w:rFonts w:ascii="Arial" w:cs="Arial" w:eastAsia="Arial" w:hAnsi="Arial"/>
          <w:sz w:val="16"/>
          <w:szCs w:val="16"/>
          <w:color w:val="auto"/>
        </w:rPr>
        <w:t>Robert M. Schlax</w:t>
      </w:r>
    </w:p>
    <w:p>
      <w:pPr>
        <w:spacing w:after="0" w:line="59" w:lineRule="exact"/>
        <w:rPr>
          <w:sz w:val="20"/>
          <w:szCs w:val="20"/>
          <w:color w:val="auto"/>
        </w:rPr>
      </w:pPr>
    </w:p>
    <w:p>
      <w:pPr>
        <w:ind w:left="974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420"/>
          </w:cols>
          <w:pgMar w:left="240" w:top="118"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22"/>
          <w:szCs w:val="22"/>
          <w:color w:val="auto"/>
        </w:rPr>
        <w:t>Exhibit 32.5</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 of Chief Executive Officer</w:t>
      </w:r>
    </w:p>
    <w:p>
      <w:pPr>
        <w:spacing w:after="0" w:line="233" w:lineRule="exact"/>
        <w:rPr>
          <w:sz w:val="20"/>
          <w:szCs w:val="20"/>
          <w:color w:val="auto"/>
        </w:rPr>
      </w:pPr>
    </w:p>
    <w:p>
      <w:pPr>
        <w:ind w:right="360"/>
        <w:spacing w:after="0" w:line="251" w:lineRule="auto"/>
        <w:rPr>
          <w:sz w:val="20"/>
          <w:szCs w:val="20"/>
          <w:color w:val="auto"/>
        </w:rPr>
      </w:pPr>
      <w:r>
        <w:rPr>
          <w:rFonts w:ascii="Arial" w:cs="Arial" w:eastAsia="Arial" w:hAnsi="Arial"/>
          <w:sz w:val="22"/>
          <w:szCs w:val="22"/>
          <w:color w:val="auto"/>
        </w:rPr>
        <w:t>Pursuant to 18 U.S.C. Sec 1350, as created by Section 906 of the Sarbanes-Oxley Act of 2002, the undersigned Chief Executive Officer of Pacific Enterprises (the "Company") certifies that:</w:t>
      </w:r>
    </w:p>
    <w:p>
      <w:pPr>
        <w:spacing w:after="0" w:line="227" w:lineRule="exact"/>
        <w:rPr>
          <w:sz w:val="20"/>
          <w:szCs w:val="20"/>
          <w:color w:val="auto"/>
        </w:rPr>
      </w:pPr>
    </w:p>
    <w:p>
      <w:pPr>
        <w:jc w:val="both"/>
        <w:ind w:left="1300" w:right="420" w:hanging="644"/>
        <w:spacing w:after="0" w:line="258" w:lineRule="auto"/>
        <w:tabs>
          <w:tab w:leader="none" w:pos="1300" w:val="left"/>
        </w:tabs>
        <w:numPr>
          <w:ilvl w:val="0"/>
          <w:numId w:val="87"/>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March 31, 2010 (the "Quarterly Report") fully complies with the requirements of Section 13(a) or Section 15(d), as applicable, of the Securities Exchange Act of 1934, as amended; and</w:t>
      </w:r>
    </w:p>
    <w:p>
      <w:pPr>
        <w:spacing w:after="0" w:line="220" w:lineRule="exact"/>
        <w:rPr>
          <w:rFonts w:ascii="Arial" w:cs="Arial" w:eastAsia="Arial" w:hAnsi="Arial"/>
          <w:sz w:val="21"/>
          <w:szCs w:val="21"/>
          <w:color w:val="auto"/>
        </w:rPr>
      </w:pPr>
    </w:p>
    <w:p>
      <w:pPr>
        <w:ind w:left="1300" w:right="60" w:hanging="644"/>
        <w:spacing w:after="0" w:line="251" w:lineRule="auto"/>
        <w:tabs>
          <w:tab w:leader="none" w:pos="1300" w:val="left"/>
        </w:tabs>
        <w:numPr>
          <w:ilvl w:val="0"/>
          <w:numId w:val="87"/>
        </w:numPr>
        <w:rPr>
          <w:rFonts w:ascii="Arial" w:cs="Arial" w:eastAsia="Arial" w:hAnsi="Arial"/>
          <w:sz w:val="22"/>
          <w:szCs w:val="22"/>
          <w:color w:val="auto"/>
        </w:rPr>
      </w:pPr>
      <w:r>
        <w:rPr>
          <w:rFonts w:ascii="Arial" w:cs="Arial" w:eastAsia="Arial" w:hAnsi="Arial"/>
          <w:sz w:val="22"/>
          <w:szCs w:val="22"/>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May 4, 2010</w:t>
      </w:r>
    </w:p>
    <w:p>
      <w:pPr>
        <w:spacing w:after="0" w:line="375" w:lineRule="exact"/>
        <w:rPr>
          <w:sz w:val="20"/>
          <w:szCs w:val="20"/>
          <w:color w:val="auto"/>
        </w:rPr>
      </w:pPr>
    </w:p>
    <w:p>
      <w:pPr>
        <w:ind w:left="9700"/>
        <w:spacing w:after="0"/>
        <w:rPr>
          <w:sz w:val="20"/>
          <w:szCs w:val="20"/>
          <w:color w:val="auto"/>
        </w:rPr>
      </w:pPr>
      <w:r>
        <w:rPr>
          <w:rFonts w:ascii="Arial" w:cs="Arial" w:eastAsia="Arial" w:hAnsi="Arial"/>
          <w:sz w:val="17"/>
          <w:szCs w:val="17"/>
          <w:color w:val="auto"/>
        </w:rPr>
        <w:t>/S/ Michael W. Allman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5262245</wp:posOffset>
            </wp:positionH>
            <wp:positionV relativeFrom="paragraph">
              <wp:posOffset>30480</wp:posOffset>
            </wp:positionV>
            <wp:extent cx="198945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41" w:lineRule="exact"/>
        <w:rPr>
          <w:sz w:val="20"/>
          <w:szCs w:val="20"/>
          <w:color w:val="auto"/>
        </w:rPr>
      </w:pPr>
    </w:p>
    <w:p>
      <w:pPr>
        <w:ind w:left="9980"/>
        <w:spacing w:after="0"/>
        <w:rPr>
          <w:sz w:val="20"/>
          <w:szCs w:val="20"/>
          <w:color w:val="auto"/>
        </w:rPr>
      </w:pPr>
      <w:r>
        <w:rPr>
          <w:rFonts w:ascii="Arial" w:cs="Arial" w:eastAsia="Arial" w:hAnsi="Arial"/>
          <w:sz w:val="17"/>
          <w:szCs w:val="17"/>
          <w:color w:val="auto"/>
        </w:rPr>
        <w:t>Michael W. Allman</w:t>
      </w:r>
    </w:p>
    <w:p>
      <w:pPr>
        <w:spacing w:after="0" w:line="48" w:lineRule="exact"/>
        <w:rPr>
          <w:sz w:val="20"/>
          <w:szCs w:val="20"/>
          <w:color w:val="auto"/>
        </w:rPr>
      </w:pPr>
    </w:p>
    <w:p>
      <w:pPr>
        <w:ind w:left="968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420"/>
          </w:cols>
          <w:pgMar w:left="240" w:top="118"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22"/>
          <w:szCs w:val="22"/>
          <w:color w:val="auto"/>
        </w:rPr>
        <w:t>Exhibit 32.6</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 of Chief Financial Officer</w:t>
      </w:r>
    </w:p>
    <w:p>
      <w:pPr>
        <w:spacing w:after="0" w:line="233" w:lineRule="exact"/>
        <w:rPr>
          <w:sz w:val="20"/>
          <w:szCs w:val="20"/>
          <w:color w:val="auto"/>
        </w:rPr>
      </w:pPr>
    </w:p>
    <w:p>
      <w:pPr>
        <w:ind w:right="420"/>
        <w:spacing w:after="0" w:line="251" w:lineRule="auto"/>
        <w:rPr>
          <w:sz w:val="20"/>
          <w:szCs w:val="20"/>
          <w:color w:val="auto"/>
        </w:rPr>
      </w:pPr>
      <w:r>
        <w:rPr>
          <w:rFonts w:ascii="Arial" w:cs="Arial" w:eastAsia="Arial" w:hAnsi="Arial"/>
          <w:sz w:val="22"/>
          <w:szCs w:val="22"/>
          <w:color w:val="auto"/>
        </w:rPr>
        <w:t>Pursuant to 18 U.S.C. Sec 1350, as created by Section 906 of the Sarbanes-Oxley Act of 2002, the undersigned Chief Financial Officer of Pacific Enterprises (the "Company") certifies that:</w:t>
      </w:r>
    </w:p>
    <w:p>
      <w:pPr>
        <w:spacing w:after="0" w:line="227" w:lineRule="exact"/>
        <w:rPr>
          <w:sz w:val="20"/>
          <w:szCs w:val="20"/>
          <w:color w:val="auto"/>
        </w:rPr>
      </w:pPr>
    </w:p>
    <w:p>
      <w:pPr>
        <w:jc w:val="both"/>
        <w:ind w:left="1300" w:right="420" w:hanging="644"/>
        <w:spacing w:after="0" w:line="258" w:lineRule="auto"/>
        <w:tabs>
          <w:tab w:leader="none" w:pos="1300" w:val="left"/>
        </w:tabs>
        <w:numPr>
          <w:ilvl w:val="0"/>
          <w:numId w:val="88"/>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March 31, 2010 (the "Quarterly Report") fully complies with the requirements of Section 13(a) or Section 15(d), as applicable, of the Securities Exchange Act of 1934, as amended; and</w:t>
      </w:r>
    </w:p>
    <w:p>
      <w:pPr>
        <w:spacing w:after="0" w:line="220" w:lineRule="exact"/>
        <w:rPr>
          <w:rFonts w:ascii="Arial" w:cs="Arial" w:eastAsia="Arial" w:hAnsi="Arial"/>
          <w:sz w:val="21"/>
          <w:szCs w:val="21"/>
          <w:color w:val="auto"/>
        </w:rPr>
      </w:pPr>
    </w:p>
    <w:p>
      <w:pPr>
        <w:ind w:left="1300" w:right="60" w:hanging="644"/>
        <w:spacing w:after="0" w:line="251" w:lineRule="auto"/>
        <w:tabs>
          <w:tab w:leader="none" w:pos="1300" w:val="left"/>
        </w:tabs>
        <w:numPr>
          <w:ilvl w:val="0"/>
          <w:numId w:val="88"/>
        </w:numPr>
        <w:rPr>
          <w:rFonts w:ascii="Arial" w:cs="Arial" w:eastAsia="Arial" w:hAnsi="Arial"/>
          <w:sz w:val="22"/>
          <w:szCs w:val="22"/>
          <w:color w:val="auto"/>
        </w:rPr>
      </w:pPr>
      <w:r>
        <w:rPr>
          <w:rFonts w:ascii="Arial" w:cs="Arial" w:eastAsia="Arial" w:hAnsi="Arial"/>
          <w:sz w:val="22"/>
          <w:szCs w:val="22"/>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May 4, 2010</w:t>
      </w:r>
    </w:p>
    <w:p>
      <w:pPr>
        <w:spacing w:after="0" w:line="375" w:lineRule="exact"/>
        <w:rPr>
          <w:sz w:val="20"/>
          <w:szCs w:val="20"/>
          <w:color w:val="auto"/>
        </w:rPr>
      </w:pPr>
    </w:p>
    <w:p>
      <w:pPr>
        <w:ind w:left="9840"/>
        <w:spacing w:after="0"/>
        <w:rPr>
          <w:sz w:val="20"/>
          <w:szCs w:val="20"/>
          <w:color w:val="auto"/>
        </w:rPr>
      </w:pPr>
      <w:r>
        <w:rPr>
          <w:rFonts w:ascii="Arial" w:cs="Arial" w:eastAsia="Arial" w:hAnsi="Arial"/>
          <w:sz w:val="17"/>
          <w:szCs w:val="17"/>
          <w:color w:val="auto"/>
        </w:rPr>
        <w:t>/S/ 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5313680</wp:posOffset>
            </wp:positionH>
            <wp:positionV relativeFrom="paragraph">
              <wp:posOffset>30480</wp:posOffset>
            </wp:positionV>
            <wp:extent cx="19380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41" w:lineRule="exact"/>
        <w:rPr>
          <w:sz w:val="20"/>
          <w:szCs w:val="20"/>
          <w:color w:val="auto"/>
        </w:rPr>
      </w:pPr>
    </w:p>
    <w:p>
      <w:pPr>
        <w:ind w:left="10140"/>
        <w:spacing w:after="0"/>
        <w:rPr>
          <w:sz w:val="20"/>
          <w:szCs w:val="20"/>
          <w:color w:val="auto"/>
        </w:rPr>
      </w:pPr>
      <w:r>
        <w:rPr>
          <w:rFonts w:ascii="Arial" w:cs="Arial" w:eastAsia="Arial" w:hAnsi="Arial"/>
          <w:sz w:val="16"/>
          <w:szCs w:val="16"/>
          <w:color w:val="auto"/>
        </w:rPr>
        <w:t>Robert M. Schlax</w:t>
      </w:r>
    </w:p>
    <w:p>
      <w:pPr>
        <w:spacing w:after="0" w:line="59" w:lineRule="exact"/>
        <w:rPr>
          <w:sz w:val="20"/>
          <w:szCs w:val="20"/>
          <w:color w:val="auto"/>
        </w:rPr>
      </w:pPr>
    </w:p>
    <w:p>
      <w:pPr>
        <w:ind w:left="974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420"/>
          </w:cols>
          <w:pgMar w:left="240" w:top="118"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22"/>
          <w:szCs w:val="22"/>
          <w:color w:val="auto"/>
        </w:rPr>
        <w:t>Exhibit 32.7</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 of Chief Executive Officer</w:t>
      </w:r>
    </w:p>
    <w:p>
      <w:pPr>
        <w:spacing w:after="0" w:line="233" w:lineRule="exact"/>
        <w:rPr>
          <w:sz w:val="20"/>
          <w:szCs w:val="20"/>
          <w:color w:val="auto"/>
        </w:rPr>
      </w:pPr>
    </w:p>
    <w:p>
      <w:pPr>
        <w:ind w:right="360"/>
        <w:spacing w:after="0" w:line="251" w:lineRule="auto"/>
        <w:rPr>
          <w:sz w:val="20"/>
          <w:szCs w:val="20"/>
          <w:color w:val="auto"/>
        </w:rPr>
      </w:pPr>
      <w:r>
        <w:rPr>
          <w:rFonts w:ascii="Arial" w:cs="Arial" w:eastAsia="Arial" w:hAnsi="Arial"/>
          <w:sz w:val="22"/>
          <w:szCs w:val="22"/>
          <w:color w:val="auto"/>
        </w:rPr>
        <w:t>Pursuant to 18 U.S.C. Sec 1350, as created by Section 906 of the Sarbanes-Oxley Act of 2002, the undersigned Chief Executive Officer of Southern California Gas Company (the "Company") certifies that:</w:t>
      </w:r>
    </w:p>
    <w:p>
      <w:pPr>
        <w:spacing w:after="0" w:line="227" w:lineRule="exact"/>
        <w:rPr>
          <w:sz w:val="20"/>
          <w:szCs w:val="20"/>
          <w:color w:val="auto"/>
        </w:rPr>
      </w:pPr>
    </w:p>
    <w:p>
      <w:pPr>
        <w:jc w:val="both"/>
        <w:ind w:left="1300" w:right="420" w:hanging="644"/>
        <w:spacing w:after="0" w:line="258" w:lineRule="auto"/>
        <w:tabs>
          <w:tab w:leader="none" w:pos="1300" w:val="left"/>
        </w:tabs>
        <w:numPr>
          <w:ilvl w:val="0"/>
          <w:numId w:val="89"/>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March 31, 2010 (the "Quarterly Report") fully complies with the requirements of Section 13(a) or Section 15(d), as applicable, of the Securities Exchange Act of 1934, as amended; and</w:t>
      </w:r>
    </w:p>
    <w:p>
      <w:pPr>
        <w:spacing w:after="0" w:line="220" w:lineRule="exact"/>
        <w:rPr>
          <w:rFonts w:ascii="Arial" w:cs="Arial" w:eastAsia="Arial" w:hAnsi="Arial"/>
          <w:sz w:val="21"/>
          <w:szCs w:val="21"/>
          <w:color w:val="auto"/>
        </w:rPr>
      </w:pPr>
    </w:p>
    <w:p>
      <w:pPr>
        <w:ind w:left="1300" w:right="60" w:hanging="644"/>
        <w:spacing w:after="0" w:line="251" w:lineRule="auto"/>
        <w:tabs>
          <w:tab w:leader="none" w:pos="1300" w:val="left"/>
        </w:tabs>
        <w:numPr>
          <w:ilvl w:val="0"/>
          <w:numId w:val="89"/>
        </w:numPr>
        <w:rPr>
          <w:rFonts w:ascii="Arial" w:cs="Arial" w:eastAsia="Arial" w:hAnsi="Arial"/>
          <w:sz w:val="22"/>
          <w:szCs w:val="22"/>
          <w:color w:val="auto"/>
        </w:rPr>
      </w:pPr>
      <w:r>
        <w:rPr>
          <w:rFonts w:ascii="Arial" w:cs="Arial" w:eastAsia="Arial" w:hAnsi="Arial"/>
          <w:sz w:val="22"/>
          <w:szCs w:val="22"/>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May 4, 2010</w:t>
      </w:r>
    </w:p>
    <w:p>
      <w:pPr>
        <w:spacing w:after="0" w:line="375" w:lineRule="exact"/>
        <w:rPr>
          <w:sz w:val="20"/>
          <w:szCs w:val="20"/>
          <w:color w:val="auto"/>
        </w:rPr>
      </w:pPr>
    </w:p>
    <w:p>
      <w:pPr>
        <w:ind w:left="9700"/>
        <w:spacing w:after="0"/>
        <w:rPr>
          <w:sz w:val="20"/>
          <w:szCs w:val="20"/>
          <w:color w:val="auto"/>
        </w:rPr>
      </w:pPr>
      <w:r>
        <w:rPr>
          <w:rFonts w:ascii="Arial" w:cs="Arial" w:eastAsia="Arial" w:hAnsi="Arial"/>
          <w:sz w:val="17"/>
          <w:szCs w:val="17"/>
          <w:color w:val="auto"/>
        </w:rPr>
        <w:t>/S/ Michael W. Allman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30480</wp:posOffset>
            </wp:positionV>
            <wp:extent cx="229806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41" w:lineRule="exact"/>
        <w:rPr>
          <w:sz w:val="20"/>
          <w:szCs w:val="20"/>
          <w:color w:val="auto"/>
        </w:rPr>
      </w:pPr>
    </w:p>
    <w:p>
      <w:pPr>
        <w:ind w:left="9980"/>
        <w:spacing w:after="0"/>
        <w:rPr>
          <w:sz w:val="20"/>
          <w:szCs w:val="20"/>
          <w:color w:val="auto"/>
        </w:rPr>
      </w:pPr>
      <w:r>
        <w:rPr>
          <w:rFonts w:ascii="Arial" w:cs="Arial" w:eastAsia="Arial" w:hAnsi="Arial"/>
          <w:sz w:val="17"/>
          <w:szCs w:val="17"/>
          <w:color w:val="auto"/>
        </w:rPr>
        <w:t>Michael W. Allman</w:t>
      </w:r>
    </w:p>
    <w:p>
      <w:pPr>
        <w:spacing w:after="0" w:line="48" w:lineRule="exact"/>
        <w:rPr>
          <w:sz w:val="20"/>
          <w:szCs w:val="20"/>
          <w:color w:val="auto"/>
        </w:rPr>
      </w:pPr>
    </w:p>
    <w:p>
      <w:pPr>
        <w:ind w:left="968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420"/>
          </w:cols>
          <w:pgMar w:left="240" w:top="118"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22"/>
          <w:szCs w:val="22"/>
          <w:color w:val="auto"/>
        </w:rPr>
        <w:t>Exhibit 32.8</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 of Chief Financial Officer</w:t>
      </w:r>
    </w:p>
    <w:p>
      <w:pPr>
        <w:spacing w:after="0" w:line="233" w:lineRule="exact"/>
        <w:rPr>
          <w:sz w:val="20"/>
          <w:szCs w:val="20"/>
          <w:color w:val="auto"/>
        </w:rPr>
      </w:pPr>
    </w:p>
    <w:p>
      <w:pPr>
        <w:ind w:right="420"/>
        <w:spacing w:after="0" w:line="251" w:lineRule="auto"/>
        <w:rPr>
          <w:sz w:val="20"/>
          <w:szCs w:val="20"/>
          <w:color w:val="auto"/>
        </w:rPr>
      </w:pPr>
      <w:r>
        <w:rPr>
          <w:rFonts w:ascii="Arial" w:cs="Arial" w:eastAsia="Arial" w:hAnsi="Arial"/>
          <w:sz w:val="22"/>
          <w:szCs w:val="22"/>
          <w:color w:val="auto"/>
        </w:rPr>
        <w:t>Pursuant to 18 U.S.C. Sec 1350, as created by Section 906 of the Sarbanes-Oxley Act of 2002, the undersigned Chief Financial Officer of Southern California Gas Company (the "Company") certifies that:</w:t>
      </w:r>
    </w:p>
    <w:p>
      <w:pPr>
        <w:spacing w:after="0" w:line="227" w:lineRule="exact"/>
        <w:rPr>
          <w:sz w:val="20"/>
          <w:szCs w:val="20"/>
          <w:color w:val="auto"/>
        </w:rPr>
      </w:pPr>
    </w:p>
    <w:p>
      <w:pPr>
        <w:jc w:val="both"/>
        <w:ind w:left="1300" w:right="420" w:hanging="644"/>
        <w:spacing w:after="0" w:line="258" w:lineRule="auto"/>
        <w:tabs>
          <w:tab w:leader="none" w:pos="1300" w:val="left"/>
        </w:tabs>
        <w:numPr>
          <w:ilvl w:val="0"/>
          <w:numId w:val="90"/>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March 31, 2010 (the "Quarterly Report") fully complies with the requirements of Section 13(a) or Section 15(d), as applicable, of the Securities Exchange Act of 1934, as amended; and</w:t>
      </w:r>
    </w:p>
    <w:p>
      <w:pPr>
        <w:spacing w:after="0" w:line="220" w:lineRule="exact"/>
        <w:rPr>
          <w:rFonts w:ascii="Arial" w:cs="Arial" w:eastAsia="Arial" w:hAnsi="Arial"/>
          <w:sz w:val="21"/>
          <w:szCs w:val="21"/>
          <w:color w:val="auto"/>
        </w:rPr>
      </w:pPr>
    </w:p>
    <w:p>
      <w:pPr>
        <w:ind w:left="1300" w:right="60" w:hanging="644"/>
        <w:spacing w:after="0" w:line="251" w:lineRule="auto"/>
        <w:tabs>
          <w:tab w:leader="none" w:pos="1300" w:val="left"/>
        </w:tabs>
        <w:numPr>
          <w:ilvl w:val="0"/>
          <w:numId w:val="90"/>
        </w:numPr>
        <w:rPr>
          <w:rFonts w:ascii="Arial" w:cs="Arial" w:eastAsia="Arial" w:hAnsi="Arial"/>
          <w:sz w:val="22"/>
          <w:szCs w:val="22"/>
          <w:color w:val="auto"/>
        </w:rPr>
      </w:pPr>
      <w:r>
        <w:rPr>
          <w:rFonts w:ascii="Arial" w:cs="Arial" w:eastAsia="Arial" w:hAnsi="Arial"/>
          <w:sz w:val="22"/>
          <w:szCs w:val="22"/>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May 4, 2010</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9840"/>
        <w:spacing w:after="0"/>
        <w:rPr>
          <w:sz w:val="20"/>
          <w:szCs w:val="20"/>
          <w:color w:val="auto"/>
        </w:rPr>
      </w:pPr>
      <w:r>
        <w:rPr>
          <w:rFonts w:ascii="Arial" w:cs="Arial" w:eastAsia="Arial" w:hAnsi="Arial"/>
          <w:sz w:val="17"/>
          <w:szCs w:val="17"/>
          <w:color w:val="auto"/>
        </w:rPr>
        <w:t>/S/ 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30480</wp:posOffset>
            </wp:positionV>
            <wp:extent cx="229806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41" w:lineRule="exact"/>
        <w:rPr>
          <w:sz w:val="20"/>
          <w:szCs w:val="20"/>
          <w:color w:val="auto"/>
        </w:rPr>
      </w:pPr>
    </w:p>
    <w:p>
      <w:pPr>
        <w:ind w:left="10140"/>
        <w:spacing w:after="0"/>
        <w:rPr>
          <w:sz w:val="20"/>
          <w:szCs w:val="20"/>
          <w:color w:val="auto"/>
        </w:rPr>
      </w:pPr>
      <w:r>
        <w:rPr>
          <w:rFonts w:ascii="Arial" w:cs="Arial" w:eastAsia="Arial" w:hAnsi="Arial"/>
          <w:sz w:val="16"/>
          <w:szCs w:val="16"/>
          <w:color w:val="auto"/>
        </w:rPr>
        <w:t>Robert M. Schlax</w:t>
      </w:r>
    </w:p>
    <w:p>
      <w:pPr>
        <w:spacing w:after="0" w:line="59" w:lineRule="exact"/>
        <w:rPr>
          <w:sz w:val="20"/>
          <w:szCs w:val="20"/>
          <w:color w:val="auto"/>
        </w:rPr>
      </w:pPr>
    </w:p>
    <w:p>
      <w:pPr>
        <w:ind w:left="9740"/>
        <w:spacing w:after="0"/>
        <w:rPr>
          <w:sz w:val="20"/>
          <w:szCs w:val="20"/>
          <w:color w:val="auto"/>
        </w:rPr>
      </w:pPr>
      <w:r>
        <w:rPr>
          <w:rFonts w:ascii="Arial" w:cs="Arial" w:eastAsia="Arial" w:hAnsi="Arial"/>
          <w:sz w:val="17"/>
          <w:szCs w:val="17"/>
          <w:color w:val="auto"/>
        </w:rPr>
        <w:t>Chief Financial Officer</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A6D8D3C"/>
    <w:multiLevelType w:val="hybridMultilevel"/>
    <w:lvl w:ilvl="0">
      <w:lvlJc w:val="left"/>
      <w:lvlText w:val="[%1]"/>
      <w:numFmt w:val="upperLetter"/>
      <w:start w:val="24"/>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
      <w:numFmt w:val="bullet"/>
      <w:start w:val="1"/>
    </w:lvl>
  </w:abstractNum>
  <w:abstractNum w:abstractNumId="3">
    <w:nsid w:val="6DE91B18"/>
    <w:multiLevelType w:val="hybridMultilevel"/>
    <w:lvl w:ilvl="0">
      <w:lvlJc w:val="left"/>
      <w:lvlText w:val="§"/>
      <w:numFmt w:val="bullet"/>
      <w:start w:val="1"/>
    </w:lvl>
  </w:abstractNum>
  <w:abstractNum w:abstractNumId="4">
    <w:nsid w:val="38437FDB"/>
    <w:multiLevelType w:val="hybridMultilevel"/>
    <w:lvl w:ilvl="0">
      <w:lvlJc w:val="left"/>
      <w:lvlText w:val="§"/>
      <w:numFmt w:val="bullet"/>
      <w:start w:val="1"/>
    </w:lvl>
  </w:abstractNum>
  <w:abstractNum w:abstractNumId="5">
    <w:nsid w:val="7644A45C"/>
    <w:multiLevelType w:val="hybridMultilevel"/>
    <w:lvl w:ilvl="0">
      <w:lvlJc w:val="left"/>
      <w:lvlText w:val="§"/>
      <w:numFmt w:val="bullet"/>
      <w:start w:val="1"/>
    </w:lvl>
  </w:abstractNum>
  <w:abstractNum w:abstractNumId="6">
    <w:nsid w:val="32FFF902"/>
    <w:multiLevelType w:val="hybridMultilevel"/>
    <w:lvl w:ilvl="0">
      <w:lvlJc w:val="left"/>
      <w:lvlText w:val="§"/>
      <w:numFmt w:val="bullet"/>
      <w:start w:val="1"/>
    </w:lvl>
  </w:abstractNum>
  <w:abstractNum w:abstractNumId="7">
    <w:nsid w:val="684A481A"/>
    <w:multiLevelType w:val="hybridMultilevel"/>
    <w:lvl w:ilvl="0">
      <w:lvlJc w:val="left"/>
      <w:lvlText w:val="§"/>
      <w:numFmt w:val="bullet"/>
      <w:start w:val="1"/>
    </w:lvl>
  </w:abstractNum>
  <w:abstractNum w:abstractNumId="8">
    <w:nsid w:val="579478FE"/>
    <w:multiLevelType w:val="hybridMultilevel"/>
    <w:lvl w:ilvl="0">
      <w:lvlJc w:val="left"/>
      <w:lvlText w:val="§"/>
      <w:numFmt w:val="bullet"/>
      <w:start w:val="1"/>
    </w:lvl>
  </w:abstractNum>
  <w:abstractNum w:abstractNumId="9">
    <w:nsid w:val="749ABB43"/>
    <w:multiLevelType w:val="hybridMultilevel"/>
    <w:lvl w:ilvl="0">
      <w:lvlJc w:val="left"/>
      <w:lvlText w:val="§"/>
      <w:numFmt w:val="bullet"/>
      <w:start w:val="1"/>
    </w:lvl>
  </w:abstractNum>
  <w:abstractNum w:abstractNumId="10">
    <w:nsid w:val="3DC240FB"/>
    <w:multiLevelType w:val="hybridMultilevel"/>
    <w:lvl w:ilvl="0">
      <w:lvlJc w:val="left"/>
      <w:lvlText w:val="(%1)"/>
      <w:numFmt w:val="decimal"/>
      <w:start w:val="1"/>
    </w:lvl>
  </w:abstractNum>
  <w:abstractNum w:abstractNumId="11">
    <w:nsid w:val="1BA026FA"/>
    <w:multiLevelType w:val="hybridMultilevel"/>
    <w:lvl w:ilvl="0">
      <w:lvlJc w:val="left"/>
      <w:lvlText w:val="(%1)"/>
      <w:numFmt w:val="decimal"/>
      <w:start w:val="1"/>
    </w:lvl>
  </w:abstractNum>
  <w:abstractNum w:abstractNumId="12">
    <w:nsid w:val="79A1DEAA"/>
    <w:multiLevelType w:val="hybridMultilevel"/>
    <w:lvl w:ilvl="0">
      <w:lvlJc w:val="left"/>
      <w:lvlText w:val="(%1)"/>
      <w:numFmt w:val="decimal"/>
      <w:start w:val="1"/>
    </w:lvl>
  </w:abstractNum>
  <w:abstractNum w:abstractNumId="13">
    <w:nsid w:val="75C6C33A"/>
    <w:multiLevelType w:val="hybridMultilevel"/>
    <w:lvl w:ilvl="0">
      <w:lvlJc w:val="left"/>
      <w:lvlText w:val="(%1)"/>
      <w:numFmt w:val="decimal"/>
      <w:start w:val="1"/>
    </w:lvl>
  </w:abstractNum>
  <w:abstractNum w:abstractNumId="14">
    <w:nsid w:val="12E685FB"/>
    <w:multiLevelType w:val="hybridMultilevel"/>
    <w:lvl w:ilvl="0">
      <w:lvlJc w:val="left"/>
      <w:lvlText w:val="§"/>
      <w:numFmt w:val="bullet"/>
      <w:start w:val="1"/>
    </w:lvl>
  </w:abstractNum>
  <w:abstractNum w:abstractNumId="15">
    <w:nsid w:val="70C6A529"/>
    <w:multiLevelType w:val="hybridMultilevel"/>
    <w:lvl w:ilvl="0">
      <w:lvlJc w:val="left"/>
      <w:lvlText w:val="§"/>
      <w:numFmt w:val="bullet"/>
      <w:start w:val="1"/>
    </w:lvl>
  </w:abstractNum>
  <w:abstractNum w:abstractNumId="16">
    <w:nsid w:val="520EEDD1"/>
    <w:multiLevelType w:val="hybridMultilevel"/>
    <w:lvl w:ilvl="0">
      <w:lvlJc w:val="left"/>
      <w:lvlText w:val="§"/>
      <w:numFmt w:val="bullet"/>
      <w:start w:val="1"/>
    </w:lvl>
  </w:abstractNum>
  <w:abstractNum w:abstractNumId="17">
    <w:nsid w:val="374A3FE6"/>
    <w:multiLevelType w:val="hybridMultilevel"/>
    <w:lvl w:ilvl="0">
      <w:lvlJc w:val="left"/>
      <w:lvlText w:val="§"/>
      <w:numFmt w:val="bullet"/>
      <w:start w:val="1"/>
    </w:lvl>
  </w:abstractNum>
  <w:abstractNum w:abstractNumId="18">
    <w:nsid w:val="4F4EF005"/>
    <w:multiLevelType w:val="hybridMultilevel"/>
    <w:lvl w:ilvl="0">
      <w:lvlJc w:val="left"/>
      <w:lvlText w:val="(%1)"/>
      <w:numFmt w:val="decimal"/>
      <w:start w:val="1"/>
    </w:lvl>
  </w:abstractNum>
  <w:abstractNum w:abstractNumId="19">
    <w:nsid w:val="23F9C13C"/>
    <w:multiLevelType w:val="hybridMultilevel"/>
    <w:lvl w:ilvl="0">
      <w:lvlJc w:val="left"/>
      <w:lvlText w:val="(%1)"/>
      <w:numFmt w:val="decimal"/>
      <w:start w:val="1"/>
    </w:lvl>
  </w:abstractNum>
  <w:abstractNum w:abstractNumId="20">
    <w:nsid w:val="649BB77C"/>
    <w:multiLevelType w:val="hybridMultilevel"/>
    <w:lvl w:ilvl="0">
      <w:lvlJc w:val="left"/>
      <w:lvlText w:val="(%1)"/>
      <w:numFmt w:val="decimal"/>
      <w:start w:val="1"/>
    </w:lvl>
  </w:abstractNum>
  <w:abstractNum w:abstractNumId="21">
    <w:nsid w:val="275AC794"/>
    <w:multiLevelType w:val="hybridMultilevel"/>
    <w:lvl w:ilvl="0">
      <w:lvlJc w:val="left"/>
      <w:lvlText w:val="§"/>
      <w:numFmt w:val="bullet"/>
      <w:start w:val="1"/>
    </w:lvl>
  </w:abstractNum>
  <w:abstractNum w:abstractNumId="22">
    <w:nsid w:val="39386575"/>
    <w:multiLevelType w:val="hybridMultilevel"/>
    <w:lvl w:ilvl="0">
      <w:lvlJc w:val="left"/>
      <w:lvlText w:val="§"/>
      <w:numFmt w:val="bullet"/>
      <w:start w:val="1"/>
    </w:lvl>
  </w:abstractNum>
  <w:abstractNum w:abstractNumId="23">
    <w:nsid w:val="1CF10FD8"/>
    <w:multiLevelType w:val="hybridMultilevel"/>
    <w:lvl w:ilvl="0">
      <w:lvlJc w:val="left"/>
      <w:lvlText w:val="§"/>
      <w:numFmt w:val="bullet"/>
      <w:start w:val="1"/>
    </w:lvl>
  </w:abstractNum>
  <w:abstractNum w:abstractNumId="24">
    <w:nsid w:val="180115BE"/>
    <w:multiLevelType w:val="hybridMultilevel"/>
    <w:lvl w:ilvl="0">
      <w:lvlJc w:val="left"/>
      <w:lvlText w:val="%1."/>
      <w:numFmt w:val="decimal"/>
      <w:start w:val="1"/>
    </w:lvl>
  </w:abstractNum>
  <w:abstractNum w:abstractNumId="25">
    <w:nsid w:val="235BA861"/>
    <w:multiLevelType w:val="hybridMultilevel"/>
    <w:lvl w:ilvl="0">
      <w:lvlJc w:val="left"/>
      <w:lvlText w:val="%1."/>
      <w:numFmt w:val="decimal"/>
      <w:start w:val="4"/>
    </w:lvl>
  </w:abstractNum>
  <w:abstractNum w:abstractNumId="26">
    <w:nsid w:val="47398C89"/>
    <w:multiLevelType w:val="hybridMultilevel"/>
    <w:lvl w:ilvl="0">
      <w:lvlJc w:val="left"/>
      <w:lvlText w:val="§"/>
      <w:numFmt w:val="bullet"/>
      <w:start w:val="1"/>
    </w:lvl>
  </w:abstractNum>
  <w:abstractNum w:abstractNumId="27">
    <w:nsid w:val="354FE9F9"/>
    <w:multiLevelType w:val="hybridMultilevel"/>
    <w:lvl w:ilvl="0">
      <w:lvlJc w:val="left"/>
      <w:lvlText w:val="§"/>
      <w:numFmt w:val="bullet"/>
      <w:start w:val="1"/>
    </w:lvl>
  </w:abstractNum>
  <w:abstractNum w:abstractNumId="28">
    <w:nsid w:val="15B5AF5C"/>
    <w:multiLevelType w:val="hybridMultilevel"/>
    <w:lvl w:ilvl="0">
      <w:lvlJc w:val="left"/>
      <w:lvlText w:val="§"/>
      <w:numFmt w:val="bullet"/>
      <w:start w:val="1"/>
    </w:lvl>
  </w:abstractNum>
  <w:abstractNum w:abstractNumId="29">
    <w:nsid w:val="741226BB"/>
    <w:multiLevelType w:val="hybridMultilevel"/>
    <w:lvl w:ilvl="0">
      <w:lvlJc w:val="left"/>
      <w:lvlText w:val="(%1)"/>
      <w:numFmt w:val="decimal"/>
      <w:start w:val="1"/>
    </w:lvl>
  </w:abstractNum>
  <w:abstractNum w:abstractNumId="30">
    <w:nsid w:val="D34B6A8"/>
    <w:multiLevelType w:val="hybridMultilevel"/>
    <w:lvl w:ilvl="0">
      <w:lvlJc w:val="left"/>
      <w:lvlText w:val="§"/>
      <w:numFmt w:val="bullet"/>
      <w:start w:val="1"/>
    </w:lvl>
  </w:abstractNum>
  <w:abstractNum w:abstractNumId="31">
    <w:nsid w:val="10233C99"/>
    <w:multiLevelType w:val="hybridMultilevel"/>
    <w:lvl w:ilvl="0">
      <w:lvlJc w:val="left"/>
      <w:lvlText w:val="§"/>
      <w:numFmt w:val="bullet"/>
      <w:start w:val="1"/>
    </w:lvl>
  </w:abstractNum>
  <w:abstractNum w:abstractNumId="32">
    <w:nsid w:val="3F6AB60F"/>
    <w:multiLevelType w:val="hybridMultilevel"/>
    <w:lvl w:ilvl="0">
      <w:lvlJc w:val="left"/>
      <w:lvlText w:val="§"/>
      <w:numFmt w:val="bullet"/>
      <w:start w:val="1"/>
    </w:lvl>
  </w:abstractNum>
  <w:abstractNum w:abstractNumId="33">
    <w:nsid w:val="61574095"/>
    <w:multiLevelType w:val="hybridMultilevel"/>
    <w:lvl w:ilvl="0">
      <w:lvlJc w:val="left"/>
      <w:lvlText w:val="§"/>
      <w:numFmt w:val="bullet"/>
      <w:start w:val="1"/>
    </w:lvl>
  </w:abstractNum>
  <w:abstractNum w:abstractNumId="34">
    <w:nsid w:val="7E0C57B1"/>
    <w:multiLevelType w:val="hybridMultilevel"/>
    <w:lvl w:ilvl="0">
      <w:lvlJc w:val="left"/>
      <w:lvlText w:val="§"/>
      <w:numFmt w:val="bullet"/>
      <w:start w:val="1"/>
    </w:lvl>
  </w:abstractNum>
  <w:abstractNum w:abstractNumId="35">
    <w:nsid w:val="77AE35EB"/>
    <w:multiLevelType w:val="hybridMultilevel"/>
    <w:lvl w:ilvl="0">
      <w:lvlJc w:val="left"/>
      <w:lvlText w:val="§"/>
      <w:numFmt w:val="bullet"/>
      <w:start w:val="1"/>
    </w:lvl>
  </w:abstractNum>
  <w:abstractNum w:abstractNumId="36">
    <w:nsid w:val="579BE4F1"/>
    <w:multiLevelType w:val="hybridMultilevel"/>
    <w:lvl w:ilvl="0">
      <w:lvlJc w:val="left"/>
      <w:lvlText w:val="§"/>
      <w:numFmt w:val="bullet"/>
      <w:start w:val="1"/>
    </w:lvl>
  </w:abstractNum>
  <w:abstractNum w:abstractNumId="37">
    <w:nsid w:val="310C50B3"/>
    <w:multiLevelType w:val="hybridMultilevel"/>
    <w:lvl w:ilvl="0">
      <w:lvlJc w:val="left"/>
      <w:lvlText w:val="§"/>
      <w:numFmt w:val="bullet"/>
      <w:start w:val="1"/>
    </w:lvl>
  </w:abstractNum>
  <w:abstractNum w:abstractNumId="38">
    <w:nsid w:val="5FF87E05"/>
    <w:multiLevelType w:val="hybridMultilevel"/>
    <w:lvl w:ilvl="0">
      <w:lvlJc w:val="left"/>
      <w:lvlText w:val="§"/>
      <w:numFmt w:val="bullet"/>
      <w:start w:val="1"/>
    </w:lvl>
  </w:abstractNum>
  <w:abstractNum w:abstractNumId="39">
    <w:nsid w:val="2F305DEF"/>
    <w:multiLevelType w:val="hybridMultilevel"/>
    <w:lvl w:ilvl="0">
      <w:lvlJc w:val="left"/>
      <w:lvlText w:val="§"/>
      <w:numFmt w:val="bullet"/>
      <w:start w:val="1"/>
    </w:lvl>
  </w:abstractNum>
  <w:abstractNum w:abstractNumId="40">
    <w:nsid w:val="25A70BF7"/>
    <w:multiLevelType w:val="hybridMultilevel"/>
    <w:lvl w:ilvl="0">
      <w:lvlJc w:val="left"/>
      <w:lvlText w:val="§"/>
      <w:numFmt w:val="bullet"/>
      <w:start w:val="1"/>
    </w:lvl>
  </w:abstractNum>
  <w:abstractNum w:abstractNumId="41">
    <w:nsid w:val="1DBABF00"/>
    <w:multiLevelType w:val="hybridMultilevel"/>
    <w:lvl w:ilvl="0">
      <w:lvlJc w:val="left"/>
      <w:lvlText w:val="§"/>
      <w:numFmt w:val="bullet"/>
      <w:start w:val="1"/>
    </w:lvl>
  </w:abstractNum>
  <w:abstractNum w:abstractNumId="42">
    <w:nsid w:val="4AD084E9"/>
    <w:multiLevelType w:val="hybridMultilevel"/>
    <w:lvl w:ilvl="0">
      <w:lvlJc w:val="left"/>
      <w:lvlText w:val="§"/>
      <w:numFmt w:val="bullet"/>
      <w:start w:val="1"/>
    </w:lvl>
  </w:abstractNum>
  <w:abstractNum w:abstractNumId="43">
    <w:nsid w:val="1F48EAA1"/>
    <w:multiLevelType w:val="hybridMultilevel"/>
    <w:lvl w:ilvl="0">
      <w:lvlJc w:val="left"/>
      <w:lvlText w:val="§"/>
      <w:numFmt w:val="bullet"/>
      <w:start w:val="1"/>
    </w:lvl>
  </w:abstractNum>
  <w:abstractNum w:abstractNumId="44">
    <w:nsid w:val="1381823A"/>
    <w:multiLevelType w:val="hybridMultilevel"/>
    <w:lvl w:ilvl="0">
      <w:lvlJc w:val="left"/>
      <w:lvlText w:val="§"/>
      <w:numFmt w:val="bullet"/>
      <w:start w:val="1"/>
    </w:lvl>
  </w:abstractNum>
  <w:abstractNum w:abstractNumId="45">
    <w:nsid w:val="5DB70AE5"/>
    <w:multiLevelType w:val="hybridMultilevel"/>
    <w:lvl w:ilvl="0">
      <w:lvlJc w:val="left"/>
      <w:lvlText w:val="§"/>
      <w:numFmt w:val="bullet"/>
      <w:start w:val="1"/>
    </w:lvl>
  </w:abstractNum>
  <w:abstractNum w:abstractNumId="46">
    <w:nsid w:val="100F8FCA"/>
    <w:multiLevelType w:val="hybridMultilevel"/>
    <w:lvl w:ilvl="0">
      <w:lvlJc w:val="left"/>
      <w:lvlText w:val="§"/>
      <w:numFmt w:val="bullet"/>
      <w:start w:val="1"/>
    </w:lvl>
  </w:abstractNum>
  <w:abstractNum w:abstractNumId="47">
    <w:nsid w:val="6590700B"/>
    <w:multiLevelType w:val="hybridMultilevel"/>
    <w:lvl w:ilvl="0">
      <w:lvlJc w:val="left"/>
      <w:lvlText w:val="§"/>
      <w:numFmt w:val="bullet"/>
      <w:start w:val="1"/>
    </w:lvl>
  </w:abstractNum>
  <w:abstractNum w:abstractNumId="48">
    <w:nsid w:val="15014ACB"/>
    <w:multiLevelType w:val="hybridMultilevel"/>
    <w:lvl w:ilvl="0">
      <w:lvlJc w:val="left"/>
      <w:lvlText w:val="(%1)"/>
      <w:numFmt w:val="decimal"/>
      <w:start w:val="1"/>
    </w:lvl>
  </w:abstractNum>
  <w:abstractNum w:abstractNumId="49">
    <w:nsid w:val="5F5E7FD0"/>
    <w:multiLevelType w:val="hybridMultilevel"/>
    <w:lvl w:ilvl="0">
      <w:lvlJc w:val="left"/>
      <w:lvlText w:val="§"/>
      <w:numFmt w:val="bullet"/>
      <w:start w:val="1"/>
    </w:lvl>
  </w:abstractNum>
  <w:abstractNum w:abstractNumId="50">
    <w:nsid w:val="98A3148"/>
    <w:multiLevelType w:val="hybridMultilevel"/>
    <w:lvl w:ilvl="0">
      <w:lvlJc w:val="left"/>
      <w:lvlText w:val="§"/>
      <w:numFmt w:val="bullet"/>
      <w:start w:val="1"/>
    </w:lvl>
  </w:abstractNum>
  <w:abstractNum w:abstractNumId="51">
    <w:nsid w:val="799D0247"/>
    <w:multiLevelType w:val="hybridMultilevel"/>
    <w:lvl w:ilvl="0">
      <w:lvlJc w:val="left"/>
      <w:lvlText w:val="§"/>
      <w:numFmt w:val="bullet"/>
      <w:start w:val="1"/>
    </w:lvl>
  </w:abstractNum>
  <w:abstractNum w:abstractNumId="52">
    <w:nsid w:val="6B94764"/>
    <w:multiLevelType w:val="hybridMultilevel"/>
    <w:lvl w:ilvl="0">
      <w:lvlJc w:val="left"/>
      <w:lvlText w:val="§"/>
      <w:numFmt w:val="bullet"/>
      <w:start w:val="1"/>
    </w:lvl>
  </w:abstractNum>
  <w:abstractNum w:abstractNumId="53">
    <w:nsid w:val="42C296BD"/>
    <w:multiLevelType w:val="hybridMultilevel"/>
    <w:lvl w:ilvl="0">
      <w:lvlJc w:val="left"/>
      <w:lvlText w:val="§"/>
      <w:numFmt w:val="bullet"/>
      <w:start w:val="1"/>
    </w:lvl>
  </w:abstractNum>
  <w:abstractNum w:abstractNumId="54">
    <w:nsid w:val="168E121F"/>
    <w:multiLevelType w:val="hybridMultilevel"/>
    <w:lvl w:ilvl="0">
      <w:lvlJc w:val="left"/>
      <w:lvlText w:val="§"/>
      <w:numFmt w:val="bullet"/>
      <w:start w:val="1"/>
    </w:lvl>
  </w:abstractNum>
  <w:abstractNum w:abstractNumId="55">
    <w:nsid w:val="1EBA5D23"/>
    <w:multiLevelType w:val="hybridMultilevel"/>
    <w:lvl w:ilvl="0">
      <w:lvlJc w:val="left"/>
      <w:lvlText w:val="§"/>
      <w:numFmt w:val="bullet"/>
      <w:start w:val="1"/>
    </w:lvl>
  </w:abstractNum>
  <w:abstractNum w:abstractNumId="56">
    <w:nsid w:val="661E3F1E"/>
    <w:multiLevelType w:val="hybridMultilevel"/>
    <w:lvl w:ilvl="0">
      <w:lvlJc w:val="left"/>
      <w:lvlText w:val="§"/>
      <w:numFmt w:val="bullet"/>
      <w:start w:val="1"/>
    </w:lvl>
  </w:abstractNum>
  <w:abstractNum w:abstractNumId="57">
    <w:nsid w:val="5DC79EA8"/>
    <w:multiLevelType w:val="hybridMultilevel"/>
    <w:lvl w:ilvl="0">
      <w:lvlJc w:val="left"/>
      <w:lvlText w:val="§"/>
      <w:numFmt w:val="bullet"/>
      <w:start w:val="1"/>
    </w:lvl>
  </w:abstractNum>
  <w:abstractNum w:abstractNumId="58">
    <w:nsid w:val="540A471C"/>
    <w:multiLevelType w:val="hybridMultilevel"/>
    <w:lvl w:ilvl="0">
      <w:lvlJc w:val="left"/>
      <w:lvlText w:val="§"/>
      <w:numFmt w:val="bullet"/>
      <w:start w:val="1"/>
    </w:lvl>
  </w:abstractNum>
  <w:abstractNum w:abstractNumId="59">
    <w:nsid w:val="7BD3EE7B"/>
    <w:multiLevelType w:val="hybridMultilevel"/>
    <w:lvl w:ilvl="0">
      <w:lvlJc w:val="left"/>
      <w:lvlText w:val="§"/>
      <w:numFmt w:val="bullet"/>
      <w:start w:val="1"/>
    </w:lvl>
  </w:abstractNum>
  <w:abstractNum w:abstractNumId="60">
    <w:nsid w:val="51D9C564"/>
    <w:multiLevelType w:val="hybridMultilevel"/>
    <w:lvl w:ilvl="0">
      <w:lvlJc w:val="left"/>
      <w:lvlText w:val="§"/>
      <w:numFmt w:val="bullet"/>
      <w:start w:val="1"/>
    </w:lvl>
  </w:abstractNum>
  <w:abstractNum w:abstractNumId="61">
    <w:nsid w:val="613EFDC5"/>
    <w:multiLevelType w:val="hybridMultilevel"/>
    <w:lvl w:ilvl="0">
      <w:lvlJc w:val="left"/>
      <w:lvlText w:val="§"/>
      <w:numFmt w:val="bullet"/>
      <w:start w:val="1"/>
    </w:lvl>
  </w:abstractNum>
  <w:abstractNum w:abstractNumId="62">
    <w:nsid w:val="BF72B14"/>
    <w:multiLevelType w:val="hybridMultilevel"/>
    <w:lvl w:ilvl="0">
      <w:lvlJc w:val="left"/>
      <w:lvlText w:val="§"/>
      <w:numFmt w:val="bullet"/>
      <w:start w:val="1"/>
    </w:lvl>
  </w:abstractNum>
  <w:abstractNum w:abstractNumId="63">
    <w:nsid w:val="11447B73"/>
    <w:multiLevelType w:val="hybridMultilevel"/>
    <w:lvl w:ilvl="0">
      <w:lvlJc w:val="left"/>
      <w:lvlText w:val="o"/>
      <w:numFmt w:val="bullet"/>
      <w:start w:val="1"/>
    </w:lvl>
  </w:abstractNum>
  <w:abstractNum w:abstractNumId="64">
    <w:nsid w:val="42963E5A"/>
    <w:multiLevelType w:val="hybridMultilevel"/>
    <w:lvl w:ilvl="0">
      <w:lvlJc w:val="left"/>
      <w:lvlText w:val="·"/>
      <w:numFmt w:val="bullet"/>
      <w:start w:val="1"/>
    </w:lvl>
  </w:abstractNum>
  <w:abstractNum w:abstractNumId="65">
    <w:nsid w:val="A0382C5"/>
    <w:multiLevelType w:val="hybridMultilevel"/>
    <w:lvl w:ilvl="0">
      <w:lvlJc w:val="left"/>
      <w:lvlText w:val="§"/>
      <w:numFmt w:val="bullet"/>
      <w:start w:val="1"/>
    </w:lvl>
  </w:abstractNum>
  <w:abstractNum w:abstractNumId="66">
    <w:nsid w:val="8F2B15E"/>
    <w:multiLevelType w:val="hybridMultilevel"/>
    <w:lvl w:ilvl="0">
      <w:lvlJc w:val="left"/>
      <w:lvlText w:val="§"/>
      <w:numFmt w:val="bullet"/>
      <w:start w:val="1"/>
    </w:lvl>
  </w:abstractNum>
  <w:abstractNum w:abstractNumId="67">
    <w:nsid w:val="1A32234B"/>
    <w:multiLevelType w:val="hybridMultilevel"/>
    <w:lvl w:ilvl="0">
      <w:lvlJc w:val="left"/>
      <w:lvlText w:val="§"/>
      <w:numFmt w:val="bullet"/>
      <w:start w:val="1"/>
    </w:lvl>
  </w:abstractNum>
  <w:abstractNum w:abstractNumId="68">
    <w:nsid w:val="3B0FD379"/>
    <w:multiLevelType w:val="hybridMultilevel"/>
    <w:lvl w:ilvl="0">
      <w:lvlJc w:val="left"/>
      <w:lvlText w:val="§"/>
      <w:numFmt w:val="bullet"/>
      <w:start w:val="1"/>
    </w:lvl>
  </w:abstractNum>
  <w:abstractNum w:abstractNumId="69">
    <w:nsid w:val="68EB2F63"/>
    <w:multiLevelType w:val="hybridMultilevel"/>
    <w:lvl w:ilvl="0">
      <w:lvlJc w:val="left"/>
      <w:lvlText w:val="(%1)"/>
      <w:numFmt w:val="lowerLetter"/>
      <w:start w:val="1"/>
    </w:lvl>
  </w:abstractNum>
  <w:abstractNum w:abstractNumId="70">
    <w:nsid w:val="4962813B"/>
    <w:multiLevelType w:val="hybridMultilevel"/>
    <w:lvl w:ilvl="0">
      <w:lvlJc w:val="left"/>
      <w:lvlText w:val="(%1)"/>
      <w:numFmt w:val="decimal"/>
      <w:start w:val="1"/>
    </w:lvl>
  </w:abstractNum>
  <w:abstractNum w:abstractNumId="71">
    <w:nsid w:val="60B6DF70"/>
    <w:multiLevelType w:val="hybridMultilevel"/>
    <w:lvl w:ilvl="0">
      <w:lvlJc w:val="left"/>
      <w:lvlText w:val="(%1)"/>
      <w:numFmt w:val="decimal"/>
      <w:start w:val="1"/>
    </w:lvl>
  </w:abstractNum>
  <w:abstractNum w:abstractNumId="72">
    <w:nsid w:val="6A5EE64"/>
    <w:multiLevelType w:val="hybridMultilevel"/>
    <w:lvl w:ilvl="0">
      <w:lvlJc w:val="left"/>
      <w:lvlText w:val="(%1)"/>
      <w:numFmt w:val="decimal"/>
      <w:start w:val="1"/>
    </w:lvl>
  </w:abstractNum>
  <w:abstractNum w:abstractNumId="73">
    <w:nsid w:val="14330624"/>
    <w:multiLevelType w:val="hybridMultilevel"/>
    <w:lvl w:ilvl="0">
      <w:lvlJc w:val="left"/>
      <w:lvlText w:val="(%1)"/>
      <w:numFmt w:val="decimal"/>
      <w:start w:val="1"/>
    </w:lvl>
  </w:abstractNum>
  <w:abstractNum w:abstractNumId="74">
    <w:nsid w:val="7FFFCA11"/>
    <w:multiLevelType w:val="hybridMultilevel"/>
    <w:lvl w:ilvl="0">
      <w:lvlJc w:val="left"/>
      <w:lvlText w:val="%1."/>
      <w:numFmt w:val="decimal"/>
      <w:start w:val="1"/>
    </w:lvl>
    <w:lvl w:ilvl="1">
      <w:lvlJc w:val="left"/>
      <w:lvlText w:val="%2)"/>
      <w:numFmt w:val="lowerLetter"/>
      <w:start w:val="1"/>
    </w:lvl>
  </w:abstractNum>
  <w:abstractNum w:abstractNumId="75">
    <w:nsid w:val="1A27709E"/>
    <w:multiLevelType w:val="hybridMultilevel"/>
    <w:lvl w:ilvl="0">
      <w:lvlJc w:val="left"/>
      <w:lvlText w:val="%1."/>
      <w:numFmt w:val="decimal"/>
      <w:start w:val="1"/>
    </w:lvl>
    <w:lvl w:ilvl="1">
      <w:lvlJc w:val="left"/>
      <w:lvlText w:val="%2)"/>
      <w:numFmt w:val="lowerLetter"/>
      <w:start w:val="1"/>
    </w:lvl>
  </w:abstractNum>
  <w:abstractNum w:abstractNumId="76">
    <w:nsid w:val="71EA1109"/>
    <w:multiLevelType w:val="hybridMultilevel"/>
    <w:lvl w:ilvl="0">
      <w:lvlJc w:val="left"/>
      <w:lvlText w:val="%1."/>
      <w:numFmt w:val="decimal"/>
      <w:start w:val="1"/>
    </w:lvl>
    <w:lvl w:ilvl="1">
      <w:lvlJc w:val="left"/>
      <w:lvlText w:val="%2)"/>
      <w:numFmt w:val="lowerLetter"/>
      <w:start w:val="1"/>
    </w:lvl>
  </w:abstractNum>
  <w:abstractNum w:abstractNumId="77">
    <w:nsid w:val="100F59DC"/>
    <w:multiLevelType w:val="hybridMultilevel"/>
    <w:lvl w:ilvl="0">
      <w:lvlJc w:val="left"/>
      <w:lvlText w:val="%1."/>
      <w:numFmt w:val="decimal"/>
      <w:start w:val="1"/>
    </w:lvl>
    <w:lvl w:ilvl="1">
      <w:lvlJc w:val="left"/>
      <w:lvlText w:val="%2)"/>
      <w:numFmt w:val="lowerLetter"/>
      <w:start w:val="1"/>
    </w:lvl>
  </w:abstractNum>
  <w:abstractNum w:abstractNumId="78">
    <w:nsid w:val="7FB7E0AA"/>
    <w:multiLevelType w:val="hybridMultilevel"/>
    <w:lvl w:ilvl="0">
      <w:lvlJc w:val="left"/>
      <w:lvlText w:val="%1."/>
      <w:numFmt w:val="decimal"/>
      <w:start w:val="1"/>
    </w:lvl>
    <w:lvl w:ilvl="1">
      <w:lvlJc w:val="left"/>
      <w:lvlText w:val="%2)"/>
      <w:numFmt w:val="lowerLetter"/>
      <w:start w:val="1"/>
    </w:lvl>
  </w:abstractNum>
  <w:abstractNum w:abstractNumId="79">
    <w:nsid w:val="6EB5BD4"/>
    <w:multiLevelType w:val="hybridMultilevel"/>
    <w:lvl w:ilvl="0">
      <w:lvlJc w:val="left"/>
      <w:lvlText w:val="%1."/>
      <w:numFmt w:val="decimal"/>
      <w:start w:val="1"/>
    </w:lvl>
    <w:lvl w:ilvl="1">
      <w:lvlJc w:val="left"/>
      <w:lvlText w:val="%2)"/>
      <w:numFmt w:val="lowerLetter"/>
      <w:start w:val="1"/>
    </w:lvl>
  </w:abstractNum>
  <w:abstractNum w:abstractNumId="80">
    <w:nsid w:val="6F6DD9AC"/>
    <w:multiLevelType w:val="hybridMultilevel"/>
    <w:lvl w:ilvl="0">
      <w:lvlJc w:val="left"/>
      <w:lvlText w:val="%1."/>
      <w:numFmt w:val="decimal"/>
      <w:start w:val="1"/>
    </w:lvl>
    <w:lvl w:ilvl="1">
      <w:lvlJc w:val="left"/>
      <w:lvlText w:val="%2)"/>
      <w:numFmt w:val="lowerLetter"/>
      <w:start w:val="1"/>
    </w:lvl>
  </w:abstractNum>
  <w:abstractNum w:abstractNumId="81">
    <w:nsid w:val="94211F2"/>
    <w:multiLevelType w:val="hybridMultilevel"/>
    <w:lvl w:ilvl="0">
      <w:lvlJc w:val="left"/>
      <w:lvlText w:val="%1."/>
      <w:numFmt w:val="decimal"/>
      <w:start w:val="1"/>
    </w:lvl>
    <w:lvl w:ilvl="1">
      <w:lvlJc w:val="left"/>
      <w:lvlText w:val="%2)"/>
      <w:numFmt w:val="lowerLetter"/>
      <w:start w:val="1"/>
    </w:lvl>
  </w:abstractNum>
  <w:abstractNum w:abstractNumId="82">
    <w:nsid w:val="885E1B"/>
    <w:multiLevelType w:val="hybridMultilevel"/>
    <w:lvl w:ilvl="0">
      <w:lvlJc w:val="left"/>
      <w:lvlText w:val="(%1)"/>
      <w:numFmt w:val="lowerRoman"/>
      <w:start w:val="1"/>
    </w:lvl>
  </w:abstractNum>
  <w:abstractNum w:abstractNumId="83">
    <w:nsid w:val="76272110"/>
    <w:multiLevelType w:val="hybridMultilevel"/>
    <w:lvl w:ilvl="0">
      <w:lvlJc w:val="left"/>
      <w:lvlText w:val="(%1)"/>
      <w:numFmt w:val="lowerRoman"/>
      <w:start w:val="1"/>
    </w:lvl>
  </w:abstractNum>
  <w:abstractNum w:abstractNumId="84">
    <w:nsid w:val="4C04A8AF"/>
    <w:multiLevelType w:val="hybridMultilevel"/>
    <w:lvl w:ilvl="0">
      <w:lvlJc w:val="left"/>
      <w:lvlText w:val="(%1)"/>
      <w:numFmt w:val="lowerRoman"/>
      <w:start w:val="1"/>
    </w:lvl>
  </w:abstractNum>
  <w:abstractNum w:abstractNumId="85">
    <w:nsid w:val="1716703B"/>
    <w:multiLevelType w:val="hybridMultilevel"/>
    <w:lvl w:ilvl="0">
      <w:lvlJc w:val="left"/>
      <w:lvlText w:val="(%1)"/>
      <w:numFmt w:val="lowerRoman"/>
      <w:start w:val="1"/>
    </w:lvl>
  </w:abstractNum>
  <w:abstractNum w:abstractNumId="86">
    <w:nsid w:val="14E17E33"/>
    <w:multiLevelType w:val="hybridMultilevel"/>
    <w:lvl w:ilvl="0">
      <w:lvlJc w:val="left"/>
      <w:lvlText w:val="(%1)"/>
      <w:numFmt w:val="lowerRoman"/>
      <w:start w:val="1"/>
    </w:lvl>
  </w:abstractNum>
  <w:abstractNum w:abstractNumId="87">
    <w:nsid w:val="3222E7CD"/>
    <w:multiLevelType w:val="hybridMultilevel"/>
    <w:lvl w:ilvl="0">
      <w:lvlJc w:val="left"/>
      <w:lvlText w:val="(%1)"/>
      <w:numFmt w:val="lowerRoman"/>
      <w:start w:val="1"/>
    </w:lvl>
  </w:abstractNum>
  <w:abstractNum w:abstractNumId="88">
    <w:nsid w:val="74DE0EE3"/>
    <w:multiLevelType w:val="hybridMultilevel"/>
    <w:lvl w:ilvl="0">
      <w:lvlJc w:val="left"/>
      <w:lvlText w:val="(%1)"/>
      <w:numFmt w:val="lowerRoman"/>
      <w:start w:val="1"/>
    </w:lvl>
  </w:abstractNum>
  <w:abstractNum w:abstractNumId="89">
    <w:nsid w:val="68EBC550"/>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2019-12-10T02:43:59Z</dcterms:created>
  <dcterms:modified xsi:type="dcterms:W3CDTF">2019-12-10T02:43:59Z</dcterms:modified>
</cp:coreProperties>
</file>