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color w:val="auto"/>
        </w:rPr>
        <w:t>UNITED STATES</w:t>
      </w:r>
    </w:p>
    <w:p>
      <w:pPr>
        <w:jc w:val="center"/>
        <w:ind w:right="-39"/>
        <w:spacing w:after="0"/>
        <w:rPr>
          <w:sz w:val="20"/>
          <w:szCs w:val="20"/>
          <w:color w:val="auto"/>
        </w:rPr>
      </w:pPr>
      <w:r>
        <w:rPr>
          <w:rFonts w:ascii="Arial" w:cs="Arial" w:eastAsia="Arial" w:hAnsi="Arial"/>
          <w:sz w:val="16"/>
          <w:szCs w:val="16"/>
          <w:color w:val="auto"/>
        </w:rPr>
        <w:t>SECURITIES AND EXCHANGE COMMISSION</w:t>
      </w:r>
    </w:p>
    <w:p>
      <w:pPr>
        <w:jc w:val="center"/>
        <w:ind w:right="-39"/>
        <w:spacing w:after="0"/>
        <w:rPr>
          <w:sz w:val="20"/>
          <w:szCs w:val="20"/>
          <w:color w:val="auto"/>
        </w:rPr>
      </w:pPr>
      <w:r>
        <w:rPr>
          <w:rFonts w:ascii="Arial" w:cs="Arial" w:eastAsia="Arial" w:hAnsi="Arial"/>
          <w:sz w:val="16"/>
          <w:szCs w:val="16"/>
          <w:color w:val="auto"/>
        </w:rPr>
        <w:t>Washington, D.C. 20549</w:t>
      </w:r>
    </w:p>
    <w:p>
      <w:pPr>
        <w:spacing w:after="0" w:line="117" w:lineRule="exact"/>
        <w:rPr>
          <w:sz w:val="24"/>
          <w:szCs w:val="24"/>
          <w:color w:val="auto"/>
        </w:rPr>
      </w:pPr>
    </w:p>
    <w:p>
      <w:pPr>
        <w:ind w:left="5320"/>
        <w:spacing w:after="0"/>
        <w:rPr>
          <w:sz w:val="20"/>
          <w:szCs w:val="20"/>
          <w:color w:val="auto"/>
        </w:rPr>
      </w:pPr>
      <w:r>
        <w:rPr>
          <w:rFonts w:ascii="Arial" w:cs="Arial" w:eastAsia="Arial" w:hAnsi="Arial"/>
          <w:sz w:val="16"/>
          <w:szCs w:val="16"/>
          <w:color w:val="auto"/>
        </w:rPr>
        <w:t>FORM 10-Q</w:t>
      </w:r>
    </w:p>
    <w:p>
      <w:pPr>
        <w:spacing w:after="0" w:line="131" w:lineRule="exact"/>
        <w:rPr>
          <w:sz w:val="24"/>
          <w:szCs w:val="24"/>
          <w:color w:val="auto"/>
        </w:rPr>
      </w:pPr>
    </w:p>
    <w:p>
      <w:pPr>
        <w:ind w:left="3320"/>
        <w:spacing w:after="0"/>
        <w:rPr>
          <w:sz w:val="20"/>
          <w:szCs w:val="20"/>
          <w:color w:val="auto"/>
        </w:rPr>
      </w:pPr>
      <w:r>
        <w:rPr>
          <w:rFonts w:ascii="Arial" w:cs="Arial" w:eastAsia="Arial" w:hAnsi="Arial"/>
          <w:sz w:val="16"/>
          <w:szCs w:val="16"/>
          <w:color w:val="auto"/>
        </w:rPr>
        <w:t>QUARTERLY REPORT PURSUANT TO SECTION 13 OR 15 (d) OF THE</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6"/>
          <w:szCs w:val="16"/>
          <w:color w:val="auto"/>
        </w:rPr>
        <w:t>SECURITIES EXCHANGE ACT OF 1934</w:t>
      </w:r>
    </w:p>
    <w:p>
      <w:pPr>
        <w:spacing w:after="0" w:line="117" w:lineRule="exact"/>
        <w:rPr>
          <w:sz w:val="24"/>
          <w:szCs w:val="24"/>
          <w:color w:val="auto"/>
        </w:rPr>
      </w:pPr>
    </w:p>
    <w:p>
      <w:pPr>
        <w:ind w:left="4500"/>
        <w:spacing w:after="0"/>
        <w:tabs>
          <w:tab w:leader="none" w:pos="6540" w:val="left"/>
        </w:tabs>
        <w:rPr>
          <w:sz w:val="20"/>
          <w:szCs w:val="20"/>
          <w:color w:val="auto"/>
        </w:rPr>
      </w:pPr>
      <w:r>
        <w:rPr>
          <w:rFonts w:ascii="Arial" w:cs="Arial" w:eastAsia="Arial" w:hAnsi="Arial"/>
          <w:sz w:val="16"/>
          <w:szCs w:val="16"/>
          <w:color w:val="auto"/>
        </w:rPr>
        <w:t>For the quarterly period ended</w:t>
      </w:r>
      <w:r>
        <w:rPr>
          <w:sz w:val="20"/>
          <w:szCs w:val="20"/>
          <w:color w:val="auto"/>
        </w:rPr>
        <w:tab/>
      </w:r>
      <w:r>
        <w:rPr>
          <w:rFonts w:ascii="Arial" w:cs="Arial" w:eastAsia="Arial" w:hAnsi="Arial"/>
          <w:sz w:val="12"/>
          <w:szCs w:val="12"/>
          <w:color w:val="auto"/>
        </w:rPr>
        <w:t>June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4125595</wp:posOffset>
            </wp:positionH>
            <wp:positionV relativeFrom="paragraph">
              <wp:posOffset>50165</wp:posOffset>
            </wp:positionV>
            <wp:extent cx="1513205"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3205" cy="1873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260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Name of Registrant, State of</w:t>
            </w:r>
          </w:p>
        </w:tc>
        <w:tc>
          <w:tcPr>
            <w:tcW w:w="2560" w:type="dxa"/>
            <w:vAlign w:val="bottom"/>
          </w:tcPr>
          <w:p>
            <w:pPr>
              <w:spacing w:after="0"/>
              <w:rPr>
                <w:sz w:val="16"/>
                <w:szCs w:val="16"/>
                <w:color w:val="auto"/>
              </w:rPr>
            </w:pPr>
          </w:p>
        </w:tc>
      </w:tr>
      <w:tr>
        <w:trPr>
          <w:trHeight w:val="177"/>
        </w:trPr>
        <w:tc>
          <w:tcPr>
            <w:tcW w:w="960" w:type="dxa"/>
            <w:vAlign w:val="bottom"/>
          </w:tcPr>
          <w:p>
            <w:pPr>
              <w:ind w:left="60"/>
              <w:spacing w:after="0" w:line="178" w:lineRule="exact"/>
              <w:rPr>
                <w:sz w:val="20"/>
                <w:szCs w:val="20"/>
                <w:color w:val="auto"/>
              </w:rPr>
            </w:pPr>
            <w:r>
              <w:rPr>
                <w:rFonts w:ascii="Arial" w:cs="Arial" w:eastAsia="Arial" w:hAnsi="Arial"/>
                <w:sz w:val="16"/>
                <w:szCs w:val="16"/>
                <w:color w:val="auto"/>
                <w:w w:val="99"/>
              </w:rPr>
              <w:t>Commission</w:t>
            </w:r>
          </w:p>
        </w:tc>
        <w:tc>
          <w:tcPr>
            <w:tcW w:w="2760" w:type="dxa"/>
            <w:vAlign w:val="bottom"/>
          </w:tcPr>
          <w:p>
            <w:pPr>
              <w:ind w:left="120"/>
              <w:spacing w:after="0" w:line="178" w:lineRule="exact"/>
              <w:rPr>
                <w:sz w:val="20"/>
                <w:szCs w:val="20"/>
                <w:color w:val="auto"/>
              </w:rPr>
            </w:pPr>
            <w:r>
              <w:rPr>
                <w:rFonts w:ascii="Arial" w:cs="Arial" w:eastAsia="Arial" w:hAnsi="Arial"/>
                <w:sz w:val="16"/>
                <w:szCs w:val="16"/>
                <w:color w:val="auto"/>
                <w:w w:val="96"/>
              </w:rPr>
              <w:t>Incorporation, Address and Telephone</w:t>
            </w:r>
          </w:p>
        </w:tc>
        <w:tc>
          <w:tcPr>
            <w:tcW w:w="2560" w:type="dxa"/>
            <w:vAlign w:val="bottom"/>
          </w:tcPr>
          <w:p>
            <w:pPr>
              <w:ind w:left="240"/>
              <w:spacing w:after="0" w:line="178" w:lineRule="exact"/>
              <w:rPr>
                <w:sz w:val="20"/>
                <w:szCs w:val="20"/>
                <w:color w:val="auto"/>
              </w:rPr>
            </w:pPr>
            <w:r>
              <w:rPr>
                <w:rFonts w:ascii="Arial" w:cs="Arial" w:eastAsia="Arial" w:hAnsi="Arial"/>
                <w:sz w:val="16"/>
                <w:szCs w:val="16"/>
                <w:color w:val="auto"/>
              </w:rPr>
              <w:t>(I.R.S. Employer Identification</w:t>
            </w:r>
          </w:p>
        </w:tc>
      </w:tr>
      <w:tr>
        <w:trPr>
          <w:trHeight w:val="200"/>
        </w:trPr>
        <w:tc>
          <w:tcPr>
            <w:tcW w:w="960" w:type="dxa"/>
            <w:vAlign w:val="bottom"/>
          </w:tcPr>
          <w:p>
            <w:pPr>
              <w:ind w:left="60"/>
              <w:spacing w:after="0"/>
              <w:rPr>
                <w:sz w:val="20"/>
                <w:szCs w:val="20"/>
                <w:color w:val="auto"/>
              </w:rPr>
            </w:pPr>
            <w:r>
              <w:rPr>
                <w:rFonts w:ascii="Arial" w:cs="Arial" w:eastAsia="Arial" w:hAnsi="Arial"/>
                <w:sz w:val="16"/>
                <w:szCs w:val="16"/>
                <w:color w:val="auto"/>
              </w:rPr>
              <w:t>File Number</w:t>
            </w:r>
          </w:p>
        </w:tc>
        <w:tc>
          <w:tcPr>
            <w:tcW w:w="2760" w:type="dxa"/>
            <w:vAlign w:val="bottom"/>
          </w:tcPr>
          <w:p>
            <w:pPr>
              <w:ind w:left="120"/>
              <w:spacing w:after="0"/>
              <w:rPr>
                <w:sz w:val="20"/>
                <w:szCs w:val="20"/>
                <w:color w:val="auto"/>
              </w:rPr>
            </w:pPr>
            <w:r>
              <w:rPr>
                <w:rFonts w:ascii="Arial" w:cs="Arial" w:eastAsia="Arial" w:hAnsi="Arial"/>
                <w:sz w:val="16"/>
                <w:szCs w:val="16"/>
                <w:color w:val="auto"/>
              </w:rPr>
              <w:t>Number</w:t>
            </w:r>
          </w:p>
        </w:tc>
        <w:tc>
          <w:tcPr>
            <w:tcW w:w="2560" w:type="dxa"/>
            <w:vAlign w:val="bottom"/>
          </w:tcPr>
          <w:p>
            <w:pPr>
              <w:ind w:left="240"/>
              <w:spacing w:after="0"/>
              <w:rPr>
                <w:sz w:val="20"/>
                <w:szCs w:val="20"/>
                <w:color w:val="auto"/>
              </w:rPr>
            </w:pPr>
            <w:r>
              <w:rPr>
                <w:rFonts w:ascii="Arial" w:cs="Arial" w:eastAsia="Arial" w:hAnsi="Arial"/>
                <w:sz w:val="16"/>
                <w:szCs w:val="16"/>
                <w:color w:val="auto"/>
              </w:rPr>
              <w:t>No.)</w:t>
            </w:r>
          </w:p>
        </w:tc>
      </w:tr>
      <w:tr>
        <w:trPr>
          <w:trHeight w:val="62"/>
        </w:trPr>
        <w:tc>
          <w:tcPr>
            <w:tcW w:w="9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295"/>
        </w:trPr>
        <w:tc>
          <w:tcPr>
            <w:tcW w:w="960" w:type="dxa"/>
            <w:vAlign w:val="bottom"/>
            <w:shd w:val="clear" w:color="auto" w:fill="000000"/>
          </w:tcPr>
          <w:p>
            <w:pPr>
              <w:spacing w:after="0"/>
              <w:rPr>
                <w:sz w:val="24"/>
                <w:szCs w:val="24"/>
                <w:color w:val="auto"/>
              </w:rPr>
            </w:pPr>
          </w:p>
        </w:tc>
        <w:tc>
          <w:tcPr>
            <w:tcW w:w="2760" w:type="dxa"/>
            <w:vAlign w:val="bottom"/>
            <w:shd w:val="clear" w:color="auto" w:fill="000000"/>
          </w:tcPr>
          <w:p>
            <w:pPr>
              <w:spacing w:after="0"/>
              <w:rPr>
                <w:sz w:val="24"/>
                <w:szCs w:val="24"/>
                <w:color w:val="auto"/>
              </w:rPr>
            </w:pPr>
          </w:p>
        </w:tc>
        <w:tc>
          <w:tcPr>
            <w:tcW w:w="2560" w:type="dxa"/>
            <w:vAlign w:val="bottom"/>
            <w:shd w:val="clear" w:color="auto" w:fill="000000"/>
          </w:tcPr>
          <w:p>
            <w:pPr>
              <w:spacing w:after="0"/>
              <w:rPr>
                <w:sz w:val="24"/>
                <w:szCs w:val="24"/>
                <w:color w:val="auto"/>
              </w:rPr>
            </w:pPr>
          </w:p>
        </w:tc>
      </w:tr>
      <w:tr>
        <w:trPr>
          <w:trHeight w:val="230"/>
        </w:trPr>
        <w:tc>
          <w:tcPr>
            <w:tcW w:w="960" w:type="dxa"/>
            <w:vAlign w:val="bottom"/>
          </w:tcPr>
          <w:p>
            <w:pPr>
              <w:ind w:left="60"/>
              <w:spacing w:after="0"/>
              <w:rPr>
                <w:sz w:val="20"/>
                <w:szCs w:val="20"/>
                <w:color w:val="auto"/>
              </w:rPr>
            </w:pPr>
            <w:r>
              <w:rPr>
                <w:rFonts w:ascii="Arial" w:cs="Arial" w:eastAsia="Arial" w:hAnsi="Arial"/>
                <w:sz w:val="16"/>
                <w:szCs w:val="16"/>
                <w:color w:val="auto"/>
              </w:rPr>
              <w:t>1-40</w:t>
            </w:r>
          </w:p>
        </w:tc>
        <w:tc>
          <w:tcPr>
            <w:tcW w:w="2760" w:type="dxa"/>
            <w:vAlign w:val="bottom"/>
          </w:tcPr>
          <w:p>
            <w:pPr>
              <w:ind w:left="120"/>
              <w:spacing w:after="0"/>
              <w:rPr>
                <w:sz w:val="20"/>
                <w:szCs w:val="20"/>
                <w:color w:val="auto"/>
              </w:rPr>
            </w:pPr>
            <w:r>
              <w:rPr>
                <w:rFonts w:ascii="Arial" w:cs="Arial" w:eastAsia="Arial" w:hAnsi="Arial"/>
                <w:sz w:val="16"/>
                <w:szCs w:val="16"/>
                <w:color w:val="auto"/>
              </w:rPr>
              <w:t>Pacific Enterprises</w:t>
            </w:r>
          </w:p>
        </w:tc>
        <w:tc>
          <w:tcPr>
            <w:tcW w:w="2560" w:type="dxa"/>
            <w:vAlign w:val="bottom"/>
          </w:tcPr>
          <w:p>
            <w:pPr>
              <w:ind w:left="240"/>
              <w:spacing w:after="0"/>
              <w:rPr>
                <w:sz w:val="20"/>
                <w:szCs w:val="20"/>
                <w:color w:val="auto"/>
              </w:rPr>
            </w:pPr>
            <w:r>
              <w:rPr>
                <w:rFonts w:ascii="Arial" w:cs="Arial" w:eastAsia="Arial" w:hAnsi="Arial"/>
                <w:sz w:val="16"/>
                <w:szCs w:val="16"/>
                <w:color w:val="auto"/>
              </w:rPr>
              <w:t>94-0743670</w:t>
            </w:r>
          </w:p>
        </w:tc>
      </w:tr>
      <w:tr>
        <w:trPr>
          <w:trHeight w:val="177"/>
        </w:trPr>
        <w:tc>
          <w:tcPr>
            <w:tcW w:w="960" w:type="dxa"/>
            <w:vAlign w:val="bottom"/>
          </w:tcPr>
          <w:p>
            <w:pPr>
              <w:spacing w:after="0"/>
              <w:rPr>
                <w:sz w:val="15"/>
                <w:szCs w:val="15"/>
                <w:color w:val="auto"/>
              </w:rPr>
            </w:pPr>
          </w:p>
        </w:tc>
        <w:tc>
          <w:tcPr>
            <w:tcW w:w="2760" w:type="dxa"/>
            <w:vAlign w:val="bottom"/>
          </w:tcPr>
          <w:p>
            <w:pPr>
              <w:ind w:left="120"/>
              <w:spacing w:after="0" w:line="178" w:lineRule="exact"/>
              <w:rPr>
                <w:sz w:val="20"/>
                <w:szCs w:val="20"/>
                <w:color w:val="auto"/>
              </w:rPr>
            </w:pPr>
            <w:r>
              <w:rPr>
                <w:rFonts w:ascii="Arial" w:cs="Arial" w:eastAsia="Arial" w:hAnsi="Arial"/>
                <w:sz w:val="16"/>
                <w:szCs w:val="16"/>
                <w:color w:val="auto"/>
              </w:rPr>
              <w:t>(A California Corporation)</w:t>
            </w:r>
          </w:p>
        </w:tc>
        <w:tc>
          <w:tcPr>
            <w:tcW w:w="256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2760" w:type="dxa"/>
            <w:vAlign w:val="bottom"/>
          </w:tcPr>
          <w:p>
            <w:pPr>
              <w:ind w:left="120"/>
              <w:spacing w:after="0" w:line="178" w:lineRule="exact"/>
              <w:rPr>
                <w:sz w:val="20"/>
                <w:szCs w:val="20"/>
                <w:color w:val="auto"/>
              </w:rPr>
            </w:pPr>
            <w:r>
              <w:rPr>
                <w:rFonts w:ascii="Arial" w:cs="Arial" w:eastAsia="Arial" w:hAnsi="Arial"/>
                <w:sz w:val="16"/>
                <w:szCs w:val="16"/>
                <w:color w:val="auto"/>
              </w:rPr>
              <w:t>101 Ash Street</w:t>
            </w:r>
          </w:p>
        </w:tc>
        <w:tc>
          <w:tcPr>
            <w:tcW w:w="256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2760" w:type="dxa"/>
            <w:vAlign w:val="bottom"/>
          </w:tcPr>
          <w:p>
            <w:pPr>
              <w:ind w:left="120"/>
              <w:spacing w:after="0" w:line="178" w:lineRule="exact"/>
              <w:rPr>
                <w:sz w:val="20"/>
                <w:szCs w:val="20"/>
                <w:color w:val="auto"/>
              </w:rPr>
            </w:pPr>
            <w:r>
              <w:rPr>
                <w:rFonts w:ascii="Arial" w:cs="Arial" w:eastAsia="Arial" w:hAnsi="Arial"/>
                <w:sz w:val="16"/>
                <w:szCs w:val="16"/>
                <w:color w:val="auto"/>
              </w:rPr>
              <w:t>San Diego, California 92101</w:t>
            </w:r>
          </w:p>
        </w:tc>
        <w:tc>
          <w:tcPr>
            <w:tcW w:w="2560" w:type="dxa"/>
            <w:vAlign w:val="bottom"/>
          </w:tcPr>
          <w:p>
            <w:pPr>
              <w:spacing w:after="0"/>
              <w:rPr>
                <w:sz w:val="15"/>
                <w:szCs w:val="15"/>
                <w:color w:val="auto"/>
              </w:rPr>
            </w:pPr>
          </w:p>
        </w:tc>
      </w:tr>
      <w:tr>
        <w:trPr>
          <w:trHeight w:val="200"/>
        </w:trPr>
        <w:tc>
          <w:tcPr>
            <w:tcW w:w="960" w:type="dxa"/>
            <w:vAlign w:val="bottom"/>
          </w:tcPr>
          <w:p>
            <w:pPr>
              <w:spacing w:after="0"/>
              <w:rPr>
                <w:sz w:val="17"/>
                <w:szCs w:val="17"/>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(619) 696-2000</w:t>
            </w:r>
          </w:p>
        </w:tc>
        <w:tc>
          <w:tcPr>
            <w:tcW w:w="2560" w:type="dxa"/>
            <w:vAlign w:val="bottom"/>
          </w:tcPr>
          <w:p>
            <w:pPr>
              <w:spacing w:after="0"/>
              <w:rPr>
                <w:sz w:val="17"/>
                <w:szCs w:val="17"/>
                <w:color w:val="auto"/>
              </w:rPr>
            </w:pPr>
          </w:p>
        </w:tc>
      </w:tr>
      <w:tr>
        <w:trPr>
          <w:trHeight w:val="315"/>
        </w:trPr>
        <w:tc>
          <w:tcPr>
            <w:tcW w:w="960" w:type="dxa"/>
            <w:vAlign w:val="bottom"/>
          </w:tcPr>
          <w:p>
            <w:pPr>
              <w:ind w:left="60"/>
              <w:spacing w:after="0"/>
              <w:rPr>
                <w:sz w:val="20"/>
                <w:szCs w:val="20"/>
                <w:color w:val="auto"/>
              </w:rPr>
            </w:pPr>
            <w:r>
              <w:rPr>
                <w:rFonts w:ascii="Arial" w:cs="Arial" w:eastAsia="Arial" w:hAnsi="Arial"/>
                <w:sz w:val="16"/>
                <w:szCs w:val="16"/>
                <w:color w:val="auto"/>
              </w:rPr>
              <w:t>1-1402</w:t>
            </w:r>
          </w:p>
        </w:tc>
        <w:tc>
          <w:tcPr>
            <w:tcW w:w="2760" w:type="dxa"/>
            <w:vAlign w:val="bottom"/>
          </w:tcPr>
          <w:p>
            <w:pPr>
              <w:ind w:left="120"/>
              <w:spacing w:after="0"/>
              <w:rPr>
                <w:sz w:val="20"/>
                <w:szCs w:val="20"/>
                <w:color w:val="auto"/>
              </w:rPr>
            </w:pPr>
            <w:r>
              <w:rPr>
                <w:rFonts w:ascii="Arial" w:cs="Arial" w:eastAsia="Arial" w:hAnsi="Arial"/>
                <w:sz w:val="16"/>
                <w:szCs w:val="16"/>
                <w:color w:val="auto"/>
              </w:rPr>
              <w:t>Southern California Gas Company</w:t>
            </w:r>
          </w:p>
        </w:tc>
        <w:tc>
          <w:tcPr>
            <w:tcW w:w="2560" w:type="dxa"/>
            <w:vAlign w:val="bottom"/>
          </w:tcPr>
          <w:p>
            <w:pPr>
              <w:ind w:left="240"/>
              <w:spacing w:after="0"/>
              <w:rPr>
                <w:sz w:val="20"/>
                <w:szCs w:val="20"/>
                <w:color w:val="auto"/>
              </w:rPr>
            </w:pPr>
            <w:r>
              <w:rPr>
                <w:rFonts w:ascii="Arial" w:cs="Arial" w:eastAsia="Arial" w:hAnsi="Arial"/>
                <w:sz w:val="16"/>
                <w:szCs w:val="16"/>
                <w:color w:val="auto"/>
              </w:rPr>
              <w:t>95-1240705</w:t>
            </w:r>
          </w:p>
        </w:tc>
      </w:tr>
      <w:tr>
        <w:trPr>
          <w:trHeight w:val="312"/>
        </w:trPr>
        <w:tc>
          <w:tcPr>
            <w:tcW w:w="9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 California Corporation)</w:t>
            </w:r>
          </w:p>
        </w:tc>
        <w:tc>
          <w:tcPr>
            <w:tcW w:w="2560" w:type="dxa"/>
            <w:vAlign w:val="bottom"/>
          </w:tcPr>
          <w:p>
            <w:pPr>
              <w:spacing w:after="0"/>
              <w:rPr>
                <w:sz w:val="24"/>
                <w:szCs w:val="24"/>
                <w:color w:val="auto"/>
              </w:rPr>
            </w:pPr>
          </w:p>
        </w:tc>
      </w:tr>
      <w:tr>
        <w:trPr>
          <w:trHeight w:val="177"/>
        </w:trPr>
        <w:tc>
          <w:tcPr>
            <w:tcW w:w="960" w:type="dxa"/>
            <w:vAlign w:val="bottom"/>
          </w:tcPr>
          <w:p>
            <w:pPr>
              <w:spacing w:after="0"/>
              <w:rPr>
                <w:sz w:val="15"/>
                <w:szCs w:val="15"/>
                <w:color w:val="auto"/>
              </w:rPr>
            </w:pPr>
          </w:p>
        </w:tc>
        <w:tc>
          <w:tcPr>
            <w:tcW w:w="2760" w:type="dxa"/>
            <w:vAlign w:val="bottom"/>
          </w:tcPr>
          <w:p>
            <w:pPr>
              <w:ind w:left="120"/>
              <w:spacing w:after="0" w:line="178" w:lineRule="exact"/>
              <w:rPr>
                <w:sz w:val="20"/>
                <w:szCs w:val="20"/>
                <w:color w:val="auto"/>
              </w:rPr>
            </w:pPr>
            <w:r>
              <w:rPr>
                <w:rFonts w:ascii="Arial" w:cs="Arial" w:eastAsia="Arial" w:hAnsi="Arial"/>
                <w:sz w:val="16"/>
                <w:szCs w:val="16"/>
                <w:color w:val="auto"/>
              </w:rPr>
              <w:t>555 West Fifth Street</w:t>
            </w:r>
          </w:p>
        </w:tc>
        <w:tc>
          <w:tcPr>
            <w:tcW w:w="256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2760" w:type="dxa"/>
            <w:vAlign w:val="bottom"/>
          </w:tcPr>
          <w:p>
            <w:pPr>
              <w:ind w:left="120"/>
              <w:spacing w:after="0" w:line="178" w:lineRule="exact"/>
              <w:rPr>
                <w:sz w:val="20"/>
                <w:szCs w:val="20"/>
                <w:color w:val="auto"/>
              </w:rPr>
            </w:pPr>
            <w:r>
              <w:rPr>
                <w:rFonts w:ascii="Arial" w:cs="Arial" w:eastAsia="Arial" w:hAnsi="Arial"/>
                <w:sz w:val="16"/>
                <w:szCs w:val="16"/>
                <w:color w:val="auto"/>
              </w:rPr>
              <w:t>Los Angeles, California 90013</w:t>
            </w:r>
          </w:p>
        </w:tc>
        <w:tc>
          <w:tcPr>
            <w:tcW w:w="2560" w:type="dxa"/>
            <w:vAlign w:val="bottom"/>
          </w:tcPr>
          <w:p>
            <w:pPr>
              <w:spacing w:after="0"/>
              <w:rPr>
                <w:sz w:val="15"/>
                <w:szCs w:val="15"/>
                <w:color w:val="auto"/>
              </w:rPr>
            </w:pPr>
          </w:p>
        </w:tc>
      </w:tr>
      <w:tr>
        <w:trPr>
          <w:trHeight w:val="200"/>
        </w:trPr>
        <w:tc>
          <w:tcPr>
            <w:tcW w:w="960" w:type="dxa"/>
            <w:vAlign w:val="bottom"/>
          </w:tcPr>
          <w:p>
            <w:pPr>
              <w:spacing w:after="0"/>
              <w:rPr>
                <w:sz w:val="17"/>
                <w:szCs w:val="17"/>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(213) 244-1200</w:t>
            </w:r>
          </w:p>
        </w:tc>
        <w:tc>
          <w:tcPr>
            <w:tcW w:w="2560" w:type="dxa"/>
            <w:vAlign w:val="bottom"/>
          </w:tcPr>
          <w:p>
            <w:pPr>
              <w:spacing w:after="0"/>
              <w:rPr>
                <w:sz w:val="17"/>
                <w:szCs w:val="17"/>
                <w:color w:val="auto"/>
              </w:rPr>
            </w:pPr>
          </w:p>
        </w:tc>
      </w:tr>
      <w:tr>
        <w:trPr>
          <w:trHeight w:val="492"/>
        </w:trPr>
        <w:tc>
          <w:tcPr>
            <w:tcW w:w="960" w:type="dxa"/>
            <w:vAlign w:val="bottom"/>
          </w:tcPr>
          <w:p>
            <w:pPr>
              <w:spacing w:after="0"/>
              <w:rPr>
                <w:sz w:val="24"/>
                <w:szCs w:val="24"/>
                <w:color w:val="auto"/>
              </w:rPr>
            </w:pPr>
          </w:p>
        </w:tc>
        <w:tc>
          <w:tcPr>
            <w:tcW w:w="2760" w:type="dxa"/>
            <w:vAlign w:val="bottom"/>
          </w:tcPr>
          <w:p>
            <w:pPr>
              <w:ind w:left="1820"/>
              <w:spacing w:after="0"/>
              <w:rPr>
                <w:sz w:val="20"/>
                <w:szCs w:val="20"/>
                <w:color w:val="auto"/>
              </w:rPr>
            </w:pPr>
            <w:r>
              <w:rPr>
                <w:rFonts w:ascii="Arial" w:cs="Arial" w:eastAsia="Arial" w:hAnsi="Arial"/>
                <w:sz w:val="16"/>
                <w:szCs w:val="16"/>
                <w:color w:val="auto"/>
              </w:rPr>
              <w:t>No Change</w:t>
            </w:r>
          </w:p>
        </w:tc>
        <w:tc>
          <w:tcPr>
            <w:tcW w:w="2560" w:type="dxa"/>
            <w:vAlign w:val="bottom"/>
          </w:tcPr>
          <w:p>
            <w:pPr>
              <w:spacing w:after="0"/>
              <w:rPr>
                <w:sz w:val="24"/>
                <w:szCs w:val="24"/>
                <w:color w:val="auto"/>
              </w:rPr>
            </w:pPr>
          </w:p>
        </w:tc>
      </w:tr>
      <w:tr>
        <w:trPr>
          <w:trHeight w:val="62"/>
        </w:trPr>
        <w:tc>
          <w:tcPr>
            <w:tcW w:w="9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295"/>
        </w:trPr>
        <w:tc>
          <w:tcPr>
            <w:tcW w:w="960" w:type="dxa"/>
            <w:vAlign w:val="bottom"/>
            <w:shd w:val="clear" w:color="auto" w:fill="000000"/>
          </w:tcPr>
          <w:p>
            <w:pPr>
              <w:spacing w:after="0"/>
              <w:rPr>
                <w:sz w:val="24"/>
                <w:szCs w:val="24"/>
                <w:color w:val="auto"/>
              </w:rPr>
            </w:pPr>
          </w:p>
        </w:tc>
        <w:tc>
          <w:tcPr>
            <w:tcW w:w="2760" w:type="dxa"/>
            <w:vAlign w:val="bottom"/>
            <w:shd w:val="clear" w:color="auto" w:fill="000000"/>
          </w:tcPr>
          <w:p>
            <w:pPr>
              <w:spacing w:after="0"/>
              <w:rPr>
                <w:sz w:val="24"/>
                <w:szCs w:val="24"/>
                <w:color w:val="auto"/>
              </w:rPr>
            </w:pPr>
          </w:p>
        </w:tc>
        <w:tc>
          <w:tcPr>
            <w:tcW w:w="2560" w:type="dxa"/>
            <w:vAlign w:val="bottom"/>
            <w:shd w:val="clear" w:color="auto" w:fill="000000"/>
          </w:tcPr>
          <w:p>
            <w:pPr>
              <w:spacing w:after="0"/>
              <w:rPr>
                <w:sz w:val="24"/>
                <w:szCs w:val="24"/>
                <w:color w:val="auto"/>
              </w:rPr>
            </w:pP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since last report)</w:t>
      </w:r>
    </w:p>
    <w:p>
      <w:pPr>
        <w:spacing w:after="0" w:line="117" w:lineRule="exact"/>
        <w:rPr>
          <w:sz w:val="24"/>
          <w:szCs w:val="24"/>
          <w:color w:val="auto"/>
        </w:rPr>
      </w:pPr>
    </w:p>
    <w:p>
      <w:pPr>
        <w:ind w:left="2660" w:right="2760"/>
        <w:spacing w:after="0" w:line="25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60" w:lineRule="exact"/>
        <w:rPr>
          <w:sz w:val="24"/>
          <w:szCs w:val="24"/>
          <w:color w:val="auto"/>
        </w:rPr>
      </w:pPr>
    </w:p>
    <w:p>
      <w:pPr>
        <w:ind w:left="6340"/>
        <w:spacing w:after="0"/>
        <w:tabs>
          <w:tab w:leader="none" w:pos="7200" w:val="left"/>
          <w:tab w:leader="none" w:pos="792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4457065</wp:posOffset>
            </wp:positionH>
            <wp:positionV relativeFrom="paragraph">
              <wp:posOffset>50165</wp:posOffset>
            </wp:positionV>
            <wp:extent cx="337820" cy="187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820" cy="18732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50165</wp:posOffset>
            </wp:positionV>
            <wp:extent cx="393700" cy="187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3700" cy="18732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2700" w:right="2700"/>
        <w:spacing w:after="0" w:line="241"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20" w:top="271" w:right="259"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700"/>
        <w:spacing w:after="0"/>
        <w:rPr>
          <w:sz w:val="20"/>
          <w:szCs w:val="20"/>
          <w:color w:val="auto"/>
        </w:rPr>
      </w:pPr>
      <w:r>
        <w:rPr>
          <w:rFonts w:ascii="Arial" w:cs="Arial" w:eastAsia="Arial" w:hAnsi="Arial"/>
          <w:sz w:val="12"/>
          <w:szCs w:val="12"/>
          <w:color w:val="auto"/>
        </w:rPr>
        <w:t>Large accelerated</w:t>
      </w:r>
    </w:p>
    <w:p>
      <w:pPr>
        <w:spacing w:after="0" w:line="53" w:lineRule="exact"/>
        <w:rPr>
          <w:sz w:val="24"/>
          <w:szCs w:val="24"/>
          <w:color w:val="auto"/>
        </w:rPr>
      </w:pPr>
    </w:p>
    <w:p>
      <w:pPr>
        <w:ind w:left="2700"/>
        <w:spacing w:after="0"/>
        <w:rPr>
          <w:sz w:val="20"/>
          <w:szCs w:val="20"/>
          <w:color w:val="auto"/>
        </w:rPr>
      </w:pPr>
      <w:r>
        <w:rPr>
          <w:rFonts w:ascii="Arial" w:cs="Arial" w:eastAsia="Arial" w:hAnsi="Arial"/>
          <w:sz w:val="16"/>
          <w:szCs w:val="16"/>
          <w:color w:val="auto"/>
        </w:rPr>
        <w:t>filer</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tabs>
          <w:tab w:leader="none" w:pos="180" w:val="left"/>
        </w:tabs>
        <w:rPr>
          <w:sz w:val="20"/>
          <w:szCs w:val="20"/>
          <w:color w:val="auto"/>
        </w:rPr>
      </w:pPr>
      <w:r>
        <w:rPr>
          <w:rFonts w:ascii="Arial" w:cs="Arial" w:eastAsia="Arial" w:hAnsi="Arial"/>
          <w:sz w:val="16"/>
          <w:szCs w:val="16"/>
          <w:color w:val="auto"/>
        </w:rPr>
        <w:t>[</w:t>
        <w:tab/>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ind w:left="20"/>
        <w:spacing w:after="0"/>
        <w:rPr>
          <w:sz w:val="20"/>
          <w:szCs w:val="20"/>
          <w:color w:val="auto"/>
        </w:rPr>
      </w:pPr>
      <w:r>
        <w:rPr>
          <w:rFonts w:ascii="Arial" w:cs="Arial" w:eastAsia="Arial" w:hAnsi="Arial"/>
          <w:sz w:val="16"/>
          <w:szCs w:val="16"/>
          <w:color w:val="auto"/>
        </w:rPr>
        <w:t>[</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16" w:lineRule="exact"/>
        <w:rPr>
          <w:sz w:val="24"/>
          <w:szCs w:val="24"/>
          <w:color w:val="auto"/>
        </w:rPr>
      </w:pPr>
    </w:p>
    <w:p>
      <w:pPr>
        <w:ind w:left="20"/>
        <w:spacing w:after="0"/>
        <w:rPr>
          <w:sz w:val="20"/>
          <w:szCs w:val="20"/>
          <w:color w:val="auto"/>
        </w:rPr>
      </w:pP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6">
            <w:col w:w="3800" w:space="300"/>
            <w:col w:w="260" w:space="480"/>
            <w:col w:w="1060" w:space="620"/>
            <w:col w:w="260" w:space="360"/>
            <w:col w:w="1320" w:space="200"/>
            <w:col w:w="2760"/>
          </w:cols>
          <w:pgMar w:left="220" w:top="271" w:right="259" w:bottom="0" w:gutter="0" w:footer="0" w:header="0"/>
          <w:type w:val="continuous"/>
        </w:sectPr>
      </w:pPr>
    </w:p>
    <w:p>
      <w:pPr>
        <w:spacing w:after="0" w:line="390" w:lineRule="exact"/>
        <w:rPr>
          <w:sz w:val="24"/>
          <w:szCs w:val="24"/>
          <w:color w:val="auto"/>
        </w:rPr>
      </w:pPr>
    </w:p>
    <w:p>
      <w:pPr>
        <w:ind w:left="2700" w:right="2820"/>
        <w:spacing w:after="0" w:line="252"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6" w:lineRule="exact"/>
        <w:rPr>
          <w:sz w:val="24"/>
          <w:szCs w:val="24"/>
          <w:color w:val="auto"/>
        </w:rPr>
      </w:pPr>
    </w:p>
    <w:p>
      <w:pPr>
        <w:ind w:left="5580"/>
        <w:spacing w:after="0"/>
        <w:tabs>
          <w:tab w:leader="none" w:pos="8100" w:val="left"/>
          <w:tab w:leader="none" w:pos="854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4163060</wp:posOffset>
            </wp:positionH>
            <wp:positionV relativeFrom="paragraph">
              <wp:posOffset>50165</wp:posOffset>
            </wp:positionV>
            <wp:extent cx="462915" cy="187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915" cy="187325"/>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50165</wp:posOffset>
            </wp:positionV>
            <wp:extent cx="281305" cy="18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 cy="18732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2700" w:right="2700"/>
        <w:spacing w:after="0" w:line="252"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21" w:lineRule="exact"/>
        <w:rPr>
          <w:sz w:val="24"/>
          <w:szCs w:val="24"/>
          <w:color w:val="auto"/>
        </w:rPr>
      </w:pPr>
    </w:p>
    <w:p>
      <w:pPr>
        <w:ind w:left="2700"/>
        <w:spacing w:after="0"/>
        <w:rPr>
          <w:sz w:val="20"/>
          <w:szCs w:val="20"/>
          <w:color w:val="auto"/>
        </w:rPr>
      </w:pPr>
      <w:r>
        <w:rPr>
          <w:rFonts w:ascii="Arial" w:cs="Arial" w:eastAsia="Arial" w:hAnsi="Arial"/>
          <w:sz w:val="16"/>
          <w:szCs w:val="16"/>
          <w:color w:val="auto"/>
        </w:rPr>
        <w:t>Common stock outstanding:</w:t>
      </w:r>
    </w:p>
    <w:p>
      <w:pPr>
        <w:sectPr>
          <w:pgSz w:w="11900" w:h="16838" w:orient="portrait"/>
          <w:cols w:equalWidth="0" w:num="1">
            <w:col w:w="11420"/>
          </w:cols>
          <w:pgMar w:left="220" w:top="271" w:right="259" w:bottom="0" w:gutter="0" w:footer="0" w:header="0"/>
          <w:type w:val="continuous"/>
        </w:sectPr>
      </w:pPr>
    </w:p>
    <w:p>
      <w:pPr>
        <w:spacing w:after="0" w:line="131" w:lineRule="exact"/>
        <w:rPr>
          <w:sz w:val="24"/>
          <w:szCs w:val="24"/>
          <w:color w:val="auto"/>
        </w:rPr>
      </w:pPr>
    </w:p>
    <w:p>
      <w:pPr>
        <w:ind w:left="2700"/>
        <w:spacing w:after="0"/>
        <w:rPr>
          <w:sz w:val="20"/>
          <w:szCs w:val="20"/>
          <w:color w:val="auto"/>
        </w:rPr>
      </w:pPr>
      <w:r>
        <w:rPr>
          <w:rFonts w:ascii="Arial" w:cs="Arial" w:eastAsia="Arial" w:hAnsi="Arial"/>
          <w:sz w:val="14"/>
          <w:szCs w:val="14"/>
          <w:color w:val="auto"/>
        </w:rPr>
        <w:t>Pacific Enterprises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color w:val="auto"/>
        </w:rPr>
        <w:t>Wholly owned by Sempra Energy</w:t>
      </w:r>
    </w:p>
    <w:p>
      <w:pPr>
        <w:spacing w:after="0" w:line="154" w:lineRule="exact"/>
        <w:rPr>
          <w:sz w:val="24"/>
          <w:szCs w:val="24"/>
          <w:color w:val="auto"/>
        </w:rPr>
      </w:pPr>
    </w:p>
    <w:p>
      <w:pPr>
        <w:sectPr>
          <w:pgSz w:w="11900" w:h="16838" w:orient="portrait"/>
          <w:cols w:equalWidth="0" w:num="2">
            <w:col w:w="4320" w:space="720"/>
            <w:col w:w="6380"/>
          </w:cols>
          <w:pgMar w:left="220" w:top="271" w:right="259" w:bottom="0" w:gutter="0" w:footer="0" w:header="0"/>
          <w:type w:val="continuous"/>
        </w:sectPr>
      </w:pPr>
    </w:p>
    <w:p>
      <w:pPr>
        <w:ind w:left="2700"/>
        <w:spacing w:after="0"/>
        <w:rPr>
          <w:sz w:val="20"/>
          <w:szCs w:val="20"/>
          <w:color w:val="auto"/>
        </w:rPr>
      </w:pPr>
      <w:r>
        <w:rPr>
          <w:rFonts w:ascii="Arial" w:cs="Arial" w:eastAsia="Arial" w:hAnsi="Arial"/>
          <w:sz w:val="14"/>
          <w:szCs w:val="14"/>
          <w:color w:val="auto"/>
        </w:rPr>
        <w:t>Southern California Gas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Wholly owned by Pacific Enterprises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-3213100</wp:posOffset>
            </wp:positionH>
            <wp:positionV relativeFrom="paragraph">
              <wp:posOffset>614680</wp:posOffset>
            </wp:positionV>
            <wp:extent cx="730885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880" w:space="160"/>
            <w:col w:w="6380"/>
          </w:cols>
          <w:pgMar w:left="220" w:top="271"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INFORMATION REGARDING FORWARD-LOOKING STATEMENTS</w:t>
      </w:r>
    </w:p>
    <w:p>
      <w:pPr>
        <w:spacing w:after="0" w:line="151" w:lineRule="exact"/>
        <w:rPr>
          <w:sz w:val="24"/>
          <w:szCs w:val="24"/>
          <w:color w:val="auto"/>
        </w:rPr>
      </w:pPr>
    </w:p>
    <w:p>
      <w:pPr>
        <w:spacing w:after="0" w:line="322" w:lineRule="auto"/>
        <w:rPr>
          <w:sz w:val="20"/>
          <w:szCs w:val="20"/>
          <w:color w:val="auto"/>
        </w:rPr>
      </w:pPr>
      <w:r>
        <w:rPr>
          <w:rFonts w:ascii="Arial" w:cs="Arial" w:eastAsia="Arial" w:hAnsi="Arial"/>
          <w:sz w:val="14"/>
          <w:szCs w:val="14"/>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w:t>
      </w:r>
    </w:p>
    <w:p>
      <w:pPr>
        <w:sectPr>
          <w:pgSz w:w="11900" w:h="16838" w:orient="portrait"/>
          <w:cols w:equalWidth="0" w:num="1">
            <w:col w:w="11420"/>
          </w:cols>
          <w:pgMar w:left="220" w:top="271" w:right="259" w:bottom="0" w:gutter="0" w:footer="0" w:header="0"/>
          <w:type w:val="continuous"/>
        </w:sectPr>
      </w:pPr>
    </w:p>
    <w:bookmarkStart w:id="1" w:name="page2"/>
    <w:bookmarkEnd w:id="1"/>
    <w:p>
      <w:pPr>
        <w:spacing w:after="0" w:line="251" w:lineRule="auto"/>
        <w:rPr>
          <w:sz w:val="20"/>
          <w:szCs w:val="20"/>
          <w:color w:val="auto"/>
        </w:rPr>
      </w:pPr>
      <w:r>
        <w:rPr>
          <w:rFonts w:ascii="Arial" w:cs="Arial" w:eastAsia="Arial" w:hAnsi="Arial"/>
          <w:sz w:val="16"/>
          <w:szCs w:val="16"/>
          <w:color w:val="auto"/>
        </w:rPr>
        <w:t>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and the Federal Energy Regulatory Commission and other regulatory bodies in the United States; capital markets conditions, inflation rates, interest rates and exchange rates; energy and trading markets, including the timing and extent of changes in commodity prices; the availability of natural gas; weather conditions and conservation efforts; war and terrorist attacks; business, regulatory,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companies. Readers are cautioned not to rely unduly on any forward-looking statements and are urged to review and consider carefully the risks, uncertainties and other factors which affect the companies' business described in this report and other reports filed by the companies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346075</wp:posOffset>
            </wp:positionV>
            <wp:extent cx="73088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PART I. FINANCIAL INFORMATION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ITEM 1. CONDENSED CONSOLIDATED FINANCIAL STATEMENTS</w:t>
      </w:r>
    </w:p>
    <w:p>
      <w:pPr>
        <w:spacing w:after="0" w:line="13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PACIFIC ENTERPRISES AND SUBSIDIARIES</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STATEMENTS OF CONSOLIDATED INCOME</w:t>
      </w:r>
    </w:p>
    <w:p>
      <w:pPr>
        <w:spacing w:after="0" w:line="200" w:lineRule="exact"/>
        <w:rPr>
          <w:sz w:val="20"/>
          <w:szCs w:val="20"/>
          <w:color w:val="auto"/>
        </w:rPr>
      </w:pPr>
    </w:p>
    <w:p>
      <w:pPr>
        <w:spacing w:after="0" w:line="227" w:lineRule="exact"/>
        <w:rPr>
          <w:sz w:val="20"/>
          <w:szCs w:val="20"/>
          <w:color w:val="auto"/>
        </w:rPr>
      </w:pPr>
    </w:p>
    <w:tbl>
      <w:tblPr>
        <w:tblLayout w:type="fixed"/>
        <w:tblInd w:w="264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ind w:right="36"/>
              <w:spacing w:after="0"/>
              <w:rPr>
                <w:sz w:val="20"/>
                <w:szCs w:val="20"/>
                <w:color w:val="auto"/>
              </w:rPr>
            </w:pPr>
            <w:r>
              <w:rPr>
                <w:rFonts w:ascii="Arial" w:cs="Arial" w:eastAsia="Arial" w:hAnsi="Arial"/>
                <w:sz w:val="13"/>
                <w:szCs w:val="13"/>
                <w:color w:val="auto"/>
                <w:w w:val="86"/>
              </w:rPr>
              <w:t>Three months ended</w:t>
            </w:r>
          </w:p>
        </w:tc>
        <w:tc>
          <w:tcPr>
            <w:tcW w:w="500" w:type="dxa"/>
            <w:vAlign w:val="bottom"/>
          </w:tcPr>
          <w:p>
            <w:pPr>
              <w:spacing w:after="0"/>
              <w:rPr>
                <w:sz w:val="14"/>
                <w:szCs w:val="14"/>
                <w:color w:val="auto"/>
              </w:rPr>
            </w:pPr>
          </w:p>
        </w:tc>
        <w:tc>
          <w:tcPr>
            <w:tcW w:w="1280" w:type="dxa"/>
            <w:vAlign w:val="bottom"/>
            <w:gridSpan w:val="3"/>
          </w:tcPr>
          <w:p>
            <w:pPr>
              <w:jc w:val="center"/>
              <w:ind w:right="216"/>
              <w:spacing w:after="0"/>
              <w:rPr>
                <w:sz w:val="20"/>
                <w:szCs w:val="20"/>
                <w:color w:val="auto"/>
              </w:rPr>
            </w:pPr>
            <w:r>
              <w:rPr>
                <w:rFonts w:ascii="Arial" w:cs="Arial" w:eastAsia="Arial" w:hAnsi="Arial"/>
                <w:sz w:val="13"/>
                <w:szCs w:val="13"/>
                <w:color w:val="auto"/>
                <w:w w:val="88"/>
              </w:rPr>
              <w:t>Six months ended</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June 30,</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center"/>
              <w:ind w:left="196"/>
              <w:spacing w:after="0"/>
              <w:rPr>
                <w:sz w:val="20"/>
                <w:szCs w:val="20"/>
                <w:color w:val="auto"/>
              </w:rPr>
            </w:pPr>
            <w:r>
              <w:rPr>
                <w:rFonts w:ascii="Arial" w:cs="Arial" w:eastAsia="Arial" w:hAnsi="Arial"/>
                <w:sz w:val="13"/>
                <w:szCs w:val="13"/>
                <w:color w:val="auto"/>
                <w:w w:val="88"/>
              </w:rPr>
              <w:t>June 30,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120" w:type="dxa"/>
            <w:vAlign w:val="bottom"/>
            <w:vMerge w:val="restart"/>
          </w:tcPr>
          <w:p>
            <w:pPr>
              <w:spacing w:after="0"/>
              <w:rPr>
                <w:sz w:val="20"/>
                <w:szCs w:val="20"/>
                <w:color w:val="auto"/>
              </w:rPr>
            </w:pPr>
            <w:r>
              <w:rPr>
                <w:rFonts w:ascii="Arial" w:cs="Arial" w:eastAsia="Arial" w:hAnsi="Arial"/>
                <w:sz w:val="13"/>
                <w:szCs w:val="13"/>
                <w:color w:val="auto"/>
              </w:rPr>
              <w:t>(Dollars in millions)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1040" w:type="dxa"/>
            <w:vAlign w:val="bottom"/>
            <w:gridSpan w:val="2"/>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96"/>
              <w:spacing w:after="0"/>
              <w:rPr>
                <w:sz w:val="20"/>
                <w:szCs w:val="20"/>
                <w:color w:val="auto"/>
              </w:rPr>
            </w:pPr>
            <w:r>
              <w:rPr>
                <w:rFonts w:ascii="Arial" w:cs="Arial" w:eastAsia="Arial" w:hAnsi="Arial"/>
                <w:sz w:val="13"/>
                <w:szCs w:val="13"/>
                <w:color w:val="auto"/>
                <w:w w:val="89"/>
              </w:rPr>
              <w:t>2006</w:t>
            </w:r>
          </w:p>
        </w:tc>
        <w:tc>
          <w:tcPr>
            <w:tcW w:w="240" w:type="dxa"/>
            <w:vAlign w:val="bottom"/>
          </w:tcPr>
          <w:p>
            <w:pPr>
              <w:spacing w:after="0"/>
              <w:rPr>
                <w:sz w:val="14"/>
                <w:szCs w:val="14"/>
                <w:color w:val="auto"/>
              </w:rPr>
            </w:pPr>
          </w:p>
        </w:tc>
        <w:tc>
          <w:tcPr>
            <w:tcW w:w="380" w:type="dxa"/>
            <w:vAlign w:val="bottom"/>
          </w:tcPr>
          <w:p>
            <w:pPr>
              <w:jc w:val="right"/>
              <w:ind w:right="36"/>
              <w:spacing w:after="0"/>
              <w:rPr>
                <w:sz w:val="20"/>
                <w:szCs w:val="20"/>
                <w:color w:val="auto"/>
              </w:rPr>
            </w:pPr>
            <w:r>
              <w:rPr>
                <w:rFonts w:ascii="Arial" w:cs="Arial" w:eastAsia="Arial" w:hAnsi="Arial"/>
                <w:sz w:val="13"/>
                <w:szCs w:val="13"/>
                <w:color w:val="auto"/>
                <w:w w:val="89"/>
              </w:rPr>
              <w:t>2005</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color w:val="auto"/>
              </w:rPr>
              <w:t>2006</w:t>
            </w:r>
          </w:p>
        </w:tc>
        <w:tc>
          <w:tcPr>
            <w:tcW w:w="200" w:type="dxa"/>
            <w:vAlign w:val="bottom"/>
          </w:tcPr>
          <w:p>
            <w:pPr>
              <w:spacing w:after="0"/>
              <w:rPr>
                <w:sz w:val="14"/>
                <w:szCs w:val="14"/>
                <w:color w:val="auto"/>
              </w:rPr>
            </w:pPr>
          </w:p>
        </w:tc>
        <w:tc>
          <w:tcPr>
            <w:tcW w:w="540" w:type="dxa"/>
            <w:vAlign w:val="bottom"/>
          </w:tcPr>
          <w:p>
            <w:pPr>
              <w:jc w:val="right"/>
              <w:ind w:right="196"/>
              <w:spacing w:after="0"/>
              <w:rPr>
                <w:sz w:val="20"/>
                <w:szCs w:val="20"/>
                <w:color w:val="auto"/>
              </w:rPr>
            </w:pPr>
            <w:r>
              <w:rPr>
                <w:rFonts w:ascii="Arial" w:cs="Arial" w:eastAsia="Arial" w:hAnsi="Arial"/>
                <w:sz w:val="13"/>
                <w:szCs w:val="13"/>
                <w:color w:val="auto"/>
                <w:w w:val="89"/>
              </w:rPr>
              <w:t>2005</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1040" w:type="dxa"/>
            <w:vAlign w:val="bottom"/>
            <w:gridSpan w:val="2"/>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right"/>
              <w:ind w:right="376"/>
              <w:spacing w:after="0"/>
              <w:rPr>
                <w:sz w:val="20"/>
                <w:szCs w:val="20"/>
                <w:color w:val="auto"/>
              </w:rPr>
            </w:pPr>
            <w:r>
              <w:rPr>
                <w:rFonts w:ascii="Arial" w:cs="Arial" w:eastAsia="Arial" w:hAnsi="Arial"/>
                <w:sz w:val="13"/>
                <w:szCs w:val="13"/>
                <w:color w:val="auto"/>
                <w:w w:val="88"/>
              </w:rPr>
              <w:t>(unaudited)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3120" w:type="dxa"/>
            <w:vAlign w:val="bottom"/>
          </w:tcPr>
          <w:p>
            <w:pPr>
              <w:spacing w:after="0"/>
              <w:rPr>
                <w:sz w:val="20"/>
                <w:szCs w:val="20"/>
                <w:color w:val="auto"/>
              </w:rPr>
            </w:pPr>
            <w:r>
              <w:rPr>
                <w:rFonts w:ascii="Arial" w:cs="Arial" w:eastAsia="Arial" w:hAnsi="Arial"/>
                <w:sz w:val="13"/>
                <w:szCs w:val="13"/>
                <w:color w:val="auto"/>
              </w:rPr>
              <w:t>Operating revenues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908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940</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2,333</w:t>
            </w:r>
          </w:p>
        </w:tc>
        <w:tc>
          <w:tcPr>
            <w:tcW w:w="200" w:type="dxa"/>
            <w:vAlign w:val="bottom"/>
          </w:tcPr>
          <w:p>
            <w:pPr>
              <w:spacing w:after="0"/>
              <w:rPr>
                <w:sz w:val="24"/>
                <w:szCs w:val="2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$ 2,181</w:t>
            </w:r>
          </w:p>
        </w:tc>
        <w:tc>
          <w:tcPr>
            <w:tcW w:w="0" w:type="dxa"/>
            <w:vAlign w:val="bottom"/>
          </w:tcPr>
          <w:p>
            <w:pPr>
              <w:spacing w:after="0"/>
              <w:rPr>
                <w:sz w:val="1"/>
                <w:szCs w:val="1"/>
                <w:color w:val="auto"/>
              </w:rPr>
            </w:pPr>
          </w:p>
        </w:tc>
      </w:tr>
      <w:tr>
        <w:trPr>
          <w:trHeight w:val="31"/>
        </w:trPr>
        <w:tc>
          <w:tcPr>
            <w:tcW w:w="3120" w:type="dxa"/>
            <w:vAlign w:val="bottom"/>
            <w:vMerge w:val="restart"/>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120" w:type="dxa"/>
            <w:vAlign w:val="bottom"/>
          </w:tcPr>
          <w:p>
            <w:pPr>
              <w:ind w:left="60"/>
              <w:spacing w:after="0"/>
              <w:rPr>
                <w:sz w:val="20"/>
                <w:szCs w:val="20"/>
                <w:color w:val="auto"/>
              </w:rPr>
            </w:pPr>
            <w:r>
              <w:rPr>
                <w:rFonts w:ascii="Arial" w:cs="Arial" w:eastAsia="Arial" w:hAnsi="Arial"/>
                <w:sz w:val="13"/>
                <w:szCs w:val="13"/>
                <w:color w:val="auto"/>
              </w:rPr>
              <w:t>Cost of natural gas</w:t>
            </w: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476</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527</w:t>
            </w:r>
          </w:p>
        </w:tc>
        <w:tc>
          <w:tcPr>
            <w:tcW w:w="50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1,462</w:t>
            </w:r>
          </w:p>
        </w:tc>
        <w:tc>
          <w:tcPr>
            <w:tcW w:w="200" w:type="dxa"/>
            <w:vAlign w:val="bottom"/>
          </w:tcPr>
          <w:p>
            <w:pPr>
              <w:spacing w:after="0"/>
              <w:rPr>
                <w:sz w:val="17"/>
                <w:szCs w:val="17"/>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w w:val="85"/>
              </w:rPr>
              <w:t>1,328</w:t>
            </w:r>
          </w:p>
        </w:tc>
        <w:tc>
          <w:tcPr>
            <w:tcW w:w="0" w:type="dxa"/>
            <w:vAlign w:val="bottom"/>
          </w:tcPr>
          <w:p>
            <w:pPr>
              <w:spacing w:after="0"/>
              <w:rPr>
                <w:sz w:val="1"/>
                <w:szCs w:val="1"/>
                <w:color w:val="auto"/>
              </w:rPr>
            </w:pPr>
          </w:p>
        </w:tc>
      </w:tr>
      <w:tr>
        <w:trPr>
          <w:trHeight w:val="197"/>
        </w:trPr>
        <w:tc>
          <w:tcPr>
            <w:tcW w:w="3120" w:type="dxa"/>
            <w:vAlign w:val="bottom"/>
          </w:tcPr>
          <w:p>
            <w:pPr>
              <w:ind w:left="60"/>
              <w:spacing w:after="0"/>
              <w:rPr>
                <w:sz w:val="20"/>
                <w:szCs w:val="20"/>
                <w:color w:val="auto"/>
              </w:rPr>
            </w:pPr>
            <w:r>
              <w:rPr>
                <w:rFonts w:ascii="Arial" w:cs="Arial" w:eastAsia="Arial" w:hAnsi="Arial"/>
                <w:sz w:val="13"/>
                <w:szCs w:val="13"/>
                <w:color w:val="auto"/>
              </w:rPr>
              <w:t>Other operating expenses</w:t>
            </w: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233</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218</w:t>
            </w:r>
          </w:p>
        </w:tc>
        <w:tc>
          <w:tcPr>
            <w:tcW w:w="50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466</w:t>
            </w:r>
          </w:p>
        </w:tc>
        <w:tc>
          <w:tcPr>
            <w:tcW w:w="200" w:type="dxa"/>
            <w:vAlign w:val="bottom"/>
          </w:tcPr>
          <w:p>
            <w:pPr>
              <w:spacing w:after="0"/>
              <w:rPr>
                <w:sz w:val="17"/>
                <w:szCs w:val="17"/>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97"/>
        </w:trPr>
        <w:tc>
          <w:tcPr>
            <w:tcW w:w="3120" w:type="dxa"/>
            <w:vAlign w:val="bottom"/>
          </w:tcPr>
          <w:p>
            <w:pPr>
              <w:ind w:left="60"/>
              <w:spacing w:after="0"/>
              <w:rPr>
                <w:sz w:val="20"/>
                <w:szCs w:val="20"/>
                <w:color w:val="auto"/>
              </w:rPr>
            </w:pPr>
            <w:r>
              <w:rPr>
                <w:rFonts w:ascii="Arial" w:cs="Arial" w:eastAsia="Arial" w:hAnsi="Arial"/>
                <w:sz w:val="13"/>
                <w:szCs w:val="13"/>
                <w:color w:val="auto"/>
              </w:rPr>
              <w:t>Depreciation</w:t>
            </w: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67</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66</w:t>
            </w:r>
          </w:p>
        </w:tc>
        <w:tc>
          <w:tcPr>
            <w:tcW w:w="50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133</w:t>
            </w:r>
          </w:p>
        </w:tc>
        <w:tc>
          <w:tcPr>
            <w:tcW w:w="200" w:type="dxa"/>
            <w:vAlign w:val="bottom"/>
          </w:tcPr>
          <w:p>
            <w:pPr>
              <w:spacing w:after="0"/>
              <w:rPr>
                <w:sz w:val="17"/>
                <w:szCs w:val="17"/>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97"/>
        </w:trPr>
        <w:tc>
          <w:tcPr>
            <w:tcW w:w="3120" w:type="dxa"/>
            <w:vAlign w:val="bottom"/>
          </w:tcPr>
          <w:p>
            <w:pPr>
              <w:ind w:left="60"/>
              <w:spacing w:after="0"/>
              <w:rPr>
                <w:sz w:val="20"/>
                <w:szCs w:val="20"/>
                <w:color w:val="auto"/>
              </w:rPr>
            </w:pPr>
            <w:r>
              <w:rPr>
                <w:rFonts w:ascii="Arial" w:cs="Arial" w:eastAsia="Arial" w:hAnsi="Arial"/>
                <w:sz w:val="13"/>
                <w:szCs w:val="13"/>
                <w:color w:val="auto"/>
              </w:rPr>
              <w:t>Franchise fees and other taxes</w:t>
            </w: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w:t>
            </w:r>
          </w:p>
        </w:tc>
        <w:tc>
          <w:tcPr>
            <w:tcW w:w="50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66</w:t>
            </w:r>
          </w:p>
        </w:tc>
        <w:tc>
          <w:tcPr>
            <w:tcW w:w="200" w:type="dxa"/>
            <w:vAlign w:val="bottom"/>
          </w:tcPr>
          <w:p>
            <w:pPr>
              <w:spacing w:after="0"/>
              <w:rPr>
                <w:sz w:val="17"/>
                <w:szCs w:val="17"/>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31"/>
        </w:trPr>
        <w:tc>
          <w:tcPr>
            <w:tcW w:w="3120" w:type="dxa"/>
            <w:vAlign w:val="bottom"/>
            <w:vMerge w:val="restart"/>
          </w:tcPr>
          <w:p>
            <w:pPr>
              <w:ind w:left="440"/>
              <w:spacing w:after="0"/>
              <w:rPr>
                <w:sz w:val="20"/>
                <w:szCs w:val="20"/>
                <w:color w:val="auto"/>
              </w:rPr>
            </w:pPr>
            <w:r>
              <w:rPr>
                <w:rFonts w:ascii="Arial" w:cs="Arial" w:eastAsia="Arial" w:hAnsi="Arial"/>
                <w:sz w:val="13"/>
                <w:szCs w:val="13"/>
                <w:color w:val="auto"/>
              </w:rPr>
              <w:t>Total operating expenses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803</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839</w:t>
            </w:r>
          </w:p>
        </w:tc>
        <w:tc>
          <w:tcPr>
            <w:tcW w:w="50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2,127</w:t>
            </w:r>
          </w:p>
        </w:tc>
        <w:tc>
          <w:tcPr>
            <w:tcW w:w="200" w:type="dxa"/>
            <w:vAlign w:val="bottom"/>
          </w:tcPr>
          <w:p>
            <w:pPr>
              <w:spacing w:after="0"/>
              <w:rPr>
                <w:sz w:val="14"/>
                <w:szCs w:val="14"/>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w w:val="85"/>
              </w:rPr>
              <w:t>1,954</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3"/>
                <w:szCs w:val="13"/>
                <w:color w:val="auto"/>
              </w:rPr>
              <w:t>Operating income</w:t>
            </w:r>
          </w:p>
        </w:tc>
        <w:tc>
          <w:tcPr>
            <w:tcW w:w="140" w:type="dxa"/>
            <w:vAlign w:val="bottom"/>
          </w:tcPr>
          <w:p>
            <w:pPr>
              <w:spacing w:after="0"/>
              <w:rPr>
                <w:sz w:val="24"/>
                <w:szCs w:val="24"/>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105</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w:t>
            </w:r>
          </w:p>
        </w:tc>
        <w:tc>
          <w:tcPr>
            <w:tcW w:w="50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206</w:t>
            </w:r>
          </w:p>
        </w:tc>
        <w:tc>
          <w:tcPr>
            <w:tcW w:w="200" w:type="dxa"/>
            <w:vAlign w:val="bottom"/>
          </w:tcPr>
          <w:p>
            <w:pPr>
              <w:spacing w:after="0"/>
              <w:rPr>
                <w:sz w:val="24"/>
                <w:szCs w:val="24"/>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394"/>
        </w:trPr>
        <w:tc>
          <w:tcPr>
            <w:tcW w:w="3120" w:type="dxa"/>
            <w:vAlign w:val="bottom"/>
          </w:tcPr>
          <w:p>
            <w:pPr>
              <w:spacing w:after="0"/>
              <w:rPr>
                <w:sz w:val="20"/>
                <w:szCs w:val="20"/>
                <w:color w:val="auto"/>
              </w:rPr>
            </w:pPr>
            <w:r>
              <w:rPr>
                <w:rFonts w:ascii="Arial" w:cs="Arial" w:eastAsia="Arial" w:hAnsi="Arial"/>
                <w:sz w:val="13"/>
                <w:szCs w:val="13"/>
                <w:color w:val="auto"/>
              </w:rPr>
              <w:t>Other expense, net (Note 3)</w:t>
            </w:r>
          </w:p>
        </w:tc>
        <w:tc>
          <w:tcPr>
            <w:tcW w:w="140" w:type="dxa"/>
            <w:vAlign w:val="bottom"/>
          </w:tcPr>
          <w:p>
            <w:pPr>
              <w:spacing w:after="0"/>
              <w:rPr>
                <w:sz w:val="24"/>
                <w:szCs w:val="2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(1 )</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(2 )</w:t>
            </w:r>
          </w:p>
        </w:tc>
        <w:tc>
          <w:tcPr>
            <w:tcW w:w="200" w:type="dxa"/>
            <w:vAlign w:val="bottom"/>
          </w:tcPr>
          <w:p>
            <w:pPr>
              <w:spacing w:after="0"/>
              <w:rPr>
                <w:sz w:val="24"/>
                <w:szCs w:val="2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w:t>
            </w:r>
          </w:p>
        </w:tc>
        <w:tc>
          <w:tcPr>
            <w:tcW w:w="50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39</w:t>
            </w:r>
          </w:p>
        </w:tc>
        <w:tc>
          <w:tcPr>
            <w:tcW w:w="200" w:type="dxa"/>
            <w:vAlign w:val="bottom"/>
          </w:tcPr>
          <w:p>
            <w:pPr>
              <w:spacing w:after="0"/>
              <w:rPr>
                <w:sz w:val="17"/>
                <w:szCs w:val="17"/>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7"/>
                <w:szCs w:val="17"/>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(18 )</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(12 )</w:t>
            </w:r>
          </w:p>
        </w:tc>
        <w:tc>
          <w:tcPr>
            <w:tcW w:w="500" w:type="dxa"/>
            <w:vAlign w:val="bottom"/>
          </w:tcPr>
          <w:p>
            <w:pPr>
              <w:spacing w:after="0"/>
              <w:rPr>
                <w:sz w:val="17"/>
                <w:szCs w:val="17"/>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(37 )</w:t>
            </w:r>
          </w:p>
        </w:tc>
        <w:tc>
          <w:tcPr>
            <w:tcW w:w="200" w:type="dxa"/>
            <w:vAlign w:val="bottom"/>
          </w:tcPr>
          <w:p>
            <w:pPr>
              <w:spacing w:after="0"/>
              <w:rPr>
                <w:sz w:val="17"/>
                <w:szCs w:val="17"/>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31"/>
        </w:trPr>
        <w:tc>
          <w:tcPr>
            <w:tcW w:w="31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117</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95</w:t>
            </w:r>
          </w:p>
        </w:tc>
        <w:tc>
          <w:tcPr>
            <w:tcW w:w="50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206</w:t>
            </w:r>
          </w:p>
        </w:tc>
        <w:tc>
          <w:tcPr>
            <w:tcW w:w="200" w:type="dxa"/>
            <w:vAlign w:val="bottom"/>
          </w:tcPr>
          <w:p>
            <w:pPr>
              <w:spacing w:after="0"/>
              <w:rPr>
                <w:sz w:val="14"/>
                <w:szCs w:val="14"/>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394"/>
        </w:trPr>
        <w:tc>
          <w:tcPr>
            <w:tcW w:w="3120" w:type="dxa"/>
            <w:vAlign w:val="bottom"/>
          </w:tcPr>
          <w:p>
            <w:pPr>
              <w:spacing w:after="0"/>
              <w:rPr>
                <w:sz w:val="20"/>
                <w:szCs w:val="20"/>
                <w:color w:val="auto"/>
              </w:rPr>
            </w:pPr>
            <w:r>
              <w:rPr>
                <w:rFonts w:ascii="Arial" w:cs="Arial" w:eastAsia="Arial" w:hAnsi="Arial"/>
                <w:sz w:val="13"/>
                <w:szCs w:val="13"/>
                <w:color w:val="auto"/>
              </w:rPr>
              <w:t>Income tax expense</w:t>
            </w:r>
          </w:p>
        </w:tc>
        <w:tc>
          <w:tcPr>
            <w:tcW w:w="140" w:type="dxa"/>
            <w:vAlign w:val="bottom"/>
          </w:tcPr>
          <w:p>
            <w:pPr>
              <w:spacing w:after="0"/>
              <w:rPr>
                <w:sz w:val="24"/>
                <w:szCs w:val="24"/>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w:t>
            </w:r>
          </w:p>
        </w:tc>
        <w:tc>
          <w:tcPr>
            <w:tcW w:w="50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88</w:t>
            </w:r>
          </w:p>
        </w:tc>
        <w:tc>
          <w:tcPr>
            <w:tcW w:w="200" w:type="dxa"/>
            <w:vAlign w:val="bottom"/>
          </w:tcPr>
          <w:p>
            <w:pPr>
              <w:spacing w:after="0"/>
              <w:rPr>
                <w:sz w:val="24"/>
                <w:szCs w:val="24"/>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spacing w:after="0"/>
              <w:rPr>
                <w:sz w:val="24"/>
                <w:szCs w:val="24"/>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67</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58</w:t>
            </w:r>
          </w:p>
        </w:tc>
        <w:tc>
          <w:tcPr>
            <w:tcW w:w="50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118</w:t>
            </w:r>
          </w:p>
        </w:tc>
        <w:tc>
          <w:tcPr>
            <w:tcW w:w="200" w:type="dxa"/>
            <w:vAlign w:val="bottom"/>
          </w:tcPr>
          <w:p>
            <w:pPr>
              <w:spacing w:after="0"/>
              <w:rPr>
                <w:sz w:val="24"/>
                <w:szCs w:val="24"/>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3"/>
                <w:szCs w:val="13"/>
                <w:color w:val="auto"/>
              </w:rPr>
              <w:t>Preferred dividend requirements</w:t>
            </w: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50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7"/>
                <w:szCs w:val="17"/>
                <w:color w:val="auto"/>
              </w:rPr>
            </w:pP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1"/>
        </w:trPr>
        <w:tc>
          <w:tcPr>
            <w:tcW w:w="3120" w:type="dxa"/>
            <w:vAlign w:val="bottom"/>
            <w:vMerge w:val="restart"/>
          </w:tcPr>
          <w:p>
            <w:pPr>
              <w:spacing w:after="0"/>
              <w:rPr>
                <w:sz w:val="20"/>
                <w:szCs w:val="20"/>
                <w:color w:val="auto"/>
              </w:rPr>
            </w:pPr>
            <w:r>
              <w:rPr>
                <w:rFonts w:ascii="Arial" w:cs="Arial" w:eastAsia="Arial" w:hAnsi="Arial"/>
                <w:sz w:val="13"/>
                <w:szCs w:val="13"/>
                <w:color w:val="auto"/>
              </w:rPr>
              <w:t>Earnings applicable to common shares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66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57</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116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6"/>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321310</wp:posOffset>
            </wp:positionV>
            <wp:extent cx="730885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PACIFIC ENTERPRISES AND SUBSIDIARIES</w:t>
      </w:r>
    </w:p>
    <w:p>
      <w:pPr>
        <w:spacing w:after="0" w:line="13"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CONSOLIDATED BALANCE SHEETS</w:t>
      </w:r>
    </w:p>
    <w:p>
      <w:pPr>
        <w:spacing w:after="0" w:line="171" w:lineRule="exact"/>
        <w:rPr>
          <w:sz w:val="20"/>
          <w:szCs w:val="20"/>
          <w:color w:val="auto"/>
        </w:rPr>
      </w:pPr>
    </w:p>
    <w:tbl>
      <w:tblPr>
        <w:tblLayout w:type="fixed"/>
        <w:tblInd w:w="274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ind w:right="256"/>
              <w:spacing w:after="0"/>
              <w:rPr>
                <w:sz w:val="20"/>
                <w:szCs w:val="20"/>
                <w:color w:val="auto"/>
              </w:rPr>
            </w:pPr>
            <w:r>
              <w:rPr>
                <w:rFonts w:ascii="Arial" w:cs="Arial" w:eastAsia="Arial" w:hAnsi="Arial"/>
                <w:sz w:val="13"/>
                <w:szCs w:val="13"/>
                <w:color w:val="auto"/>
                <w:w w:val="96"/>
              </w:rPr>
              <w:t>June 30,</w:t>
            </w:r>
          </w:p>
        </w:tc>
        <w:tc>
          <w:tcPr>
            <w:tcW w:w="26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w w:val="85"/>
              </w:rPr>
              <w:t>December 31,</w:t>
            </w:r>
          </w:p>
        </w:tc>
      </w:tr>
      <w:tr>
        <w:trPr>
          <w:trHeight w:val="321"/>
        </w:trPr>
        <w:tc>
          <w:tcPr>
            <w:tcW w:w="3380" w:type="dxa"/>
            <w:vAlign w:val="bottom"/>
          </w:tcPr>
          <w:p>
            <w:pPr>
              <w:spacing w:after="0"/>
              <w:rPr>
                <w:sz w:val="20"/>
                <w:szCs w:val="20"/>
                <w:color w:val="auto"/>
              </w:rPr>
            </w:pPr>
            <w:r>
              <w:rPr>
                <w:rFonts w:ascii="Arial" w:cs="Arial" w:eastAsia="Arial" w:hAnsi="Arial"/>
                <w:sz w:val="13"/>
                <w:szCs w:val="13"/>
                <w:color w:val="auto"/>
              </w:rPr>
              <w:t>(Dollars in millions)</w:t>
            </w:r>
          </w:p>
        </w:tc>
        <w:tc>
          <w:tcPr>
            <w:tcW w:w="740" w:type="dxa"/>
            <w:vAlign w:val="bottom"/>
          </w:tcPr>
          <w:p>
            <w:pPr>
              <w:spacing w:after="0"/>
              <w:rPr>
                <w:sz w:val="24"/>
                <w:szCs w:val="24"/>
                <w:color w:val="auto"/>
              </w:rPr>
            </w:pPr>
          </w:p>
        </w:tc>
        <w:tc>
          <w:tcPr>
            <w:tcW w:w="820" w:type="dxa"/>
            <w:vAlign w:val="bottom"/>
          </w:tcPr>
          <w:p>
            <w:pPr>
              <w:jc w:val="right"/>
              <w:ind w:right="336"/>
              <w:spacing w:after="0"/>
              <w:rPr>
                <w:sz w:val="20"/>
                <w:szCs w:val="20"/>
                <w:color w:val="auto"/>
              </w:rPr>
            </w:pPr>
            <w:r>
              <w:rPr>
                <w:rFonts w:ascii="Arial" w:cs="Arial" w:eastAsia="Arial" w:hAnsi="Arial"/>
                <w:sz w:val="13"/>
                <w:szCs w:val="13"/>
                <w:color w:val="auto"/>
              </w:rPr>
              <w:t>2006</w:t>
            </w:r>
          </w:p>
        </w:tc>
        <w:tc>
          <w:tcPr>
            <w:tcW w:w="260" w:type="dxa"/>
            <w:vAlign w:val="bottom"/>
          </w:tcPr>
          <w:p>
            <w:pPr>
              <w:spacing w:after="0"/>
              <w:rPr>
                <w:sz w:val="24"/>
                <w:szCs w:val="24"/>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2005</w:t>
            </w:r>
          </w:p>
        </w:tc>
      </w:tr>
      <w:tr>
        <w:trPr>
          <w:trHeight w:val="183"/>
        </w:trPr>
        <w:tc>
          <w:tcPr>
            <w:tcW w:w="338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1880" w:type="dxa"/>
            <w:vAlign w:val="bottom"/>
            <w:gridSpan w:val="3"/>
            <w:shd w:val="clear" w:color="auto" w:fill="000000"/>
          </w:tcPr>
          <w:p>
            <w:pPr>
              <w:spacing w:after="0"/>
              <w:rPr>
                <w:sz w:val="15"/>
                <w:szCs w:val="15"/>
                <w:color w:val="auto"/>
              </w:rPr>
            </w:pPr>
          </w:p>
        </w:tc>
      </w:tr>
      <w:tr>
        <w:trPr>
          <w:trHeight w:val="166"/>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gridSpan w:val="3"/>
          </w:tcPr>
          <w:p>
            <w:pPr>
              <w:jc w:val="right"/>
              <w:ind w:right="656"/>
              <w:spacing w:after="0"/>
              <w:rPr>
                <w:sz w:val="20"/>
                <w:szCs w:val="20"/>
                <w:color w:val="auto"/>
              </w:rPr>
            </w:pPr>
            <w:r>
              <w:rPr>
                <w:rFonts w:ascii="Arial" w:cs="Arial" w:eastAsia="Arial" w:hAnsi="Arial"/>
                <w:sz w:val="13"/>
                <w:szCs w:val="13"/>
                <w:color w:val="auto"/>
              </w:rPr>
              <w:t>(unaudited)</w:t>
            </w:r>
          </w:p>
        </w:tc>
      </w:tr>
      <w:tr>
        <w:trPr>
          <w:trHeight w:val="197"/>
        </w:trPr>
        <w:tc>
          <w:tcPr>
            <w:tcW w:w="3380" w:type="dxa"/>
            <w:vAlign w:val="bottom"/>
          </w:tcPr>
          <w:p>
            <w:pPr>
              <w:spacing w:after="0"/>
              <w:rPr>
                <w:sz w:val="20"/>
                <w:szCs w:val="20"/>
                <w:color w:val="auto"/>
              </w:rPr>
            </w:pPr>
            <w:r>
              <w:rPr>
                <w:rFonts w:ascii="Arial" w:cs="Arial" w:eastAsia="Arial" w:hAnsi="Arial"/>
                <w:sz w:val="13"/>
                <w:szCs w:val="13"/>
                <w:color w:val="auto"/>
              </w:rPr>
              <w:t>ASSETS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393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90</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Accounts receivable - trade</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342</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694</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Accounts receivable - other</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29</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37</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Interest receivable</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9</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Due from unconsolidated affiliates</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34</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5</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Income taxes receivable</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74</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166</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Deferred income taxes</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20</w:t>
            </w:r>
          </w:p>
        </w:tc>
      </w:tr>
      <w:tr>
        <w:trPr>
          <w:trHeight w:val="192"/>
        </w:trPr>
        <w:tc>
          <w:tcPr>
            <w:tcW w:w="3380" w:type="dxa"/>
            <w:vAlign w:val="bottom"/>
          </w:tcPr>
          <w:p>
            <w:pPr>
              <w:ind w:left="100"/>
              <w:spacing w:after="0"/>
              <w:rPr>
                <w:sz w:val="20"/>
                <w:szCs w:val="20"/>
                <w:color w:val="auto"/>
              </w:rPr>
            </w:pPr>
            <w:r>
              <w:rPr>
                <w:rFonts w:ascii="Arial" w:cs="Arial" w:eastAsia="Arial" w:hAnsi="Arial"/>
                <w:sz w:val="13"/>
                <w:szCs w:val="13"/>
                <w:color w:val="auto"/>
              </w:rPr>
              <w:t>Regulatory assets arising from fixed-price contracts</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62"/>
        </w:trPr>
        <w:tc>
          <w:tcPr>
            <w:tcW w:w="3380" w:type="dxa"/>
            <w:vAlign w:val="bottom"/>
          </w:tcPr>
          <w:p>
            <w:pPr>
              <w:ind w:left="300"/>
              <w:spacing w:after="0"/>
              <w:rPr>
                <w:sz w:val="20"/>
                <w:szCs w:val="20"/>
                <w:color w:val="auto"/>
              </w:rPr>
            </w:pPr>
            <w:r>
              <w:rPr>
                <w:rFonts w:ascii="Arial" w:cs="Arial" w:eastAsia="Arial" w:hAnsi="Arial"/>
                <w:sz w:val="13"/>
                <w:szCs w:val="13"/>
                <w:color w:val="auto"/>
              </w:rPr>
              <w:t>and other derivatives</w:t>
            </w:r>
          </w:p>
        </w:tc>
        <w:tc>
          <w:tcPr>
            <w:tcW w:w="740" w:type="dxa"/>
            <w:vAlign w:val="bottom"/>
          </w:tcPr>
          <w:p>
            <w:pPr>
              <w:spacing w:after="0"/>
              <w:rPr>
                <w:sz w:val="14"/>
                <w:szCs w:val="14"/>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4"/>
                <w:szCs w:val="14"/>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52</w:t>
            </w:r>
          </w:p>
        </w:tc>
      </w:tr>
      <w:tr>
        <w:trPr>
          <w:trHeight w:val="177"/>
        </w:trPr>
        <w:tc>
          <w:tcPr>
            <w:tcW w:w="3380" w:type="dxa"/>
            <w:vAlign w:val="bottom"/>
          </w:tcPr>
          <w:p>
            <w:pPr>
              <w:ind w:left="100"/>
              <w:spacing w:after="0"/>
              <w:rPr>
                <w:sz w:val="20"/>
                <w:szCs w:val="20"/>
                <w:color w:val="auto"/>
              </w:rPr>
            </w:pPr>
            <w:r>
              <w:rPr>
                <w:rFonts w:ascii="Arial" w:cs="Arial" w:eastAsia="Arial" w:hAnsi="Arial"/>
                <w:sz w:val="13"/>
                <w:szCs w:val="13"/>
                <w:color w:val="auto"/>
              </w:rPr>
              <w:t>Other regulatory assets</w:t>
            </w:r>
          </w:p>
        </w:tc>
        <w:tc>
          <w:tcPr>
            <w:tcW w:w="740" w:type="dxa"/>
            <w:vAlign w:val="bottom"/>
          </w:tcPr>
          <w:p>
            <w:pPr>
              <w:spacing w:after="0"/>
              <w:rPr>
                <w:sz w:val="15"/>
                <w:szCs w:val="15"/>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36</w:t>
            </w:r>
          </w:p>
        </w:tc>
      </w:tr>
      <w:tr>
        <w:trPr>
          <w:trHeight w:val="197"/>
        </w:trPr>
        <w:tc>
          <w:tcPr>
            <w:tcW w:w="3380" w:type="dxa"/>
            <w:vAlign w:val="bottom"/>
          </w:tcPr>
          <w:p>
            <w:pPr>
              <w:ind w:left="100"/>
              <w:spacing w:after="0"/>
              <w:rPr>
                <w:sz w:val="20"/>
                <w:szCs w:val="20"/>
                <w:color w:val="auto"/>
              </w:rPr>
            </w:pPr>
            <w:r>
              <w:rPr>
                <w:rFonts w:ascii="Arial" w:cs="Arial" w:eastAsia="Arial" w:hAnsi="Arial"/>
                <w:sz w:val="13"/>
                <w:szCs w:val="13"/>
                <w:color w:val="auto"/>
              </w:rPr>
              <w:t>Inventories</w:t>
            </w:r>
          </w:p>
        </w:tc>
        <w:tc>
          <w:tcPr>
            <w:tcW w:w="7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42</w:t>
            </w:r>
          </w:p>
        </w:tc>
        <w:tc>
          <w:tcPr>
            <w:tcW w:w="26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121</w:t>
            </w:r>
          </w:p>
        </w:tc>
      </w:tr>
    </w:tbl>
    <w:p>
      <w:pPr>
        <w:sectPr>
          <w:pgSz w:w="11900" w:h="16838" w:orient="portrait"/>
          <w:cols w:equalWidth="0" w:num="1">
            <w:col w:w="11360"/>
          </w:cols>
          <w:pgMar w:left="220" w:top="124" w:right="319" w:bottom="0" w:gutter="0" w:footer="0" w:header="0"/>
        </w:sectPr>
      </w:pPr>
    </w:p>
    <w:bookmarkStart w:id="2" w:name="page3"/>
    <w:bookmarkEnd w:id="2"/>
    <w:p>
      <w:pPr>
        <w:ind w:left="1620"/>
        <w:spacing w:after="0"/>
        <w:rPr>
          <w:sz w:val="20"/>
          <w:szCs w:val="20"/>
          <w:color w:val="auto"/>
        </w:rPr>
      </w:pPr>
      <w:r>
        <w:rPr>
          <w:rFonts w:ascii="Arial" w:cs="Arial" w:eastAsia="Arial" w:hAnsi="Arial"/>
          <w:sz w:val="13"/>
          <w:szCs w:val="13"/>
          <w:color w:val="auto"/>
        </w:rPr>
        <w:t>Other</w:t>
      </w:r>
    </w:p>
    <w:p>
      <w:pPr>
        <w:spacing w:after="0" w:line="28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Total current assets</w:t>
      </w:r>
    </w:p>
    <w:p>
      <w:pPr>
        <w:spacing w:after="0" w:line="200" w:lineRule="exact"/>
        <w:rPr>
          <w:sz w:val="20"/>
          <w:szCs w:val="20"/>
          <w:color w:val="auto"/>
        </w:rPr>
      </w:pPr>
    </w:p>
    <w:p>
      <w:pPr>
        <w:spacing w:after="0" w:line="222"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Other assets:</w:t>
      </w:r>
    </w:p>
    <w:p>
      <w:pPr>
        <w:spacing w:after="0" w:line="47"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Due from unconsolidated affiliates</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Other regulatory assets</w:t>
      </w:r>
    </w:p>
    <w:p>
      <w:pPr>
        <w:spacing w:after="0" w:line="47"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Sundry</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Total other assets</w:t>
      </w:r>
    </w:p>
    <w:p>
      <w:pPr>
        <w:spacing w:after="0" w:line="200" w:lineRule="exact"/>
        <w:rPr>
          <w:sz w:val="20"/>
          <w:szCs w:val="20"/>
          <w:color w:val="auto"/>
        </w:rPr>
      </w:pPr>
    </w:p>
    <w:p>
      <w:pPr>
        <w:spacing w:after="0" w:line="222"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Property, plant and equipment:</w:t>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Property, plant and equipment</w:t>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Less accumulated depreciation</w:t>
      </w:r>
    </w:p>
    <w:p>
      <w:pPr>
        <w:spacing w:after="0" w:line="236" w:lineRule="exact"/>
        <w:rPr>
          <w:sz w:val="20"/>
          <w:szCs w:val="20"/>
          <w:color w:val="auto"/>
        </w:rPr>
      </w:pPr>
    </w:p>
    <w:p>
      <w:pPr>
        <w:jc w:val="right"/>
        <w:ind w:right="1280"/>
        <w:spacing w:after="0"/>
        <w:rPr>
          <w:sz w:val="20"/>
          <w:szCs w:val="20"/>
          <w:color w:val="auto"/>
        </w:rPr>
      </w:pPr>
      <w:r>
        <w:rPr>
          <w:rFonts w:ascii="Arial" w:cs="Arial" w:eastAsia="Arial" w:hAnsi="Arial"/>
          <w:sz w:val="12"/>
          <w:szCs w:val="12"/>
          <w:color w:val="auto"/>
        </w:rPr>
        <w:t>Property, plant and equipment, net</w:t>
      </w:r>
    </w:p>
    <w:p>
      <w:pPr>
        <w:spacing w:after="0" w:line="236"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25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16</w:t>
            </w:r>
          </w:p>
        </w:tc>
      </w:tr>
      <w:tr>
        <w:trPr>
          <w:trHeight w:val="90"/>
        </w:trPr>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177"/>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166"/>
        </w:trPr>
        <w:tc>
          <w:tcPr>
            <w:tcW w:w="26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1,009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1,246</w:t>
            </w:r>
          </w:p>
        </w:tc>
      </w:tr>
      <w:tr>
        <w:trPr>
          <w:trHeight w:val="31"/>
        </w:trPr>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77"/>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580"/>
        </w:trPr>
        <w:tc>
          <w:tcPr>
            <w:tcW w:w="260" w:type="dxa"/>
            <w:vAlign w:val="bottom"/>
          </w:tcPr>
          <w:p>
            <w:pPr>
              <w:spacing w:after="0"/>
              <w:rPr>
                <w:sz w:val="24"/>
                <w:szCs w:val="2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443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414</w:t>
            </w:r>
          </w:p>
        </w:tc>
      </w:tr>
      <w:tr>
        <w:trPr>
          <w:trHeight w:val="197"/>
        </w:trPr>
        <w:tc>
          <w:tcPr>
            <w:tcW w:w="26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166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143</w:t>
            </w:r>
          </w:p>
        </w:tc>
      </w:tr>
      <w:tr>
        <w:trPr>
          <w:trHeight w:val="177"/>
        </w:trPr>
        <w:tc>
          <w:tcPr>
            <w:tcW w:w="260" w:type="dxa"/>
            <w:vAlign w:val="bottom"/>
          </w:tcPr>
          <w:p>
            <w:pPr>
              <w:spacing w:after="0"/>
              <w:rPr>
                <w:sz w:val="15"/>
                <w:szCs w:val="15"/>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37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55</w:t>
            </w:r>
          </w:p>
        </w:tc>
      </w:tr>
      <w:tr>
        <w:trPr>
          <w:trHeight w:val="31"/>
        </w:trPr>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77"/>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166"/>
        </w:trPr>
        <w:tc>
          <w:tcPr>
            <w:tcW w:w="26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646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612</w:t>
            </w:r>
          </w:p>
        </w:tc>
      </w:tr>
      <w:tr>
        <w:trPr>
          <w:trHeight w:val="31"/>
        </w:trPr>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77"/>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580"/>
        </w:trPr>
        <w:tc>
          <w:tcPr>
            <w:tcW w:w="260" w:type="dxa"/>
            <w:vAlign w:val="bottom"/>
          </w:tcPr>
          <w:p>
            <w:pPr>
              <w:spacing w:after="0"/>
              <w:rPr>
                <w:sz w:val="24"/>
                <w:szCs w:val="2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7,926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7,764</w:t>
            </w:r>
          </w:p>
        </w:tc>
      </w:tr>
      <w:tr>
        <w:trPr>
          <w:trHeight w:val="203"/>
        </w:trPr>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(3,170 )</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(3,091 )</w:t>
            </w:r>
          </w:p>
        </w:tc>
      </w:tr>
      <w:tr>
        <w:trPr>
          <w:trHeight w:val="183"/>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191"/>
        </w:trPr>
        <w:tc>
          <w:tcPr>
            <w:tcW w:w="260" w:type="dxa"/>
            <w:vAlign w:val="bottom"/>
          </w:tcPr>
          <w:p>
            <w:pPr>
              <w:spacing w:after="0"/>
              <w:rPr>
                <w:sz w:val="16"/>
                <w:szCs w:val="16"/>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4,756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4,673</w:t>
            </w:r>
          </w:p>
        </w:tc>
      </w:tr>
      <w:tr>
        <w:trPr>
          <w:trHeight w:val="183"/>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166"/>
        </w:trPr>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6,411</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6,531</w:t>
            </w:r>
          </w:p>
        </w:tc>
      </w:tr>
      <w:tr>
        <w:trPr>
          <w:trHeight w:val="31"/>
        </w:trPr>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77"/>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7"/>
        </w:trPr>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bl>
    <w:p>
      <w:pPr>
        <w:spacing w:after="0" w:line="152" w:lineRule="exact"/>
        <w:rPr>
          <w:sz w:val="20"/>
          <w:szCs w:val="20"/>
          <w:color w:val="auto"/>
        </w:rPr>
      </w:pPr>
    </w:p>
    <w:p>
      <w:pPr>
        <w:sectPr>
          <w:pgSz w:w="11900" w:h="16838" w:orient="portrait"/>
          <w:cols w:equalWidth="0" w:num="2">
            <w:col w:w="4780" w:space="720"/>
            <w:col w:w="3519"/>
          </w:cols>
          <w:pgMar w:left="1440" w:top="74" w:right="1440" w:bottom="0" w:gutter="0" w:footer="0" w:header="0"/>
        </w:sect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321310</wp:posOffset>
            </wp:positionV>
            <wp:extent cx="730885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PACIFIC ENTERPRISES AND SUBSIDIARIES</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CONSOLIDATED BALANCE SHEETS</w:t>
      </w:r>
    </w:p>
    <w:p>
      <w:pPr>
        <w:spacing w:after="0" w:line="171"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3"/>
                <w:szCs w:val="13"/>
                <w:color w:val="auto"/>
                <w:w w:val="92"/>
              </w:rPr>
              <w:t>June 30,</w:t>
            </w: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321"/>
        </w:trPr>
        <w:tc>
          <w:tcPr>
            <w:tcW w:w="3860" w:type="dxa"/>
            <w:vAlign w:val="bottom"/>
          </w:tcPr>
          <w:p>
            <w:pPr>
              <w:ind w:left="20"/>
              <w:spacing w:after="0"/>
              <w:rPr>
                <w:sz w:val="20"/>
                <w:szCs w:val="20"/>
                <w:color w:val="auto"/>
              </w:rPr>
            </w:pPr>
            <w:r>
              <w:rPr>
                <w:rFonts w:ascii="Arial" w:cs="Arial" w:eastAsia="Arial" w:hAnsi="Arial"/>
                <w:sz w:val="13"/>
                <w:szCs w:val="13"/>
                <w:color w:val="auto"/>
              </w:rPr>
              <w:t>(Dollars in millions)</w:t>
            </w:r>
          </w:p>
        </w:tc>
        <w:tc>
          <w:tcPr>
            <w:tcW w:w="140" w:type="dxa"/>
            <w:vAlign w:val="bottom"/>
          </w:tcPr>
          <w:p>
            <w:pPr>
              <w:spacing w:after="0"/>
              <w:rPr>
                <w:sz w:val="24"/>
                <w:szCs w:val="24"/>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color w:val="auto"/>
              </w:rPr>
              <w:t>2006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236"/>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83"/>
        </w:trPr>
        <w:tc>
          <w:tcPr>
            <w:tcW w:w="3860" w:type="dxa"/>
            <w:vAlign w:val="bottom"/>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980" w:type="dxa"/>
            <w:vAlign w:val="bottom"/>
            <w:gridSpan w:val="2"/>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(unaudited)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20"/>
              <w:spacing w:after="0"/>
              <w:rPr>
                <w:sz w:val="20"/>
                <w:szCs w:val="20"/>
                <w:color w:val="auto"/>
              </w:rPr>
            </w:pPr>
            <w:r>
              <w:rPr>
                <w:rFonts w:ascii="Arial" w:cs="Arial" w:eastAsia="Arial" w:hAnsi="Arial"/>
                <w:sz w:val="13"/>
                <w:szCs w:val="13"/>
                <w:color w:val="auto"/>
              </w:rPr>
              <w:t>LIABILITIES AND SHAREHOLDERS' EQUITY</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Short-term debt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Accounts payable - trade</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189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Accounts payable - other</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76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Due to unconsolidated affiliates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95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Regulatory balancing accounts, net</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Fixed-price contracts and other derivatives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Customer deposits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85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Temporary LIFO liquidation</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48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233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40"/>
              <w:spacing w:after="0"/>
              <w:rPr>
                <w:sz w:val="20"/>
                <w:szCs w:val="20"/>
                <w:color w:val="auto"/>
              </w:rPr>
            </w:pPr>
            <w:r>
              <w:rPr>
                <w:rFonts w:ascii="Arial" w:cs="Arial" w:eastAsia="Arial" w:hAnsi="Arial"/>
                <w:sz w:val="13"/>
                <w:szCs w:val="13"/>
                <w:color w:val="auto"/>
              </w:rPr>
              <w:t>Total current liabilities</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939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1,117</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0"/>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1,103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0"/>
              <w:spacing w:after="0"/>
              <w:rPr>
                <w:sz w:val="20"/>
                <w:szCs w:val="20"/>
                <w:color w:val="auto"/>
              </w:rPr>
            </w:pPr>
            <w:r>
              <w:rPr>
                <w:rFonts w:ascii="Arial" w:cs="Arial" w:eastAsia="Arial" w:hAnsi="Arial"/>
                <w:sz w:val="13"/>
                <w:szCs w:val="13"/>
                <w:color w:val="auto"/>
              </w:rPr>
              <w:t>Deferred credits and other liabilities:</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Customer advances for construction</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83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Postretirement benefits other than pensions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62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Deferred investment tax credits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17"/>
        </w:trPr>
        <w:tc>
          <w:tcPr>
            <w:tcW w:w="3860" w:type="dxa"/>
            <w:vAlign w:val="bottom"/>
          </w:tcPr>
          <w:p>
            <w:pPr>
              <w:ind w:left="120"/>
              <w:spacing w:after="0"/>
              <w:rPr>
                <w:sz w:val="20"/>
                <w:szCs w:val="20"/>
                <w:color w:val="auto"/>
              </w:rPr>
            </w:pPr>
            <w:r>
              <w:rPr>
                <w:rFonts w:ascii="Arial" w:cs="Arial" w:eastAsia="Arial" w:hAnsi="Arial"/>
                <w:sz w:val="13"/>
                <w:szCs w:val="13"/>
                <w:color w:val="auto"/>
              </w:rPr>
              <w:t>Regulatory liabilities arising from removal obligations</w:t>
            </w:r>
          </w:p>
        </w:tc>
        <w:tc>
          <w:tcPr>
            <w:tcW w:w="14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1,110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1,097</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Asset retirement obligations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519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77"/>
        </w:trPr>
        <w:tc>
          <w:tcPr>
            <w:tcW w:w="3860" w:type="dxa"/>
            <w:vAlign w:val="bottom"/>
          </w:tcPr>
          <w:p>
            <w:pPr>
              <w:ind w:left="120"/>
              <w:spacing w:after="0"/>
              <w:rPr>
                <w:sz w:val="20"/>
                <w:szCs w:val="20"/>
                <w:color w:val="auto"/>
              </w:rPr>
            </w:pPr>
            <w:r>
              <w:rPr>
                <w:rFonts w:ascii="Arial" w:cs="Arial" w:eastAsia="Arial" w:hAnsi="Arial"/>
                <w:sz w:val="13"/>
                <w:szCs w:val="13"/>
                <w:color w:val="auto"/>
              </w:rPr>
              <w:t>Deferred taxes refundable in rates</w:t>
            </w:r>
          </w:p>
        </w:tc>
        <w:tc>
          <w:tcPr>
            <w:tcW w:w="140" w:type="dxa"/>
            <w:vAlign w:val="bottom"/>
          </w:tcPr>
          <w:p>
            <w:pPr>
              <w:spacing w:after="0"/>
              <w:rPr>
                <w:sz w:val="15"/>
                <w:szCs w:val="15"/>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206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Preferred stock of subsidiary</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Deferred credits and other</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378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40"/>
              <w:spacing w:after="0"/>
              <w:rPr>
                <w:sz w:val="20"/>
                <w:szCs w:val="20"/>
                <w:color w:val="auto"/>
              </w:rPr>
            </w:pPr>
            <w:r>
              <w:rPr>
                <w:rFonts w:ascii="Arial" w:cs="Arial" w:eastAsia="Arial" w:hAnsi="Arial"/>
                <w:sz w:val="13"/>
                <w:szCs w:val="13"/>
                <w:color w:val="auto"/>
              </w:rPr>
              <w:t>Total deferred credits and other liabilities</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2,519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2,480</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0"/>
              <w:spacing w:after="0"/>
              <w:rPr>
                <w:sz w:val="20"/>
                <w:szCs w:val="20"/>
                <w:color w:val="auto"/>
              </w:rPr>
            </w:pPr>
            <w:r>
              <w:rPr>
                <w:rFonts w:ascii="Arial" w:cs="Arial" w:eastAsia="Arial" w:hAnsi="Arial"/>
                <w:sz w:val="13"/>
                <w:szCs w:val="13"/>
                <w:color w:val="auto"/>
              </w:rPr>
              <w:t>Commitments and contingencies (Note 6)</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860" w:type="dxa"/>
            <w:vAlign w:val="bottom"/>
          </w:tcPr>
          <w:p>
            <w:pPr>
              <w:ind w:left="20"/>
              <w:spacing w:after="0"/>
              <w:rPr>
                <w:sz w:val="20"/>
                <w:szCs w:val="20"/>
                <w:color w:val="auto"/>
              </w:rPr>
            </w:pPr>
            <w:r>
              <w:rPr>
                <w:rFonts w:ascii="Arial" w:cs="Arial" w:eastAsia="Arial" w:hAnsi="Arial"/>
                <w:sz w:val="13"/>
                <w:szCs w:val="13"/>
                <w:color w:val="auto"/>
              </w:rPr>
              <w:t>Shareholders' equity:</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60" w:type="dxa"/>
            <w:vAlign w:val="bottom"/>
          </w:tcPr>
          <w:p>
            <w:pPr>
              <w:ind w:left="120"/>
              <w:spacing w:after="0"/>
              <w:rPr>
                <w:sz w:val="20"/>
                <w:szCs w:val="20"/>
                <w:color w:val="auto"/>
              </w:rPr>
            </w:pPr>
            <w:r>
              <w:rPr>
                <w:rFonts w:ascii="Arial" w:cs="Arial" w:eastAsia="Arial" w:hAnsi="Arial"/>
                <w:sz w:val="13"/>
                <w:szCs w:val="13"/>
                <w:color w:val="auto"/>
              </w:rPr>
              <w:t>Preferred stock</w:t>
            </w:r>
          </w:p>
        </w:tc>
        <w:tc>
          <w:tcPr>
            <w:tcW w:w="14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7"/>
        </w:trPr>
        <w:tc>
          <w:tcPr>
            <w:tcW w:w="3860" w:type="dxa"/>
            <w:vAlign w:val="bottom"/>
          </w:tcPr>
          <w:p>
            <w:pPr>
              <w:ind w:left="120"/>
              <w:spacing w:after="0"/>
              <w:rPr>
                <w:sz w:val="20"/>
                <w:szCs w:val="20"/>
                <w:color w:val="auto"/>
              </w:rPr>
            </w:pPr>
            <w:r>
              <w:rPr>
                <w:rFonts w:ascii="Arial" w:cs="Arial" w:eastAsia="Arial" w:hAnsi="Arial"/>
                <w:sz w:val="13"/>
                <w:szCs w:val="13"/>
                <w:color w:val="auto"/>
              </w:rPr>
              <w:t>Common stock (600 million shares authorized;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240"/>
              <w:spacing w:after="0"/>
              <w:rPr>
                <w:sz w:val="20"/>
                <w:szCs w:val="20"/>
                <w:color w:val="auto"/>
              </w:rPr>
            </w:pPr>
            <w:r>
              <w:rPr>
                <w:rFonts w:ascii="Arial" w:cs="Arial" w:eastAsia="Arial" w:hAnsi="Arial"/>
                <w:sz w:val="13"/>
                <w:szCs w:val="13"/>
                <w:color w:val="auto"/>
              </w:rPr>
              <w:t>84 million shares outstanding)</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1,453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1,453</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97"/>
        </w:trPr>
        <w:tc>
          <w:tcPr>
            <w:tcW w:w="3860" w:type="dxa"/>
            <w:vAlign w:val="bottom"/>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40"/>
              <w:spacing w:after="0"/>
              <w:rPr>
                <w:sz w:val="20"/>
                <w:szCs w:val="20"/>
                <w:color w:val="auto"/>
              </w:rPr>
            </w:pPr>
            <w:r>
              <w:rPr>
                <w:rFonts w:ascii="Arial" w:cs="Arial" w:eastAsia="Arial" w:hAnsi="Arial"/>
                <w:sz w:val="13"/>
                <w:szCs w:val="13"/>
                <w:color w:val="auto"/>
              </w:rPr>
              <w:t>Total shareholders' equity</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1,850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1,834</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20"/>
              <w:spacing w:after="0"/>
              <w:rPr>
                <w:sz w:val="20"/>
                <w:szCs w:val="20"/>
                <w:color w:val="auto"/>
              </w:rPr>
            </w:pPr>
            <w:r>
              <w:rPr>
                <w:rFonts w:ascii="Arial" w:cs="Arial" w:eastAsia="Arial" w:hAnsi="Arial"/>
                <w:sz w:val="13"/>
                <w:szCs w:val="13"/>
                <w:color w:val="auto"/>
              </w:rPr>
              <w:t>Total liabilities and shareholders' equity</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6,411</w:t>
            </w:r>
          </w:p>
        </w:tc>
        <w:tc>
          <w:tcPr>
            <w:tcW w:w="5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6,531</w:t>
            </w:r>
          </w:p>
        </w:tc>
        <w:tc>
          <w:tcPr>
            <w:tcW w:w="0" w:type="dxa"/>
            <w:vAlign w:val="bottom"/>
          </w:tcPr>
          <w:p>
            <w:pPr>
              <w:spacing w:after="0"/>
              <w:rPr>
                <w:sz w:val="1"/>
                <w:szCs w:val="1"/>
                <w:color w:val="auto"/>
              </w:rPr>
            </w:pPr>
          </w:p>
        </w:tc>
      </w:tr>
      <w:tr>
        <w:trPr>
          <w:trHeight w:val="31"/>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9019"/>
          </w:cols>
          <w:pgMar w:left="1440" w:top="74" w:right="1440" w:bottom="0" w:gutter="0" w:footer="0" w:header="0"/>
          <w:type w:val="continuous"/>
        </w:sectPr>
      </w:pPr>
    </w:p>
    <w:p>
      <w:pPr>
        <w:jc w:val="center"/>
        <w:spacing w:after="0"/>
        <w:rPr>
          <w:sz w:val="20"/>
          <w:szCs w:val="20"/>
          <w:color w:val="auto"/>
        </w:rPr>
      </w:pPr>
      <w:r>
        <w:rPr>
          <w:rFonts w:ascii="Arial" w:cs="Arial" w:eastAsia="Arial" w:hAnsi="Arial"/>
          <w:sz w:val="11"/>
          <w:szCs w:val="11"/>
          <w:color w:val="auto"/>
        </w:rPr>
        <w:t>See notes to Consolidated Financial Statements.</w:t>
      </w:r>
    </w:p>
    <w:p>
      <w:pPr>
        <w:sectPr>
          <w:pgSz w:w="11900" w:h="16838" w:orient="portrait"/>
          <w:cols w:equalWidth="0" w:num="1">
            <w:col w:w="9019"/>
          </w:cols>
          <w:pgMar w:left="1440" w:top="74" w:right="1440" w:bottom="0" w:gutter="0" w:footer="0" w:header="0"/>
          <w:type w:val="continuous"/>
        </w:sectPr>
      </w:pPr>
    </w:p>
    <w:bookmarkStart w:id="3" w:name="page4"/>
    <w:bookmarkEnd w:id="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126365</wp:posOffset>
            </wp:positionH>
            <wp:positionV relativeFrom="page">
              <wp:posOffset>320040</wp:posOffset>
            </wp:positionV>
            <wp:extent cx="730885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PACIFIC ENTERPRISES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CONDENSED STATEMENTS OF CONSOLIDATED CASH FLOWS</w:t>
      </w:r>
    </w:p>
    <w:p>
      <w:pPr>
        <w:spacing w:after="0" w:line="141"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56"/>
              <w:spacing w:after="0"/>
              <w:rPr>
                <w:sz w:val="20"/>
                <w:szCs w:val="20"/>
                <w:color w:val="auto"/>
              </w:rPr>
            </w:pPr>
            <w:r>
              <w:rPr>
                <w:rFonts w:ascii="Arial" w:cs="Arial" w:eastAsia="Arial" w:hAnsi="Arial"/>
                <w:sz w:val="13"/>
                <w:szCs w:val="13"/>
                <w:color w:val="auto"/>
                <w:w w:val="88"/>
              </w:rPr>
              <w:t>Six months ended</w:t>
            </w:r>
          </w:p>
        </w:tc>
        <w:tc>
          <w:tcPr>
            <w:tcW w:w="0" w:type="dxa"/>
            <w:vAlign w:val="bottom"/>
          </w:tcPr>
          <w:p>
            <w:pPr>
              <w:spacing w:after="0"/>
              <w:rPr>
                <w:sz w:val="1"/>
                <w:szCs w:val="1"/>
                <w:color w:val="auto"/>
              </w:rPr>
            </w:pPr>
          </w:p>
        </w:tc>
      </w:tr>
      <w:tr>
        <w:trPr>
          <w:trHeight w:val="197"/>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June 30,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120" w:type="dxa"/>
            <w:vAlign w:val="bottom"/>
            <w:vMerge w:val="restart"/>
          </w:tcPr>
          <w:p>
            <w:pPr>
              <w:spacing w:after="0"/>
              <w:rPr>
                <w:sz w:val="20"/>
                <w:szCs w:val="20"/>
                <w:color w:val="auto"/>
              </w:rPr>
            </w:pPr>
            <w:r>
              <w:rPr>
                <w:rFonts w:ascii="Arial" w:cs="Arial" w:eastAsia="Arial" w:hAnsi="Arial"/>
                <w:sz w:val="13"/>
                <w:szCs w:val="13"/>
                <w:color w:val="auto"/>
              </w:rPr>
              <w:t>(Dollars in millions)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96"/>
              <w:spacing w:after="0"/>
              <w:rPr>
                <w:sz w:val="20"/>
                <w:szCs w:val="20"/>
                <w:color w:val="auto"/>
              </w:rPr>
            </w:pPr>
            <w:r>
              <w:rPr>
                <w:rFonts w:ascii="Arial" w:cs="Arial" w:eastAsia="Arial" w:hAnsi="Arial"/>
                <w:sz w:val="13"/>
                <w:szCs w:val="13"/>
                <w:color w:val="auto"/>
                <w:w w:val="96"/>
              </w:rPr>
              <w:t>2006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3"/>
                <w:szCs w:val="13"/>
                <w:color w:val="auto"/>
                <w:w w:val="96"/>
              </w:rPr>
              <w:t>2005</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860" w:type="dxa"/>
            <w:vAlign w:val="bottom"/>
            <w:gridSpan w:val="2"/>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left="296"/>
              <w:spacing w:after="0"/>
              <w:rPr>
                <w:sz w:val="20"/>
                <w:szCs w:val="20"/>
                <w:color w:val="auto"/>
              </w:rPr>
            </w:pPr>
            <w:r>
              <w:rPr>
                <w:rFonts w:ascii="Arial" w:cs="Arial" w:eastAsia="Arial" w:hAnsi="Arial"/>
                <w:sz w:val="13"/>
                <w:szCs w:val="13"/>
                <w:color w:val="auto"/>
                <w:w w:val="91"/>
              </w:rPr>
              <w:t>(unaudited)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12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118</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Adjustments to reconcile net income to net cash provided by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20" w:type="dxa"/>
            <w:vAlign w:val="bottom"/>
          </w:tcPr>
          <w:p>
            <w:pPr>
              <w:ind w:left="300"/>
              <w:spacing w:after="0"/>
              <w:rPr>
                <w:sz w:val="20"/>
                <w:szCs w:val="20"/>
                <w:color w:val="auto"/>
              </w:rPr>
            </w:pPr>
            <w:r>
              <w:rPr>
                <w:rFonts w:ascii="Arial" w:cs="Arial" w:eastAsia="Arial" w:hAnsi="Arial"/>
                <w:sz w:val="13"/>
                <w:szCs w:val="13"/>
                <w:color w:val="auto"/>
              </w:rPr>
              <w:t>operating activities: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tcPr>
          <w:p>
            <w:pPr>
              <w:ind w:left="360"/>
              <w:spacing w:after="0"/>
              <w:rPr>
                <w:sz w:val="20"/>
                <w:szCs w:val="20"/>
                <w:color w:val="auto"/>
              </w:rPr>
            </w:pPr>
            <w:r>
              <w:rPr>
                <w:rFonts w:ascii="Arial" w:cs="Arial" w:eastAsia="Arial" w:hAnsi="Arial"/>
                <w:sz w:val="13"/>
                <w:szCs w:val="13"/>
                <w:color w:val="auto"/>
              </w:rPr>
              <w:t>Depreciation</w:t>
            </w:r>
          </w:p>
        </w:tc>
        <w:tc>
          <w:tcPr>
            <w:tcW w:w="12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133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97"/>
        </w:trPr>
        <w:tc>
          <w:tcPr>
            <w:tcW w:w="4120" w:type="dxa"/>
            <w:vAlign w:val="bottom"/>
          </w:tcPr>
          <w:p>
            <w:pPr>
              <w:ind w:left="360"/>
              <w:spacing w:after="0"/>
              <w:rPr>
                <w:sz w:val="20"/>
                <w:szCs w:val="20"/>
                <w:color w:val="auto"/>
              </w:rPr>
            </w:pPr>
            <w:r>
              <w:rPr>
                <w:rFonts w:ascii="Arial" w:cs="Arial" w:eastAsia="Arial" w:hAnsi="Arial"/>
                <w:sz w:val="13"/>
                <w:szCs w:val="13"/>
                <w:color w:val="auto"/>
              </w:rPr>
              <w:t>Deferred income taxes and investment tax credits</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7"/>
        </w:trPr>
        <w:tc>
          <w:tcPr>
            <w:tcW w:w="4120" w:type="dxa"/>
            <w:vAlign w:val="bottom"/>
          </w:tcPr>
          <w:p>
            <w:pPr>
              <w:ind w:left="360"/>
              <w:spacing w:after="0"/>
              <w:rPr>
                <w:sz w:val="20"/>
                <w:szCs w:val="20"/>
                <w:color w:val="auto"/>
              </w:rPr>
            </w:pPr>
            <w:r>
              <w:rPr>
                <w:rFonts w:ascii="Arial" w:cs="Arial" w:eastAsia="Arial" w:hAnsi="Arial"/>
                <w:sz w:val="13"/>
                <w:szCs w:val="13"/>
                <w:color w:val="auto"/>
              </w:rPr>
              <w:t>Gain on sale of assets</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120" w:type="dxa"/>
            <w:vAlign w:val="bottom"/>
          </w:tcPr>
          <w:p>
            <w:pPr>
              <w:ind w:left="360"/>
              <w:spacing w:after="0"/>
              <w:rPr>
                <w:sz w:val="20"/>
                <w:szCs w:val="20"/>
                <w:color w:val="auto"/>
              </w:rPr>
            </w:pPr>
            <w:r>
              <w:rPr>
                <w:rFonts w:ascii="Arial" w:cs="Arial" w:eastAsia="Arial" w:hAnsi="Arial"/>
                <w:sz w:val="13"/>
                <w:szCs w:val="13"/>
                <w:color w:val="auto"/>
              </w:rPr>
              <w:t>Accretion of interest</w:t>
            </w:r>
          </w:p>
        </w:tc>
        <w:tc>
          <w:tcPr>
            <w:tcW w:w="1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Net changes in other working capital components</w:t>
            </w:r>
          </w:p>
        </w:tc>
        <w:tc>
          <w:tcPr>
            <w:tcW w:w="1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547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Changes in other assets</w:t>
            </w:r>
          </w:p>
        </w:tc>
        <w:tc>
          <w:tcPr>
            <w:tcW w:w="1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Changes in other liabilities</w:t>
            </w:r>
          </w:p>
        </w:tc>
        <w:tc>
          <w:tcPr>
            <w:tcW w:w="1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31"/>
        </w:trPr>
        <w:tc>
          <w:tcPr>
            <w:tcW w:w="4120" w:type="dxa"/>
            <w:vAlign w:val="bottom"/>
            <w:vMerge w:val="restart"/>
          </w:tcPr>
          <w:p>
            <w:pPr>
              <w:ind w:left="360"/>
              <w:spacing w:after="0"/>
              <w:rPr>
                <w:sz w:val="20"/>
                <w:szCs w:val="20"/>
                <w:color w:val="auto"/>
              </w:rPr>
            </w:pPr>
            <w:r>
              <w:rPr>
                <w:rFonts w:ascii="Arial" w:cs="Arial" w:eastAsia="Arial" w:hAnsi="Arial"/>
                <w:sz w:val="13"/>
                <w:szCs w:val="13"/>
                <w:color w:val="auto"/>
              </w:rPr>
              <w:t>Net cash provided by operating activities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806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31"/>
        </w:trPr>
        <w:tc>
          <w:tcPr>
            <w:tcW w:w="4120" w:type="dxa"/>
            <w:vAlign w:val="bottom"/>
            <w:vMerge w:val="restart"/>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Expenditures for property, plant and equipment</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(193 )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(146 )</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Increase in loans to affiliates, net</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(122 )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(194 )</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Proceeds from sale of assets</w:t>
            </w:r>
          </w:p>
        </w:tc>
        <w:tc>
          <w:tcPr>
            <w:tcW w:w="1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4120" w:type="dxa"/>
            <w:vAlign w:val="bottom"/>
            <w:vMerge w:val="restart"/>
          </w:tcPr>
          <w:p>
            <w:pPr>
              <w:ind w:left="360"/>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(313 )</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(340 )</w:t>
            </w:r>
          </w:p>
        </w:tc>
        <w:tc>
          <w:tcPr>
            <w:tcW w:w="0" w:type="dxa"/>
            <w:vAlign w:val="bottom"/>
          </w:tcPr>
          <w:p>
            <w:pPr>
              <w:spacing w:after="0"/>
              <w:rPr>
                <w:sz w:val="1"/>
                <w:szCs w:val="1"/>
                <w:color w:val="auto"/>
              </w:rPr>
            </w:pPr>
          </w:p>
        </w:tc>
      </w:tr>
      <w:tr>
        <w:trPr>
          <w:trHeight w:val="31"/>
        </w:trPr>
        <w:tc>
          <w:tcPr>
            <w:tcW w:w="4120" w:type="dxa"/>
            <w:vAlign w:val="bottom"/>
            <w:vMerge w:val="restart"/>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Common dividends paid</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Preferred dividends paid</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Decrease in short-term debt</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(88 )</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31"/>
        </w:trPr>
        <w:tc>
          <w:tcPr>
            <w:tcW w:w="4120" w:type="dxa"/>
            <w:vAlign w:val="bottom"/>
            <w:vMerge w:val="restart"/>
          </w:tcPr>
          <w:p>
            <w:pPr>
              <w:ind w:left="360"/>
              <w:spacing w:after="0"/>
              <w:rPr>
                <w:sz w:val="20"/>
                <w:szCs w:val="20"/>
                <w:color w:val="auto"/>
              </w:rPr>
            </w:pPr>
            <w:r>
              <w:rPr>
                <w:rFonts w:ascii="Arial" w:cs="Arial" w:eastAsia="Arial" w:hAnsi="Arial"/>
                <w:sz w:val="13"/>
                <w:szCs w:val="13"/>
                <w:color w:val="auto"/>
              </w:rPr>
              <w:t>Net cash used in financing activities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(190 )</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(132 )</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120" w:type="dxa"/>
            <w:vAlign w:val="bottom"/>
          </w:tcPr>
          <w:p>
            <w:pPr>
              <w:spacing w:after="0"/>
              <w:rPr>
                <w:sz w:val="20"/>
                <w:szCs w:val="20"/>
                <w:color w:val="auto"/>
              </w:rPr>
            </w:pPr>
            <w:r>
              <w:rPr>
                <w:rFonts w:ascii="Arial" w:cs="Arial" w:eastAsia="Arial" w:hAnsi="Arial"/>
                <w:sz w:val="13"/>
                <w:szCs w:val="13"/>
                <w:color w:val="auto"/>
              </w:rPr>
              <w:t>Increase (decrease) in cash and cash equivalents</w:t>
            </w:r>
          </w:p>
        </w:tc>
        <w:tc>
          <w:tcPr>
            <w:tcW w:w="120" w:type="dxa"/>
            <w:vAlign w:val="bottom"/>
          </w:tcPr>
          <w:p>
            <w:pPr>
              <w:spacing w:after="0"/>
              <w:rPr>
                <w:sz w:val="24"/>
                <w:szCs w:val="2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303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97"/>
        </w:trPr>
        <w:tc>
          <w:tcPr>
            <w:tcW w:w="4120" w:type="dxa"/>
            <w:vAlign w:val="bottom"/>
          </w:tcPr>
          <w:p>
            <w:pPr>
              <w:spacing w:after="0"/>
              <w:rPr>
                <w:sz w:val="20"/>
                <w:szCs w:val="20"/>
                <w:color w:val="auto"/>
              </w:rPr>
            </w:pPr>
            <w:r>
              <w:rPr>
                <w:rFonts w:ascii="Arial" w:cs="Arial" w:eastAsia="Arial" w:hAnsi="Arial"/>
                <w:sz w:val="13"/>
                <w:szCs w:val="13"/>
                <w:color w:val="auto"/>
              </w:rPr>
              <w:t>Cash and cash equivalents, January 1</w:t>
            </w:r>
          </w:p>
        </w:tc>
        <w:tc>
          <w:tcPr>
            <w:tcW w:w="1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90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31"/>
        </w:trPr>
        <w:tc>
          <w:tcPr>
            <w:tcW w:w="4120" w:type="dxa"/>
            <w:vAlign w:val="bottom"/>
            <w:vMerge w:val="restart"/>
          </w:tcPr>
          <w:p>
            <w:pPr>
              <w:spacing w:after="0"/>
              <w:rPr>
                <w:sz w:val="20"/>
                <w:szCs w:val="20"/>
                <w:color w:val="auto"/>
              </w:rPr>
            </w:pPr>
            <w:r>
              <w:rPr>
                <w:rFonts w:ascii="Arial" w:cs="Arial" w:eastAsia="Arial" w:hAnsi="Arial"/>
                <w:sz w:val="13"/>
                <w:szCs w:val="13"/>
                <w:color w:val="auto"/>
              </w:rPr>
              <w:t>Cash and cash equivalents, June 30</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31"/>
        </w:trPr>
        <w:tc>
          <w:tcPr>
            <w:tcW w:w="4120" w:type="dxa"/>
            <w:vAlign w:val="bottom"/>
            <w:vMerge w:val="restart"/>
          </w:tcPr>
          <w:p>
            <w:pPr>
              <w:spacing w:after="0"/>
              <w:rPr>
                <w:sz w:val="20"/>
                <w:szCs w:val="20"/>
                <w:color w:val="auto"/>
              </w:rPr>
            </w:pPr>
            <w:r>
              <w:rPr>
                <w:rFonts w:ascii="Arial" w:cs="Arial" w:eastAsia="Arial" w:hAnsi="Arial"/>
                <w:sz w:val="13"/>
                <w:szCs w:val="13"/>
                <w:color w:val="auto"/>
              </w:rPr>
              <w:t>SUPPLEMENTAL DISCLOSURE OF CASH FLOW INFORMATION</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120" w:type="dxa"/>
            <w:vAlign w:val="bottom"/>
          </w:tcPr>
          <w:p>
            <w:pPr>
              <w:ind w:left="180"/>
              <w:spacing w:after="0"/>
              <w:rPr>
                <w:sz w:val="20"/>
                <w:szCs w:val="20"/>
                <w:color w:val="auto"/>
              </w:rPr>
            </w:pPr>
            <w:r>
              <w:rPr>
                <w:rFonts w:ascii="Arial" w:cs="Arial" w:eastAsia="Arial" w:hAnsi="Arial"/>
                <w:sz w:val="13"/>
                <w:szCs w:val="13"/>
                <w:color w:val="auto"/>
              </w:rPr>
              <w:t>Interest payments, net of amounts capitalized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34</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31"/>
        </w:trPr>
        <w:tc>
          <w:tcPr>
            <w:tcW w:w="4120" w:type="dxa"/>
            <w:vAlign w:val="bottom"/>
            <w:vMerge w:val="restart"/>
          </w:tcPr>
          <w:p>
            <w:pPr>
              <w:ind w:left="180"/>
              <w:spacing w:after="0"/>
              <w:rPr>
                <w:sz w:val="20"/>
                <w:szCs w:val="20"/>
                <w:color w:val="auto"/>
              </w:rPr>
            </w:pPr>
            <w:r>
              <w:rPr>
                <w:rFonts w:ascii="Arial" w:cs="Arial" w:eastAsia="Arial" w:hAnsi="Arial"/>
                <w:sz w:val="13"/>
                <w:szCs w:val="13"/>
                <w:color w:val="auto"/>
              </w:rPr>
              <w:t>Income tax payments, net of refunds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31"/>
        </w:trPr>
        <w:tc>
          <w:tcPr>
            <w:tcW w:w="4120" w:type="dxa"/>
            <w:vAlign w:val="bottom"/>
            <w:vMerge w:val="restart"/>
          </w:tcPr>
          <w:p>
            <w:pPr>
              <w:ind w:left="1620"/>
              <w:spacing w:after="0"/>
              <w:rPr>
                <w:sz w:val="20"/>
                <w:szCs w:val="20"/>
                <w:color w:val="auto"/>
              </w:rPr>
            </w:pPr>
            <w:r>
              <w:rPr>
                <w:rFonts w:ascii="Arial" w:cs="Arial" w:eastAsia="Arial" w:hAnsi="Arial"/>
                <w:sz w:val="13"/>
                <w:szCs w:val="13"/>
                <w:color w:val="auto"/>
                <w:w w:val="88"/>
              </w:rPr>
              <w:t>See notes to Consolidated Financial Statements.</w:t>
            </w: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313055</wp:posOffset>
            </wp:positionV>
            <wp:extent cx="73088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SOUTHERN CALIFORNIA GAS COMPANY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STATEMENTS OF CONSOLIDATED INCOME</w:t>
      </w:r>
    </w:p>
    <w:p>
      <w:pPr>
        <w:spacing w:after="0" w:line="141" w:lineRule="exact"/>
        <w:rPr>
          <w:sz w:val="20"/>
          <w:szCs w:val="20"/>
          <w:color w:val="auto"/>
        </w:rPr>
      </w:pPr>
    </w:p>
    <w:tbl>
      <w:tblPr>
        <w:tblLayout w:type="fixed"/>
        <w:tblInd w:w="14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400" w:type="dxa"/>
            <w:vAlign w:val="bottom"/>
            <w:gridSpan w:val="2"/>
          </w:tcPr>
          <w:p>
            <w:pPr>
              <w:jc w:val="right"/>
              <w:ind w:right="136"/>
              <w:spacing w:after="0"/>
              <w:rPr>
                <w:sz w:val="20"/>
                <w:szCs w:val="20"/>
                <w:color w:val="auto"/>
              </w:rPr>
            </w:pPr>
            <w:r>
              <w:rPr>
                <w:rFonts w:ascii="Arial" w:cs="Arial" w:eastAsia="Arial" w:hAnsi="Arial"/>
                <w:sz w:val="13"/>
                <w:szCs w:val="13"/>
                <w:color w:val="auto"/>
                <w:w w:val="98"/>
              </w:rPr>
              <w:t>Three months ended</w:t>
            </w:r>
          </w:p>
        </w:tc>
        <w:tc>
          <w:tcPr>
            <w:tcW w:w="1440" w:type="dxa"/>
            <w:vAlign w:val="bottom"/>
            <w:gridSpan w:val="3"/>
          </w:tcPr>
          <w:p>
            <w:pPr>
              <w:jc w:val="center"/>
              <w:ind w:left="96"/>
              <w:spacing w:after="0"/>
              <w:rPr>
                <w:sz w:val="20"/>
                <w:szCs w:val="20"/>
                <w:color w:val="auto"/>
              </w:rPr>
            </w:pPr>
            <w:r>
              <w:rPr>
                <w:rFonts w:ascii="Arial" w:cs="Arial" w:eastAsia="Arial" w:hAnsi="Arial"/>
                <w:sz w:val="13"/>
                <w:szCs w:val="13"/>
                <w:color w:val="auto"/>
                <w:w w:val="88"/>
              </w:rPr>
              <w:t>Six months ended</w:t>
            </w: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436"/>
              <w:spacing w:after="0"/>
              <w:rPr>
                <w:sz w:val="20"/>
                <w:szCs w:val="20"/>
                <w:color w:val="auto"/>
              </w:rPr>
            </w:pPr>
            <w:r>
              <w:rPr>
                <w:rFonts w:ascii="Arial" w:cs="Arial" w:eastAsia="Arial" w:hAnsi="Arial"/>
                <w:sz w:val="13"/>
                <w:szCs w:val="13"/>
                <w:color w:val="auto"/>
                <w:w w:val="84"/>
              </w:rPr>
              <w:t>June 30,</w:t>
            </w:r>
          </w:p>
        </w:tc>
        <w:tc>
          <w:tcPr>
            <w:tcW w:w="1040" w:type="dxa"/>
            <w:vAlign w:val="bottom"/>
            <w:gridSpan w:val="2"/>
          </w:tcPr>
          <w:p>
            <w:pPr>
              <w:jc w:val="center"/>
              <w:ind w:left="476"/>
              <w:spacing w:after="0"/>
              <w:rPr>
                <w:sz w:val="20"/>
                <w:szCs w:val="20"/>
                <w:color w:val="auto"/>
              </w:rPr>
            </w:pPr>
            <w:r>
              <w:rPr>
                <w:rFonts w:ascii="Arial" w:cs="Arial" w:eastAsia="Arial" w:hAnsi="Arial"/>
                <w:sz w:val="13"/>
                <w:szCs w:val="13"/>
                <w:color w:val="auto"/>
                <w:w w:val="84"/>
              </w:rPr>
              <w:t>June 30,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360" w:type="dxa"/>
            <w:vAlign w:val="bottom"/>
            <w:vMerge w:val="restart"/>
          </w:tcPr>
          <w:p>
            <w:pPr>
              <w:spacing w:after="0"/>
              <w:rPr>
                <w:sz w:val="20"/>
                <w:szCs w:val="20"/>
                <w:color w:val="auto"/>
              </w:rPr>
            </w:pPr>
            <w:r>
              <w:rPr>
                <w:rFonts w:ascii="Arial" w:cs="Arial" w:eastAsia="Arial" w:hAnsi="Arial"/>
                <w:sz w:val="13"/>
                <w:szCs w:val="13"/>
                <w:color w:val="auto"/>
              </w:rPr>
              <w:t>(Dollars in millions)</w:t>
            </w: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940" w:type="dxa"/>
            <w:vAlign w:val="bottom"/>
            <w:shd w:val="clear" w:color="auto" w:fill="000000"/>
          </w:tcPr>
          <w:p>
            <w:pPr>
              <w:spacing w:after="0"/>
              <w:rPr>
                <w:sz w:val="15"/>
                <w:szCs w:val="15"/>
                <w:color w:val="auto"/>
              </w:rPr>
            </w:pPr>
          </w:p>
        </w:tc>
        <w:tc>
          <w:tcPr>
            <w:tcW w:w="7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6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2006</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2005</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2006</w:t>
            </w:r>
          </w:p>
        </w:tc>
        <w:tc>
          <w:tcPr>
            <w:tcW w:w="26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1720" w:type="dxa"/>
            <w:vAlign w:val="bottom"/>
            <w:gridSpan w:val="2"/>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2"/>
          </w:tcPr>
          <w:p>
            <w:pPr>
              <w:jc w:val="right"/>
              <w:ind w:right="356"/>
              <w:spacing w:after="0"/>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20"/>
                <w:szCs w:val="20"/>
                <w:color w:val="auto"/>
              </w:rPr>
            </w:pPr>
            <w:r>
              <w:rPr>
                <w:rFonts w:ascii="Arial" w:cs="Arial" w:eastAsia="Arial" w:hAnsi="Arial"/>
                <w:sz w:val="13"/>
                <w:szCs w:val="13"/>
                <w:color w:val="auto"/>
              </w:rPr>
              <w:t>Operating revenues</w:t>
            </w:r>
          </w:p>
        </w:tc>
        <w:tc>
          <w:tcPr>
            <w:tcW w:w="460" w:type="dxa"/>
            <w:vAlign w:val="bottom"/>
          </w:tcPr>
          <w:p>
            <w:pPr>
              <w:jc w:val="right"/>
              <w:spacing w:after="0"/>
              <w:rPr>
                <w:sz w:val="20"/>
                <w:szCs w:val="20"/>
                <w:color w:val="auto"/>
              </w:rPr>
            </w:pPr>
            <w:r>
              <w:rPr>
                <w:rFonts w:ascii="Arial" w:cs="Arial" w:eastAsia="Arial" w:hAnsi="Arial"/>
                <w:sz w:val="13"/>
                <w:szCs w:val="13"/>
                <w:color w:val="auto"/>
              </w:rPr>
              <w:t>$   908</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   940</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  2,333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6"/>
              <w:spacing w:after="0"/>
              <w:rPr>
                <w:sz w:val="20"/>
                <w:szCs w:val="20"/>
                <w:color w:val="auto"/>
              </w:rPr>
            </w:pPr>
            <w:r>
              <w:rPr>
                <w:rFonts w:ascii="Arial" w:cs="Arial" w:eastAsia="Arial" w:hAnsi="Arial"/>
                <w:sz w:val="13"/>
                <w:szCs w:val="13"/>
                <w:color w:val="auto"/>
                <w:w w:val="92"/>
              </w:rPr>
              <w:t>2,181</w:t>
            </w:r>
          </w:p>
        </w:tc>
        <w:tc>
          <w:tcPr>
            <w:tcW w:w="0" w:type="dxa"/>
            <w:vAlign w:val="bottom"/>
          </w:tcPr>
          <w:p>
            <w:pPr>
              <w:spacing w:after="0"/>
              <w:rPr>
                <w:sz w:val="1"/>
                <w:szCs w:val="1"/>
                <w:color w:val="auto"/>
              </w:rPr>
            </w:pPr>
          </w:p>
        </w:tc>
      </w:tr>
      <w:tr>
        <w:trPr>
          <w:trHeight w:val="31"/>
        </w:trPr>
        <w:tc>
          <w:tcPr>
            <w:tcW w:w="3360" w:type="dxa"/>
            <w:vAlign w:val="bottom"/>
            <w:vMerge w:val="restart"/>
          </w:tcPr>
          <w:p>
            <w:pPr>
              <w:spacing w:after="0"/>
              <w:rPr>
                <w:sz w:val="20"/>
                <w:szCs w:val="20"/>
                <w:color w:val="auto"/>
              </w:rPr>
            </w:pPr>
            <w:r>
              <w:rPr>
                <w:rFonts w:ascii="Arial" w:cs="Arial" w:eastAsia="Arial" w:hAnsi="Arial"/>
                <w:sz w:val="13"/>
                <w:szCs w:val="13"/>
                <w:color w:val="auto"/>
              </w:rPr>
              <w:t>Operating expenses</w:t>
            </w: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940" w:type="dxa"/>
            <w:vAlign w:val="bottom"/>
            <w:shd w:val="clear" w:color="auto" w:fill="000000"/>
          </w:tcPr>
          <w:p>
            <w:pPr>
              <w:spacing w:after="0"/>
              <w:rPr>
                <w:sz w:val="15"/>
                <w:szCs w:val="15"/>
                <w:color w:val="auto"/>
              </w:rPr>
            </w:pPr>
          </w:p>
        </w:tc>
        <w:tc>
          <w:tcPr>
            <w:tcW w:w="7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3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360" w:type="dxa"/>
            <w:vAlign w:val="bottom"/>
          </w:tcPr>
          <w:p>
            <w:pPr>
              <w:ind w:left="60"/>
              <w:spacing w:after="0"/>
              <w:rPr>
                <w:sz w:val="20"/>
                <w:szCs w:val="20"/>
                <w:color w:val="auto"/>
              </w:rPr>
            </w:pPr>
            <w:r>
              <w:rPr>
                <w:rFonts w:ascii="Arial" w:cs="Arial" w:eastAsia="Arial" w:hAnsi="Arial"/>
                <w:sz w:val="13"/>
                <w:szCs w:val="13"/>
                <w:color w:val="auto"/>
              </w:rPr>
              <w:t>Cost of natural gas</w:t>
            </w:r>
          </w:p>
        </w:tc>
        <w:tc>
          <w:tcPr>
            <w:tcW w:w="460" w:type="dxa"/>
            <w:vAlign w:val="bottom"/>
          </w:tcPr>
          <w:p>
            <w:pPr>
              <w:jc w:val="right"/>
              <w:spacing w:after="0"/>
              <w:rPr>
                <w:sz w:val="20"/>
                <w:szCs w:val="20"/>
                <w:color w:val="auto"/>
              </w:rPr>
            </w:pPr>
            <w:r>
              <w:rPr>
                <w:rFonts w:ascii="Arial" w:cs="Arial" w:eastAsia="Arial" w:hAnsi="Arial"/>
                <w:sz w:val="13"/>
                <w:szCs w:val="13"/>
                <w:color w:val="auto"/>
              </w:rPr>
              <w:t>476</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527</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1,462</w:t>
            </w:r>
          </w:p>
        </w:tc>
        <w:tc>
          <w:tcPr>
            <w:tcW w:w="260" w:type="dxa"/>
            <w:vAlign w:val="bottom"/>
          </w:tcPr>
          <w:p>
            <w:pPr>
              <w:spacing w:after="0"/>
              <w:rPr>
                <w:sz w:val="17"/>
                <w:szCs w:val="17"/>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w w:val="92"/>
              </w:rPr>
              <w:t>1,328</w:t>
            </w:r>
          </w:p>
        </w:tc>
        <w:tc>
          <w:tcPr>
            <w:tcW w:w="0" w:type="dxa"/>
            <w:vAlign w:val="bottom"/>
          </w:tcPr>
          <w:p>
            <w:pPr>
              <w:spacing w:after="0"/>
              <w:rPr>
                <w:sz w:val="1"/>
                <w:szCs w:val="1"/>
                <w:color w:val="auto"/>
              </w:rPr>
            </w:pPr>
          </w:p>
        </w:tc>
      </w:tr>
      <w:tr>
        <w:trPr>
          <w:trHeight w:val="197"/>
        </w:trPr>
        <w:tc>
          <w:tcPr>
            <w:tcW w:w="3360" w:type="dxa"/>
            <w:vAlign w:val="bottom"/>
          </w:tcPr>
          <w:p>
            <w:pPr>
              <w:ind w:left="60"/>
              <w:spacing w:after="0"/>
              <w:rPr>
                <w:sz w:val="20"/>
                <w:szCs w:val="20"/>
                <w:color w:val="auto"/>
              </w:rPr>
            </w:pPr>
            <w:r>
              <w:rPr>
                <w:rFonts w:ascii="Arial" w:cs="Arial" w:eastAsia="Arial" w:hAnsi="Arial"/>
                <w:sz w:val="13"/>
                <w:szCs w:val="13"/>
                <w:color w:val="auto"/>
              </w:rPr>
              <w:t>Other operating expenses</w:t>
            </w:r>
          </w:p>
        </w:tc>
        <w:tc>
          <w:tcPr>
            <w:tcW w:w="460" w:type="dxa"/>
            <w:vAlign w:val="bottom"/>
          </w:tcPr>
          <w:p>
            <w:pPr>
              <w:jc w:val="right"/>
              <w:spacing w:after="0"/>
              <w:rPr>
                <w:sz w:val="20"/>
                <w:szCs w:val="20"/>
                <w:color w:val="auto"/>
              </w:rPr>
            </w:pPr>
            <w:r>
              <w:rPr>
                <w:rFonts w:ascii="Arial" w:cs="Arial" w:eastAsia="Arial" w:hAnsi="Arial"/>
                <w:sz w:val="13"/>
                <w:szCs w:val="13"/>
                <w:color w:val="auto"/>
              </w:rPr>
              <w:t>232</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218</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465</w:t>
            </w:r>
          </w:p>
        </w:tc>
        <w:tc>
          <w:tcPr>
            <w:tcW w:w="260" w:type="dxa"/>
            <w:vAlign w:val="bottom"/>
          </w:tcPr>
          <w:p>
            <w:pPr>
              <w:spacing w:after="0"/>
              <w:rPr>
                <w:sz w:val="17"/>
                <w:szCs w:val="17"/>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97"/>
        </w:trPr>
        <w:tc>
          <w:tcPr>
            <w:tcW w:w="3360" w:type="dxa"/>
            <w:vAlign w:val="bottom"/>
          </w:tcPr>
          <w:p>
            <w:pPr>
              <w:ind w:left="60"/>
              <w:spacing w:after="0"/>
              <w:rPr>
                <w:sz w:val="20"/>
                <w:szCs w:val="20"/>
                <w:color w:val="auto"/>
              </w:rPr>
            </w:pPr>
            <w:r>
              <w:rPr>
                <w:rFonts w:ascii="Arial" w:cs="Arial" w:eastAsia="Arial" w:hAnsi="Arial"/>
                <w:sz w:val="13"/>
                <w:szCs w:val="13"/>
                <w:color w:val="auto"/>
              </w:rPr>
              <w:t>Depreciation</w:t>
            </w:r>
          </w:p>
        </w:tc>
        <w:tc>
          <w:tcPr>
            <w:tcW w:w="460" w:type="dxa"/>
            <w:vAlign w:val="bottom"/>
          </w:tcPr>
          <w:p>
            <w:pPr>
              <w:jc w:val="right"/>
              <w:spacing w:after="0"/>
              <w:rPr>
                <w:sz w:val="20"/>
                <w:szCs w:val="20"/>
                <w:color w:val="auto"/>
              </w:rPr>
            </w:pPr>
            <w:r>
              <w:rPr>
                <w:rFonts w:ascii="Arial" w:cs="Arial" w:eastAsia="Arial" w:hAnsi="Arial"/>
                <w:sz w:val="13"/>
                <w:szCs w:val="13"/>
                <w:color w:val="auto"/>
              </w:rPr>
              <w:t>67</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66</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133</w:t>
            </w:r>
          </w:p>
        </w:tc>
        <w:tc>
          <w:tcPr>
            <w:tcW w:w="260" w:type="dxa"/>
            <w:vAlign w:val="bottom"/>
          </w:tcPr>
          <w:p>
            <w:pPr>
              <w:spacing w:after="0"/>
              <w:rPr>
                <w:sz w:val="17"/>
                <w:szCs w:val="17"/>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97"/>
        </w:trPr>
        <w:tc>
          <w:tcPr>
            <w:tcW w:w="3360" w:type="dxa"/>
            <w:vAlign w:val="bottom"/>
          </w:tcPr>
          <w:p>
            <w:pPr>
              <w:ind w:left="60"/>
              <w:spacing w:after="0"/>
              <w:rPr>
                <w:sz w:val="20"/>
                <w:szCs w:val="20"/>
                <w:color w:val="auto"/>
              </w:rPr>
            </w:pPr>
            <w:r>
              <w:rPr>
                <w:rFonts w:ascii="Arial" w:cs="Arial" w:eastAsia="Arial" w:hAnsi="Arial"/>
                <w:sz w:val="13"/>
                <w:szCs w:val="13"/>
                <w:color w:val="auto"/>
              </w:rPr>
              <w:t>Franchise fees and other taxes</w:t>
            </w: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7"/>
                <w:szCs w:val="17"/>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31"/>
        </w:trPr>
        <w:tc>
          <w:tcPr>
            <w:tcW w:w="3360" w:type="dxa"/>
            <w:vAlign w:val="bottom"/>
            <w:vMerge w:val="restart"/>
          </w:tcPr>
          <w:p>
            <w:pPr>
              <w:ind w:left="480"/>
              <w:spacing w:after="0"/>
              <w:rPr>
                <w:sz w:val="20"/>
                <w:szCs w:val="20"/>
                <w:color w:val="auto"/>
              </w:rPr>
            </w:pPr>
            <w:r>
              <w:rPr>
                <w:rFonts w:ascii="Arial" w:cs="Arial" w:eastAsia="Arial" w:hAnsi="Arial"/>
                <w:sz w:val="13"/>
                <w:szCs w:val="13"/>
                <w:color w:val="auto"/>
              </w:rPr>
              <w:t>Total operating expenses</w:t>
            </w: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940" w:type="dxa"/>
            <w:vAlign w:val="bottom"/>
            <w:shd w:val="clear" w:color="auto" w:fill="000000"/>
          </w:tcPr>
          <w:p>
            <w:pPr>
              <w:spacing w:after="0"/>
              <w:rPr>
                <w:sz w:val="15"/>
                <w:szCs w:val="15"/>
                <w:color w:val="auto"/>
              </w:rPr>
            </w:pPr>
          </w:p>
        </w:tc>
        <w:tc>
          <w:tcPr>
            <w:tcW w:w="7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6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802</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839</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2,126</w:t>
            </w:r>
          </w:p>
        </w:tc>
        <w:tc>
          <w:tcPr>
            <w:tcW w:w="26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w w:val="92"/>
              </w:rPr>
              <w:t>1,954</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3360" w:type="dxa"/>
            <w:vAlign w:val="bottom"/>
          </w:tcPr>
          <w:p>
            <w:pPr>
              <w:spacing w:after="0"/>
              <w:rPr>
                <w:sz w:val="11"/>
                <w:szCs w:val="11"/>
                <w:color w:val="auto"/>
              </w:rPr>
            </w:pPr>
          </w:p>
        </w:tc>
        <w:tc>
          <w:tcPr>
            <w:tcW w:w="4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1039" w:right="1440" w:bottom="0" w:gutter="0" w:footer="0" w:header="0"/>
        </w:sectPr>
      </w:pPr>
    </w:p>
    <w:bookmarkStart w:id="4" w:name="page5"/>
    <w:bookmarkEnd w:id="4"/>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3946525</wp:posOffset>
            </wp:positionH>
            <wp:positionV relativeFrom="page">
              <wp:posOffset>88900</wp:posOffset>
            </wp:positionV>
            <wp:extent cx="180657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6575" cy="6350"/>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Arial" w:cs="Arial" w:eastAsia="Arial" w:hAnsi="Arial"/>
                <w:sz w:val="13"/>
                <w:szCs w:val="13"/>
                <w:color w:val="auto"/>
              </w:rPr>
              <w:t>Operating income</w:t>
            </w:r>
          </w:p>
        </w:tc>
        <w:tc>
          <w:tcPr>
            <w:tcW w:w="180" w:type="dxa"/>
            <w:vAlign w:val="bottom"/>
          </w:tcPr>
          <w:p>
            <w:pPr>
              <w:spacing w:after="0"/>
              <w:rPr>
                <w:sz w:val="14"/>
                <w:szCs w:val="14"/>
                <w:color w:val="auto"/>
              </w:rPr>
            </w:pP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106</w:t>
            </w:r>
          </w:p>
        </w:tc>
        <w:tc>
          <w:tcPr>
            <w:tcW w:w="3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101</w:t>
            </w:r>
          </w:p>
        </w:tc>
        <w:tc>
          <w:tcPr>
            <w:tcW w:w="30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207</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394"/>
        </w:trPr>
        <w:tc>
          <w:tcPr>
            <w:tcW w:w="3360" w:type="dxa"/>
            <w:vAlign w:val="bottom"/>
          </w:tcPr>
          <w:p>
            <w:pPr>
              <w:spacing w:after="0"/>
              <w:rPr>
                <w:sz w:val="20"/>
                <w:szCs w:val="20"/>
                <w:color w:val="auto"/>
              </w:rPr>
            </w:pPr>
            <w:r>
              <w:rPr>
                <w:rFonts w:ascii="Arial" w:cs="Arial" w:eastAsia="Arial" w:hAnsi="Arial"/>
                <w:sz w:val="13"/>
                <w:szCs w:val="13"/>
                <w:color w:val="auto"/>
              </w:rPr>
              <w:t>Other expense, net (Note 3)</w:t>
            </w:r>
          </w:p>
        </w:tc>
        <w:tc>
          <w:tcPr>
            <w:tcW w:w="180" w:type="dxa"/>
            <w:vAlign w:val="bottom"/>
          </w:tcPr>
          <w:p>
            <w:pPr>
              <w:spacing w:after="0"/>
              <w:rPr>
                <w:sz w:val="24"/>
                <w:szCs w:val="24"/>
                <w:color w:val="auto"/>
              </w:rPr>
            </w:pP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(1 )</w:t>
            </w:r>
          </w:p>
        </w:tc>
        <w:tc>
          <w:tcPr>
            <w:tcW w:w="300" w:type="dxa"/>
            <w:vAlign w:val="bottom"/>
          </w:tcPr>
          <w:p>
            <w:pPr>
              <w:spacing w:after="0"/>
              <w:rPr>
                <w:sz w:val="24"/>
                <w:szCs w:val="24"/>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(1 )</w:t>
            </w:r>
          </w:p>
        </w:tc>
        <w:tc>
          <w:tcPr>
            <w:tcW w:w="64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7"/>
        </w:trPr>
        <w:tc>
          <w:tcPr>
            <w:tcW w:w="3360" w:type="dxa"/>
            <w:vAlign w:val="bottom"/>
          </w:tcPr>
          <w:p>
            <w:pPr>
              <w:spacing w:after="0"/>
              <w:rPr>
                <w:sz w:val="20"/>
                <w:szCs w:val="20"/>
                <w:color w:val="auto"/>
              </w:rPr>
            </w:pPr>
            <w:r>
              <w:rPr>
                <w:rFonts w:ascii="Arial" w:cs="Arial" w:eastAsia="Arial" w:hAnsi="Arial"/>
                <w:sz w:val="13"/>
                <w:szCs w:val="13"/>
                <w:color w:val="auto"/>
              </w:rPr>
              <w:t>Interest income</w:t>
            </w:r>
          </w:p>
        </w:tc>
        <w:tc>
          <w:tcPr>
            <w:tcW w:w="180" w:type="dxa"/>
            <w:vAlign w:val="bottom"/>
          </w:tcPr>
          <w:p>
            <w:pPr>
              <w:spacing w:after="0"/>
              <w:rPr>
                <w:sz w:val="17"/>
                <w:szCs w:val="17"/>
                <w:color w:val="auto"/>
              </w:rPr>
            </w:pP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7"/>
                <w:szCs w:val="17"/>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7"/>
                <w:szCs w:val="17"/>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16</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7"/>
        </w:trPr>
        <w:tc>
          <w:tcPr>
            <w:tcW w:w="3360" w:type="dxa"/>
            <w:vAlign w:val="bottom"/>
          </w:tcPr>
          <w:p>
            <w:pPr>
              <w:spacing w:after="0"/>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7"/>
                <w:szCs w:val="17"/>
                <w:color w:val="auto"/>
              </w:rPr>
            </w:pP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(16 )</w:t>
            </w:r>
          </w:p>
        </w:tc>
        <w:tc>
          <w:tcPr>
            <w:tcW w:w="300" w:type="dxa"/>
            <w:vAlign w:val="bottom"/>
          </w:tcPr>
          <w:p>
            <w:pPr>
              <w:spacing w:after="0"/>
              <w:rPr>
                <w:sz w:val="17"/>
                <w:szCs w:val="17"/>
                <w:color w:val="auto"/>
              </w:rPr>
            </w:pP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(11 )</w:t>
            </w:r>
          </w:p>
        </w:tc>
        <w:tc>
          <w:tcPr>
            <w:tcW w:w="300" w:type="dxa"/>
            <w:vAlign w:val="bottom"/>
          </w:tcPr>
          <w:p>
            <w:pPr>
              <w:spacing w:after="0"/>
              <w:rPr>
                <w:sz w:val="17"/>
                <w:szCs w:val="17"/>
                <w:color w:val="auto"/>
              </w:rPr>
            </w:pP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(34 )</w:t>
            </w:r>
          </w:p>
        </w:tc>
        <w:tc>
          <w:tcPr>
            <w:tcW w:w="640" w:type="dxa"/>
            <w:vAlign w:val="bottom"/>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31"/>
        </w:trPr>
        <w:tc>
          <w:tcPr>
            <w:tcW w:w="33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102</w:t>
            </w:r>
          </w:p>
        </w:tc>
        <w:tc>
          <w:tcPr>
            <w:tcW w:w="3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93</w:t>
            </w:r>
          </w:p>
        </w:tc>
        <w:tc>
          <w:tcPr>
            <w:tcW w:w="30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188</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394"/>
        </w:trPr>
        <w:tc>
          <w:tcPr>
            <w:tcW w:w="3360" w:type="dxa"/>
            <w:vAlign w:val="bottom"/>
          </w:tcPr>
          <w:p>
            <w:pPr>
              <w:spacing w:after="0"/>
              <w:rPr>
                <w:sz w:val="20"/>
                <w:szCs w:val="20"/>
                <w:color w:val="auto"/>
              </w:rPr>
            </w:pPr>
            <w:r>
              <w:rPr>
                <w:rFonts w:ascii="Arial" w:cs="Arial" w:eastAsia="Arial" w:hAnsi="Arial"/>
                <w:sz w:val="13"/>
                <w:szCs w:val="13"/>
                <w:color w:val="auto"/>
              </w:rPr>
              <w:t>Income tax expense</w:t>
            </w:r>
          </w:p>
        </w:tc>
        <w:tc>
          <w:tcPr>
            <w:tcW w:w="180" w:type="dxa"/>
            <w:vAlign w:val="bottom"/>
          </w:tcPr>
          <w:p>
            <w:pPr>
              <w:spacing w:after="0"/>
              <w:rPr>
                <w:sz w:val="24"/>
                <w:szCs w:val="24"/>
                <w:color w:val="auto"/>
              </w:rPr>
            </w:pP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43</w:t>
            </w:r>
          </w:p>
        </w:tc>
        <w:tc>
          <w:tcPr>
            <w:tcW w:w="300" w:type="dxa"/>
            <w:vAlign w:val="bottom"/>
          </w:tcPr>
          <w:p>
            <w:pPr>
              <w:spacing w:after="0"/>
              <w:rPr>
                <w:sz w:val="24"/>
                <w:szCs w:val="24"/>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34</w:t>
            </w:r>
          </w:p>
        </w:tc>
        <w:tc>
          <w:tcPr>
            <w:tcW w:w="300" w:type="dxa"/>
            <w:vAlign w:val="bottom"/>
          </w:tcPr>
          <w:p>
            <w:pPr>
              <w:spacing w:after="0"/>
              <w:rPr>
                <w:sz w:val="24"/>
                <w:szCs w:val="24"/>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80</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360" w:type="dxa"/>
            <w:vAlign w:val="bottom"/>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24"/>
                <w:szCs w:val="24"/>
                <w:color w:val="auto"/>
              </w:rPr>
            </w:pP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59</w:t>
            </w:r>
          </w:p>
        </w:tc>
        <w:tc>
          <w:tcPr>
            <w:tcW w:w="300" w:type="dxa"/>
            <w:vAlign w:val="bottom"/>
          </w:tcPr>
          <w:p>
            <w:pPr>
              <w:spacing w:after="0"/>
              <w:rPr>
                <w:sz w:val="24"/>
                <w:szCs w:val="24"/>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59</w:t>
            </w:r>
          </w:p>
        </w:tc>
        <w:tc>
          <w:tcPr>
            <w:tcW w:w="300" w:type="dxa"/>
            <w:vAlign w:val="bottom"/>
          </w:tcPr>
          <w:p>
            <w:pPr>
              <w:spacing w:after="0"/>
              <w:rPr>
                <w:sz w:val="24"/>
                <w:szCs w:val="24"/>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108</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97"/>
        </w:trPr>
        <w:tc>
          <w:tcPr>
            <w:tcW w:w="3360" w:type="dxa"/>
            <w:vAlign w:val="bottom"/>
          </w:tcPr>
          <w:p>
            <w:pPr>
              <w:spacing w:after="0"/>
              <w:rPr>
                <w:sz w:val="20"/>
                <w:szCs w:val="20"/>
                <w:color w:val="auto"/>
              </w:rPr>
            </w:pPr>
            <w:r>
              <w:rPr>
                <w:rFonts w:ascii="Arial" w:cs="Arial" w:eastAsia="Arial" w:hAnsi="Arial"/>
                <w:sz w:val="13"/>
                <w:szCs w:val="13"/>
                <w:color w:val="auto"/>
              </w:rPr>
              <w:t>Preferred dividend requirements</w:t>
            </w:r>
          </w:p>
        </w:tc>
        <w:tc>
          <w:tcPr>
            <w:tcW w:w="180" w:type="dxa"/>
            <w:vAlign w:val="bottom"/>
          </w:tcPr>
          <w:p>
            <w:pPr>
              <w:spacing w:after="0"/>
              <w:rPr>
                <w:sz w:val="17"/>
                <w:szCs w:val="17"/>
                <w:color w:val="auto"/>
              </w:rPr>
            </w:pP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7"/>
                <w:szCs w:val="17"/>
                <w:color w:val="auto"/>
              </w:rPr>
            </w:pP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7"/>
                <w:szCs w:val="17"/>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1"/>
        </w:trPr>
        <w:tc>
          <w:tcPr>
            <w:tcW w:w="3360" w:type="dxa"/>
            <w:vAlign w:val="bottom"/>
            <w:vMerge w:val="restart"/>
          </w:tcPr>
          <w:p>
            <w:pPr>
              <w:spacing w:after="0"/>
              <w:rPr>
                <w:sz w:val="20"/>
                <w:szCs w:val="20"/>
                <w:color w:val="auto"/>
              </w:rPr>
            </w:pPr>
            <w:r>
              <w:rPr>
                <w:rFonts w:ascii="Arial" w:cs="Arial" w:eastAsia="Arial" w:hAnsi="Arial"/>
                <w:sz w:val="13"/>
                <w:szCs w:val="13"/>
                <w:color w:val="auto"/>
              </w:rPr>
              <w:t>Earnings applicable to common shares</w:t>
            </w: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60" w:type="dxa"/>
            <w:vAlign w:val="bottom"/>
            <w:vMerge w:val="continue"/>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56"/>
              <w:spacing w:after="0"/>
              <w:rPr>
                <w:sz w:val="20"/>
                <w:szCs w:val="20"/>
                <w:color w:val="auto"/>
              </w:rPr>
            </w:pPr>
            <w:r>
              <w:rPr>
                <w:rFonts w:ascii="Arial" w:cs="Arial" w:eastAsia="Arial" w:hAnsi="Arial"/>
                <w:sz w:val="13"/>
                <w:szCs w:val="13"/>
                <w:color w:val="auto"/>
              </w:rPr>
              <w:t>58</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96"/>
              <w:spacing w:after="0"/>
              <w:rPr>
                <w:sz w:val="20"/>
                <w:szCs w:val="20"/>
                <w:color w:val="auto"/>
              </w:rPr>
            </w:pPr>
            <w:r>
              <w:rPr>
                <w:rFonts w:ascii="Arial" w:cs="Arial" w:eastAsia="Arial" w:hAnsi="Arial"/>
                <w:sz w:val="13"/>
                <w:szCs w:val="13"/>
                <w:color w:val="auto"/>
              </w:rPr>
              <w:t>58</w:t>
            </w:r>
          </w:p>
        </w:tc>
        <w:tc>
          <w:tcPr>
            <w:tcW w:w="3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107</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   127</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321310</wp:posOffset>
            </wp:positionV>
            <wp:extent cx="730885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SOUTHERN CALIFORNIA GAS COMPANY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BALANCE SHEETS</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56"/>
              <w:spacing w:after="0"/>
              <w:rPr>
                <w:sz w:val="20"/>
                <w:szCs w:val="20"/>
                <w:color w:val="auto"/>
              </w:rPr>
            </w:pPr>
            <w:r>
              <w:rPr>
                <w:rFonts w:ascii="Arial" w:cs="Arial" w:eastAsia="Arial" w:hAnsi="Arial"/>
                <w:sz w:val="13"/>
                <w:szCs w:val="13"/>
                <w:color w:val="auto"/>
                <w:w w:val="92"/>
              </w:rPr>
              <w:t>June 30,</w:t>
            </w: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321"/>
        </w:trPr>
        <w:tc>
          <w:tcPr>
            <w:tcW w:w="4040" w:type="dxa"/>
            <w:vAlign w:val="bottom"/>
          </w:tcPr>
          <w:p>
            <w:pPr>
              <w:ind w:left="20"/>
              <w:spacing w:after="0"/>
              <w:rPr>
                <w:sz w:val="20"/>
                <w:szCs w:val="20"/>
                <w:color w:val="auto"/>
              </w:rPr>
            </w:pPr>
            <w:r>
              <w:rPr>
                <w:rFonts w:ascii="Arial" w:cs="Arial" w:eastAsia="Arial" w:hAnsi="Arial"/>
                <w:sz w:val="13"/>
                <w:szCs w:val="13"/>
                <w:color w:val="auto"/>
              </w:rPr>
              <w:t>(Dollars in millions)</w:t>
            </w:r>
          </w:p>
        </w:tc>
        <w:tc>
          <w:tcPr>
            <w:tcW w:w="140" w:type="dxa"/>
            <w:vAlign w:val="bottom"/>
          </w:tcPr>
          <w:p>
            <w:pPr>
              <w:spacing w:after="0"/>
              <w:rPr>
                <w:sz w:val="24"/>
                <w:szCs w:val="24"/>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color w:val="auto"/>
              </w:rPr>
              <w:t>2006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236"/>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83"/>
        </w:trPr>
        <w:tc>
          <w:tcPr>
            <w:tcW w:w="4040" w:type="dxa"/>
            <w:vAlign w:val="bottom"/>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1000" w:type="dxa"/>
            <w:vAlign w:val="bottom"/>
            <w:gridSpan w:val="2"/>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16"/>
              <w:spacing w:after="0"/>
              <w:rPr>
                <w:sz w:val="20"/>
                <w:szCs w:val="20"/>
                <w:color w:val="auto"/>
              </w:rPr>
            </w:pPr>
            <w:r>
              <w:rPr>
                <w:rFonts w:ascii="Arial" w:cs="Arial" w:eastAsia="Arial" w:hAnsi="Arial"/>
                <w:sz w:val="13"/>
                <w:szCs w:val="13"/>
                <w:color w:val="auto"/>
              </w:rPr>
              <w:t>(unaudited)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40" w:type="dxa"/>
            <w:vAlign w:val="bottom"/>
          </w:tcPr>
          <w:p>
            <w:pPr>
              <w:ind w:left="20"/>
              <w:spacing w:after="0"/>
              <w:rPr>
                <w:sz w:val="20"/>
                <w:szCs w:val="20"/>
                <w:color w:val="auto"/>
              </w:rPr>
            </w:pPr>
            <w:r>
              <w:rPr>
                <w:rFonts w:ascii="Arial" w:cs="Arial" w:eastAsia="Arial" w:hAnsi="Arial"/>
                <w:sz w:val="13"/>
                <w:szCs w:val="13"/>
                <w:color w:val="auto"/>
              </w:rPr>
              <w:t>ASSETS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5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Accounts receivable - trade</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342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Accounts receivable - other</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Interest receivable</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Due from unconsolidated affiliates</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79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Income taxes receivable</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2"/>
        </w:trPr>
        <w:tc>
          <w:tcPr>
            <w:tcW w:w="4040" w:type="dxa"/>
            <w:vAlign w:val="bottom"/>
          </w:tcPr>
          <w:p>
            <w:pPr>
              <w:ind w:left="140"/>
              <w:spacing w:after="0"/>
              <w:rPr>
                <w:sz w:val="20"/>
                <w:szCs w:val="20"/>
                <w:color w:val="auto"/>
              </w:rPr>
            </w:pPr>
            <w:r>
              <w:rPr>
                <w:rFonts w:ascii="Arial" w:cs="Arial" w:eastAsia="Arial" w:hAnsi="Arial"/>
                <w:sz w:val="13"/>
                <w:szCs w:val="13"/>
                <w:color w:val="auto"/>
              </w:rPr>
              <w:t>Regulatory assets arising from fixed-price contracts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340"/>
              <w:spacing w:after="0"/>
              <w:rPr>
                <w:sz w:val="20"/>
                <w:szCs w:val="20"/>
                <w:color w:val="auto"/>
              </w:rPr>
            </w:pPr>
            <w:r>
              <w:rPr>
                <w:rFonts w:ascii="Arial" w:cs="Arial" w:eastAsia="Arial" w:hAnsi="Arial"/>
                <w:sz w:val="13"/>
                <w:szCs w:val="13"/>
                <w:color w:val="auto"/>
              </w:rPr>
              <w:t>and other derivatives</w:t>
            </w: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7"/>
        </w:trPr>
        <w:tc>
          <w:tcPr>
            <w:tcW w:w="4040" w:type="dxa"/>
            <w:vAlign w:val="bottom"/>
          </w:tcPr>
          <w:p>
            <w:pPr>
              <w:ind w:left="140"/>
              <w:spacing w:after="0"/>
              <w:rPr>
                <w:sz w:val="20"/>
                <w:szCs w:val="20"/>
                <w:color w:val="auto"/>
              </w:rPr>
            </w:pPr>
            <w:r>
              <w:rPr>
                <w:rFonts w:ascii="Arial" w:cs="Arial" w:eastAsia="Arial" w:hAnsi="Arial"/>
                <w:sz w:val="13"/>
                <w:szCs w:val="13"/>
                <w:color w:val="auto"/>
              </w:rPr>
              <w:t>Other regulatory assets</w:t>
            </w:r>
          </w:p>
        </w:tc>
        <w:tc>
          <w:tcPr>
            <w:tcW w:w="14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31"/>
        </w:trPr>
        <w:tc>
          <w:tcPr>
            <w:tcW w:w="404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984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31"/>
        </w:trPr>
        <w:tc>
          <w:tcPr>
            <w:tcW w:w="4040" w:type="dxa"/>
            <w:vAlign w:val="bottom"/>
            <w:vMerge w:val="restart"/>
          </w:tcPr>
          <w:p>
            <w:pPr>
              <w:ind w:left="2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40"/>
              <w:spacing w:after="0"/>
              <w:rPr>
                <w:sz w:val="20"/>
                <w:szCs w:val="20"/>
                <w:color w:val="auto"/>
              </w:rPr>
            </w:pPr>
            <w:r>
              <w:rPr>
                <w:rFonts w:ascii="Arial" w:cs="Arial" w:eastAsia="Arial" w:hAnsi="Arial"/>
                <w:sz w:val="13"/>
                <w:szCs w:val="13"/>
                <w:color w:val="auto"/>
              </w:rPr>
              <w:t>Other regulatory assets</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77"/>
        </w:trPr>
        <w:tc>
          <w:tcPr>
            <w:tcW w:w="4040" w:type="dxa"/>
            <w:vAlign w:val="bottom"/>
          </w:tcPr>
          <w:p>
            <w:pPr>
              <w:ind w:left="140"/>
              <w:spacing w:after="0"/>
              <w:rPr>
                <w:sz w:val="20"/>
                <w:szCs w:val="20"/>
                <w:color w:val="auto"/>
              </w:rPr>
            </w:pPr>
            <w:r>
              <w:rPr>
                <w:rFonts w:ascii="Arial" w:cs="Arial" w:eastAsia="Arial" w:hAnsi="Arial"/>
                <w:sz w:val="13"/>
                <w:szCs w:val="13"/>
                <w:color w:val="auto"/>
              </w:rPr>
              <w:t>Sundry</w:t>
            </w:r>
          </w:p>
        </w:tc>
        <w:tc>
          <w:tcPr>
            <w:tcW w:w="14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31"/>
        </w:trPr>
        <w:tc>
          <w:tcPr>
            <w:tcW w:w="4040" w:type="dxa"/>
            <w:vAlign w:val="bottom"/>
            <w:vMerge w:val="restart"/>
          </w:tcPr>
          <w:p>
            <w:pPr>
              <w:ind w:left="280"/>
              <w:spacing w:after="0"/>
              <w:rPr>
                <w:sz w:val="20"/>
                <w:szCs w:val="20"/>
                <w:color w:val="auto"/>
              </w:rPr>
            </w:pPr>
            <w:r>
              <w:rPr>
                <w:rFonts w:ascii="Arial" w:cs="Arial" w:eastAsia="Arial" w:hAnsi="Arial"/>
                <w:sz w:val="13"/>
                <w:szCs w:val="13"/>
                <w:color w:val="auto"/>
              </w:rPr>
              <w:t>Total other assets</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182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31"/>
        </w:trPr>
        <w:tc>
          <w:tcPr>
            <w:tcW w:w="4040" w:type="dxa"/>
            <w:vAlign w:val="bottom"/>
            <w:vMerge w:val="restart"/>
          </w:tcPr>
          <w:p>
            <w:pPr>
              <w:ind w:left="20"/>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40"/>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7,923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7,762</w:t>
            </w:r>
          </w:p>
        </w:tc>
        <w:tc>
          <w:tcPr>
            <w:tcW w:w="0" w:type="dxa"/>
            <w:vAlign w:val="bottom"/>
          </w:tcPr>
          <w:p>
            <w:pPr>
              <w:spacing w:after="0"/>
              <w:rPr>
                <w:sz w:val="1"/>
                <w:szCs w:val="1"/>
                <w:color w:val="auto"/>
              </w:rPr>
            </w:pPr>
          </w:p>
        </w:tc>
      </w:tr>
      <w:tr>
        <w:trPr>
          <w:trHeight w:val="177"/>
        </w:trPr>
        <w:tc>
          <w:tcPr>
            <w:tcW w:w="4040" w:type="dxa"/>
            <w:vAlign w:val="bottom"/>
          </w:tcPr>
          <w:p>
            <w:pPr>
              <w:ind w:left="140"/>
              <w:spacing w:after="0"/>
              <w:rPr>
                <w:sz w:val="20"/>
                <w:szCs w:val="20"/>
                <w:color w:val="auto"/>
              </w:rPr>
            </w:pPr>
            <w:r>
              <w:rPr>
                <w:rFonts w:ascii="Arial" w:cs="Arial" w:eastAsia="Arial" w:hAnsi="Arial"/>
                <w:sz w:val="13"/>
                <w:szCs w:val="13"/>
                <w:color w:val="auto"/>
              </w:rPr>
              <w:t>Less accumulated depreciation</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(3,170 )</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(3,091 )</w:t>
            </w:r>
          </w:p>
        </w:tc>
        <w:tc>
          <w:tcPr>
            <w:tcW w:w="0" w:type="dxa"/>
            <w:vAlign w:val="bottom"/>
          </w:tcPr>
          <w:p>
            <w:pPr>
              <w:spacing w:after="0"/>
              <w:rPr>
                <w:sz w:val="1"/>
                <w:szCs w:val="1"/>
                <w:color w:val="auto"/>
              </w:rPr>
            </w:pPr>
          </w:p>
        </w:tc>
      </w:tr>
      <w:tr>
        <w:trPr>
          <w:trHeight w:val="31"/>
        </w:trPr>
        <w:tc>
          <w:tcPr>
            <w:tcW w:w="4040" w:type="dxa"/>
            <w:vAlign w:val="bottom"/>
            <w:vMerge w:val="restart"/>
          </w:tcPr>
          <w:p>
            <w:pPr>
              <w:ind w:left="280"/>
              <w:spacing w:after="0"/>
              <w:rPr>
                <w:sz w:val="20"/>
                <w:szCs w:val="20"/>
                <w:color w:val="auto"/>
              </w:rPr>
            </w:pPr>
            <w:r>
              <w:rPr>
                <w:rFonts w:ascii="Arial" w:cs="Arial" w:eastAsia="Arial" w:hAnsi="Arial"/>
                <w:sz w:val="13"/>
                <w:szCs w:val="13"/>
                <w:color w:val="auto"/>
              </w:rPr>
              <w:t>Property, plant and equipment, net</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4,753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4,671</w:t>
            </w:r>
          </w:p>
        </w:tc>
        <w:tc>
          <w:tcPr>
            <w:tcW w:w="0" w:type="dxa"/>
            <w:vAlign w:val="bottom"/>
          </w:tcPr>
          <w:p>
            <w:pPr>
              <w:spacing w:after="0"/>
              <w:rPr>
                <w:sz w:val="1"/>
                <w:szCs w:val="1"/>
                <w:color w:val="auto"/>
              </w:rPr>
            </w:pPr>
          </w:p>
        </w:tc>
      </w:tr>
      <w:tr>
        <w:trPr>
          <w:trHeight w:val="31"/>
        </w:trPr>
        <w:tc>
          <w:tcPr>
            <w:tcW w:w="4040" w:type="dxa"/>
            <w:vAlign w:val="bottom"/>
            <w:vMerge w:val="restart"/>
          </w:tcPr>
          <w:p>
            <w:pPr>
              <w:ind w:left="20"/>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40" w:type="dxa"/>
            <w:vAlign w:val="bottom"/>
            <w:vMerge w:val="continue"/>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5,919</w:t>
            </w:r>
          </w:p>
        </w:tc>
        <w:tc>
          <w:tcPr>
            <w:tcW w:w="5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6,007</w:t>
            </w:r>
          </w:p>
        </w:tc>
        <w:tc>
          <w:tcPr>
            <w:tcW w:w="0" w:type="dxa"/>
            <w:vAlign w:val="bottom"/>
          </w:tcPr>
          <w:p>
            <w:pPr>
              <w:spacing w:after="0"/>
              <w:rPr>
                <w:sz w:val="1"/>
                <w:szCs w:val="1"/>
                <w:color w:val="auto"/>
              </w:rPr>
            </w:pPr>
          </w:p>
        </w:tc>
      </w:tr>
      <w:tr>
        <w:trPr>
          <w:trHeight w:val="31"/>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40" w:type="dxa"/>
            <w:vAlign w:val="bottom"/>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70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321310</wp:posOffset>
            </wp:positionV>
            <wp:extent cx="730885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SOUTHERN CALIFORNIA GAS COMPANY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BALANCE SHEETS</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color w:val="auto"/>
                <w:w w:val="92"/>
              </w:rPr>
              <w:t>June 30,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December 31,</w:t>
            </w:r>
          </w:p>
        </w:tc>
      </w:tr>
      <w:tr>
        <w:trPr>
          <w:trHeight w:val="321"/>
        </w:trPr>
        <w:tc>
          <w:tcPr>
            <w:tcW w:w="3320" w:type="dxa"/>
            <w:vAlign w:val="bottom"/>
          </w:tcPr>
          <w:p>
            <w:pPr>
              <w:spacing w:after="0"/>
              <w:rPr>
                <w:sz w:val="20"/>
                <w:szCs w:val="20"/>
                <w:color w:val="auto"/>
              </w:rPr>
            </w:pPr>
            <w:r>
              <w:rPr>
                <w:rFonts w:ascii="Arial" w:cs="Arial" w:eastAsia="Arial" w:hAnsi="Arial"/>
                <w:sz w:val="13"/>
                <w:szCs w:val="13"/>
                <w:color w:val="auto"/>
              </w:rPr>
              <w:t>(Dollars in millions)</w:t>
            </w:r>
          </w:p>
        </w:tc>
        <w:tc>
          <w:tcPr>
            <w:tcW w:w="840" w:type="dxa"/>
            <w:vAlign w:val="bottom"/>
          </w:tcPr>
          <w:p>
            <w:pPr>
              <w:spacing w:after="0"/>
              <w:rPr>
                <w:sz w:val="24"/>
                <w:szCs w:val="24"/>
                <w:color w:val="auto"/>
              </w:rPr>
            </w:pPr>
          </w:p>
        </w:tc>
        <w:tc>
          <w:tcPr>
            <w:tcW w:w="800" w:type="dxa"/>
            <w:vAlign w:val="bottom"/>
          </w:tcPr>
          <w:p>
            <w:pPr>
              <w:jc w:val="right"/>
              <w:ind w:right="336"/>
              <w:spacing w:after="0"/>
              <w:rPr>
                <w:sz w:val="20"/>
                <w:szCs w:val="20"/>
                <w:color w:val="auto"/>
              </w:rPr>
            </w:pPr>
            <w:r>
              <w:rPr>
                <w:rFonts w:ascii="Arial" w:cs="Arial" w:eastAsia="Arial" w:hAnsi="Arial"/>
                <w:sz w:val="13"/>
                <w:szCs w:val="13"/>
                <w:color w:val="auto"/>
              </w:rPr>
              <w:t>2006</w:t>
            </w:r>
          </w:p>
        </w:tc>
        <w:tc>
          <w:tcPr>
            <w:tcW w:w="420" w:type="dxa"/>
            <w:vAlign w:val="bottom"/>
          </w:tcPr>
          <w:p>
            <w:pPr>
              <w:spacing w:after="0"/>
              <w:rPr>
                <w:sz w:val="24"/>
                <w:szCs w:val="24"/>
                <w:color w:val="auto"/>
              </w:rPr>
            </w:pPr>
          </w:p>
        </w:tc>
        <w:tc>
          <w:tcPr>
            <w:tcW w:w="620" w:type="dxa"/>
            <w:vAlign w:val="bottom"/>
          </w:tcPr>
          <w:p>
            <w:pPr>
              <w:jc w:val="right"/>
              <w:ind w:right="236"/>
              <w:spacing w:after="0"/>
              <w:rPr>
                <w:sz w:val="20"/>
                <w:szCs w:val="20"/>
                <w:color w:val="auto"/>
              </w:rPr>
            </w:pPr>
            <w:r>
              <w:rPr>
                <w:rFonts w:ascii="Arial" w:cs="Arial" w:eastAsia="Arial" w:hAnsi="Arial"/>
                <w:sz w:val="13"/>
                <w:szCs w:val="13"/>
                <w:color w:val="auto"/>
              </w:rPr>
              <w:t>2005</w:t>
            </w:r>
          </w:p>
        </w:tc>
      </w:tr>
      <w:tr>
        <w:trPr>
          <w:trHeight w:val="183"/>
        </w:trPr>
        <w:tc>
          <w:tcPr>
            <w:tcW w:w="3320" w:type="dxa"/>
            <w:vAlign w:val="bottom"/>
            <w:shd w:val="clear" w:color="auto" w:fill="000000"/>
          </w:tcPr>
          <w:p>
            <w:pPr>
              <w:spacing w:after="0"/>
              <w:rPr>
                <w:sz w:val="15"/>
                <w:szCs w:val="15"/>
                <w:color w:val="auto"/>
              </w:rPr>
            </w:pPr>
          </w:p>
        </w:tc>
        <w:tc>
          <w:tcPr>
            <w:tcW w:w="840" w:type="dxa"/>
            <w:vAlign w:val="bottom"/>
            <w:shd w:val="clear" w:color="auto" w:fill="000000"/>
          </w:tcPr>
          <w:p>
            <w:pPr>
              <w:spacing w:after="0"/>
              <w:rPr>
                <w:sz w:val="15"/>
                <w:szCs w:val="15"/>
                <w:color w:val="auto"/>
              </w:rPr>
            </w:pPr>
          </w:p>
        </w:tc>
        <w:tc>
          <w:tcPr>
            <w:tcW w:w="1220" w:type="dxa"/>
            <w:vAlign w:val="bottom"/>
            <w:gridSpan w:val="2"/>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r>
      <w:tr>
        <w:trPr>
          <w:trHeight w:val="166"/>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6"/>
              <w:spacing w:after="0"/>
              <w:rPr>
                <w:sz w:val="20"/>
                <w:szCs w:val="20"/>
                <w:color w:val="auto"/>
              </w:rPr>
            </w:pPr>
            <w:r>
              <w:rPr>
                <w:rFonts w:ascii="Arial" w:cs="Arial" w:eastAsia="Arial" w:hAnsi="Arial"/>
                <w:sz w:val="13"/>
                <w:szCs w:val="13"/>
                <w:color w:val="auto"/>
              </w:rPr>
              <w:t>(unaudited)</w:t>
            </w:r>
          </w:p>
        </w:tc>
        <w:tc>
          <w:tcPr>
            <w:tcW w:w="620" w:type="dxa"/>
            <w:vAlign w:val="bottom"/>
          </w:tcPr>
          <w:p>
            <w:pPr>
              <w:spacing w:after="0"/>
              <w:rPr>
                <w:sz w:val="14"/>
                <w:szCs w:val="14"/>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3"/>
                <w:szCs w:val="13"/>
                <w:color w:val="auto"/>
              </w:rPr>
              <w:t>LIABILITIES AND SHAREHOLDERS' EQUITY</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3"/>
                <w:szCs w:val="13"/>
                <w:color w:val="auto"/>
              </w:rPr>
              <w:t>Current liabilities:</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3320" w:type="dxa"/>
            <w:vAlign w:val="bottom"/>
          </w:tcPr>
          <w:p>
            <w:pPr>
              <w:ind w:left="120"/>
              <w:spacing w:after="0"/>
              <w:rPr>
                <w:sz w:val="20"/>
                <w:szCs w:val="20"/>
                <w:color w:val="auto"/>
              </w:rPr>
            </w:pPr>
            <w:r>
              <w:rPr>
                <w:rFonts w:ascii="Arial" w:cs="Arial" w:eastAsia="Arial" w:hAnsi="Arial"/>
                <w:sz w:val="13"/>
                <w:szCs w:val="13"/>
                <w:color w:val="auto"/>
              </w:rPr>
              <w:t>Short-term debt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88</w:t>
            </w:r>
          </w:p>
        </w:tc>
      </w:tr>
      <w:tr>
        <w:trPr>
          <w:trHeight w:val="197"/>
        </w:trPr>
        <w:tc>
          <w:tcPr>
            <w:tcW w:w="3320" w:type="dxa"/>
            <w:vAlign w:val="bottom"/>
          </w:tcPr>
          <w:p>
            <w:pPr>
              <w:ind w:left="120"/>
              <w:spacing w:after="0"/>
              <w:rPr>
                <w:sz w:val="20"/>
                <w:szCs w:val="20"/>
                <w:color w:val="auto"/>
              </w:rPr>
            </w:pPr>
            <w:r>
              <w:rPr>
                <w:rFonts w:ascii="Arial" w:cs="Arial" w:eastAsia="Arial" w:hAnsi="Arial"/>
                <w:sz w:val="13"/>
                <w:szCs w:val="13"/>
                <w:color w:val="auto"/>
              </w:rPr>
              <w:t>Accounts payable - trade</w:t>
            </w:r>
          </w:p>
        </w:tc>
        <w:tc>
          <w:tcPr>
            <w:tcW w:w="840" w:type="dxa"/>
            <w:vAlign w:val="bottom"/>
          </w:tcPr>
          <w:p>
            <w:pPr>
              <w:spacing w:after="0"/>
              <w:rPr>
                <w:sz w:val="17"/>
                <w:szCs w:val="17"/>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189</w:t>
            </w:r>
          </w:p>
        </w:tc>
        <w:tc>
          <w:tcPr>
            <w:tcW w:w="4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344</w:t>
            </w:r>
          </w:p>
        </w:tc>
      </w:tr>
      <w:tr>
        <w:trPr>
          <w:trHeight w:val="197"/>
        </w:trPr>
        <w:tc>
          <w:tcPr>
            <w:tcW w:w="3320" w:type="dxa"/>
            <w:vAlign w:val="bottom"/>
          </w:tcPr>
          <w:p>
            <w:pPr>
              <w:ind w:left="120"/>
              <w:spacing w:after="0"/>
              <w:rPr>
                <w:sz w:val="20"/>
                <w:szCs w:val="20"/>
                <w:color w:val="auto"/>
              </w:rPr>
            </w:pPr>
            <w:r>
              <w:rPr>
                <w:rFonts w:ascii="Arial" w:cs="Arial" w:eastAsia="Arial" w:hAnsi="Arial"/>
                <w:sz w:val="13"/>
                <w:szCs w:val="13"/>
                <w:color w:val="auto"/>
              </w:rPr>
              <w:t>Accounts payable - other</w:t>
            </w:r>
          </w:p>
        </w:tc>
        <w:tc>
          <w:tcPr>
            <w:tcW w:w="840" w:type="dxa"/>
            <w:vAlign w:val="bottom"/>
          </w:tcPr>
          <w:p>
            <w:pPr>
              <w:spacing w:after="0"/>
              <w:rPr>
                <w:sz w:val="17"/>
                <w:szCs w:val="17"/>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76</w:t>
            </w:r>
          </w:p>
        </w:tc>
        <w:tc>
          <w:tcPr>
            <w:tcW w:w="42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76</w:t>
            </w:r>
          </w:p>
        </w:tc>
      </w:tr>
    </w:tbl>
    <w:p>
      <w:pPr>
        <w:sectPr>
          <w:pgSz w:w="11900" w:h="16899" w:orient="portrait"/>
          <w:cols w:equalWidth="0" w:num="1">
            <w:col w:w="9019"/>
          </w:cols>
          <w:pgMar w:left="1440" w:top="350" w:right="1440" w:bottom="0" w:gutter="0" w:footer="0" w:header="0"/>
        </w:sectPr>
      </w:pPr>
    </w:p>
    <w:bookmarkStart w:id="5" w:name="page6"/>
    <w:bookmarkEnd w:id="5"/>
    <w:p>
      <w:pPr>
        <w:spacing w:after="0" w:line="41"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4020" w:type="dxa"/>
            <w:vAlign w:val="bottom"/>
          </w:tcPr>
          <w:p>
            <w:pPr>
              <w:ind w:left="120"/>
              <w:spacing w:after="0"/>
              <w:rPr>
                <w:sz w:val="20"/>
                <w:szCs w:val="20"/>
                <w:color w:val="auto"/>
              </w:rPr>
            </w:pPr>
            <w:r>
              <w:rPr>
                <w:rFonts w:ascii="Arial" w:cs="Arial" w:eastAsia="Arial" w:hAnsi="Arial"/>
                <w:sz w:val="13"/>
                <w:szCs w:val="13"/>
                <w:color w:val="auto"/>
              </w:rPr>
              <w:t>Due to unconsolidated affiliates</w:t>
            </w: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69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Regulatory balancing accounts, net</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Fixed-price contracts and other derivatives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Customer deposits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85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Temporary LIFO liquidation</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48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232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31"/>
        </w:trPr>
        <w:tc>
          <w:tcPr>
            <w:tcW w:w="4020" w:type="dxa"/>
            <w:vAlign w:val="bottom"/>
            <w:vMerge w:val="restart"/>
          </w:tcPr>
          <w:p>
            <w:pPr>
              <w:ind w:left="260"/>
              <w:spacing w:after="0"/>
              <w:rPr>
                <w:sz w:val="20"/>
                <w:szCs w:val="20"/>
                <w:color w:val="auto"/>
              </w:rPr>
            </w:pPr>
            <w:r>
              <w:rPr>
                <w:rFonts w:ascii="Arial" w:cs="Arial" w:eastAsia="Arial" w:hAnsi="Arial"/>
                <w:sz w:val="13"/>
                <w:szCs w:val="13"/>
                <w:color w:val="auto"/>
              </w:rPr>
              <w:t>Total current liabilities</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912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31"/>
        </w:trPr>
        <w:tc>
          <w:tcPr>
            <w:tcW w:w="4020" w:type="dxa"/>
            <w:vAlign w:val="bottom"/>
            <w:vMerge w:val="restart"/>
          </w:tcPr>
          <w:p>
            <w:pPr>
              <w:spacing w:after="0"/>
              <w:rPr>
                <w:sz w:val="20"/>
                <w:szCs w:val="20"/>
                <w:color w:val="auto"/>
              </w:rPr>
            </w:pPr>
            <w:r>
              <w:rPr>
                <w:rFonts w:ascii="Arial" w:cs="Arial" w:eastAsia="Arial" w:hAnsi="Arial"/>
                <w:sz w:val="13"/>
                <w:szCs w:val="13"/>
                <w:color w:val="auto"/>
              </w:rPr>
              <w:t>Long-term debt</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1,103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31"/>
        </w:trPr>
        <w:tc>
          <w:tcPr>
            <w:tcW w:w="4020" w:type="dxa"/>
            <w:vAlign w:val="bottom"/>
            <w:vMerge w:val="restart"/>
          </w:tcPr>
          <w:p>
            <w:pPr>
              <w:spacing w:after="0"/>
              <w:rPr>
                <w:sz w:val="20"/>
                <w:szCs w:val="20"/>
                <w:color w:val="auto"/>
              </w:rPr>
            </w:pPr>
            <w:r>
              <w:rPr>
                <w:rFonts w:ascii="Arial" w:cs="Arial" w:eastAsia="Arial" w:hAnsi="Arial"/>
                <w:sz w:val="13"/>
                <w:szCs w:val="13"/>
                <w:color w:val="auto"/>
              </w:rPr>
              <w:t>Deferred credits and other liabilities:</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Customer advances for construction</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83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Postretirement benefits other than pensions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62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127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Deferred investment tax credits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17"/>
        </w:trPr>
        <w:tc>
          <w:tcPr>
            <w:tcW w:w="4020" w:type="dxa"/>
            <w:vAlign w:val="bottom"/>
          </w:tcPr>
          <w:p>
            <w:pPr>
              <w:ind w:left="120"/>
              <w:spacing w:after="0"/>
              <w:rPr>
                <w:sz w:val="20"/>
                <w:szCs w:val="20"/>
                <w:color w:val="auto"/>
              </w:rPr>
            </w:pPr>
            <w:r>
              <w:rPr>
                <w:rFonts w:ascii="Arial" w:cs="Arial" w:eastAsia="Arial" w:hAnsi="Arial"/>
                <w:sz w:val="13"/>
                <w:szCs w:val="13"/>
                <w:color w:val="auto"/>
              </w:rPr>
              <w:t>Regulatory liabilities arising from removal obligations</w:t>
            </w:r>
          </w:p>
        </w:tc>
        <w:tc>
          <w:tcPr>
            <w:tcW w:w="26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1,110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1,097</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Asset retirement obligations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519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77"/>
        </w:trPr>
        <w:tc>
          <w:tcPr>
            <w:tcW w:w="4020" w:type="dxa"/>
            <w:vAlign w:val="bottom"/>
          </w:tcPr>
          <w:p>
            <w:pPr>
              <w:ind w:left="120"/>
              <w:spacing w:after="0"/>
              <w:rPr>
                <w:sz w:val="20"/>
                <w:szCs w:val="20"/>
                <w:color w:val="auto"/>
              </w:rPr>
            </w:pPr>
            <w:r>
              <w:rPr>
                <w:rFonts w:ascii="Arial" w:cs="Arial" w:eastAsia="Arial" w:hAnsi="Arial"/>
                <w:sz w:val="13"/>
                <w:szCs w:val="13"/>
                <w:color w:val="auto"/>
              </w:rPr>
              <w:t>Deferred taxes refundable in rates</w:t>
            </w:r>
          </w:p>
        </w:tc>
        <w:tc>
          <w:tcPr>
            <w:tcW w:w="260" w:type="dxa"/>
            <w:vAlign w:val="bottom"/>
          </w:tcPr>
          <w:p>
            <w:pPr>
              <w:spacing w:after="0"/>
              <w:rPr>
                <w:sz w:val="15"/>
                <w:szCs w:val="15"/>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206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Deferred credits and other</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336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31"/>
        </w:trPr>
        <w:tc>
          <w:tcPr>
            <w:tcW w:w="4020" w:type="dxa"/>
            <w:vAlign w:val="bottom"/>
            <w:vMerge w:val="restart"/>
          </w:tcPr>
          <w:p>
            <w:pPr>
              <w:ind w:left="260"/>
              <w:spacing w:after="0"/>
              <w:rPr>
                <w:sz w:val="20"/>
                <w:szCs w:val="20"/>
                <w:color w:val="auto"/>
              </w:rPr>
            </w:pPr>
            <w:r>
              <w:rPr>
                <w:rFonts w:ascii="Arial" w:cs="Arial" w:eastAsia="Arial" w:hAnsi="Arial"/>
                <w:sz w:val="13"/>
                <w:szCs w:val="13"/>
                <w:color w:val="auto"/>
              </w:rPr>
              <w:t>Total deferred credits and other liabilities</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2,480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31"/>
        </w:trPr>
        <w:tc>
          <w:tcPr>
            <w:tcW w:w="4020" w:type="dxa"/>
            <w:vAlign w:val="bottom"/>
            <w:vMerge w:val="restart"/>
          </w:tcPr>
          <w:p>
            <w:pPr>
              <w:spacing w:after="0"/>
              <w:rPr>
                <w:sz w:val="20"/>
                <w:szCs w:val="20"/>
                <w:color w:val="auto"/>
              </w:rPr>
            </w:pPr>
            <w:r>
              <w:rPr>
                <w:rFonts w:ascii="Arial" w:cs="Arial" w:eastAsia="Arial" w:hAnsi="Arial"/>
                <w:sz w:val="13"/>
                <w:szCs w:val="13"/>
                <w:color w:val="auto"/>
              </w:rPr>
              <w:t>Commitments and contingencies (Note 6)</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020" w:type="dxa"/>
            <w:vAlign w:val="bottom"/>
          </w:tcPr>
          <w:p>
            <w:pPr>
              <w:spacing w:after="0"/>
              <w:rPr>
                <w:sz w:val="20"/>
                <w:szCs w:val="20"/>
                <w:color w:val="auto"/>
              </w:rPr>
            </w:pPr>
            <w:r>
              <w:rPr>
                <w:rFonts w:ascii="Arial" w:cs="Arial" w:eastAsia="Arial" w:hAnsi="Arial"/>
                <w:sz w:val="13"/>
                <w:szCs w:val="13"/>
                <w:color w:val="auto"/>
              </w:rPr>
              <w:t>Shareholders' equity:</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Preferred stock</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Common stock (100 million shares authorized;</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ind w:left="260"/>
              <w:spacing w:after="0"/>
              <w:rPr>
                <w:sz w:val="20"/>
                <w:szCs w:val="20"/>
                <w:color w:val="auto"/>
              </w:rPr>
            </w:pPr>
            <w:r>
              <w:rPr>
                <w:rFonts w:ascii="Arial" w:cs="Arial" w:eastAsia="Arial" w:hAnsi="Arial"/>
                <w:sz w:val="13"/>
                <w:szCs w:val="13"/>
                <w:color w:val="auto"/>
              </w:rPr>
              <w:t>91 million shares outstanding)</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866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541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(5 )</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31"/>
        </w:trPr>
        <w:tc>
          <w:tcPr>
            <w:tcW w:w="4020" w:type="dxa"/>
            <w:vAlign w:val="bottom"/>
            <w:vMerge w:val="restart"/>
          </w:tcPr>
          <w:p>
            <w:pPr>
              <w:ind w:left="260"/>
              <w:spacing w:after="0"/>
              <w:rPr>
                <w:sz w:val="20"/>
                <w:szCs w:val="20"/>
                <w:color w:val="auto"/>
              </w:rPr>
            </w:pPr>
            <w:r>
              <w:rPr>
                <w:rFonts w:ascii="Arial" w:cs="Arial" w:eastAsia="Arial" w:hAnsi="Arial"/>
                <w:sz w:val="13"/>
                <w:szCs w:val="13"/>
                <w:color w:val="auto"/>
              </w:rPr>
              <w:t>Total shareholders' equity</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1,424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1,417</w:t>
            </w:r>
          </w:p>
        </w:tc>
        <w:tc>
          <w:tcPr>
            <w:tcW w:w="0" w:type="dxa"/>
            <w:vAlign w:val="bottom"/>
          </w:tcPr>
          <w:p>
            <w:pPr>
              <w:spacing w:after="0"/>
              <w:rPr>
                <w:sz w:val="1"/>
                <w:szCs w:val="1"/>
                <w:color w:val="auto"/>
              </w:rPr>
            </w:pPr>
          </w:p>
        </w:tc>
      </w:tr>
      <w:tr>
        <w:trPr>
          <w:trHeight w:val="31"/>
        </w:trPr>
        <w:tc>
          <w:tcPr>
            <w:tcW w:w="4020" w:type="dxa"/>
            <w:vAlign w:val="bottom"/>
            <w:vMerge w:val="restart"/>
          </w:tcPr>
          <w:p>
            <w:pPr>
              <w:spacing w:after="0"/>
              <w:rPr>
                <w:sz w:val="20"/>
                <w:szCs w:val="20"/>
                <w:color w:val="auto"/>
              </w:rPr>
            </w:pPr>
            <w:r>
              <w:rPr>
                <w:rFonts w:ascii="Arial" w:cs="Arial" w:eastAsia="Arial" w:hAnsi="Arial"/>
                <w:sz w:val="13"/>
                <w:szCs w:val="13"/>
                <w:color w:val="auto"/>
              </w:rPr>
              <w:t>Total liabilities and shareholders' equity</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5,919</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6,007</w:t>
            </w:r>
          </w:p>
        </w:tc>
        <w:tc>
          <w:tcPr>
            <w:tcW w:w="0" w:type="dxa"/>
            <w:vAlign w:val="bottom"/>
          </w:tcPr>
          <w:p>
            <w:pPr>
              <w:spacing w:after="0"/>
              <w:rPr>
                <w:sz w:val="1"/>
                <w:szCs w:val="1"/>
                <w:color w:val="auto"/>
              </w:rPr>
            </w:pPr>
          </w:p>
        </w:tc>
      </w:tr>
      <w:tr>
        <w:trPr>
          <w:trHeight w:val="31"/>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321310</wp:posOffset>
            </wp:positionV>
            <wp:extent cx="730885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00"/>
        <w:spacing w:after="0"/>
        <w:rPr>
          <w:sz w:val="20"/>
          <w:szCs w:val="20"/>
          <w:color w:val="auto"/>
        </w:rPr>
      </w:pPr>
      <w:r>
        <w:rPr>
          <w:rFonts w:ascii="Arial" w:cs="Arial" w:eastAsia="Arial" w:hAnsi="Arial"/>
          <w:sz w:val="13"/>
          <w:szCs w:val="13"/>
          <w:color w:val="auto"/>
        </w:rPr>
        <w:t>SOUTHERN CALIFORNIA GAS COMPANY AND SUBSIDIARIES</w:t>
      </w:r>
    </w:p>
    <w:p>
      <w:pPr>
        <w:spacing w:after="0" w:line="13" w:lineRule="exact"/>
        <w:rPr>
          <w:sz w:val="20"/>
          <w:szCs w:val="20"/>
          <w:color w:val="auto"/>
        </w:rPr>
      </w:pPr>
    </w:p>
    <w:p>
      <w:pPr>
        <w:ind w:left="2680"/>
        <w:spacing w:after="0"/>
        <w:rPr>
          <w:sz w:val="20"/>
          <w:szCs w:val="20"/>
          <w:color w:val="auto"/>
        </w:rPr>
      </w:pPr>
      <w:r>
        <w:rPr>
          <w:rFonts w:ascii="Arial" w:cs="Arial" w:eastAsia="Arial" w:hAnsi="Arial"/>
          <w:sz w:val="13"/>
          <w:szCs w:val="13"/>
          <w:color w:val="auto"/>
        </w:rPr>
        <w:t>CONDENSED STATEMENTS OF CONSOLIDATED CASH FLOWS</w:t>
      </w:r>
    </w:p>
    <w:p>
      <w:pPr>
        <w:spacing w:after="0" w:line="171"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center"/>
              <w:ind w:right="56"/>
              <w:spacing w:after="0"/>
              <w:rPr>
                <w:sz w:val="20"/>
                <w:szCs w:val="20"/>
                <w:color w:val="auto"/>
              </w:rPr>
            </w:pPr>
            <w:r>
              <w:rPr>
                <w:rFonts w:ascii="Arial" w:cs="Arial" w:eastAsia="Arial" w:hAnsi="Arial"/>
                <w:sz w:val="13"/>
                <w:szCs w:val="13"/>
                <w:color w:val="auto"/>
                <w:w w:val="86"/>
              </w:rPr>
              <w:t>Six months ended</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880" w:type="dxa"/>
            <w:vAlign w:val="bottom"/>
            <w:vMerge w:val="restart"/>
          </w:tcPr>
          <w:p>
            <w:pPr>
              <w:ind w:left="20"/>
              <w:spacing w:after="0"/>
              <w:rPr>
                <w:sz w:val="20"/>
                <w:szCs w:val="20"/>
                <w:color w:val="auto"/>
              </w:rPr>
            </w:pPr>
            <w:r>
              <w:rPr>
                <w:rFonts w:ascii="Arial" w:cs="Arial" w:eastAsia="Arial" w:hAnsi="Arial"/>
                <w:sz w:val="13"/>
                <w:szCs w:val="13"/>
                <w:color w:val="auto"/>
              </w:rPr>
              <w:t>(Dollars in millions)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6"/>
              <w:spacing w:after="0"/>
              <w:rPr>
                <w:sz w:val="20"/>
                <w:szCs w:val="20"/>
                <w:color w:val="auto"/>
              </w:rPr>
            </w:pPr>
            <w:r>
              <w:rPr>
                <w:rFonts w:ascii="Arial" w:cs="Arial" w:eastAsia="Arial" w:hAnsi="Arial"/>
                <w:sz w:val="13"/>
                <w:szCs w:val="13"/>
                <w:color w:val="auto"/>
              </w:rPr>
              <w:t>2006</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36"/>
              <w:spacing w:after="0"/>
              <w:rPr>
                <w:sz w:val="20"/>
                <w:szCs w:val="20"/>
                <w:color w:val="auto"/>
              </w:rPr>
            </w:pPr>
            <w:r>
              <w:rPr>
                <w:rFonts w:ascii="Arial" w:cs="Arial" w:eastAsia="Arial" w:hAnsi="Arial"/>
                <w:sz w:val="13"/>
                <w:szCs w:val="13"/>
                <w:color w:val="auto"/>
                <w:w w:val="96"/>
              </w:rPr>
              <w:t>2005</w:t>
            </w:r>
          </w:p>
        </w:tc>
        <w:tc>
          <w:tcPr>
            <w:tcW w:w="0" w:type="dxa"/>
            <w:vAlign w:val="bottom"/>
          </w:tcPr>
          <w:p>
            <w:pPr>
              <w:spacing w:after="0"/>
              <w:rPr>
                <w:sz w:val="1"/>
                <w:szCs w:val="1"/>
                <w:color w:val="auto"/>
              </w:rPr>
            </w:pPr>
          </w:p>
        </w:tc>
      </w:tr>
      <w:tr>
        <w:trPr>
          <w:trHeight w:val="31"/>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880" w:type="dxa"/>
            <w:vAlign w:val="bottom"/>
            <w:gridSpan w:val="2"/>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16"/>
              <w:spacing w:after="0"/>
              <w:rPr>
                <w:sz w:val="20"/>
                <w:szCs w:val="20"/>
                <w:color w:val="auto"/>
              </w:rPr>
            </w:pPr>
            <w:r>
              <w:rPr>
                <w:rFonts w:ascii="Arial" w:cs="Arial" w:eastAsia="Arial" w:hAnsi="Arial"/>
                <w:sz w:val="13"/>
                <w:szCs w:val="13"/>
                <w:color w:val="auto"/>
                <w:w w:val="88"/>
              </w:rPr>
              <w:t>(unaudited)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108</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Adjustments to reconcile net income to net cash provided by</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280"/>
              <w:spacing w:after="0"/>
              <w:rPr>
                <w:sz w:val="20"/>
                <w:szCs w:val="20"/>
                <w:color w:val="auto"/>
              </w:rPr>
            </w:pPr>
            <w:r>
              <w:rPr>
                <w:rFonts w:ascii="Arial" w:cs="Arial" w:eastAsia="Arial" w:hAnsi="Arial"/>
                <w:sz w:val="13"/>
                <w:szCs w:val="13"/>
                <w:color w:val="auto"/>
              </w:rPr>
              <w:t>operating activities: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340"/>
              <w:spacing w:after="0"/>
              <w:rPr>
                <w:sz w:val="20"/>
                <w:szCs w:val="20"/>
                <w:color w:val="auto"/>
              </w:rPr>
            </w:pPr>
            <w:r>
              <w:rPr>
                <w:rFonts w:ascii="Arial" w:cs="Arial" w:eastAsia="Arial" w:hAnsi="Arial"/>
                <w:sz w:val="13"/>
                <w:szCs w:val="13"/>
                <w:color w:val="auto"/>
              </w:rPr>
              <w:t>Depreciation</w:t>
            </w:r>
          </w:p>
        </w:tc>
        <w:tc>
          <w:tcPr>
            <w:tcW w:w="1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133</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97"/>
        </w:trPr>
        <w:tc>
          <w:tcPr>
            <w:tcW w:w="3880" w:type="dxa"/>
            <w:vAlign w:val="bottom"/>
          </w:tcPr>
          <w:p>
            <w:pPr>
              <w:ind w:left="340"/>
              <w:spacing w:after="0"/>
              <w:rPr>
                <w:sz w:val="20"/>
                <w:szCs w:val="20"/>
                <w:color w:val="auto"/>
              </w:rPr>
            </w:pPr>
            <w:r>
              <w:rPr>
                <w:rFonts w:ascii="Arial" w:cs="Arial" w:eastAsia="Arial" w:hAnsi="Arial"/>
                <w:sz w:val="13"/>
                <w:szCs w:val="13"/>
                <w:color w:val="auto"/>
              </w:rPr>
              <w:t>Deferred income taxes and investment tax credits</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7"/>
        </w:trPr>
        <w:tc>
          <w:tcPr>
            <w:tcW w:w="3880" w:type="dxa"/>
            <w:vAlign w:val="bottom"/>
          </w:tcPr>
          <w:p>
            <w:pPr>
              <w:ind w:left="340"/>
              <w:spacing w:after="0"/>
              <w:rPr>
                <w:sz w:val="20"/>
                <w:szCs w:val="20"/>
                <w:color w:val="auto"/>
              </w:rPr>
            </w:pPr>
            <w:r>
              <w:rPr>
                <w:rFonts w:ascii="Arial" w:cs="Arial" w:eastAsia="Arial" w:hAnsi="Arial"/>
                <w:sz w:val="13"/>
                <w:szCs w:val="13"/>
                <w:color w:val="auto"/>
              </w:rPr>
              <w:t>Gains on sale of assets</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880" w:type="dxa"/>
            <w:vAlign w:val="bottom"/>
          </w:tcPr>
          <w:p>
            <w:pPr>
              <w:ind w:left="340"/>
              <w:spacing w:after="0"/>
              <w:rPr>
                <w:sz w:val="20"/>
                <w:szCs w:val="20"/>
                <w:color w:val="auto"/>
              </w:rPr>
            </w:pPr>
            <w:r>
              <w:rPr>
                <w:rFonts w:ascii="Arial" w:cs="Arial" w:eastAsia="Arial" w:hAnsi="Arial"/>
                <w:sz w:val="13"/>
                <w:szCs w:val="13"/>
                <w:color w:val="auto"/>
              </w:rPr>
              <w:t>Accretion of interest</w:t>
            </w:r>
          </w:p>
        </w:tc>
        <w:tc>
          <w:tcPr>
            <w:tcW w:w="12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Net changes in other working capital components</w:t>
            </w:r>
          </w:p>
        </w:tc>
        <w:tc>
          <w:tcPr>
            <w:tcW w:w="12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533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Changes in other assets</w:t>
            </w:r>
          </w:p>
        </w:tc>
        <w:tc>
          <w:tcPr>
            <w:tcW w:w="12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Changes in other liabilities</w:t>
            </w:r>
          </w:p>
        </w:tc>
        <w:tc>
          <w:tcPr>
            <w:tcW w:w="12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31"/>
        </w:trPr>
        <w:tc>
          <w:tcPr>
            <w:tcW w:w="3880" w:type="dxa"/>
            <w:vAlign w:val="bottom"/>
            <w:vMerge w:val="restart"/>
          </w:tcPr>
          <w:p>
            <w:pPr>
              <w:ind w:left="340"/>
              <w:spacing w:after="0"/>
              <w:rPr>
                <w:sz w:val="20"/>
                <w:szCs w:val="20"/>
                <w:color w:val="auto"/>
              </w:rPr>
            </w:pPr>
            <w:r>
              <w:rPr>
                <w:rFonts w:ascii="Arial" w:cs="Arial" w:eastAsia="Arial" w:hAnsi="Arial"/>
                <w:sz w:val="13"/>
                <w:szCs w:val="13"/>
                <w:color w:val="auto"/>
              </w:rPr>
              <w:t>Net cash provided by operating activities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777</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31"/>
        </w:trPr>
        <w:tc>
          <w:tcPr>
            <w:tcW w:w="3880" w:type="dxa"/>
            <w:vAlign w:val="bottom"/>
            <w:vMerge w:val="restart"/>
          </w:tcPr>
          <w:p>
            <w:pPr>
              <w:ind w:left="20"/>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Expenditures for property, plant and equipment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(193 )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(146 )</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Increase in loans to affiliate, net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(94 )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(181 )</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Proceeds from sale of assets</w:t>
            </w:r>
          </w:p>
        </w:tc>
        <w:tc>
          <w:tcPr>
            <w:tcW w:w="12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3880" w:type="dxa"/>
            <w:vAlign w:val="bottom"/>
            <w:vMerge w:val="restart"/>
          </w:tcPr>
          <w:p>
            <w:pPr>
              <w:ind w:left="340"/>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(285 )</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(327 )</w:t>
            </w:r>
          </w:p>
        </w:tc>
        <w:tc>
          <w:tcPr>
            <w:tcW w:w="0" w:type="dxa"/>
            <w:vAlign w:val="bottom"/>
          </w:tcPr>
          <w:p>
            <w:pPr>
              <w:spacing w:after="0"/>
              <w:rPr>
                <w:sz w:val="1"/>
                <w:szCs w:val="1"/>
                <w:color w:val="auto"/>
              </w:rPr>
            </w:pPr>
          </w:p>
        </w:tc>
      </w:tr>
      <w:tr>
        <w:trPr>
          <w:trHeight w:val="31"/>
        </w:trPr>
        <w:tc>
          <w:tcPr>
            <w:tcW w:w="3880" w:type="dxa"/>
            <w:vAlign w:val="bottom"/>
            <w:vMerge w:val="restart"/>
          </w:tcPr>
          <w:p>
            <w:pPr>
              <w:ind w:left="20"/>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Common dividends paid</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Preferred dividends paid</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7"/>
        </w:trPr>
        <w:tc>
          <w:tcPr>
            <w:tcW w:w="3880" w:type="dxa"/>
            <w:vAlign w:val="bottom"/>
          </w:tcPr>
          <w:p>
            <w:pPr>
              <w:ind w:left="160"/>
              <w:spacing w:after="0"/>
              <w:rPr>
                <w:sz w:val="20"/>
                <w:szCs w:val="20"/>
                <w:color w:val="auto"/>
              </w:rPr>
            </w:pPr>
            <w:r>
              <w:rPr>
                <w:rFonts w:ascii="Arial" w:cs="Arial" w:eastAsia="Arial" w:hAnsi="Arial"/>
                <w:sz w:val="13"/>
                <w:szCs w:val="13"/>
                <w:color w:val="auto"/>
              </w:rPr>
              <w:t>Decrease in short-term debt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31"/>
        </w:trPr>
        <w:tc>
          <w:tcPr>
            <w:tcW w:w="3880" w:type="dxa"/>
            <w:vAlign w:val="bottom"/>
            <w:vMerge w:val="restart"/>
          </w:tcPr>
          <w:p>
            <w:pPr>
              <w:ind w:left="340"/>
              <w:spacing w:after="0"/>
              <w:rPr>
                <w:sz w:val="20"/>
                <w:szCs w:val="20"/>
                <w:color w:val="auto"/>
              </w:rPr>
            </w:pPr>
            <w:r>
              <w:rPr>
                <w:rFonts w:ascii="Arial" w:cs="Arial" w:eastAsia="Arial" w:hAnsi="Arial"/>
                <w:sz w:val="13"/>
                <w:szCs w:val="13"/>
                <w:color w:val="auto"/>
              </w:rPr>
              <w:t>Net cash used in financing activities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(189 )</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bl>
    <w:p>
      <w:pPr>
        <w:sectPr>
          <w:pgSz w:w="11900" w:h="16880" w:orient="portrait"/>
          <w:cols w:equalWidth="0" w:num="1">
            <w:col w:w="9019"/>
          </w:cols>
          <w:pgMar w:left="1440" w:top="331" w:right="1440" w:bottom="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4478020</wp:posOffset>
            </wp:positionH>
            <wp:positionV relativeFrom="page">
              <wp:posOffset>88900</wp:posOffset>
            </wp:positionV>
            <wp:extent cx="1062990" cy="112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2990" cy="112395"/>
                    </a:xfrm>
                    <a:prstGeom prst="rect">
                      <a:avLst/>
                    </a:prstGeom>
                    <a:noFill/>
                  </pic:spPr>
                </pic:pic>
              </a:graphicData>
            </a:graphic>
          </wp:anchor>
        </w:drawing>
      </w:r>
    </w:p>
    <w:tbl>
      <w:tblPr>
        <w:tblLayout w:type="fixed"/>
        <w:tblInd w:w="2980" w:type="dxa"/>
        <w:tblCellMar>
          <w:top w:w="0" w:type="dxa"/>
          <w:left w:w="0" w:type="dxa"/>
          <w:bottom w:w="0" w:type="dxa"/>
          <w:right w:w="0" w:type="dxa"/>
        </w:tblCellMar>
      </w:tblPr>
      <w:tr>
        <w:trPr>
          <w:trHeight w:val="162"/>
        </w:trPr>
        <w:tc>
          <w:tcPr>
            <w:tcW w:w="3860" w:type="dxa"/>
            <w:vAlign w:val="bottom"/>
          </w:tcPr>
          <w:p>
            <w:pPr>
              <w:spacing w:after="0"/>
              <w:rPr>
                <w:sz w:val="20"/>
                <w:szCs w:val="20"/>
                <w:color w:val="auto"/>
              </w:rPr>
            </w:pPr>
            <w:r>
              <w:rPr>
                <w:rFonts w:ascii="Arial" w:cs="Arial" w:eastAsia="Arial" w:hAnsi="Arial"/>
                <w:sz w:val="13"/>
                <w:szCs w:val="13"/>
                <w:color w:val="auto"/>
              </w:rPr>
              <w:t>Increase (decrease) in cash and cash equivalents</w:t>
            </w:r>
          </w:p>
        </w:tc>
        <w:tc>
          <w:tcPr>
            <w:tcW w:w="20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303</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20"/>
                <w:szCs w:val="20"/>
                <w:color w:val="auto"/>
              </w:rPr>
            </w:pPr>
            <w:r>
              <w:rPr>
                <w:rFonts w:ascii="Arial" w:cs="Arial" w:eastAsia="Arial" w:hAnsi="Arial"/>
                <w:sz w:val="13"/>
                <w:szCs w:val="13"/>
                <w:color w:val="auto"/>
              </w:rPr>
              <w:t>Cash and cash equivalents, January 1</w:t>
            </w:r>
          </w:p>
        </w:tc>
        <w:tc>
          <w:tcPr>
            <w:tcW w:w="200" w:type="dxa"/>
            <w:vAlign w:val="bottom"/>
          </w:tcPr>
          <w:p>
            <w:pPr>
              <w:spacing w:after="0"/>
              <w:rPr>
                <w:sz w:val="17"/>
                <w:szCs w:val="17"/>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90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31"/>
        </w:trPr>
        <w:tc>
          <w:tcPr>
            <w:tcW w:w="3860" w:type="dxa"/>
            <w:vAlign w:val="bottom"/>
            <w:vMerge w:val="restart"/>
          </w:tcPr>
          <w:p>
            <w:pPr>
              <w:spacing w:after="0"/>
              <w:rPr>
                <w:sz w:val="20"/>
                <w:szCs w:val="20"/>
                <w:color w:val="auto"/>
              </w:rPr>
            </w:pPr>
            <w:r>
              <w:rPr>
                <w:rFonts w:ascii="Arial" w:cs="Arial" w:eastAsia="Arial" w:hAnsi="Arial"/>
                <w:sz w:val="13"/>
                <w:szCs w:val="13"/>
                <w:color w:val="auto"/>
              </w:rPr>
              <w:t>Cash and cash equivalents, June 30</w:t>
            </w: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31"/>
        </w:trPr>
        <w:tc>
          <w:tcPr>
            <w:tcW w:w="3860" w:type="dxa"/>
            <w:vAlign w:val="bottom"/>
            <w:vMerge w:val="restart"/>
          </w:tcPr>
          <w:p>
            <w:pPr>
              <w:spacing w:after="0"/>
              <w:rPr>
                <w:sz w:val="20"/>
                <w:szCs w:val="20"/>
                <w:color w:val="auto"/>
              </w:rPr>
            </w:pPr>
            <w:r>
              <w:rPr>
                <w:rFonts w:ascii="Arial" w:cs="Arial" w:eastAsia="Arial" w:hAnsi="Arial"/>
                <w:sz w:val="13"/>
                <w:szCs w:val="13"/>
                <w:color w:val="auto"/>
              </w:rPr>
              <w:t>SUPPLEMENTAL DISCLOSURE OF CASH FLOW</w:t>
            </w: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60" w:type="dxa"/>
            <w:vAlign w:val="bottom"/>
          </w:tcPr>
          <w:p>
            <w:pPr>
              <w:ind w:left="80"/>
              <w:spacing w:after="0"/>
              <w:rPr>
                <w:sz w:val="20"/>
                <w:szCs w:val="20"/>
                <w:color w:val="auto"/>
              </w:rPr>
            </w:pPr>
            <w:r>
              <w:rPr>
                <w:rFonts w:ascii="Arial" w:cs="Arial" w:eastAsia="Arial" w:hAnsi="Arial"/>
                <w:sz w:val="13"/>
                <w:szCs w:val="13"/>
                <w:color w:val="auto"/>
              </w:rPr>
              <w:t>INFORMATION</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ind w:left="140"/>
              <w:spacing w:after="0"/>
              <w:rPr>
                <w:sz w:val="20"/>
                <w:szCs w:val="20"/>
                <w:color w:val="auto"/>
              </w:rPr>
            </w:pPr>
            <w:r>
              <w:rPr>
                <w:rFonts w:ascii="Arial" w:cs="Arial" w:eastAsia="Arial" w:hAnsi="Arial"/>
                <w:sz w:val="13"/>
                <w:szCs w:val="13"/>
                <w:color w:val="auto"/>
              </w:rPr>
              <w:t>Interest payments, net of amounts capitalized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31"/>
        </w:trPr>
        <w:tc>
          <w:tcPr>
            <w:tcW w:w="3860" w:type="dxa"/>
            <w:vAlign w:val="bottom"/>
            <w:vMerge w:val="restart"/>
          </w:tcPr>
          <w:p>
            <w:pPr>
              <w:ind w:left="140"/>
              <w:spacing w:after="0"/>
              <w:rPr>
                <w:sz w:val="20"/>
                <w:szCs w:val="20"/>
                <w:color w:val="auto"/>
              </w:rPr>
            </w:pPr>
            <w:r>
              <w:rPr>
                <w:rFonts w:ascii="Arial" w:cs="Arial" w:eastAsia="Arial" w:hAnsi="Arial"/>
                <w:sz w:val="13"/>
                <w:szCs w:val="13"/>
                <w:color w:val="auto"/>
              </w:rPr>
              <w:t>Income tax payments, net of refunds</w:t>
            </w: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31"/>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321310</wp:posOffset>
            </wp:positionV>
            <wp:extent cx="730885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w:t>
      </w:r>
    </w:p>
    <w:p>
      <w:pPr>
        <w:spacing w:after="0" w:line="15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This Quarterly Report on Form 10-Q is that of Pacific Enterprises (PE) and of Southern California Gas Company (SoCalGas) (collectively referred to as the company or the companies). PE's common stock is wholly owned by Sempra Energy, a California-based Fortune 500 holding company, and PE owns all of the common stock of SoCalGas. The financial statements herein are, in one case, the Consolidated Financial Statements of PE and its subsidiary, SoCalGas, and, in the other case, the Consolidated Financial Statements of SoCalGas and its subsidiaries, which comprise less than one percent of SoCalGas' consolidated financial position and results of operations.</w:t>
      </w:r>
    </w:p>
    <w:p>
      <w:pPr>
        <w:spacing w:after="0" w:line="107"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Sempra Energy also indirectly owns all of the common stock of San Diego Gas &amp; Electric Company (SDG&amp;E). SoCalGas and SDG&amp;E are collectively referred to herein as the California Utilities.</w:t>
      </w:r>
    </w:p>
    <w:p>
      <w:pPr>
        <w:spacing w:after="0" w:line="126" w:lineRule="exact"/>
        <w:rPr>
          <w:sz w:val="20"/>
          <w:szCs w:val="20"/>
          <w:color w:val="auto"/>
        </w:rPr>
      </w:pPr>
    </w:p>
    <w:p>
      <w:pPr>
        <w:jc w:val="both"/>
        <w:ind w:right="180"/>
        <w:spacing w:after="0" w:line="241" w:lineRule="auto"/>
        <w:rPr>
          <w:sz w:val="20"/>
          <w:szCs w:val="20"/>
          <w:color w:val="auto"/>
        </w:rPr>
      </w:pPr>
      <w:r>
        <w:rPr>
          <w:rFonts w:ascii="Arial" w:cs="Arial" w:eastAsia="Arial" w:hAnsi="Arial"/>
          <w:sz w:val="16"/>
          <w:szCs w:val="16"/>
          <w:color w:val="auto"/>
        </w:rPr>
        <w:t>The accompanying Consolidated Financial Statements have been prepared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35"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Information in this Quarterly Report should be read in conjunction with the Annual Report on Form 10-K for the year ended December 31, 2005 (the Annual Report) and the Quarterly Report on Form 10-Q for the quarter ended March 31, 2006.</w:t>
      </w:r>
    </w:p>
    <w:p>
      <w:pPr>
        <w:spacing w:after="0" w:line="126"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companies' significant accounting policies are described in Note 1 of the notes to Consolidated Financial Statements in the Annual Report. The same accounting policies are followed for interim reporting purposes.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financial statement items have been reclassified to conform to current period presentation.</w:t>
      </w:r>
    </w:p>
    <w:p>
      <w:pPr>
        <w:spacing w:after="0" w:line="151"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SoCalGas accounts for the economic effects of regulation on utility operations in accordance with Statement of Financial Accounting Standards (SFAS) 71</w:t>
      </w:r>
      <w:r>
        <w:rPr>
          <w:rFonts w:ascii="Arial" w:cs="Arial" w:eastAsia="Arial" w:hAnsi="Arial"/>
          <w:sz w:val="16"/>
          <w:szCs w:val="16"/>
          <w:i w:val="1"/>
          <w:iCs w:val="1"/>
          <w:color w:val="auto"/>
        </w:rPr>
        <w:t>, 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of Certain Types of Regulation.</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Following are the changes in asset-retirement obligations, as defined in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and Financial Accounting Standards Board (FASB) Interpretation No. (FIN) 47</w:t>
      </w:r>
      <w:r>
        <w:rPr>
          <w:rFonts w:ascii="Arial" w:cs="Arial" w:eastAsia="Arial" w:hAnsi="Arial"/>
          <w:sz w:val="16"/>
          <w:szCs w:val="16"/>
          <w:i w:val="1"/>
          <w:iCs w:val="1"/>
          <w:color w:val="auto"/>
        </w:rPr>
        <w:t>, Accounting for Conditional Asset Retirement Obligations, an interpretation of SFAS 143</w:t>
      </w:r>
      <w:r>
        <w:rPr>
          <w:rFonts w:ascii="Arial" w:cs="Arial" w:eastAsia="Arial" w:hAnsi="Arial"/>
          <w:sz w:val="16"/>
          <w:szCs w:val="16"/>
          <w:color w:val="auto"/>
        </w:rPr>
        <w:t>, for the six months ended June 30, 2006 and 2005. FIN 47 was adopted prospectively on December 31, 2005.</w:t>
      </w:r>
    </w:p>
    <w:p>
      <w:pPr>
        <w:spacing w:after="0" w:line="155" w:lineRule="exact"/>
        <w:rPr>
          <w:sz w:val="20"/>
          <w:szCs w:val="20"/>
          <w:color w:val="auto"/>
        </w:rPr>
      </w:pPr>
    </w:p>
    <w:tbl>
      <w:tblPr>
        <w:tblLayout w:type="fixed"/>
        <w:tblInd w:w="2900" w:type="dxa"/>
        <w:tblCellMar>
          <w:top w:w="0" w:type="dxa"/>
          <w:left w:w="0" w:type="dxa"/>
          <w:bottom w:w="0" w:type="dxa"/>
          <w:right w:w="0" w:type="dxa"/>
        </w:tblCellMar>
      </w:tblPr>
      <w:tr>
        <w:trPr>
          <w:trHeight w:val="168"/>
        </w:trPr>
        <w:tc>
          <w:tcPr>
            <w:tcW w:w="4240" w:type="dxa"/>
            <w:vAlign w:val="bottom"/>
          </w:tcPr>
          <w:p>
            <w:pPr>
              <w:spacing w:after="0"/>
              <w:rPr>
                <w:sz w:val="20"/>
                <w:szCs w:val="20"/>
                <w:color w:val="auto"/>
              </w:rPr>
            </w:pPr>
            <w:r>
              <w:rPr>
                <w:rFonts w:ascii="Arial" w:cs="Arial" w:eastAsia="Arial" w:hAnsi="Arial"/>
                <w:sz w:val="13"/>
                <w:szCs w:val="13"/>
                <w:color w:val="auto"/>
              </w:rPr>
              <w:t>(Dollars in millions)</w:t>
            </w:r>
          </w:p>
        </w:tc>
        <w:tc>
          <w:tcPr>
            <w:tcW w:w="1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2006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2005</w:t>
            </w:r>
          </w:p>
        </w:tc>
      </w:tr>
      <w:tr>
        <w:trPr>
          <w:trHeight w:val="183"/>
        </w:trPr>
        <w:tc>
          <w:tcPr>
            <w:tcW w:w="424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3"/>
                <w:szCs w:val="13"/>
                <w:color w:val="auto"/>
              </w:rPr>
              <w:t>Balance as of January 1</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505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9</w:t>
            </w:r>
          </w:p>
        </w:tc>
      </w:tr>
      <w:tr>
        <w:trPr>
          <w:trHeight w:val="203"/>
        </w:trPr>
        <w:tc>
          <w:tcPr>
            <w:tcW w:w="4240" w:type="dxa"/>
            <w:vAlign w:val="bottom"/>
          </w:tcPr>
          <w:p>
            <w:pPr>
              <w:spacing w:after="0"/>
              <w:rPr>
                <w:sz w:val="20"/>
                <w:szCs w:val="20"/>
                <w:color w:val="auto"/>
              </w:rPr>
            </w:pPr>
            <w:r>
              <w:rPr>
                <w:rFonts w:ascii="Arial" w:cs="Arial" w:eastAsia="Arial" w:hAnsi="Arial"/>
                <w:sz w:val="13"/>
                <w:szCs w:val="13"/>
                <w:color w:val="auto"/>
              </w:rPr>
              <w:t>Accretion expense</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424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3"/>
                <w:szCs w:val="13"/>
                <w:color w:val="auto"/>
              </w:rPr>
              <w:t>Balance as of June 30</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9</w:t>
            </w:r>
          </w:p>
        </w:tc>
      </w:tr>
      <w:tr>
        <w:trPr>
          <w:trHeight w:val="183"/>
        </w:trPr>
        <w:tc>
          <w:tcPr>
            <w:tcW w:w="424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40" w:type="dxa"/>
            <w:vAlign w:val="bottom"/>
            <w:shd w:val="clear" w:color="auto" w:fill="000000"/>
          </w:tcPr>
          <w:p>
            <w:pPr>
              <w:spacing w:after="0"/>
              <w:rPr>
                <w:sz w:val="15"/>
                <w:szCs w:val="15"/>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The current portion of the obligation is included in Other Current Liabilities on the Consolidated Balance Sheets.</w:t>
      </w:r>
    </w:p>
    <w:p>
      <w:pPr>
        <w:spacing w:after="0" w:line="15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FIN 47 requires companies to record a liability for removing asbestos-containing materials, if the liability is determinable. The company's liability could not be determined and, therefore, no liability has been recognized for the related removal obligations. Since substantially all of the costs of removing such materials is expected to be recovered in rates, the effect of not recognizing these liabilities is not material to the company's financial condition or results of operations.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accordance with SFAS 132 (revised), </w:t>
      </w:r>
      <w:r>
        <w:rPr>
          <w:rFonts w:ascii="Arial" w:cs="Arial" w:eastAsia="Arial" w:hAnsi="Arial"/>
          <w:sz w:val="16"/>
          <w:szCs w:val="16"/>
          <w:i w:val="1"/>
          <w:iCs w:val="1"/>
          <w:color w:val="auto"/>
        </w:rPr>
        <w:t>Employers' Disclosures about Pensions and Other Postretirement Benefits</w:t>
      </w:r>
      <w:r>
        <w:rPr>
          <w:rFonts w:ascii="Arial" w:cs="Arial" w:eastAsia="Arial" w:hAnsi="Arial"/>
          <w:sz w:val="16"/>
          <w:szCs w:val="16"/>
          <w:color w:val="auto"/>
        </w:rPr>
        <w:t>, the following tables provide the components of benefit costs for the periods ended June 30:</w:t>
      </w:r>
    </w:p>
    <w:p>
      <w:pPr>
        <w:spacing w:after="0" w:line="323" w:lineRule="exact"/>
        <w:rPr>
          <w:sz w:val="20"/>
          <w:szCs w:val="20"/>
          <w:color w:val="auto"/>
        </w:rPr>
      </w:pPr>
    </w:p>
    <w:tbl>
      <w:tblPr>
        <w:tblLayout w:type="fixed"/>
        <w:tblInd w:w="2900" w:type="dxa"/>
        <w:tblCellMar>
          <w:top w:w="0" w:type="dxa"/>
          <w:left w:w="0" w:type="dxa"/>
          <w:bottom w:w="0" w:type="dxa"/>
          <w:right w:w="0" w:type="dxa"/>
        </w:tblCellMar>
      </w:tblPr>
      <w:tr>
        <w:trPr>
          <w:trHeight w:val="168"/>
        </w:trPr>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680"/>
              <w:spacing w:after="0"/>
              <w:rPr>
                <w:sz w:val="20"/>
                <w:szCs w:val="20"/>
                <w:color w:val="auto"/>
              </w:rPr>
            </w:pPr>
            <w:r>
              <w:rPr>
                <w:rFonts w:ascii="Arial" w:cs="Arial" w:eastAsia="Arial" w:hAnsi="Arial"/>
                <w:sz w:val="13"/>
                <w:szCs w:val="13"/>
                <w:color w:val="auto"/>
              </w:rPr>
              <w:t>Pension Benefits</w:t>
            </w:r>
          </w:p>
        </w:tc>
        <w:tc>
          <w:tcPr>
            <w:tcW w:w="1740" w:type="dxa"/>
            <w:vAlign w:val="bottom"/>
            <w:gridSpan w:val="5"/>
          </w:tcPr>
          <w:p>
            <w:pPr>
              <w:jc w:val="right"/>
              <w:ind w:right="140"/>
              <w:spacing w:after="0"/>
              <w:rPr>
                <w:sz w:val="20"/>
                <w:szCs w:val="20"/>
                <w:color w:val="auto"/>
              </w:rPr>
            </w:pPr>
            <w:r>
              <w:rPr>
                <w:rFonts w:ascii="Arial" w:cs="Arial" w:eastAsia="Arial" w:hAnsi="Arial"/>
                <w:sz w:val="13"/>
                <w:szCs w:val="13"/>
                <w:color w:val="auto"/>
                <w:w w:val="92"/>
              </w:rPr>
              <w:t>Other Postretirement Benefits</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1640" w:type="dxa"/>
            <w:vAlign w:val="bottom"/>
            <w:gridSpan w:val="4"/>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4"/>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3"/>
                <w:szCs w:val="13"/>
                <w:color w:val="auto"/>
                <w:w w:val="89"/>
              </w:rPr>
              <w:t>Three months ended June 30,</w:t>
            </w:r>
          </w:p>
        </w:tc>
        <w:tc>
          <w:tcPr>
            <w:tcW w:w="1740" w:type="dxa"/>
            <w:vAlign w:val="bottom"/>
            <w:gridSpan w:val="5"/>
          </w:tcPr>
          <w:p>
            <w:pPr>
              <w:jc w:val="right"/>
              <w:ind w:right="160"/>
              <w:spacing w:after="0"/>
              <w:rPr>
                <w:sz w:val="20"/>
                <w:szCs w:val="20"/>
                <w:color w:val="auto"/>
              </w:rPr>
            </w:pPr>
            <w:r>
              <w:rPr>
                <w:rFonts w:ascii="Arial" w:cs="Arial" w:eastAsia="Arial" w:hAnsi="Arial"/>
                <w:sz w:val="13"/>
                <w:szCs w:val="13"/>
                <w:color w:val="auto"/>
                <w:w w:val="89"/>
              </w:rPr>
              <w:t>Three months ended June 30,</w:t>
            </w:r>
          </w:p>
        </w:tc>
        <w:tc>
          <w:tcPr>
            <w:tcW w:w="0" w:type="dxa"/>
            <w:vAlign w:val="bottom"/>
          </w:tcPr>
          <w:p>
            <w:pPr>
              <w:spacing w:after="0"/>
              <w:rPr>
                <w:sz w:val="1"/>
                <w:szCs w:val="1"/>
                <w:color w:val="auto"/>
              </w:rPr>
            </w:pPr>
          </w:p>
        </w:tc>
      </w:tr>
      <w:tr>
        <w:trPr>
          <w:trHeight w:val="18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(Dollars in millions)</w:t>
            </w:r>
          </w:p>
        </w:tc>
        <w:tc>
          <w:tcPr>
            <w:tcW w:w="180" w:type="dxa"/>
            <w:vAlign w:val="bottom"/>
            <w:shd w:val="clear" w:color="auto" w:fill="000000"/>
          </w:tcPr>
          <w:p>
            <w:pPr>
              <w:spacing w:after="0"/>
              <w:rPr>
                <w:sz w:val="16"/>
                <w:szCs w:val="16"/>
                <w:color w:val="auto"/>
              </w:rPr>
            </w:pPr>
          </w:p>
        </w:tc>
        <w:tc>
          <w:tcPr>
            <w:tcW w:w="660" w:type="dxa"/>
            <w:vAlign w:val="bottom"/>
            <w:shd w:val="clear" w:color="auto" w:fill="000000"/>
          </w:tcPr>
          <w:p>
            <w:pPr>
              <w:spacing w:after="0"/>
              <w:rPr>
                <w:sz w:val="16"/>
                <w:szCs w:val="16"/>
                <w:color w:val="auto"/>
              </w:rPr>
            </w:pPr>
          </w:p>
        </w:tc>
        <w:tc>
          <w:tcPr>
            <w:tcW w:w="28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56"/>
              <w:spacing w:after="0"/>
              <w:rPr>
                <w:sz w:val="20"/>
                <w:szCs w:val="20"/>
                <w:color w:val="auto"/>
              </w:rPr>
            </w:pPr>
            <w:r>
              <w:rPr>
                <w:rFonts w:ascii="Arial" w:cs="Arial" w:eastAsia="Arial" w:hAnsi="Arial"/>
                <w:sz w:val="13"/>
                <w:szCs w:val="13"/>
                <w:color w:val="auto"/>
              </w:rPr>
              <w:t>2006</w:t>
            </w:r>
          </w:p>
        </w:tc>
        <w:tc>
          <w:tcPr>
            <w:tcW w:w="28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2005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56"/>
              <w:spacing w:after="0"/>
              <w:rPr>
                <w:sz w:val="20"/>
                <w:szCs w:val="20"/>
                <w:color w:val="auto"/>
              </w:rPr>
            </w:pPr>
            <w:r>
              <w:rPr>
                <w:rFonts w:ascii="Arial" w:cs="Arial" w:eastAsia="Arial" w:hAnsi="Arial"/>
                <w:sz w:val="13"/>
                <w:szCs w:val="13"/>
                <w:color w:val="auto"/>
              </w:rPr>
              <w:t>2006</w:t>
            </w:r>
          </w:p>
        </w:tc>
        <w:tc>
          <w:tcPr>
            <w:tcW w:w="26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660" w:type="dxa"/>
            <w:vAlign w:val="bottom"/>
            <w:shd w:val="clear" w:color="auto" w:fill="000000"/>
          </w:tcPr>
          <w:p>
            <w:pPr>
              <w:spacing w:after="0"/>
              <w:rPr>
                <w:sz w:val="15"/>
                <w:szCs w:val="15"/>
                <w:color w:val="auto"/>
              </w:rPr>
            </w:pPr>
          </w:p>
        </w:tc>
        <w:tc>
          <w:tcPr>
            <w:tcW w:w="28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rPr>
                <w:sz w:val="20"/>
                <w:szCs w:val="20"/>
                <w:color w:val="auto"/>
              </w:rPr>
            </w:pPr>
            <w:r>
              <w:rPr>
                <w:rFonts w:ascii="Arial" w:cs="Arial" w:eastAsia="Arial" w:hAnsi="Arial"/>
                <w:sz w:val="13"/>
                <w:szCs w:val="13"/>
                <w:color w:val="auto"/>
              </w:rPr>
              <w:t>Service cost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11</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3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5</w:t>
            </w:r>
          </w:p>
        </w:tc>
        <w:tc>
          <w:tcPr>
            <w:tcW w:w="2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Interest cost</w:t>
            </w:r>
          </w:p>
        </w:tc>
        <w:tc>
          <w:tcPr>
            <w:tcW w:w="18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24</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Expected return on assets</w:t>
            </w:r>
          </w:p>
        </w:tc>
        <w:tc>
          <w:tcPr>
            <w:tcW w:w="18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(25 )</w:t>
            </w:r>
          </w:p>
        </w:tc>
        <w:tc>
          <w:tcPr>
            <w:tcW w:w="2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(24 )</w:t>
            </w:r>
          </w:p>
        </w:tc>
        <w:tc>
          <w:tcPr>
            <w:tcW w:w="22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(10 )</w:t>
            </w:r>
          </w:p>
        </w:tc>
        <w:tc>
          <w:tcPr>
            <w:tcW w:w="2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Amortization of:</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120"/>
              <w:spacing w:after="0"/>
              <w:rPr>
                <w:sz w:val="20"/>
                <w:szCs w:val="20"/>
                <w:color w:val="auto"/>
              </w:rPr>
            </w:pPr>
            <w:r>
              <w:rPr>
                <w:rFonts w:ascii="Arial" w:cs="Arial" w:eastAsia="Arial" w:hAnsi="Arial"/>
                <w:sz w:val="13"/>
                <w:szCs w:val="13"/>
                <w:color w:val="auto"/>
              </w:rPr>
              <w:t>Prior service cost</w:t>
            </w:r>
          </w:p>
        </w:tc>
        <w:tc>
          <w:tcPr>
            <w:tcW w:w="18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(2 )</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120"/>
              <w:spacing w:after="0"/>
              <w:rPr>
                <w:sz w:val="20"/>
                <w:szCs w:val="20"/>
                <w:color w:val="auto"/>
              </w:rPr>
            </w:pPr>
            <w:r>
              <w:rPr>
                <w:rFonts w:ascii="Arial" w:cs="Arial" w:eastAsia="Arial" w:hAnsi="Arial"/>
                <w:sz w:val="13"/>
                <w:szCs w:val="13"/>
                <w:color w:val="auto"/>
              </w:rPr>
              <w:t>Actuarial loss</w:t>
            </w:r>
          </w:p>
        </w:tc>
        <w:tc>
          <w:tcPr>
            <w:tcW w:w="18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Regulatory adjustment</w:t>
            </w:r>
          </w:p>
        </w:tc>
        <w:tc>
          <w:tcPr>
            <w:tcW w:w="18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(13 )</w:t>
            </w:r>
          </w:p>
        </w:tc>
        <w:tc>
          <w:tcPr>
            <w:tcW w:w="2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(13 )</w:t>
            </w:r>
          </w:p>
        </w:tc>
        <w:tc>
          <w:tcPr>
            <w:tcW w:w="22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8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Total net periodic benefit cost</w:t>
            </w:r>
          </w:p>
        </w:tc>
        <w:tc>
          <w:tcPr>
            <w:tcW w:w="180" w:type="dxa"/>
            <w:vAlign w:val="bottom"/>
            <w:shd w:val="clear" w:color="auto" w:fill="000000"/>
          </w:tcPr>
          <w:p>
            <w:pPr>
              <w:spacing w:after="0"/>
              <w:rPr>
                <w:sz w:val="16"/>
                <w:szCs w:val="16"/>
                <w:color w:val="auto"/>
              </w:rPr>
            </w:pPr>
          </w:p>
        </w:tc>
        <w:tc>
          <w:tcPr>
            <w:tcW w:w="660" w:type="dxa"/>
            <w:vAlign w:val="bottom"/>
            <w:shd w:val="clear" w:color="auto" w:fill="000000"/>
          </w:tcPr>
          <w:p>
            <w:pPr>
              <w:spacing w:after="0"/>
              <w:rPr>
                <w:sz w:val="16"/>
                <w:szCs w:val="16"/>
                <w:color w:val="auto"/>
              </w:rPr>
            </w:pPr>
          </w:p>
        </w:tc>
        <w:tc>
          <w:tcPr>
            <w:tcW w:w="28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60" w:type="dxa"/>
            <w:vAlign w:val="bottom"/>
            <w:vMerge w:val="continue"/>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2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660" w:type="dxa"/>
            <w:vAlign w:val="bottom"/>
            <w:shd w:val="clear" w:color="auto" w:fill="000000"/>
          </w:tcPr>
          <w:p>
            <w:pPr>
              <w:spacing w:after="0"/>
              <w:rPr>
                <w:sz w:val="15"/>
                <w:szCs w:val="15"/>
                <w:color w:val="auto"/>
              </w:rPr>
            </w:pPr>
          </w:p>
        </w:tc>
        <w:tc>
          <w:tcPr>
            <w:tcW w:w="28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6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20" w:top="518" w:right="319" w:bottom="105" w:gutter="0" w:footer="0" w:header="0"/>
        </w:sectPr>
      </w:pPr>
    </w:p>
    <w:bookmarkStart w:id="7" w:name="page8"/>
    <w:bookmarkEnd w:id="7"/>
    <w:p>
      <w:pPr>
        <w:spacing w:after="0" w:line="1" w:lineRule="exact"/>
        <w:rPr>
          <w:sz w:val="20"/>
          <w:szCs w:val="20"/>
          <w:color w:val="auto"/>
        </w:rPr>
      </w:pPr>
    </w:p>
    <w:tbl>
      <w:tblPr>
        <w:tblLayout w:type="fixed"/>
        <w:tblInd w:w="2900" w:type="dxa"/>
        <w:tblCellMar>
          <w:top w:w="0" w:type="dxa"/>
          <w:left w:w="0" w:type="dxa"/>
          <w:bottom w:w="0" w:type="dxa"/>
          <w:right w:w="0" w:type="dxa"/>
        </w:tblCellMar>
      </w:tblPr>
      <w:tr>
        <w:trPr>
          <w:trHeight w:val="168"/>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3"/>
                <w:szCs w:val="13"/>
                <w:color w:val="auto"/>
              </w:rPr>
              <w:t>Pension Benefits</w:t>
            </w:r>
          </w:p>
        </w:tc>
        <w:tc>
          <w:tcPr>
            <w:tcW w:w="1740" w:type="dxa"/>
            <w:vAlign w:val="bottom"/>
            <w:gridSpan w:val="5"/>
          </w:tcPr>
          <w:p>
            <w:pPr>
              <w:jc w:val="right"/>
              <w:ind w:right="140"/>
              <w:spacing w:after="0"/>
              <w:rPr>
                <w:sz w:val="20"/>
                <w:szCs w:val="20"/>
                <w:color w:val="auto"/>
              </w:rPr>
            </w:pPr>
            <w:r>
              <w:rPr>
                <w:rFonts w:ascii="Arial" w:cs="Arial" w:eastAsia="Arial" w:hAnsi="Arial"/>
                <w:sz w:val="13"/>
                <w:szCs w:val="13"/>
                <w:color w:val="auto"/>
                <w:w w:val="92"/>
              </w:rPr>
              <w:t>Other Postretirement Benefits</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1540" w:type="dxa"/>
            <w:vAlign w:val="bottom"/>
            <w:gridSpan w:val="3"/>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560" w:type="dxa"/>
            <w:vAlign w:val="bottom"/>
            <w:gridSpan w:val="3"/>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3"/>
                <w:szCs w:val="13"/>
                <w:color w:val="auto"/>
                <w:w w:val="87"/>
              </w:rPr>
              <w:t>Six months ended June 30,</w:t>
            </w:r>
          </w:p>
        </w:tc>
        <w:tc>
          <w:tcPr>
            <w:tcW w:w="120" w:type="dxa"/>
            <w:vAlign w:val="bottom"/>
          </w:tcPr>
          <w:p>
            <w:pPr>
              <w:spacing w:after="0"/>
              <w:rPr>
                <w:sz w:val="14"/>
                <w:szCs w:val="14"/>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color w:val="auto"/>
                <w:w w:val="87"/>
              </w:rPr>
              <w:t>Six months ended June 30,</w:t>
            </w:r>
          </w:p>
        </w:tc>
        <w:tc>
          <w:tcPr>
            <w:tcW w:w="0" w:type="dxa"/>
            <w:vAlign w:val="bottom"/>
          </w:tcPr>
          <w:p>
            <w:pPr>
              <w:spacing w:after="0"/>
              <w:rPr>
                <w:sz w:val="1"/>
                <w:szCs w:val="1"/>
                <w:color w:val="auto"/>
              </w:rPr>
            </w:pPr>
          </w:p>
        </w:tc>
      </w:tr>
      <w:tr>
        <w:trPr>
          <w:trHeight w:val="18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(Dollars in millions)</w:t>
            </w:r>
          </w:p>
        </w:tc>
        <w:tc>
          <w:tcPr>
            <w:tcW w:w="100" w:type="dxa"/>
            <w:vAlign w:val="bottom"/>
            <w:shd w:val="clear" w:color="auto" w:fill="000000"/>
          </w:tcPr>
          <w:p>
            <w:pPr>
              <w:spacing w:after="0"/>
              <w:rPr>
                <w:sz w:val="16"/>
                <w:szCs w:val="16"/>
                <w:color w:val="auto"/>
              </w:rPr>
            </w:pPr>
          </w:p>
        </w:tc>
        <w:tc>
          <w:tcPr>
            <w:tcW w:w="740" w:type="dxa"/>
            <w:vAlign w:val="bottom"/>
            <w:shd w:val="clear" w:color="auto" w:fill="000000"/>
          </w:tcPr>
          <w:p>
            <w:pPr>
              <w:spacing w:after="0"/>
              <w:rPr>
                <w:sz w:val="16"/>
                <w:szCs w:val="16"/>
                <w:color w:val="auto"/>
              </w:rPr>
            </w:pPr>
          </w:p>
        </w:tc>
        <w:tc>
          <w:tcPr>
            <w:tcW w:w="28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shd w:val="clear" w:color="auto" w:fill="000000"/>
          </w:tcPr>
          <w:p>
            <w:pPr>
              <w:spacing w:after="0"/>
              <w:rPr>
                <w:sz w:val="16"/>
                <w:szCs w:val="16"/>
                <w:color w:val="auto"/>
              </w:rPr>
            </w:pPr>
          </w:p>
        </w:tc>
        <w:tc>
          <w:tcPr>
            <w:tcW w:w="78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color w:val="auto"/>
              </w:rPr>
              <w:t>2006</w:t>
            </w:r>
          </w:p>
        </w:tc>
        <w:tc>
          <w:tcPr>
            <w:tcW w:w="28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2005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color w:val="auto"/>
              </w:rPr>
              <w:t>2006</w:t>
            </w:r>
          </w:p>
        </w:tc>
        <w:tc>
          <w:tcPr>
            <w:tcW w:w="26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000000"/>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28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7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rPr>
                <w:sz w:val="20"/>
                <w:szCs w:val="20"/>
                <w:color w:val="auto"/>
              </w:rPr>
            </w:pPr>
            <w:r>
              <w:rPr>
                <w:rFonts w:ascii="Arial" w:cs="Arial" w:eastAsia="Arial" w:hAnsi="Arial"/>
                <w:sz w:val="13"/>
                <w:szCs w:val="13"/>
                <w:color w:val="auto"/>
              </w:rPr>
              <w:t>Service cost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21</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9</w:t>
            </w:r>
          </w:p>
        </w:tc>
        <w:tc>
          <w:tcPr>
            <w:tcW w:w="2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Interest cost</w:t>
            </w:r>
          </w:p>
        </w:tc>
        <w:tc>
          <w:tcPr>
            <w:tcW w:w="100" w:type="dxa"/>
            <w:vAlign w:val="bottom"/>
          </w:tcPr>
          <w:p>
            <w:pPr>
              <w:spacing w:after="0"/>
              <w:rPr>
                <w:sz w:val="15"/>
                <w:szCs w:val="15"/>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48</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Expected return on assets</w:t>
            </w:r>
          </w:p>
        </w:tc>
        <w:tc>
          <w:tcPr>
            <w:tcW w:w="10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(49 )</w:t>
            </w:r>
          </w:p>
        </w:tc>
        <w:tc>
          <w:tcPr>
            <w:tcW w:w="2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(49 )</w:t>
            </w:r>
          </w:p>
        </w:tc>
        <w:tc>
          <w:tcPr>
            <w:tcW w:w="1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(19 )</w:t>
            </w:r>
          </w:p>
        </w:tc>
        <w:tc>
          <w:tcPr>
            <w:tcW w:w="2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Amortization of:</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120"/>
              <w:spacing w:after="0"/>
              <w:rPr>
                <w:sz w:val="20"/>
                <w:szCs w:val="20"/>
                <w:color w:val="auto"/>
              </w:rPr>
            </w:pPr>
            <w:r>
              <w:rPr>
                <w:rFonts w:ascii="Arial" w:cs="Arial" w:eastAsia="Arial" w:hAnsi="Arial"/>
                <w:sz w:val="13"/>
                <w:szCs w:val="13"/>
                <w:color w:val="auto"/>
              </w:rPr>
              <w:t>Prior service cost</w:t>
            </w:r>
          </w:p>
        </w:tc>
        <w:tc>
          <w:tcPr>
            <w:tcW w:w="100" w:type="dxa"/>
            <w:vAlign w:val="bottom"/>
          </w:tcPr>
          <w:p>
            <w:pPr>
              <w:spacing w:after="0"/>
              <w:rPr>
                <w:sz w:val="15"/>
                <w:szCs w:val="15"/>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(3 )</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120"/>
              <w:spacing w:after="0"/>
              <w:rPr>
                <w:sz w:val="20"/>
                <w:szCs w:val="20"/>
                <w:color w:val="auto"/>
              </w:rPr>
            </w:pPr>
            <w:r>
              <w:rPr>
                <w:rFonts w:ascii="Arial" w:cs="Arial" w:eastAsia="Arial" w:hAnsi="Arial"/>
                <w:sz w:val="13"/>
                <w:szCs w:val="13"/>
                <w:color w:val="auto"/>
              </w:rPr>
              <w:t>Actuarial loss</w:t>
            </w:r>
          </w:p>
        </w:tc>
        <w:tc>
          <w:tcPr>
            <w:tcW w:w="100" w:type="dxa"/>
            <w:vAlign w:val="bottom"/>
          </w:tcPr>
          <w:p>
            <w:pPr>
              <w:spacing w:after="0"/>
              <w:rPr>
                <w:sz w:val="15"/>
                <w:szCs w:val="15"/>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20"/>
              <w:spacing w:after="0"/>
              <w:rPr>
                <w:sz w:val="20"/>
                <w:szCs w:val="20"/>
                <w:color w:val="auto"/>
              </w:rPr>
            </w:pPr>
            <w:r>
              <w:rPr>
                <w:rFonts w:ascii="Arial" w:cs="Arial" w:eastAsia="Arial" w:hAnsi="Arial"/>
                <w:sz w:val="13"/>
                <w:szCs w:val="13"/>
                <w:color w:val="auto"/>
              </w:rPr>
              <w:t>Regulatory adjustment</w:t>
            </w:r>
          </w:p>
        </w:tc>
        <w:tc>
          <w:tcPr>
            <w:tcW w:w="10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(25 )</w:t>
            </w:r>
          </w:p>
        </w:tc>
        <w:tc>
          <w:tcPr>
            <w:tcW w:w="2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(23 )</w:t>
            </w:r>
          </w:p>
        </w:tc>
        <w:tc>
          <w:tcPr>
            <w:tcW w:w="12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Total net periodic benefit cost</w:t>
            </w:r>
          </w:p>
        </w:tc>
        <w:tc>
          <w:tcPr>
            <w:tcW w:w="100" w:type="dxa"/>
            <w:vAlign w:val="bottom"/>
            <w:shd w:val="clear" w:color="auto" w:fill="000000"/>
          </w:tcPr>
          <w:p>
            <w:pPr>
              <w:spacing w:after="0"/>
              <w:rPr>
                <w:sz w:val="16"/>
                <w:szCs w:val="16"/>
                <w:color w:val="auto"/>
              </w:rPr>
            </w:pPr>
          </w:p>
        </w:tc>
        <w:tc>
          <w:tcPr>
            <w:tcW w:w="740" w:type="dxa"/>
            <w:vAlign w:val="bottom"/>
            <w:shd w:val="clear" w:color="auto" w:fill="000000"/>
          </w:tcPr>
          <w:p>
            <w:pPr>
              <w:spacing w:after="0"/>
              <w:rPr>
                <w:sz w:val="16"/>
                <w:szCs w:val="16"/>
                <w:color w:val="auto"/>
              </w:rPr>
            </w:pPr>
          </w:p>
        </w:tc>
        <w:tc>
          <w:tcPr>
            <w:tcW w:w="28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shd w:val="clear" w:color="auto" w:fill="000000"/>
          </w:tcPr>
          <w:p>
            <w:pPr>
              <w:spacing w:after="0"/>
              <w:rPr>
                <w:sz w:val="16"/>
                <w:szCs w:val="16"/>
                <w:color w:val="auto"/>
              </w:rPr>
            </w:pPr>
          </w:p>
        </w:tc>
        <w:tc>
          <w:tcPr>
            <w:tcW w:w="78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5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6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13</w:t>
            </w:r>
          </w:p>
        </w:tc>
        <w:tc>
          <w:tcPr>
            <w:tcW w:w="2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000000"/>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28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7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5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420"/>
        <w:spacing w:after="0" w:line="241" w:lineRule="auto"/>
        <w:rPr>
          <w:sz w:val="20"/>
          <w:szCs w:val="20"/>
          <w:color w:val="auto"/>
        </w:rPr>
      </w:pPr>
      <w:r>
        <w:rPr>
          <w:rFonts w:ascii="Arial" w:cs="Arial" w:eastAsia="Arial" w:hAnsi="Arial"/>
          <w:sz w:val="16"/>
          <w:szCs w:val="16"/>
          <w:color w:val="auto"/>
        </w:rPr>
        <w:t>The company expects to contribute $2 million to its pension plans and $24 million to its other postretirement benefit plans in 2006. For the six months ended June 30, 2006, $1 million and $13 million of contributions have been made to the pension and other postretirement benefit plans, respectively, including $4 million, none of which was related to pensions, for the three months ended June 30, 2006.</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NEW ACCOUNTING STANDARDS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SFAS 123 (revised 2004)</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"Share-Based Payment" (SFAS 123R):</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 xml:space="preserve">Effective January 1, 2006, Sempra Energy adopted SFAS No. 123 (revised 2004), which requires compensation costs related to share-based transactions, including employee stock options, to be recognized in the financial statements based on fair value. SFAS 123R revises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and supersedes Accounting Principles Board Opinion (APBO)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In March 2005, the Securities and Exchange Commission (the SEC) issued Staff Accounting Bulletin No. 107 (SAB 107) regarding the SEC's interpretation of SFAS 123R and the valuation of share-based payments for public companies. Sempra Energy has applied the provisions of SAB 107 in its adoption of SFAS 123R.</w:t>
      </w:r>
    </w:p>
    <w:p>
      <w:pPr>
        <w:spacing w:after="0" w:line="135" w:lineRule="exact"/>
        <w:rPr>
          <w:sz w:val="20"/>
          <w:szCs w:val="20"/>
          <w:color w:val="auto"/>
        </w:rPr>
      </w:pPr>
    </w:p>
    <w:p>
      <w:pPr>
        <w:ind w:right="200"/>
        <w:spacing w:after="0" w:line="270" w:lineRule="auto"/>
        <w:rPr>
          <w:sz w:val="20"/>
          <w:szCs w:val="20"/>
          <w:color w:val="auto"/>
        </w:rPr>
      </w:pPr>
      <w:r>
        <w:rPr>
          <w:rFonts w:ascii="Arial" w:cs="Arial" w:eastAsia="Arial" w:hAnsi="Arial"/>
          <w:sz w:val="14"/>
          <w:szCs w:val="14"/>
          <w:color w:val="auto"/>
        </w:rPr>
        <w:t>Sempra Energy adopted the provisions of SFAS 123R using the modified prospective transition method. In accordance with this transition method, Sempra Energy's consolidated financial statements for prior periods have not been restated to reflect the impact of SFAS 123R. Under the modified prospective transition method, share-based compensation expense for the first quarter of 2006 includes compensation expense for all share-based compensation awards granted prior to, but for which the requisite service has not yet been performed as of January 1, 2006, based on the grant date fair value estimated in accordance with the original provisions of SFAS 123. Share-based compensation expense for all share-based compensation awards granted after January 1, 2006 is based on the grant date fair value estimated in accordance with the provisions of SFAS 123R. Sempra Energy recognizes compensation costs net of an assumed forfeiture rate and recognizes the compensation costs for nonqualified stock options and restricted shares expected to vest on a straight-line basis over the requisite service period of the award, which is generally four years. Sempra Energy estimates the forfeiture rate based on its historical experience. On January 1, 2006, Sempra Energy modified the terms of most restricted stock awards issued in 2003, 2004 and 2005 in which Sempra Energy will repurchase only enough shares to cover minimum tax withholding requirements upon vesting of the awards, thereby removing from all 282 optionees the right to receive the entire value in cash. Sempra Energy changed the accounting of the impacted awards from liability to equity awards in accordance with SFAS 123R.</w:t>
      </w:r>
    </w:p>
    <w:p>
      <w:pPr>
        <w:spacing w:after="0" w:line="119"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b w:val="1"/>
          <w:bCs w:val="1"/>
          <w:i w:val="1"/>
          <w:iCs w:val="1"/>
          <w:color w:val="auto"/>
        </w:rPr>
        <w:t xml:space="preserve">SFAS 154, "Accounting Changes and Error Corrections, a replacement of APBO 20 and FASB Statement No. 3" (SFAS 154): </w:t>
      </w:r>
      <w:r>
        <w:rPr>
          <w:rFonts w:ascii="Arial" w:cs="Arial" w:eastAsia="Arial" w:hAnsi="Arial"/>
          <w:sz w:val="15"/>
          <w:szCs w:val="15"/>
          <w:color w:val="auto"/>
        </w:rPr>
        <w:t>SFAS 154 requires retrospective application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prior periods' financial statements of voluntary changes in accounting principle and to changes required by an accounting pronouncement in instances where the pronouncement does not include specific transition provisions, unless it is impracticable to do so. This statement is effective for accounting changes and error corrections made in fiscal years beginning after December 15, 2005. No such changes have been made by the company in 2006.</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 xml:space="preserve">SFAS 155, "Accounting for Certain Hybrid Instruments" (SFAS 155): </w:t>
      </w:r>
      <w:r>
        <w:rPr>
          <w:rFonts w:ascii="Arial" w:cs="Arial" w:eastAsia="Arial" w:hAnsi="Arial"/>
          <w:sz w:val="14"/>
          <w:szCs w:val="14"/>
          <w:color w:val="auto"/>
        </w:rPr>
        <w:t>In February 2006, the FASB issued SFAS 155, an amendment of FASB Statements No. 133,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Accounting for</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Derivative Instruments and Hedging Activities </w:t>
      </w:r>
      <w:r>
        <w:rPr>
          <w:rFonts w:ascii="Arial" w:cs="Arial" w:eastAsia="Arial" w:hAnsi="Arial"/>
          <w:sz w:val="14"/>
          <w:szCs w:val="14"/>
          <w:color w:val="auto"/>
        </w:rPr>
        <w:t>(SFAS 133)</w:t>
      </w:r>
      <w:r>
        <w:rPr>
          <w:rFonts w:ascii="Arial" w:cs="Arial" w:eastAsia="Arial" w:hAnsi="Arial"/>
          <w:sz w:val="14"/>
          <w:szCs w:val="14"/>
          <w:i w:val="1"/>
          <w:iCs w:val="1"/>
          <w:color w:val="auto"/>
        </w:rPr>
        <w:t xml:space="preserve">, </w:t>
      </w:r>
      <w:r>
        <w:rPr>
          <w:rFonts w:ascii="Arial" w:cs="Arial" w:eastAsia="Arial" w:hAnsi="Arial"/>
          <w:sz w:val="14"/>
          <w:szCs w:val="14"/>
          <w:color w:val="auto"/>
        </w:rPr>
        <w:t>and No. 140,</w:t>
      </w:r>
      <w:r>
        <w:rPr>
          <w:rFonts w:ascii="Arial" w:cs="Arial" w:eastAsia="Arial" w:hAnsi="Arial"/>
          <w:sz w:val="14"/>
          <w:szCs w:val="14"/>
          <w:i w:val="1"/>
          <w:iCs w:val="1"/>
          <w:color w:val="auto"/>
        </w:rPr>
        <w:t xml:space="preserve"> Accounting for Transfers and Servicing of Financial Assets and Extinguishments of Liabilities </w:t>
      </w:r>
      <w:r>
        <w:rPr>
          <w:rFonts w:ascii="Arial" w:cs="Arial" w:eastAsia="Arial" w:hAnsi="Arial"/>
          <w:sz w:val="14"/>
          <w:szCs w:val="14"/>
          <w:color w:val="auto"/>
        </w:rPr>
        <w:t>(SFAS 140).</w:t>
      </w:r>
      <w:r>
        <w:rPr>
          <w:rFonts w:ascii="Arial" w:cs="Arial" w:eastAsia="Arial" w:hAnsi="Arial"/>
          <w:sz w:val="14"/>
          <w:szCs w:val="14"/>
          <w:i w:val="1"/>
          <w:iCs w:val="1"/>
          <w:color w:val="auto"/>
        </w:rPr>
        <w:t xml:space="preserve"> </w:t>
      </w:r>
      <w:r>
        <w:rPr>
          <w:rFonts w:ascii="Arial" w:cs="Arial" w:eastAsia="Arial" w:hAnsi="Arial"/>
          <w:sz w:val="14"/>
          <w:szCs w:val="14"/>
          <w:color w:val="auto"/>
        </w:rPr>
        <w:t>SFAS 155 amends SFAS 133 to allow financial instruments that have embedded derivatives to be accounted for as a whole, if the holder elects to account for the whole instrument on a fair value basis, and provides additional guidance on the applicability of SFAS 133 and SFAS 140 to certain financial instruments and subordinated concentrations of credit risk.</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SFAS 155 is effective for all hybrid financial instruments acquired or issued by the company on or after January 1, 2007. The company does not expect that this statement will have a significant effect on its consoli dated financial statements.</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i w:val="1"/>
          <w:iCs w:val="1"/>
          <w:color w:val="auto"/>
        </w:rPr>
        <w:t xml:space="preserve">Emerging Issues Task Force (EITF) Issue 06-3, "How Sales Taxes Collected From Customers and Remitted to Governmental Authorities Should Be Presented in the Income Statement": </w:t>
      </w:r>
      <w:r>
        <w:rPr>
          <w:rFonts w:ascii="Arial" w:cs="Arial" w:eastAsia="Arial" w:hAnsi="Arial"/>
          <w:sz w:val="16"/>
          <w:szCs w:val="16"/>
          <w:color w:val="auto"/>
        </w:rPr>
        <w:t>EITF Issue 06-3 discusses how entities are to adopt a policy of presenting sales taxes in the income statement on either a gross or net basis. If sales taxes are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entity should disclose its policy of presenting taxes. The guidance is effective for fiscal years beginning after December 31, 2006. The company presents its operating revenues net of sales taxes.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b w:val="1"/>
          <w:bCs w:val="1"/>
          <w:i w:val="1"/>
          <w:iCs w:val="1"/>
          <w:color w:val="auto"/>
        </w:rPr>
        <w:t xml:space="preserve">FIN 48, "Accounting for Uncertainty in Income Taxes - an interpretation of FASB Statement No. 109": </w:t>
      </w:r>
      <w:r>
        <w:rPr>
          <w:rFonts w:ascii="Arial" w:cs="Arial" w:eastAsia="Arial" w:hAnsi="Arial"/>
          <w:sz w:val="15"/>
          <w:szCs w:val="15"/>
          <w:color w:val="auto"/>
        </w:rPr>
        <w:t>Issued in June 2006, FIN 48 clarifies the accounting for uncertainty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income taxes recognized in an enterprise's financial statements in accordance with FASB Statement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FIN 48 addresses how an entity should recognize, measure, classify and disclose in its financial statements uncertain tax positions that it has taken or expects to take in a tax return. FIN 48 also provides guidance on derecognition, interest and penalties, accounting in interim periods and transition. This interpretation is effective for fiscal years beginning after December 15, 2006. The company is in the process of evaluating the effect of this guidance on its financial position and results of operations.</w:t>
      </w:r>
    </w:p>
    <w:p>
      <w:pPr>
        <w:spacing w:after="0" w:line="124"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 xml:space="preserve">FASB Staff Position (FSP) FAS 13-2, "Accounting for a Change or Projected Change in the Timing of Cash Flows Relating to Income Taxes Generated by a Leveraged Lease Transaction": </w:t>
      </w:r>
      <w:r>
        <w:rPr>
          <w:rFonts w:ascii="Arial" w:cs="Arial" w:eastAsia="Arial" w:hAnsi="Arial"/>
          <w:sz w:val="14"/>
          <w:szCs w:val="14"/>
          <w:color w:val="auto"/>
        </w:rPr>
        <w:t>Issued in July 2006, FSP FAS 13-2 amends SFAS 13,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Accounting for Leases</w:t>
      </w:r>
      <w:r>
        <w:rPr>
          <w:rFonts w:ascii="Arial" w:cs="Arial" w:eastAsia="Arial" w:hAnsi="Arial"/>
          <w:sz w:val="14"/>
          <w:szCs w:val="14"/>
          <w:color w:val="auto"/>
        </w:rPr>
        <w:t>, to require a lessor to perform a review and recalculation of a leverage lease transaction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when there is a change or projected change in the timing of the income tax cash flows (realization of tax benefits) generated by that lease. This FSP is effective for fiscal years beginning after December 15, 2006. The company does not expect that it will have a significant effect on its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OTHER FINANCIAL DATA</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Committed Lines of Credit</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SoCalGas and SDG&amp;E have a combined $600 million five-year syndicated revolving credit facility expiring in 2010, under which each utility individually may borrow up to $500 million, subject to the combined borrowing limit for both utilities of $600 million. At June 30, 2006 and December 31, 2005, the company had no amounts outstanding under this facility. The facility provided support for the company's $88 million of commercial paper outstanding at December 31, 2005. Additional information concerning this credit facility is provided in the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company's weighted average interest rate on its short-term debt was 4.26% at December 31, 2005.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Comprehensive Income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and the six months ended June 30, 2006 and 2005, comprehensive income was equal to net income.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Capitalized Interest</w:t>
      </w:r>
    </w:p>
    <w:p>
      <w:pPr>
        <w:spacing w:after="0" w:line="151"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The company recorded $1 million of capitalized interest for the six months ended June 30, 2006, all during the three months ended March 31, 2006, including the portion of allowance for funds used during construction related to debt. The company recorded $1 million of capitalized interest for both the three months and the six months ended June 30, 2005, including the portion of allowance for funds used during construction related to debt.</w:t>
      </w:r>
    </w:p>
    <w:p>
      <w:pPr>
        <w:sectPr>
          <w:pgSz w:w="11900" w:h="16838" w:orient="portrait"/>
          <w:cols w:equalWidth="0" w:num="1">
            <w:col w:w="11460"/>
          </w:cols>
          <w:pgMar w:left="220" w:top="321" w:right="219" w:bottom="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Unpaid Capital Expenditures</w:t>
      </w:r>
    </w:p>
    <w:p>
      <w:pPr>
        <w:sectPr>
          <w:pgSz w:w="11900" w:h="16838" w:orient="portrait"/>
          <w:cols w:equalWidth="0" w:num="1">
            <w:col w:w="11460"/>
          </w:cols>
          <w:pgMar w:left="220" w:top="321" w:right="219" w:bottom="0" w:gutter="0" w:footer="0" w:header="0"/>
          <w:type w:val="continuous"/>
        </w:sectPr>
      </w:pPr>
    </w:p>
    <w:bookmarkStart w:id="8" w:name="page9"/>
    <w:bookmarkEnd w:id="8"/>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2006, the amount of unpaid capital expenditures decreased by $4 million.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Other Expense, Net consists of the following:</w:t>
      </w:r>
    </w:p>
    <w:p>
      <w:pPr>
        <w:spacing w:after="0" w:line="348" w:lineRule="exact"/>
        <w:rPr>
          <w:sz w:val="20"/>
          <w:szCs w:val="20"/>
          <w:color w:val="auto"/>
        </w:rPr>
      </w:pPr>
    </w:p>
    <w:tbl>
      <w:tblPr>
        <w:tblLayout w:type="fixed"/>
        <w:tblInd w:w="2660" w:type="dxa"/>
        <w:tblCellMar>
          <w:top w:w="0" w:type="dxa"/>
          <w:left w:w="0" w:type="dxa"/>
          <w:bottom w:w="0" w:type="dxa"/>
          <w:right w:w="0" w:type="dxa"/>
        </w:tblCellMar>
      </w:tblPr>
      <w:tr>
        <w:trPr>
          <w:trHeight w:val="158"/>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ind w:left="40"/>
              <w:spacing w:after="0"/>
              <w:rPr>
                <w:sz w:val="20"/>
                <w:szCs w:val="20"/>
                <w:color w:val="auto"/>
              </w:rPr>
            </w:pPr>
            <w:r>
              <w:rPr>
                <w:rFonts w:ascii="Arial" w:cs="Arial" w:eastAsia="Arial" w:hAnsi="Arial"/>
                <w:sz w:val="13"/>
                <w:szCs w:val="13"/>
                <w:color w:val="auto"/>
              </w:rPr>
              <w:t>Three months ended</w:t>
            </w:r>
          </w:p>
        </w:tc>
        <w:tc>
          <w:tcPr>
            <w:tcW w:w="320" w:type="dxa"/>
            <w:vAlign w:val="bottom"/>
          </w:tcPr>
          <w:p>
            <w:pPr>
              <w:spacing w:after="0"/>
              <w:rPr>
                <w:sz w:val="13"/>
                <w:szCs w:val="13"/>
                <w:color w:val="auto"/>
              </w:rPr>
            </w:pPr>
          </w:p>
        </w:tc>
        <w:tc>
          <w:tcPr>
            <w:tcW w:w="1240" w:type="dxa"/>
            <w:vAlign w:val="bottom"/>
            <w:gridSpan w:val="3"/>
          </w:tcPr>
          <w:p>
            <w:pPr>
              <w:jc w:val="right"/>
              <w:ind w:right="176"/>
              <w:spacing w:after="0"/>
              <w:rPr>
                <w:sz w:val="20"/>
                <w:szCs w:val="20"/>
                <w:color w:val="auto"/>
              </w:rPr>
            </w:pPr>
            <w:r>
              <w:rPr>
                <w:rFonts w:ascii="Arial" w:cs="Arial" w:eastAsia="Arial" w:hAnsi="Arial"/>
                <w:sz w:val="13"/>
                <w:szCs w:val="13"/>
                <w:color w:val="auto"/>
                <w:w w:val="94"/>
              </w:rPr>
              <w:t>Six months ended</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w w:val="92"/>
              </w:rPr>
              <w:t>June 30,</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June 30,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vMerge w:val="restart"/>
          </w:tcPr>
          <w:p>
            <w:pPr>
              <w:ind w:left="20"/>
              <w:spacing w:after="0"/>
              <w:rPr>
                <w:sz w:val="20"/>
                <w:szCs w:val="20"/>
                <w:color w:val="auto"/>
              </w:rPr>
            </w:pPr>
            <w:r>
              <w:rPr>
                <w:rFonts w:ascii="Arial" w:cs="Arial" w:eastAsia="Arial" w:hAnsi="Arial"/>
                <w:sz w:val="13"/>
                <w:szCs w:val="13"/>
                <w:color w:val="auto"/>
              </w:rPr>
              <w:t>(Dollars in millions)</w:t>
            </w:r>
          </w:p>
        </w:tc>
        <w:tc>
          <w:tcPr>
            <w:tcW w:w="140" w:type="dxa"/>
            <w:vAlign w:val="bottom"/>
            <w:shd w:val="clear" w:color="auto" w:fill="000000"/>
          </w:tcPr>
          <w:p>
            <w:pPr>
              <w:spacing w:after="0"/>
              <w:rPr>
                <w:sz w:val="16"/>
                <w:szCs w:val="16"/>
                <w:color w:val="auto"/>
              </w:rPr>
            </w:pPr>
          </w:p>
        </w:tc>
        <w:tc>
          <w:tcPr>
            <w:tcW w:w="56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620" w:type="dxa"/>
            <w:vAlign w:val="bottom"/>
            <w:shd w:val="clear" w:color="auto" w:fill="000000"/>
          </w:tcPr>
          <w:p>
            <w:pPr>
              <w:spacing w:after="0"/>
              <w:rPr>
                <w:sz w:val="16"/>
                <w:szCs w:val="16"/>
                <w:color w:val="auto"/>
              </w:rPr>
            </w:pPr>
          </w:p>
        </w:tc>
        <w:tc>
          <w:tcPr>
            <w:tcW w:w="320" w:type="dxa"/>
            <w:vAlign w:val="bottom"/>
            <w:shd w:val="clear" w:color="auto" w:fill="000000"/>
          </w:tcPr>
          <w:p>
            <w:pPr>
              <w:spacing w:after="0"/>
              <w:rPr>
                <w:sz w:val="16"/>
                <w:szCs w:val="16"/>
                <w:color w:val="auto"/>
              </w:rPr>
            </w:pPr>
          </w:p>
        </w:tc>
        <w:tc>
          <w:tcPr>
            <w:tcW w:w="56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4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auto"/>
              </w:rPr>
              <w:t>2006</w:t>
            </w:r>
          </w:p>
        </w:tc>
        <w:tc>
          <w:tcPr>
            <w:tcW w:w="260" w:type="dxa"/>
            <w:vAlign w:val="bottom"/>
          </w:tcPr>
          <w:p>
            <w:pPr>
              <w:spacing w:after="0"/>
              <w:rPr>
                <w:sz w:val="14"/>
                <w:szCs w:val="14"/>
                <w:color w:val="auto"/>
              </w:rPr>
            </w:pPr>
          </w:p>
        </w:tc>
        <w:tc>
          <w:tcPr>
            <w:tcW w:w="620" w:type="dxa"/>
            <w:vAlign w:val="bottom"/>
          </w:tcPr>
          <w:p>
            <w:pPr>
              <w:jc w:val="right"/>
              <w:ind w:right="276"/>
              <w:spacing w:after="0"/>
              <w:rPr>
                <w:sz w:val="20"/>
                <w:szCs w:val="20"/>
                <w:color w:val="auto"/>
              </w:rPr>
            </w:pPr>
            <w:r>
              <w:rPr>
                <w:rFonts w:ascii="Arial" w:cs="Arial" w:eastAsia="Arial" w:hAnsi="Arial"/>
                <w:sz w:val="13"/>
                <w:szCs w:val="13"/>
                <w:color w:val="auto"/>
                <w:w w:val="89"/>
              </w:rPr>
              <w:t>2005</w:t>
            </w:r>
          </w:p>
        </w:tc>
        <w:tc>
          <w:tcPr>
            <w:tcW w:w="320" w:type="dxa"/>
            <w:vAlign w:val="bottom"/>
          </w:tcPr>
          <w:p>
            <w:pPr>
              <w:spacing w:after="0"/>
              <w:rPr>
                <w:sz w:val="14"/>
                <w:szCs w:val="14"/>
                <w:color w:val="auto"/>
              </w:rPr>
            </w:pPr>
          </w:p>
        </w:tc>
        <w:tc>
          <w:tcPr>
            <w:tcW w:w="560" w:type="dxa"/>
            <w:vAlign w:val="bottom"/>
          </w:tcPr>
          <w:p>
            <w:pPr>
              <w:jc w:val="right"/>
              <w:ind w:right="216"/>
              <w:spacing w:after="0"/>
              <w:rPr>
                <w:sz w:val="20"/>
                <w:szCs w:val="20"/>
                <w:color w:val="auto"/>
              </w:rPr>
            </w:pPr>
            <w:r>
              <w:rPr>
                <w:rFonts w:ascii="Arial" w:cs="Arial" w:eastAsia="Arial" w:hAnsi="Arial"/>
                <w:sz w:val="13"/>
                <w:szCs w:val="13"/>
                <w:color w:val="auto"/>
                <w:w w:val="89"/>
              </w:rPr>
              <w:t>2006</w:t>
            </w:r>
          </w:p>
        </w:tc>
        <w:tc>
          <w:tcPr>
            <w:tcW w:w="260" w:type="dxa"/>
            <w:vAlign w:val="bottom"/>
          </w:tcPr>
          <w:p>
            <w:pPr>
              <w:spacing w:after="0"/>
              <w:rPr>
                <w:sz w:val="14"/>
                <w:szCs w:val="14"/>
                <w:color w:val="auto"/>
              </w:rPr>
            </w:pPr>
          </w:p>
        </w:tc>
        <w:tc>
          <w:tcPr>
            <w:tcW w:w="420" w:type="dxa"/>
            <w:vAlign w:val="bottom"/>
          </w:tcPr>
          <w:p>
            <w:pPr>
              <w:jc w:val="right"/>
              <w:ind w:right="76"/>
              <w:spacing w:after="0"/>
              <w:rPr>
                <w:sz w:val="20"/>
                <w:szCs w:val="20"/>
                <w:color w:val="auto"/>
              </w:rPr>
            </w:pPr>
            <w:r>
              <w:rPr>
                <w:rFonts w:ascii="Arial" w:cs="Arial" w:eastAsia="Arial" w:hAnsi="Arial"/>
                <w:sz w:val="13"/>
                <w:szCs w:val="13"/>
                <w:color w:val="auto"/>
                <w:w w:val="89"/>
              </w:rPr>
              <w:t>2005</w:t>
            </w:r>
          </w:p>
        </w:tc>
        <w:tc>
          <w:tcPr>
            <w:tcW w:w="0" w:type="dxa"/>
            <w:vAlign w:val="bottom"/>
          </w:tcPr>
          <w:p>
            <w:pPr>
              <w:spacing w:after="0"/>
              <w:rPr>
                <w:sz w:val="1"/>
                <w:szCs w:val="1"/>
                <w:color w:val="auto"/>
              </w:rPr>
            </w:pPr>
          </w:p>
        </w:tc>
      </w:tr>
      <w:tr>
        <w:trPr>
          <w:trHeight w:val="31"/>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rPr>
                <w:sz w:val="20"/>
                <w:szCs w:val="20"/>
                <w:color w:val="auto"/>
              </w:rPr>
            </w:pPr>
            <w:r>
              <w:rPr>
                <w:rFonts w:ascii="Arial" w:cs="Arial" w:eastAsia="Arial" w:hAnsi="Arial"/>
                <w:sz w:val="13"/>
                <w:szCs w:val="13"/>
                <w:color w:val="auto"/>
              </w:rPr>
              <w:t>Regulatory interest, net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(2 )</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6"/>
              <w:spacing w:after="0"/>
              <w:rPr>
                <w:sz w:val="20"/>
                <w:szCs w:val="20"/>
                <w:color w:val="auto"/>
              </w:rPr>
            </w:pPr>
            <w:r>
              <w:rPr>
                <w:rFonts w:ascii="Arial" w:cs="Arial" w:eastAsia="Arial" w:hAnsi="Arial"/>
                <w:sz w:val="13"/>
                <w:szCs w:val="13"/>
                <w:color w:val="auto"/>
              </w:rPr>
              <w:t>(2 )</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(3 )</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rPr>
                <w:sz w:val="20"/>
                <w:szCs w:val="20"/>
                <w:color w:val="auto"/>
              </w:rPr>
            </w:pPr>
            <w:r>
              <w:rPr>
                <w:rFonts w:ascii="Arial" w:cs="Arial" w:eastAsia="Arial" w:hAnsi="Arial"/>
                <w:sz w:val="13"/>
                <w:szCs w:val="13"/>
                <w:color w:val="auto"/>
                <w:w w:val="99"/>
              </w:rPr>
              <w:t>Allowance for equity funds used during construction</w:t>
            </w:r>
          </w:p>
        </w:tc>
        <w:tc>
          <w:tcPr>
            <w:tcW w:w="140" w:type="dxa"/>
            <w:vAlign w:val="bottom"/>
          </w:tcPr>
          <w:p>
            <w:pPr>
              <w:spacing w:after="0"/>
              <w:rPr>
                <w:sz w:val="17"/>
                <w:szCs w:val="17"/>
                <w:color w:val="auto"/>
              </w:rPr>
            </w:pPr>
          </w:p>
        </w:tc>
        <w:tc>
          <w:tcPr>
            <w:tcW w:w="56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7"/>
                <w:szCs w:val="17"/>
                <w:color w:val="auto"/>
              </w:rPr>
            </w:pPr>
          </w:p>
        </w:tc>
        <w:tc>
          <w:tcPr>
            <w:tcW w:w="620" w:type="dxa"/>
            <w:vAlign w:val="bottom"/>
          </w:tcPr>
          <w:p>
            <w:pPr>
              <w:jc w:val="right"/>
              <w:ind w:right="216"/>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7"/>
                <w:szCs w:val="17"/>
                <w:color w:val="auto"/>
              </w:rPr>
            </w:pPr>
          </w:p>
        </w:tc>
        <w:tc>
          <w:tcPr>
            <w:tcW w:w="560" w:type="dxa"/>
            <w:vAlign w:val="bottom"/>
          </w:tcPr>
          <w:p>
            <w:pPr>
              <w:jc w:val="right"/>
              <w:ind w:right="176"/>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7"/>
                <w:szCs w:val="17"/>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rPr>
                <w:sz w:val="20"/>
                <w:szCs w:val="20"/>
                <w:color w:val="auto"/>
              </w:rPr>
            </w:pPr>
            <w:r>
              <w:rPr>
                <w:rFonts w:ascii="Arial" w:cs="Arial" w:eastAsia="Arial" w:hAnsi="Arial"/>
                <w:sz w:val="13"/>
                <w:szCs w:val="13"/>
                <w:color w:val="auto"/>
              </w:rPr>
              <w:t>Sundry, net</w:t>
            </w:r>
          </w:p>
        </w:tc>
        <w:tc>
          <w:tcPr>
            <w:tcW w:w="140" w:type="dxa"/>
            <w:vAlign w:val="bottom"/>
          </w:tcPr>
          <w:p>
            <w:pPr>
              <w:spacing w:after="0"/>
              <w:rPr>
                <w:sz w:val="17"/>
                <w:szCs w:val="17"/>
                <w:color w:val="auto"/>
              </w:rPr>
            </w:pPr>
          </w:p>
        </w:tc>
        <w:tc>
          <w:tcPr>
            <w:tcW w:w="5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620" w:type="dxa"/>
            <w:vAlign w:val="bottom"/>
          </w:tcPr>
          <w:p>
            <w:pPr>
              <w:jc w:val="right"/>
              <w:ind w:right="216"/>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7"/>
                <w:szCs w:val="17"/>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(1 )</w:t>
            </w:r>
          </w:p>
        </w:tc>
        <w:tc>
          <w:tcPr>
            <w:tcW w:w="260" w:type="dxa"/>
            <w:vAlign w:val="bottom"/>
          </w:tcPr>
          <w:p>
            <w:pPr>
              <w:spacing w:after="0"/>
              <w:rPr>
                <w:sz w:val="17"/>
                <w:szCs w:val="17"/>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3000" w:type="dxa"/>
            <w:vAlign w:val="bottom"/>
            <w:vMerge w:val="restart"/>
          </w:tcPr>
          <w:p>
            <w:pPr>
              <w:ind w:left="680"/>
              <w:spacing w:after="0"/>
              <w:rPr>
                <w:sz w:val="20"/>
                <w:szCs w:val="20"/>
                <w:color w:val="auto"/>
              </w:rPr>
            </w:pPr>
            <w:r>
              <w:rPr>
                <w:rFonts w:ascii="Arial" w:cs="Arial" w:eastAsia="Arial" w:hAnsi="Arial"/>
                <w:sz w:val="13"/>
                <w:szCs w:val="13"/>
                <w:color w:val="auto"/>
              </w:rPr>
              <w:t>Total at SoCalGas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(1 )</w:t>
            </w:r>
          </w:p>
        </w:tc>
        <w:tc>
          <w:tcPr>
            <w:tcW w:w="260" w:type="dxa"/>
            <w:vAlign w:val="bottom"/>
          </w:tcPr>
          <w:p>
            <w:pPr>
              <w:spacing w:after="0"/>
              <w:rPr>
                <w:sz w:val="14"/>
                <w:szCs w:val="14"/>
                <w:color w:val="auto"/>
              </w:rPr>
            </w:pPr>
          </w:p>
        </w:tc>
        <w:tc>
          <w:tcPr>
            <w:tcW w:w="6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(1 )</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rPr>
                <w:sz w:val="20"/>
                <w:szCs w:val="20"/>
                <w:color w:val="auto"/>
              </w:rPr>
            </w:pPr>
            <w:r>
              <w:rPr>
                <w:rFonts w:ascii="Arial" w:cs="Arial" w:eastAsia="Arial" w:hAnsi="Arial"/>
                <w:sz w:val="13"/>
                <w:szCs w:val="13"/>
                <w:color w:val="auto"/>
              </w:rPr>
              <w:t>Additional at Pacific Enterprises: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140"/>
              <w:spacing w:after="0"/>
              <w:rPr>
                <w:sz w:val="20"/>
                <w:szCs w:val="20"/>
                <w:color w:val="auto"/>
              </w:rPr>
            </w:pPr>
            <w:r>
              <w:rPr>
                <w:rFonts w:ascii="Arial" w:cs="Arial" w:eastAsia="Arial" w:hAnsi="Arial"/>
                <w:sz w:val="13"/>
                <w:szCs w:val="13"/>
                <w:color w:val="auto"/>
              </w:rPr>
              <w:t>Preferred dividends of subsidiary</w:t>
            </w:r>
          </w:p>
        </w:tc>
        <w:tc>
          <w:tcPr>
            <w:tcW w:w="140" w:type="dxa"/>
            <w:vAlign w:val="bottom"/>
          </w:tcPr>
          <w:p>
            <w:pPr>
              <w:spacing w:after="0"/>
              <w:rPr>
                <w:sz w:val="17"/>
                <w:szCs w:val="17"/>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(1 )</w:t>
            </w:r>
          </w:p>
        </w:tc>
        <w:tc>
          <w:tcPr>
            <w:tcW w:w="260" w:type="dxa"/>
            <w:vAlign w:val="bottom"/>
          </w:tcPr>
          <w:p>
            <w:pPr>
              <w:spacing w:after="0"/>
              <w:rPr>
                <w:sz w:val="17"/>
                <w:szCs w:val="17"/>
                <w:color w:val="auto"/>
              </w:rPr>
            </w:pPr>
          </w:p>
        </w:tc>
        <w:tc>
          <w:tcPr>
            <w:tcW w:w="620" w:type="dxa"/>
            <w:vAlign w:val="bottom"/>
          </w:tcPr>
          <w:p>
            <w:pPr>
              <w:jc w:val="right"/>
              <w:ind w:right="136"/>
              <w:spacing w:after="0"/>
              <w:rPr>
                <w:sz w:val="20"/>
                <w:szCs w:val="20"/>
                <w:color w:val="auto"/>
              </w:rPr>
            </w:pPr>
            <w:r>
              <w:rPr>
                <w:rFonts w:ascii="Arial" w:cs="Arial" w:eastAsia="Arial" w:hAnsi="Arial"/>
                <w:sz w:val="13"/>
                <w:szCs w:val="13"/>
                <w:color w:val="auto"/>
              </w:rPr>
              <w:t>(1 )</w:t>
            </w:r>
          </w:p>
        </w:tc>
        <w:tc>
          <w:tcPr>
            <w:tcW w:w="320" w:type="dxa"/>
            <w:vAlign w:val="bottom"/>
          </w:tcPr>
          <w:p>
            <w:pPr>
              <w:spacing w:after="0"/>
              <w:rPr>
                <w:sz w:val="17"/>
                <w:szCs w:val="17"/>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(1 )</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7"/>
        </w:trPr>
        <w:tc>
          <w:tcPr>
            <w:tcW w:w="3000" w:type="dxa"/>
            <w:vAlign w:val="bottom"/>
          </w:tcPr>
          <w:p>
            <w:pPr>
              <w:ind w:left="140"/>
              <w:spacing w:after="0"/>
              <w:rPr>
                <w:sz w:val="20"/>
                <w:szCs w:val="20"/>
                <w:color w:val="auto"/>
              </w:rPr>
            </w:pPr>
            <w:r>
              <w:rPr>
                <w:rFonts w:ascii="Arial" w:cs="Arial" w:eastAsia="Arial" w:hAnsi="Arial"/>
                <w:sz w:val="13"/>
                <w:szCs w:val="13"/>
                <w:color w:val="auto"/>
              </w:rPr>
              <w:t>Sundry, net</w:t>
            </w:r>
          </w:p>
        </w:tc>
        <w:tc>
          <w:tcPr>
            <w:tcW w:w="140" w:type="dxa"/>
            <w:vAlign w:val="bottom"/>
          </w:tcPr>
          <w:p>
            <w:pPr>
              <w:spacing w:after="0"/>
              <w:rPr>
                <w:sz w:val="17"/>
                <w:szCs w:val="17"/>
                <w:color w:val="auto"/>
              </w:rPr>
            </w:pPr>
          </w:p>
        </w:tc>
        <w:tc>
          <w:tcPr>
            <w:tcW w:w="56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7"/>
                <w:szCs w:val="17"/>
                <w:color w:val="auto"/>
              </w:rPr>
            </w:pPr>
          </w:p>
        </w:tc>
        <w:tc>
          <w:tcPr>
            <w:tcW w:w="620" w:type="dxa"/>
            <w:vAlign w:val="bottom"/>
          </w:tcPr>
          <w:p>
            <w:pPr>
              <w:jc w:val="right"/>
              <w:ind w:right="216"/>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7"/>
                <w:szCs w:val="17"/>
                <w:color w:val="auto"/>
              </w:rPr>
            </w:pPr>
          </w:p>
        </w:tc>
        <w:tc>
          <w:tcPr>
            <w:tcW w:w="5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1"/>
        </w:trPr>
        <w:tc>
          <w:tcPr>
            <w:tcW w:w="3000" w:type="dxa"/>
            <w:vAlign w:val="bottom"/>
            <w:vMerge w:val="restart"/>
          </w:tcPr>
          <w:p>
            <w:pPr>
              <w:ind w:left="6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vMerge w:val="continue"/>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(1 )</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6"/>
              <w:spacing w:after="0"/>
              <w:rPr>
                <w:sz w:val="20"/>
                <w:szCs w:val="20"/>
                <w:color w:val="auto"/>
              </w:rPr>
            </w:pPr>
            <w:r>
              <w:rPr>
                <w:rFonts w:ascii="Arial" w:cs="Arial" w:eastAsia="Arial" w:hAnsi="Arial"/>
                <w:sz w:val="13"/>
                <w:szCs w:val="13"/>
                <w:color w:val="auto"/>
              </w:rPr>
              <w:t>(2 )</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31"/>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56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FINANCIAL INSTRUMENTS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Interest-Rate Swaps</w:t>
      </w:r>
    </w:p>
    <w:p>
      <w:pPr>
        <w:spacing w:after="0" w:line="15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company periodically enters into interest-rate swap agreements to moderate its exposure to interest-rate changes and to lower its overall cost of borrowing. These are described in Note 2 of the notes to Consolidated Financial Statements in the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Contracts</w:t>
      </w:r>
    </w:p>
    <w:p>
      <w:pPr>
        <w:spacing w:after="0" w:line="155"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use of derivative instruments is subject to certain limitations imposed by company policy and regulatory requirements. These instruments allow the company to estimate with greater certainty the effective prices to be received by the company and the prices to be charged to its customers. The company records transactions for natural gas contracts in Cost of Natural Gas in the Statements of Consolidated Income. Unrealized gains and losses related to these derivative instruments are offset by regulatory assets and liabilities on the Consolidated Balance Sheets to the extent derivative gains and losses associated with these derivative instruments will be recoverable or payable in future rates.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REGULATORY MATTERS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CPUC RULEMAKING REGARDING ENERGY UTILITIES, THEIR HOLDING COMPANIES AND NON-REGULATED AFFILIATES</w:t>
      </w:r>
    </w:p>
    <w:p>
      <w:pPr>
        <w:spacing w:after="0" w:line="15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CPUC continues to pursue its Order Instituting Rulemaking (OIR) regarding energy utilities, their holding companies and non-regulated affiliates and a final CPUC decision is scheduled for 2006.</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GAIN ON SALE RULEMAKING</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In the second quarter of 2006, the CPUC adopted a decision standardizing the treatment of gains and losses on future sales of utility property. It provides for an allocation of 100% of the gains and losses from depreciable property to ratepayers and a 50/50 allocation of gains and losses from non-depreciable property between ratepayers and shareholders. Under certain circumstances the CPUC would be able to depart from the standard allocation. The CPUC's Division of Ratepayer Advocates and The Utility Reform Network filed a joint request for rehearing of the decision requesting, among other things, that the CPUC adopt a 90/10 allocation of gains from non-depreciable assets between ratepayers and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GENERAL RATE CASE</w:t>
      </w:r>
    </w:p>
    <w:p>
      <w:pPr>
        <w:spacing w:after="0" w:line="151"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On August 1, 2006, SoCalGas tendered to the CPUC a Notice of Intent (NOI) to file a General Rate Case application to establish authorized 2008 revenue requirements and the ratemaking mechanisms by which those revenue requirements will change on an annual basis over the subsequent five-year period (2009-2013). Included in the NOI are proposed mechanisms for earnings sharing, as well as performance indicators with a maximum annual reward/penalty of $13 million during the 2008 - 2013 period. Relative to authorized revenue requirements for 2006, the NOI represents an increase of $233 million in 2008. A final CPUC decision is expected in December 2007.</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NATURAL GAS MARKET OIR</w:t>
      </w:r>
    </w:p>
    <w:p>
      <w:pPr>
        <w:spacing w:after="0" w:line="151"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The CPUC is addressing natural gas markets issues, including natural gas market and infrastructure requirements, as part of Phase II of its Natural Gas Market OIR. A proposed decision is expected in the third quarter of 2006 and a final decision shortly thereafter.</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the related proceeding, the CPUC approved in the second quarter of 2006 the California Utilities' Phase I proposal to combine the natural gas transmission costs for SDG&amp;E and SoCalGas so that their customers will pay the same rate for natural gas deliveries at any receipt point once re-gasified liquefied natural gas (LNG) deliveries begin at the Otay Mesa interconnection. Phase II of this implementation proceeding addresses the California Utilities' proposal to establish firm access rights and off-system delivery services to ensure customers have reliable access to diverse supply sources. The CPUC will hold hearings on these proposals in the third quarter of 2006 and plans to issue a Phase II decision by the end of 2006.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UTILITY RATEMAKING INCENTIVE AWARDS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Performance-Based Regulation (PBR), demand-side management (DSM) and Gas Cost Incentive Mechanism (GCIM) awards are not included in the company's earnings until CPUC approval of each award is received. During the three months ended June 30, 2006, the incentive rewards approved and included in pretax earnings were $0.9 million related to PBR. In June 2005, SoCalGas filed its GCIM Year 11 application requesting a shareholder reward of $2.5 million. The CPUC has determined that hearings are not necessary, and SoCalGas expects a CPUC decision to be issued by the end of 2006. In June 2006, SoCalGas filed its GCIM Year 12 application requesting a shareholder reward of $9.8 million. A schedule for the proceeding has not been established, but SoCalGas expects a CPUC decision in early 2007.</w:t>
      </w:r>
    </w:p>
    <w:p>
      <w:pPr>
        <w:spacing w:after="0" w:line="124"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The cumulative amount of the GCIM awards subject to refund based on the outcome of the Border Price Investigation discussed in "Litigation" below is $69.2 million, of which $56.9 million has been included in pretax income.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LITIGATION</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At June 30, 2006, the company's reserves for litigation matters were $151 million, of which $151 million related to settlements reached in January 2006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Settlements</w:t>
      </w:r>
    </w:p>
    <w:p>
      <w:pPr>
        <w:spacing w:after="0" w:line="151" w:lineRule="exact"/>
        <w:rPr>
          <w:sz w:val="20"/>
          <w:szCs w:val="20"/>
          <w:color w:val="auto"/>
        </w:rPr>
      </w:pPr>
    </w:p>
    <w:p>
      <w:pPr>
        <w:ind w:right="140"/>
        <w:spacing w:after="0" w:line="322" w:lineRule="auto"/>
        <w:rPr>
          <w:sz w:val="20"/>
          <w:szCs w:val="20"/>
          <w:color w:val="auto"/>
        </w:rPr>
      </w:pPr>
      <w:r>
        <w:rPr>
          <w:rFonts w:ascii="Arial" w:cs="Arial" w:eastAsia="Arial" w:hAnsi="Arial"/>
          <w:sz w:val="14"/>
          <w:szCs w:val="14"/>
          <w:color w:val="auto"/>
        </w:rPr>
        <w:t>The litigation that is the subject of the January 2006 settlements is frequently referred to as the Continental Forge litigation, although the settlements also include other cases. The Continental Forge class-action and individual antitrust and unfair competition lawsuits alleging that Sempra Energy and the California Utilities unlawfully sought to control natural</w:t>
      </w:r>
    </w:p>
    <w:p>
      <w:pPr>
        <w:sectPr>
          <w:pgSz w:w="11900" w:h="16883" w:orient="portrait"/>
          <w:cols w:equalWidth="0" w:num="1">
            <w:col w:w="11460"/>
          </w:cols>
          <w:pgMar w:left="220" w:top="124" w:right="219" w:bottom="0" w:gutter="0" w:footer="0" w:header="0"/>
        </w:sectPr>
      </w:pPr>
    </w:p>
    <w:bookmarkStart w:id="9" w:name="page10"/>
    <w:bookmarkEnd w:id="9"/>
    <w:p>
      <w:pPr>
        <w:ind w:right="80"/>
        <w:spacing w:after="0" w:line="251" w:lineRule="auto"/>
        <w:rPr>
          <w:sz w:val="20"/>
          <w:szCs w:val="20"/>
          <w:color w:val="auto"/>
        </w:rPr>
      </w:pPr>
      <w:r>
        <w:rPr>
          <w:rFonts w:ascii="Arial" w:cs="Arial" w:eastAsia="Arial" w:hAnsi="Arial"/>
          <w:sz w:val="16"/>
          <w:szCs w:val="16"/>
          <w:color w:val="auto"/>
        </w:rPr>
        <w:t>gas and electricity markets, claimed damages of $23 billion after applicable trebling. A second settlement resolves class-action litigation brought by the Nevada Attorney General in Nevada Clark County District Court involving virtually identical allegations to those in the Continental Forge litigation.</w:t>
      </w:r>
    </w:p>
    <w:p>
      <w:pPr>
        <w:spacing w:after="0" w:line="127"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On June 14, 2006, the San Diego County Superior Court approved the settlement of the Continental Forge class-action litigation as fair and reasonable and a final order was entered on July 20, 2006. On July 31, 2006, the Utility Consumers Action Network filed a notice of appeal of the final order. With respect to the individual Continental Forge lawsuits, the Los Angeles City Council has not yet voted to approve the City of Los Angeles' participation in the settlement and it may elect to continue pursuing its individual case against Sempra Energy and the California Utilities. The Nevada Clark County District Court has preliminarily approved the Nevada class-action settlement and the company expects a final approval at a hearing set for September 8, 2006. Both the California and Nevada settlements must be approved for either settlement to take effect, but Sempra Energy is permitted to waive this condition. The settlements are not conditioned upon approval by the CPUC, the DWR, or any other government al or regulatory agency to be effective.</w:t>
      </w:r>
    </w:p>
    <w:p>
      <w:pPr>
        <w:spacing w:after="0" w:line="11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To settle the California and Nevada litigation, Sempra Energy would make cash payments in installments aggregating $377 million, of which $347 million relates to the Continental Forge and California class action price reporting litigation and $30 million relates to the Nevada antitrust litigation.</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Additional consideration for the California settlement includes an agreement that Sempra LNG would sell to the California Utilities, subject to CPUC approval, re-gasified LNG from its LNG terminal being constructed in Baja California, Mexico at the California border index price minus $0.02. The California Utilities agreed to seek approval from the CPUC to integrate their natural gas transmission facilities and to develop both firm, tradable natural gas receipt point rights for access to their combined intrastate transmission system and SoCalGas' underground natural gas storage system and filed for approval at the CPUC on July 25, 2006. In addition, Sempra Generation voluntarily would reduce the price that it charges for power and limit the places at which it would deliver power under its contract with the Department of Water Resources (DWR). The price reductions would be reduced by any amounts in excess of $150 million that Sempra Generation is ordered to pay or incurs as a monetary award, any reduction i n future revenues or profits, or any increase in future costs in connection with arbitration proceedings involving the DWR contract.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Other Natural Gas Cases</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On November 21, 2005, the California Attorney General and the CPUC filed a lawsuit in San Diego County Superior Court alleging that in 1998 Sempra Energy and the California Utilities had intentionally misled the CPUC in obtaining its approval to use the utilities' California natural gas pipeline capacity to enable Sempra Energy's non-utility subsidiaries to deliver natural gas to a power plant in Mexico. The lawsuit further alleges that, as a result of insufficient utility pipeline capacity to serve both the power plant and California customers, SDG&amp;E curtailed natural gas service to electric generators and large California commercial and industrial customers 17 times in 2000 - 2001, which resulted in increased air pollution and higher electricity prices for California consumers from the use of oil as an alternate fuel source by electric generating plants. The lawsuit seeks statutory penalties of not less than $1 million, $2,500 for each of an unspecified number of instances of unfair business practic es, and unspecified amounts of actual and punitive damages. It also seeks an injunction to require divestiture by Sempra Energy of non-utility subsidiaries to an extent to be determined by the court. A jury trial has been scheduled for the second quarter of 2007.</w:t>
      </w:r>
    </w:p>
    <w:p>
      <w:pPr>
        <w:spacing w:after="0" w:line="140"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In April 2003, Sierra Pacific Resources and its utility subsidiary Nevada Power filed a lawsuit in U.S. District Court in Las Vegas against major natural gas suppliers, including Sempra Energy, the California Utilities and Sempra Commodities, seeking recovery of damages alleged to aggregate in excess of $150 million (before trebling). The lawsuit alleges that the Sempra defendants conspired with El Paso Natural Gas Company to eliminate competition, prevent the construction of natural gas pipelines to serve Nevada and other Western states, and to manipulate natural gas pipeline capacity and supply and the data provided to price indices, in violation of Nevada's antitrust laws and RICO. Plaintiffs also assert a breach of contract claim against Sempra Commodities. The U.S. District Court dismissed the case in November 2004, determining that the Federal Energy Regulatory Commission (FERC) had exclusive jurisdiction to resolve claims. In January 2005, plaintiffs filed an appeal with the Ninth Circuit Court of Appeals, and the matter is pending oral argument before that court.</w:t>
      </w:r>
    </w:p>
    <w:p>
      <w:pPr>
        <w:spacing w:after="0" w:line="137" w:lineRule="exact"/>
        <w:rPr>
          <w:sz w:val="20"/>
          <w:szCs w:val="20"/>
          <w:color w:val="auto"/>
        </w:rPr>
      </w:pPr>
    </w:p>
    <w:p>
      <w:pPr>
        <w:ind w:right="120"/>
        <w:spacing w:after="0" w:line="272" w:lineRule="auto"/>
        <w:rPr>
          <w:sz w:val="20"/>
          <w:szCs w:val="20"/>
          <w:color w:val="auto"/>
        </w:rPr>
      </w:pPr>
      <w:r>
        <w:rPr>
          <w:rFonts w:ascii="Arial" w:cs="Arial" w:eastAsia="Arial" w:hAnsi="Arial"/>
          <w:sz w:val="14"/>
          <w:szCs w:val="14"/>
          <w:color w:val="auto"/>
        </w:rPr>
        <w:t>Apart from the claims settled in connection with the Continental Forge settlement, there remain pending 13 antitrust actions that were filed and have been coordinated in San Diego Superior Court against Sempra Energy and one or more of its affiliates (the California Utilities and Sempra Commodities, depending on the lawsuit) and various, unrelated energy companies, alleging that energy prices were unlawfully manipulated by the reporting of artificially inflated natural gas prices to trade publications and by entering into wash trades and churning transactions. In June 2005, the court denied the defendants' motion to dismiss on preemption and Filed Rate Doctrine grounds. No trial date has been scheduled for these actions. Pending in the federal court system are five cases against Sempra Energy, Sempra Commodities, the California Utilities and various other companies, which make similar allegations to those in the state proceedings, four of which also include conspiracy allegations similar to th ose made in the Continental Forge litigation. The District Court has dismissed four of these actions on the grounds that the claims asserted in these suits were preempted under federal law and the Filed Rate Doctrine. The remaining case, which includes conspiracy allegations, has been stayed. Plaintiffs have appealed the dismissals and the matters are pending oral argument in the Ninth Circuit Court of Appeals.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CPUC Border Price Investigation</w:t>
      </w:r>
    </w:p>
    <w:p>
      <w:pPr>
        <w:spacing w:after="0" w:line="151" w:lineRule="exact"/>
        <w:rPr>
          <w:sz w:val="20"/>
          <w:szCs w:val="20"/>
          <w:color w:val="auto"/>
        </w:rPr>
      </w:pPr>
    </w:p>
    <w:p>
      <w:pPr>
        <w:ind w:right="340"/>
        <w:spacing w:after="0" w:line="241" w:lineRule="auto"/>
        <w:rPr>
          <w:sz w:val="20"/>
          <w:szCs w:val="20"/>
          <w:color w:val="auto"/>
        </w:rPr>
      </w:pPr>
      <w:r>
        <w:rPr>
          <w:rFonts w:ascii="Arial" w:cs="Arial" w:eastAsia="Arial" w:hAnsi="Arial"/>
          <w:sz w:val="16"/>
          <w:szCs w:val="16"/>
          <w:color w:val="auto"/>
        </w:rPr>
        <w:t>In November 2002, the CPUC instituted an investigation into the Southern California natural gas market and the price of natural gas delivered to the California - Arizona border between March 2000 and May 2001. In December 2004, the CPUC rejected the Administrative Law Judge's (ALJ) proposed decision highly critical of SoCalGas' natural gas purchase, sales, hedging and storage activities during the period.</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The portion of this investigation relating to the California Utilities is still open. If the investigation were to determine that the conduct of either of the California Utilities contributed to the natural gas price spikes that occurred during the investigation period, the CPUC may modify the party's natural gas procurement incentive mechanism, reduce the amount of any shareholder award for the period involved and/or order the party to issue a refund to ratepayers. At June 30, 2006, the cumulative amount of these shareholder awards was $69.2 million, of which $56.9 million has been included in net income.</w:t>
      </w:r>
    </w:p>
    <w:p>
      <w:pPr>
        <w:spacing w:after="0" w:line="137"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Southern California Edison Company (Edison) has been the only party investigating the activities of SoCalGas, SDG&amp;E and other Sempra Energy companies in the Border Price Investigation, and pursuing claims against them in the investigation. SoCalGas, SDG&amp;E and Sempra Energy reached a settlement in May 2006 with Edison that, subject to CPUC review and approval, would resolve disputes between SoCalGas, SDG&amp;E, the other Sempra Energy companies and Edison arising over the last several years regarding the actions and activities being reviewed in the Border Price Investigation. The settlement would provide additional transparency for the natural gas storage and procurement activities of SoCalGas and SDG&amp;E, expand and revise SoCalGas' non-core storage program, combine the California Utilities' core gas procurement functions and provide that all natural gas procurement hedging activities by SoCalGas and SDG&amp;E will be outside the procurement incentive mechanisms and paid for by customers. Edison has agreed to support dismissal of the Border Price Investigation. In June 2006, the CPUC granted the motion to stay the Border Price Investigation proceedings to allow the CPUC to consider the settlement.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Other Litigation</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In 1998, SoCalGas converted its traditional pension plan for non-union employees to a cash balance plan. On July 8, 2005, a lawsuit was filed against the company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In March 2006, the court dismissed the remaining cause of action. The plaintiffs have appealed the court's ruling.</w:t>
      </w:r>
    </w:p>
    <w:p>
      <w:pPr>
        <w:spacing w:after="0" w:line="137"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The company believes it has meritorious defenses to all litigation and the ultimate outcome would not differ from recorded reserves, where applicable, by amounts material to its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INCOME TAX MATTERS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company's income tax returns are routinely examined by federal and state tax agencies. During 2005, the company resolved a number of issues in its federal and state income tax examinations that span the 1998 - 2001 period and recorded their effects. During 2006, the company resolved many of the remaining issues for these periods and several issues related to 2002 and 2003. Since not all issues have been resolved, the income tax liabilities for these years are not yet finally determined and the company continues to work with the agencies to respond to inquiries and resolve issues.</w:t>
      </w:r>
    </w:p>
    <w:p>
      <w:pPr>
        <w:spacing w:after="0" w:line="137" w:lineRule="exact"/>
        <w:rPr>
          <w:sz w:val="20"/>
          <w:szCs w:val="20"/>
          <w:color w:val="auto"/>
        </w:rPr>
      </w:pPr>
    </w:p>
    <w:p>
      <w:pPr>
        <w:ind w:right="220"/>
        <w:spacing w:after="0" w:line="293" w:lineRule="auto"/>
        <w:rPr>
          <w:sz w:val="20"/>
          <w:szCs w:val="20"/>
          <w:color w:val="auto"/>
        </w:rPr>
      </w:pPr>
      <w:r>
        <w:rPr>
          <w:rFonts w:ascii="Arial" w:cs="Arial" w:eastAsia="Arial" w:hAnsi="Arial"/>
          <w:sz w:val="14"/>
          <w:szCs w:val="14"/>
          <w:color w:val="auto"/>
        </w:rPr>
        <w:t>The company believes it has adequately provided for income tax issues not yet resolved with federal, state and foreign tax authorities. Although not probable, the most adverse resolution of these issues could result in additional charges to earnings in future periods. Based upon a consideration of all relevant facts and circumstances, the company does not believe the ultimate resolution of income tax issues for all open periods will have a materially adverse effect upon its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335915</wp:posOffset>
            </wp:positionV>
            <wp:extent cx="73088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ectPr>
          <w:pgSz w:w="11900" w:h="16838" w:orient="portrait"/>
          <w:cols w:equalWidth="0" w:num="1">
            <w:col w:w="11460"/>
          </w:cols>
          <w:pgMar w:left="220" w:top="124" w:right="219" w:bottom="831" w:gutter="0" w:footer="0" w:header="0"/>
        </w:sectPr>
      </w:pPr>
    </w:p>
    <w:bookmarkStart w:id="10" w:name="page11"/>
    <w:bookmarkEnd w:id="10"/>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200" w:lineRule="exact"/>
        <w:rPr>
          <w:sz w:val="20"/>
          <w:szCs w:val="20"/>
          <w:color w:val="auto"/>
        </w:rPr>
      </w:pPr>
    </w:p>
    <w:p>
      <w:pPr>
        <w:spacing w:after="0" w:line="290"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The following discussion should be read in conjunction with the financial statements contained in this Form 10-Q and "Management's Discussion and Analysis of Financial Condition and Results of Operations" and "Risk Factors" contained in the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 of Earnings</w:t>
      </w:r>
    </w:p>
    <w:p>
      <w:pPr>
        <w:spacing w:after="0" w:line="15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To assist the reader in understanding the trend of earnings, the following tables summarize the major unusual factors affecting net income and operating income for the six and three month periods ended June 30, 2006 and 2005. These factors are discussed elsewhere in this Quarterly Report and/or the Annual Report, and this summary should be read in conjunction with those discussions.</w:t>
      </w:r>
    </w:p>
    <w:p>
      <w:pPr>
        <w:spacing w:after="0" w:line="142" w:lineRule="exact"/>
        <w:rPr>
          <w:sz w:val="20"/>
          <w:szCs w:val="20"/>
          <w:color w:val="auto"/>
        </w:rPr>
      </w:pPr>
    </w:p>
    <w:tbl>
      <w:tblPr>
        <w:tblLayout w:type="fixed"/>
        <w:tblInd w:w="284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00" w:type="dxa"/>
            <w:vAlign w:val="bottom"/>
            <w:gridSpan w:val="4"/>
          </w:tcPr>
          <w:p>
            <w:pPr>
              <w:jc w:val="right"/>
              <w:ind w:right="136"/>
              <w:spacing w:after="0"/>
              <w:rPr>
                <w:sz w:val="20"/>
                <w:szCs w:val="20"/>
                <w:color w:val="auto"/>
              </w:rPr>
            </w:pPr>
            <w:r>
              <w:rPr>
                <w:rFonts w:ascii="Arial" w:cs="Arial" w:eastAsia="Arial" w:hAnsi="Arial"/>
                <w:sz w:val="13"/>
                <w:szCs w:val="13"/>
                <w:b w:val="1"/>
                <w:bCs w:val="1"/>
                <w:color w:val="auto"/>
                <w:w w:val="92"/>
              </w:rPr>
              <w:t>Pacific Enterprises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b w:val="1"/>
                <w:bCs w:val="1"/>
                <w:color w:val="auto"/>
              </w:rPr>
              <w:t>Six months ended June 30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276"/>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w w:val="87"/>
              </w:rPr>
              <w:t>Operating Income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280" w:type="dxa"/>
            <w:vAlign w:val="bottom"/>
            <w:vMerge w:val="restart"/>
          </w:tcPr>
          <w:p>
            <w:pPr>
              <w:spacing w:after="0"/>
              <w:rPr>
                <w:sz w:val="20"/>
                <w:szCs w:val="20"/>
                <w:color w:val="auto"/>
              </w:rPr>
            </w:pPr>
            <w:r>
              <w:rPr>
                <w:rFonts w:ascii="Arial" w:cs="Arial" w:eastAsia="Arial" w:hAnsi="Arial"/>
                <w:sz w:val="13"/>
                <w:szCs w:val="13"/>
                <w:color w:val="auto"/>
              </w:rPr>
              <w:t>(Dollars in millions)</w:t>
            </w: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600" w:type="dxa"/>
            <w:vAlign w:val="bottom"/>
            <w:gridSpan w:val="2"/>
            <w:shd w:val="clear" w:color="auto" w:fill="000000"/>
          </w:tcPr>
          <w:p>
            <w:pPr>
              <w:spacing w:after="0"/>
              <w:rPr>
                <w:sz w:val="15"/>
                <w:szCs w:val="15"/>
                <w:color w:val="auto"/>
              </w:rPr>
            </w:pPr>
          </w:p>
        </w:tc>
        <w:tc>
          <w:tcPr>
            <w:tcW w:w="800" w:type="dxa"/>
            <w:vAlign w:val="bottom"/>
            <w:gridSpan w:val="2"/>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2006</w:t>
            </w:r>
          </w:p>
        </w:tc>
        <w:tc>
          <w:tcPr>
            <w:tcW w:w="600" w:type="dxa"/>
            <w:vAlign w:val="bottom"/>
            <w:gridSpan w:val="2"/>
          </w:tcPr>
          <w:p>
            <w:pPr>
              <w:jc w:val="right"/>
              <w:ind w:right="176"/>
              <w:spacing w:after="0"/>
              <w:rPr>
                <w:sz w:val="20"/>
                <w:szCs w:val="20"/>
                <w:color w:val="auto"/>
              </w:rPr>
            </w:pPr>
            <w:r>
              <w:rPr>
                <w:rFonts w:ascii="Arial" w:cs="Arial" w:eastAsia="Arial" w:hAnsi="Arial"/>
                <w:sz w:val="13"/>
                <w:szCs w:val="13"/>
                <w:color w:val="auto"/>
              </w:rPr>
              <w:t>2005</w:t>
            </w:r>
          </w:p>
        </w:tc>
        <w:tc>
          <w:tcPr>
            <w:tcW w:w="800" w:type="dxa"/>
            <w:vAlign w:val="bottom"/>
            <w:gridSpan w:val="2"/>
          </w:tcPr>
          <w:p>
            <w:pPr>
              <w:jc w:val="right"/>
              <w:ind w:right="196"/>
              <w:spacing w:after="0"/>
              <w:rPr>
                <w:sz w:val="20"/>
                <w:szCs w:val="20"/>
                <w:color w:val="auto"/>
              </w:rPr>
            </w:pPr>
            <w:r>
              <w:rPr>
                <w:rFonts w:ascii="Arial" w:cs="Arial" w:eastAsia="Arial" w:hAnsi="Arial"/>
                <w:sz w:val="13"/>
                <w:szCs w:val="13"/>
                <w:color w:val="auto"/>
              </w:rPr>
              <w:t>2006</w:t>
            </w:r>
          </w:p>
        </w:tc>
        <w:tc>
          <w:tcPr>
            <w:tcW w:w="480" w:type="dxa"/>
            <w:vAlign w:val="bottom"/>
          </w:tcPr>
          <w:p>
            <w:pPr>
              <w:ind w:left="220"/>
              <w:spacing w:after="0"/>
              <w:rPr>
                <w:sz w:val="20"/>
                <w:szCs w:val="20"/>
                <w:color w:val="auto"/>
              </w:rPr>
            </w:pPr>
            <w:r>
              <w:rPr>
                <w:rFonts w:ascii="Arial" w:cs="Arial" w:eastAsia="Arial" w:hAnsi="Arial"/>
                <w:sz w:val="13"/>
                <w:szCs w:val="13"/>
                <w:color w:val="auto"/>
                <w:w w:val="82"/>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140" w:type="dxa"/>
            <w:vAlign w:val="bottom"/>
            <w:tcBorders>
              <w:right w:val="single" w:sz="8" w:color="auto"/>
            </w:tcBorders>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Reported amounts</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36"/>
              <w:spacing w:after="0"/>
              <w:rPr>
                <w:sz w:val="20"/>
                <w:szCs w:val="20"/>
                <w:color w:val="auto"/>
              </w:rPr>
            </w:pPr>
            <w:r>
              <w:rPr>
                <w:rFonts w:ascii="Arial" w:cs="Arial" w:eastAsia="Arial" w:hAnsi="Arial"/>
                <w:sz w:val="13"/>
                <w:szCs w:val="13"/>
                <w:color w:val="auto"/>
              </w:rPr>
              <w:t>118</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6"/>
              <w:spacing w:after="0"/>
              <w:rPr>
                <w:sz w:val="20"/>
                <w:szCs w:val="20"/>
                <w:color w:val="auto"/>
              </w:rPr>
            </w:pPr>
            <w:r>
              <w:rPr>
                <w:rFonts w:ascii="Arial" w:cs="Arial" w:eastAsia="Arial" w:hAnsi="Arial"/>
                <w:sz w:val="13"/>
                <w:szCs w:val="13"/>
                <w:color w:val="auto"/>
                <w:w w:val="73"/>
              </w:rPr>
              <w:t>127</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206</w:t>
            </w:r>
          </w:p>
        </w:tc>
        <w:tc>
          <w:tcPr>
            <w:tcW w:w="480" w:type="dxa"/>
            <w:vAlign w:val="bottom"/>
          </w:tcPr>
          <w:p>
            <w:pPr>
              <w:ind w:left="20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5"/>
              </w:rPr>
              <w:t>California energy crisis litigation reserves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76"/>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24"/>
                <w:szCs w:val="24"/>
                <w:color w:val="auto"/>
              </w:rPr>
            </w:pPr>
          </w:p>
        </w:tc>
        <w:tc>
          <w:tcPr>
            <w:tcW w:w="3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(6 )</w:t>
            </w:r>
          </w:p>
        </w:tc>
        <w:tc>
          <w:tcPr>
            <w:tcW w:w="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0"/>
              </w:rPr>
              <w:t>Resolution of prior years' income tax issues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380" w:type="dxa"/>
            <w:vAlign w:val="bottom"/>
          </w:tcPr>
          <w:p>
            <w:pPr>
              <w:jc w:val="right"/>
              <w:ind w:right="76"/>
              <w:spacing w:after="0"/>
              <w:rPr>
                <w:sz w:val="20"/>
                <w:szCs w:val="20"/>
                <w:color w:val="auto"/>
              </w:rPr>
            </w:pPr>
            <w:r>
              <w:rPr>
                <w:rFonts w:ascii="Arial" w:cs="Arial" w:eastAsia="Arial" w:hAnsi="Arial"/>
                <w:sz w:val="13"/>
                <w:szCs w:val="13"/>
                <w:color w:val="auto"/>
              </w:rPr>
              <w:t>(4 )</w:t>
            </w:r>
          </w:p>
        </w:tc>
        <w:tc>
          <w:tcPr>
            <w:tcW w:w="320" w:type="dxa"/>
            <w:vAlign w:val="bottom"/>
          </w:tcPr>
          <w:p>
            <w:pPr>
              <w:spacing w:after="0"/>
              <w:rPr>
                <w:sz w:val="15"/>
                <w:szCs w:val="15"/>
                <w:color w:val="auto"/>
              </w:rPr>
            </w:pP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36"/>
              <w:spacing w:after="0"/>
              <w:rPr>
                <w:sz w:val="20"/>
                <w:szCs w:val="20"/>
                <w:color w:val="auto"/>
              </w:rPr>
            </w:pPr>
            <w:r>
              <w:rPr>
                <w:rFonts w:ascii="Arial" w:cs="Arial" w:eastAsia="Arial" w:hAnsi="Arial"/>
                <w:sz w:val="13"/>
                <w:szCs w:val="13"/>
                <w:color w:val="auto"/>
              </w:rPr>
              <w:t>115</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6"/>
              <w:spacing w:after="0"/>
              <w:rPr>
                <w:sz w:val="20"/>
                <w:szCs w:val="20"/>
                <w:color w:val="auto"/>
              </w:rPr>
            </w:pPr>
            <w:r>
              <w:rPr>
                <w:rFonts w:ascii="Arial" w:cs="Arial" w:eastAsia="Arial" w:hAnsi="Arial"/>
                <w:sz w:val="13"/>
                <w:szCs w:val="13"/>
                <w:color w:val="auto"/>
                <w:w w:val="73"/>
              </w:rPr>
              <w:t>123</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200</w:t>
            </w:r>
          </w:p>
        </w:tc>
        <w:tc>
          <w:tcPr>
            <w:tcW w:w="480" w:type="dxa"/>
            <w:vAlign w:val="bottom"/>
          </w:tcPr>
          <w:p>
            <w:pPr>
              <w:ind w:left="20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140" w:type="dxa"/>
            <w:vAlign w:val="bottom"/>
            <w:tcBorders>
              <w:right w:val="single" w:sz="8" w:color="auto"/>
            </w:tcBorders>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1"/>
        </w:trPr>
        <w:tc>
          <w:tcPr>
            <w:tcW w:w="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276"/>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w w:val="87"/>
              </w:rPr>
              <w:t>Operating Income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280" w:type="dxa"/>
            <w:vAlign w:val="bottom"/>
            <w:vMerge w:val="restart"/>
          </w:tcPr>
          <w:p>
            <w:pPr>
              <w:spacing w:after="0"/>
              <w:rPr>
                <w:sz w:val="20"/>
                <w:szCs w:val="20"/>
                <w:color w:val="auto"/>
              </w:rPr>
            </w:pPr>
            <w:r>
              <w:rPr>
                <w:rFonts w:ascii="Arial" w:cs="Arial" w:eastAsia="Arial" w:hAnsi="Arial"/>
                <w:sz w:val="13"/>
                <w:szCs w:val="13"/>
                <w:color w:val="auto"/>
              </w:rPr>
              <w:t>(Dollars in millions)</w:t>
            </w: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600" w:type="dxa"/>
            <w:vAlign w:val="bottom"/>
            <w:gridSpan w:val="2"/>
            <w:shd w:val="clear" w:color="auto" w:fill="000000"/>
          </w:tcPr>
          <w:p>
            <w:pPr>
              <w:spacing w:after="0"/>
              <w:rPr>
                <w:sz w:val="15"/>
                <w:szCs w:val="15"/>
                <w:color w:val="auto"/>
              </w:rPr>
            </w:pPr>
          </w:p>
        </w:tc>
        <w:tc>
          <w:tcPr>
            <w:tcW w:w="800" w:type="dxa"/>
            <w:vAlign w:val="bottom"/>
            <w:gridSpan w:val="2"/>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2006</w:t>
            </w:r>
          </w:p>
        </w:tc>
        <w:tc>
          <w:tcPr>
            <w:tcW w:w="600" w:type="dxa"/>
            <w:vAlign w:val="bottom"/>
            <w:gridSpan w:val="2"/>
          </w:tcPr>
          <w:p>
            <w:pPr>
              <w:jc w:val="right"/>
              <w:ind w:right="176"/>
              <w:spacing w:after="0"/>
              <w:rPr>
                <w:sz w:val="20"/>
                <w:szCs w:val="20"/>
                <w:color w:val="auto"/>
              </w:rPr>
            </w:pPr>
            <w:r>
              <w:rPr>
                <w:rFonts w:ascii="Arial" w:cs="Arial" w:eastAsia="Arial" w:hAnsi="Arial"/>
                <w:sz w:val="13"/>
                <w:szCs w:val="13"/>
                <w:color w:val="auto"/>
              </w:rPr>
              <w:t>2005</w:t>
            </w:r>
          </w:p>
        </w:tc>
        <w:tc>
          <w:tcPr>
            <w:tcW w:w="800" w:type="dxa"/>
            <w:vAlign w:val="bottom"/>
            <w:gridSpan w:val="2"/>
          </w:tcPr>
          <w:p>
            <w:pPr>
              <w:jc w:val="right"/>
              <w:ind w:right="196"/>
              <w:spacing w:after="0"/>
              <w:rPr>
                <w:sz w:val="20"/>
                <w:szCs w:val="20"/>
                <w:color w:val="auto"/>
              </w:rPr>
            </w:pPr>
            <w:r>
              <w:rPr>
                <w:rFonts w:ascii="Arial" w:cs="Arial" w:eastAsia="Arial" w:hAnsi="Arial"/>
                <w:sz w:val="13"/>
                <w:szCs w:val="13"/>
                <w:color w:val="auto"/>
              </w:rPr>
              <w:t>2006</w:t>
            </w:r>
          </w:p>
        </w:tc>
        <w:tc>
          <w:tcPr>
            <w:tcW w:w="480" w:type="dxa"/>
            <w:vAlign w:val="bottom"/>
          </w:tcPr>
          <w:p>
            <w:pPr>
              <w:ind w:left="220"/>
              <w:spacing w:after="0"/>
              <w:rPr>
                <w:sz w:val="20"/>
                <w:szCs w:val="20"/>
                <w:color w:val="auto"/>
              </w:rPr>
            </w:pPr>
            <w:r>
              <w:rPr>
                <w:rFonts w:ascii="Arial" w:cs="Arial" w:eastAsia="Arial" w:hAnsi="Arial"/>
                <w:sz w:val="13"/>
                <w:szCs w:val="13"/>
                <w:color w:val="auto"/>
                <w:w w:val="82"/>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140" w:type="dxa"/>
            <w:vAlign w:val="bottom"/>
            <w:tcBorders>
              <w:right w:val="single" w:sz="8" w:color="auto"/>
            </w:tcBorders>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Reported amounts</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36"/>
              <w:spacing w:after="0"/>
              <w:rPr>
                <w:sz w:val="20"/>
                <w:szCs w:val="20"/>
                <w:color w:val="auto"/>
              </w:rPr>
            </w:pPr>
            <w:r>
              <w:rPr>
                <w:rFonts w:ascii="Arial" w:cs="Arial" w:eastAsia="Arial" w:hAnsi="Arial"/>
                <w:sz w:val="13"/>
                <w:szCs w:val="13"/>
                <w:color w:val="auto"/>
              </w:rPr>
              <w:t>67</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6"/>
              <w:spacing w:after="0"/>
              <w:rPr>
                <w:sz w:val="20"/>
                <w:szCs w:val="20"/>
                <w:color w:val="auto"/>
              </w:rPr>
            </w:pPr>
            <w:r>
              <w:rPr>
                <w:rFonts w:ascii="Arial" w:cs="Arial" w:eastAsia="Arial" w:hAnsi="Arial"/>
                <w:sz w:val="13"/>
                <w:szCs w:val="13"/>
                <w:color w:val="auto"/>
              </w:rPr>
              <w:t>58</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105</w:t>
            </w:r>
          </w:p>
        </w:tc>
        <w:tc>
          <w:tcPr>
            <w:tcW w:w="480" w:type="dxa"/>
            <w:vAlign w:val="bottom"/>
          </w:tcPr>
          <w:p>
            <w:pPr>
              <w:ind w:left="20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5"/>
              </w:rPr>
              <w:t>California energy crisis litigation reserves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76"/>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24"/>
                <w:szCs w:val="24"/>
                <w:color w:val="auto"/>
              </w:rPr>
            </w:pPr>
          </w:p>
        </w:tc>
        <w:tc>
          <w:tcPr>
            <w:tcW w:w="3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(6 )</w:t>
            </w:r>
          </w:p>
        </w:tc>
        <w:tc>
          <w:tcPr>
            <w:tcW w:w="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36"/>
              <w:spacing w:after="0"/>
              <w:rPr>
                <w:sz w:val="20"/>
                <w:szCs w:val="20"/>
                <w:color w:val="auto"/>
              </w:rPr>
            </w:pPr>
            <w:r>
              <w:rPr>
                <w:rFonts w:ascii="Arial" w:cs="Arial" w:eastAsia="Arial" w:hAnsi="Arial"/>
                <w:sz w:val="13"/>
                <w:szCs w:val="13"/>
                <w:color w:val="auto"/>
              </w:rPr>
              <w:t>64</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6"/>
              <w:spacing w:after="0"/>
              <w:rPr>
                <w:sz w:val="20"/>
                <w:szCs w:val="20"/>
                <w:color w:val="auto"/>
              </w:rPr>
            </w:pPr>
            <w:r>
              <w:rPr>
                <w:rFonts w:ascii="Arial" w:cs="Arial" w:eastAsia="Arial" w:hAnsi="Arial"/>
                <w:sz w:val="13"/>
                <w:szCs w:val="13"/>
                <w:color w:val="auto"/>
              </w:rPr>
              <w:t>58</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99</w:t>
            </w:r>
          </w:p>
        </w:tc>
        <w:tc>
          <w:tcPr>
            <w:tcW w:w="480" w:type="dxa"/>
            <w:vAlign w:val="bottom"/>
          </w:tcPr>
          <w:p>
            <w:pPr>
              <w:ind w:left="20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780" w:type="dxa"/>
            <w:vAlign w:val="bottom"/>
            <w:gridSpan w:val="2"/>
            <w:shd w:val="clear" w:color="auto" w:fill="000000"/>
          </w:tcPr>
          <w:p>
            <w:pPr>
              <w:spacing w:after="0"/>
              <w:rPr>
                <w:sz w:val="15"/>
                <w:szCs w:val="15"/>
                <w:color w:val="auto"/>
              </w:rPr>
            </w:pPr>
          </w:p>
        </w:tc>
        <w:tc>
          <w:tcPr>
            <w:tcW w:w="140" w:type="dxa"/>
            <w:vAlign w:val="bottom"/>
            <w:tcBorders>
              <w:right w:val="single" w:sz="8" w:color="auto"/>
            </w:tcBorders>
            <w:shd w:val="clear" w:color="auto" w:fill="000000"/>
          </w:tcPr>
          <w:p>
            <w:pPr>
              <w:spacing w:after="0"/>
              <w:rPr>
                <w:sz w:val="15"/>
                <w:szCs w:val="15"/>
                <w:color w:val="auto"/>
              </w:rPr>
            </w:pPr>
          </w:p>
        </w:tc>
        <w:tc>
          <w:tcPr>
            <w:tcW w:w="660" w:type="dxa"/>
            <w:vAlign w:val="bottom"/>
            <w:gridSpan w:val="2"/>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40" w:type="dxa"/>
            <w:vAlign w:val="bottom"/>
          </w:tcPr>
          <w:p>
            <w:pPr>
              <w:spacing w:after="0"/>
              <w:rPr>
                <w:sz w:val="24"/>
                <w:szCs w:val="24"/>
                <w:color w:val="auto"/>
              </w:rPr>
            </w:pPr>
          </w:p>
        </w:tc>
        <w:tc>
          <w:tcPr>
            <w:tcW w:w="3580" w:type="dxa"/>
            <w:vAlign w:val="bottom"/>
            <w:gridSpan w:val="5"/>
          </w:tcPr>
          <w:p>
            <w:pPr>
              <w:jc w:val="right"/>
              <w:spacing w:after="0"/>
              <w:rPr>
                <w:sz w:val="20"/>
                <w:szCs w:val="20"/>
                <w:color w:val="auto"/>
              </w:rPr>
            </w:pPr>
            <w:r>
              <w:rPr>
                <w:rFonts w:ascii="Arial" w:cs="Arial" w:eastAsia="Arial" w:hAnsi="Arial"/>
                <w:sz w:val="13"/>
                <w:szCs w:val="13"/>
                <w:b w:val="1"/>
                <w:bCs w:val="1"/>
                <w:color w:val="auto"/>
              </w:rPr>
              <w:t>Southern California Gas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320" w:type="dxa"/>
            <w:vAlign w:val="bottom"/>
            <w:gridSpan w:val="2"/>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w w:val="87"/>
              </w:rPr>
              <w:t>Net Income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color w:val="auto"/>
                <w:w w:val="88"/>
              </w:rPr>
              <w:t>Operating Income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20" w:type="dxa"/>
            <w:vAlign w:val="bottom"/>
            <w:gridSpan w:val="2"/>
            <w:vMerge w:val="restart"/>
          </w:tcPr>
          <w:p>
            <w:pPr>
              <w:ind w:left="20"/>
              <w:spacing w:after="0"/>
              <w:rPr>
                <w:sz w:val="20"/>
                <w:szCs w:val="20"/>
                <w:color w:val="auto"/>
              </w:rPr>
            </w:pPr>
            <w:r>
              <w:rPr>
                <w:rFonts w:ascii="Arial" w:cs="Arial" w:eastAsia="Arial" w:hAnsi="Arial"/>
                <w:sz w:val="13"/>
                <w:szCs w:val="13"/>
                <w:color w:val="auto"/>
              </w:rPr>
              <w:t>(Dollars in millions)</w:t>
            </w: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600" w:type="dxa"/>
            <w:vAlign w:val="bottom"/>
            <w:gridSpan w:val="2"/>
            <w:shd w:val="clear" w:color="auto" w:fill="000000"/>
          </w:tcPr>
          <w:p>
            <w:pPr>
              <w:spacing w:after="0"/>
              <w:rPr>
                <w:sz w:val="15"/>
                <w:szCs w:val="15"/>
                <w:color w:val="auto"/>
              </w:rPr>
            </w:pPr>
          </w:p>
        </w:tc>
        <w:tc>
          <w:tcPr>
            <w:tcW w:w="800" w:type="dxa"/>
            <w:vAlign w:val="bottom"/>
            <w:gridSpan w:val="2"/>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36"/>
              <w:spacing w:after="0"/>
              <w:rPr>
                <w:sz w:val="20"/>
                <w:szCs w:val="20"/>
                <w:color w:val="auto"/>
              </w:rPr>
            </w:pPr>
            <w:r>
              <w:rPr>
                <w:rFonts w:ascii="Arial" w:cs="Arial" w:eastAsia="Arial" w:hAnsi="Arial"/>
                <w:sz w:val="13"/>
                <w:szCs w:val="13"/>
                <w:color w:val="auto"/>
                <w:w w:val="89"/>
              </w:rPr>
              <w:t>2006</w:t>
            </w:r>
          </w:p>
        </w:tc>
        <w:tc>
          <w:tcPr>
            <w:tcW w:w="600" w:type="dxa"/>
            <w:vAlign w:val="bottom"/>
            <w:gridSpan w:val="2"/>
          </w:tcPr>
          <w:p>
            <w:pPr>
              <w:ind w:left="60"/>
              <w:spacing w:after="0"/>
              <w:rPr>
                <w:sz w:val="20"/>
                <w:szCs w:val="20"/>
                <w:color w:val="auto"/>
              </w:rPr>
            </w:pPr>
            <w:r>
              <w:rPr>
                <w:rFonts w:ascii="Arial" w:cs="Arial" w:eastAsia="Arial" w:hAnsi="Arial"/>
                <w:sz w:val="13"/>
                <w:szCs w:val="13"/>
                <w:color w:val="auto"/>
              </w:rPr>
              <w:t>2005</w:t>
            </w: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2006</w:t>
            </w:r>
          </w:p>
        </w:tc>
        <w:tc>
          <w:tcPr>
            <w:tcW w:w="480" w:type="dxa"/>
            <w:vAlign w:val="bottom"/>
          </w:tcPr>
          <w:p>
            <w:pPr>
              <w:ind w:left="220"/>
              <w:spacing w:after="0"/>
              <w:rPr>
                <w:sz w:val="20"/>
                <w:szCs w:val="20"/>
                <w:color w:val="auto"/>
              </w:rPr>
            </w:pPr>
            <w:r>
              <w:rPr>
                <w:rFonts w:ascii="Arial" w:cs="Arial" w:eastAsia="Arial" w:hAnsi="Arial"/>
                <w:sz w:val="13"/>
                <w:szCs w:val="13"/>
                <w:color w:val="auto"/>
                <w:w w:val="82"/>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3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gridSpan w:val="2"/>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220" w:type="dxa"/>
            <w:vAlign w:val="bottom"/>
            <w:gridSpan w:val="2"/>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600" w:type="dxa"/>
            <w:vAlign w:val="bottom"/>
            <w:gridSpan w:val="2"/>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Reported amounts</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76"/>
              <w:spacing w:after="0"/>
              <w:rPr>
                <w:sz w:val="20"/>
                <w:szCs w:val="20"/>
                <w:color w:val="auto"/>
              </w:rPr>
            </w:pPr>
            <w:r>
              <w:rPr>
                <w:rFonts w:ascii="Arial" w:cs="Arial" w:eastAsia="Arial" w:hAnsi="Arial"/>
                <w:sz w:val="13"/>
                <w:szCs w:val="13"/>
                <w:color w:val="auto"/>
              </w:rPr>
              <w:t>108</w:t>
            </w:r>
          </w:p>
        </w:tc>
        <w:tc>
          <w:tcPr>
            <w:tcW w:w="600" w:type="dxa"/>
            <w:vAlign w:val="bottom"/>
            <w:gridSpan w:val="2"/>
          </w:tcPr>
          <w:p>
            <w:pPr>
              <w:jc w:val="right"/>
              <w:ind w:right="116"/>
              <w:spacing w:after="0"/>
              <w:rPr>
                <w:sz w:val="20"/>
                <w:szCs w:val="20"/>
                <w:color w:val="auto"/>
              </w:rPr>
            </w:pPr>
            <w:r>
              <w:rPr>
                <w:rFonts w:ascii="Arial" w:cs="Arial" w:eastAsia="Arial" w:hAnsi="Arial"/>
                <w:sz w:val="13"/>
                <w:szCs w:val="13"/>
                <w:color w:val="auto"/>
              </w:rPr>
              <w:t>$ 128</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6"/>
              <w:spacing w:after="0"/>
              <w:rPr>
                <w:sz w:val="20"/>
                <w:szCs w:val="20"/>
                <w:color w:val="auto"/>
              </w:rPr>
            </w:pPr>
            <w:r>
              <w:rPr>
                <w:rFonts w:ascii="Arial" w:cs="Arial" w:eastAsia="Arial" w:hAnsi="Arial"/>
                <w:sz w:val="13"/>
                <w:szCs w:val="13"/>
                <w:color w:val="auto"/>
                <w:w w:val="92"/>
              </w:rPr>
              <w:t>207</w:t>
            </w:r>
          </w:p>
        </w:tc>
        <w:tc>
          <w:tcPr>
            <w:tcW w:w="480" w:type="dxa"/>
            <w:vAlign w:val="bottom"/>
          </w:tcPr>
          <w:p>
            <w:pPr>
              <w:ind w:left="1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92"/>
              </w:rPr>
              <w:t>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2320" w:type="dxa"/>
            <w:vAlign w:val="bottom"/>
            <w:gridSpan w:val="2"/>
          </w:tcPr>
          <w:p>
            <w:pPr>
              <w:ind w:left="20"/>
              <w:spacing w:after="0"/>
              <w:rPr>
                <w:sz w:val="20"/>
                <w:szCs w:val="20"/>
                <w:color w:val="auto"/>
              </w:rPr>
            </w:pPr>
            <w:r>
              <w:rPr>
                <w:rFonts w:ascii="Arial" w:cs="Arial" w:eastAsia="Arial" w:hAnsi="Arial"/>
                <w:sz w:val="13"/>
                <w:szCs w:val="13"/>
                <w:color w:val="auto"/>
                <w:w w:val="96"/>
              </w:rPr>
              <w:t>California energy crisis litigation reserves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16"/>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24"/>
                <w:szCs w:val="24"/>
                <w:color w:val="auto"/>
              </w:rPr>
            </w:pPr>
          </w:p>
        </w:tc>
        <w:tc>
          <w:tcPr>
            <w:tcW w:w="3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(6 )</w:t>
            </w:r>
          </w:p>
        </w:tc>
        <w:tc>
          <w:tcPr>
            <w:tcW w:w="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20" w:type="dxa"/>
            <w:vAlign w:val="bottom"/>
            <w:gridSpan w:val="2"/>
          </w:tcPr>
          <w:p>
            <w:pPr>
              <w:ind w:left="20"/>
              <w:spacing w:after="0"/>
              <w:rPr>
                <w:sz w:val="20"/>
                <w:szCs w:val="20"/>
                <w:color w:val="auto"/>
              </w:rPr>
            </w:pPr>
            <w:r>
              <w:rPr>
                <w:rFonts w:ascii="Arial" w:cs="Arial" w:eastAsia="Arial" w:hAnsi="Arial"/>
                <w:sz w:val="13"/>
                <w:szCs w:val="13"/>
                <w:color w:val="auto"/>
                <w:w w:val="91"/>
              </w:rPr>
              <w:t>Resolution of prior years' income tax issues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(4 )</w:t>
            </w:r>
          </w:p>
        </w:tc>
        <w:tc>
          <w:tcPr>
            <w:tcW w:w="320" w:type="dxa"/>
            <w:vAlign w:val="bottom"/>
          </w:tcPr>
          <w:p>
            <w:pPr>
              <w:spacing w:after="0"/>
              <w:rPr>
                <w:sz w:val="15"/>
                <w:szCs w:val="15"/>
                <w:color w:val="auto"/>
              </w:rPr>
            </w:pPr>
          </w:p>
        </w:tc>
        <w:tc>
          <w:tcPr>
            <w:tcW w:w="4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600" w:type="dxa"/>
            <w:vAlign w:val="bottom"/>
            <w:gridSpan w:val="2"/>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76"/>
              <w:spacing w:after="0"/>
              <w:rPr>
                <w:sz w:val="20"/>
                <w:szCs w:val="20"/>
                <w:color w:val="auto"/>
              </w:rPr>
            </w:pPr>
            <w:r>
              <w:rPr>
                <w:rFonts w:ascii="Arial" w:cs="Arial" w:eastAsia="Arial" w:hAnsi="Arial"/>
                <w:sz w:val="13"/>
                <w:szCs w:val="13"/>
                <w:color w:val="auto"/>
              </w:rPr>
              <w:t>105</w:t>
            </w:r>
          </w:p>
        </w:tc>
        <w:tc>
          <w:tcPr>
            <w:tcW w:w="600" w:type="dxa"/>
            <w:vAlign w:val="bottom"/>
            <w:gridSpan w:val="2"/>
          </w:tcPr>
          <w:p>
            <w:pPr>
              <w:jc w:val="right"/>
              <w:ind w:right="116"/>
              <w:spacing w:after="0"/>
              <w:rPr>
                <w:sz w:val="20"/>
                <w:szCs w:val="20"/>
                <w:color w:val="auto"/>
              </w:rPr>
            </w:pPr>
            <w:r>
              <w:rPr>
                <w:rFonts w:ascii="Arial" w:cs="Arial" w:eastAsia="Arial" w:hAnsi="Arial"/>
                <w:sz w:val="13"/>
                <w:szCs w:val="13"/>
                <w:color w:val="auto"/>
              </w:rPr>
              <w:t>$ 124</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6"/>
              <w:spacing w:after="0"/>
              <w:rPr>
                <w:sz w:val="20"/>
                <w:szCs w:val="20"/>
                <w:color w:val="auto"/>
              </w:rPr>
            </w:pPr>
            <w:r>
              <w:rPr>
                <w:rFonts w:ascii="Arial" w:cs="Arial" w:eastAsia="Arial" w:hAnsi="Arial"/>
                <w:sz w:val="13"/>
                <w:szCs w:val="13"/>
                <w:color w:val="auto"/>
                <w:w w:val="92"/>
              </w:rPr>
              <w:t>201</w:t>
            </w:r>
          </w:p>
        </w:tc>
        <w:tc>
          <w:tcPr>
            <w:tcW w:w="480" w:type="dxa"/>
            <w:vAlign w:val="bottom"/>
          </w:tcPr>
          <w:p>
            <w:pPr>
              <w:ind w:left="1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92"/>
              </w:rPr>
              <w:t>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3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gridSpan w:val="2"/>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140" w:type="dxa"/>
            <w:vAlign w:val="bottom"/>
            <w:tcBorders>
              <w:right w:val="single" w:sz="8" w:color="auto"/>
            </w:tcBorders>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w w:val="87"/>
              </w:rPr>
              <w:t>Net Income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color w:val="auto"/>
                <w:w w:val="88"/>
              </w:rPr>
              <w:t>Operating Income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20" w:type="dxa"/>
            <w:vAlign w:val="bottom"/>
            <w:gridSpan w:val="2"/>
            <w:vMerge w:val="restart"/>
          </w:tcPr>
          <w:p>
            <w:pPr>
              <w:ind w:left="20"/>
              <w:spacing w:after="0"/>
              <w:rPr>
                <w:sz w:val="20"/>
                <w:szCs w:val="20"/>
                <w:color w:val="auto"/>
              </w:rPr>
            </w:pPr>
            <w:r>
              <w:rPr>
                <w:rFonts w:ascii="Arial" w:cs="Arial" w:eastAsia="Arial" w:hAnsi="Arial"/>
                <w:sz w:val="13"/>
                <w:szCs w:val="13"/>
                <w:color w:val="auto"/>
              </w:rPr>
              <w:t>(Dollars in millions)</w:t>
            </w: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600" w:type="dxa"/>
            <w:vAlign w:val="bottom"/>
            <w:gridSpan w:val="2"/>
            <w:shd w:val="clear" w:color="auto" w:fill="000000"/>
          </w:tcPr>
          <w:p>
            <w:pPr>
              <w:spacing w:after="0"/>
              <w:rPr>
                <w:sz w:val="15"/>
                <w:szCs w:val="15"/>
                <w:color w:val="auto"/>
              </w:rPr>
            </w:pPr>
          </w:p>
        </w:tc>
        <w:tc>
          <w:tcPr>
            <w:tcW w:w="800" w:type="dxa"/>
            <w:vAlign w:val="bottom"/>
            <w:gridSpan w:val="2"/>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36"/>
              <w:spacing w:after="0"/>
              <w:rPr>
                <w:sz w:val="20"/>
                <w:szCs w:val="20"/>
                <w:color w:val="auto"/>
              </w:rPr>
            </w:pPr>
            <w:r>
              <w:rPr>
                <w:rFonts w:ascii="Arial" w:cs="Arial" w:eastAsia="Arial" w:hAnsi="Arial"/>
                <w:sz w:val="13"/>
                <w:szCs w:val="13"/>
                <w:color w:val="auto"/>
                <w:w w:val="89"/>
              </w:rPr>
              <w:t>2006</w:t>
            </w:r>
          </w:p>
        </w:tc>
        <w:tc>
          <w:tcPr>
            <w:tcW w:w="600" w:type="dxa"/>
            <w:vAlign w:val="bottom"/>
            <w:gridSpan w:val="2"/>
          </w:tcPr>
          <w:p>
            <w:pPr>
              <w:ind w:left="60"/>
              <w:spacing w:after="0"/>
              <w:rPr>
                <w:sz w:val="20"/>
                <w:szCs w:val="20"/>
                <w:color w:val="auto"/>
              </w:rPr>
            </w:pPr>
            <w:r>
              <w:rPr>
                <w:rFonts w:ascii="Arial" w:cs="Arial" w:eastAsia="Arial" w:hAnsi="Arial"/>
                <w:sz w:val="13"/>
                <w:szCs w:val="13"/>
                <w:color w:val="auto"/>
              </w:rPr>
              <w:t>2005</w:t>
            </w: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2006</w:t>
            </w:r>
          </w:p>
        </w:tc>
        <w:tc>
          <w:tcPr>
            <w:tcW w:w="480" w:type="dxa"/>
            <w:vAlign w:val="bottom"/>
          </w:tcPr>
          <w:p>
            <w:pPr>
              <w:ind w:left="220"/>
              <w:spacing w:after="0"/>
              <w:rPr>
                <w:sz w:val="20"/>
                <w:szCs w:val="20"/>
                <w:color w:val="auto"/>
              </w:rPr>
            </w:pPr>
            <w:r>
              <w:rPr>
                <w:rFonts w:ascii="Arial" w:cs="Arial" w:eastAsia="Arial" w:hAnsi="Arial"/>
                <w:sz w:val="13"/>
                <w:szCs w:val="13"/>
                <w:color w:val="auto"/>
                <w:w w:val="82"/>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320" w:type="dxa"/>
            <w:vAlign w:val="bottom"/>
            <w:gridSpan w:val="2"/>
          </w:tcPr>
          <w:p>
            <w:pPr>
              <w:spacing w:after="0"/>
              <w:rPr>
                <w:sz w:val="2"/>
                <w:szCs w:val="2"/>
                <w:color w:val="auto"/>
              </w:rPr>
            </w:pPr>
          </w:p>
        </w:tc>
        <w:tc>
          <w:tcPr>
            <w:tcW w:w="72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gridSpan w:val="2"/>
            <w:shd w:val="clear" w:color="auto" w:fill="000000"/>
          </w:tcPr>
          <w:p>
            <w:pPr>
              <w:spacing w:after="0"/>
              <w:rPr>
                <w:sz w:val="15"/>
                <w:szCs w:val="15"/>
                <w:color w:val="auto"/>
              </w:rPr>
            </w:pPr>
          </w:p>
        </w:tc>
        <w:tc>
          <w:tcPr>
            <w:tcW w:w="720" w:type="dxa"/>
            <w:vAlign w:val="bottom"/>
            <w:gridSpan w:val="3"/>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Reported amounts</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76"/>
              <w:spacing w:after="0"/>
              <w:rPr>
                <w:sz w:val="20"/>
                <w:szCs w:val="20"/>
                <w:color w:val="auto"/>
              </w:rPr>
            </w:pPr>
            <w:r>
              <w:rPr>
                <w:rFonts w:ascii="Arial" w:cs="Arial" w:eastAsia="Arial" w:hAnsi="Arial"/>
                <w:sz w:val="13"/>
                <w:szCs w:val="13"/>
                <w:color w:val="auto"/>
              </w:rPr>
              <w:t>59</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16"/>
              <w:spacing w:after="0"/>
              <w:rPr>
                <w:sz w:val="20"/>
                <w:szCs w:val="20"/>
                <w:color w:val="auto"/>
              </w:rPr>
            </w:pPr>
            <w:r>
              <w:rPr>
                <w:rFonts w:ascii="Arial" w:cs="Arial" w:eastAsia="Arial" w:hAnsi="Arial"/>
                <w:sz w:val="13"/>
                <w:szCs w:val="13"/>
                <w:color w:val="auto"/>
              </w:rPr>
              <w:t>59</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6"/>
              <w:spacing w:after="0"/>
              <w:rPr>
                <w:sz w:val="20"/>
                <w:szCs w:val="20"/>
                <w:color w:val="auto"/>
              </w:rPr>
            </w:pPr>
            <w:r>
              <w:rPr>
                <w:rFonts w:ascii="Arial" w:cs="Arial" w:eastAsia="Arial" w:hAnsi="Arial"/>
                <w:sz w:val="13"/>
                <w:szCs w:val="13"/>
                <w:color w:val="auto"/>
                <w:w w:val="92"/>
              </w:rPr>
              <w:t>106</w:t>
            </w:r>
          </w:p>
        </w:tc>
        <w:tc>
          <w:tcPr>
            <w:tcW w:w="480" w:type="dxa"/>
            <w:vAlign w:val="bottom"/>
          </w:tcPr>
          <w:p>
            <w:pPr>
              <w:ind w:left="1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320" w:type="dxa"/>
            <w:vAlign w:val="bottom"/>
            <w:gridSpan w:val="2"/>
          </w:tcPr>
          <w:p>
            <w:pPr>
              <w:ind w:left="20"/>
              <w:spacing w:after="0"/>
              <w:rPr>
                <w:sz w:val="20"/>
                <w:szCs w:val="20"/>
                <w:color w:val="auto"/>
              </w:rPr>
            </w:pPr>
            <w:r>
              <w:rPr>
                <w:rFonts w:ascii="Arial" w:cs="Arial" w:eastAsia="Arial" w:hAnsi="Arial"/>
                <w:sz w:val="13"/>
                <w:szCs w:val="13"/>
                <w:color w:val="auto"/>
                <w:w w:val="96"/>
              </w:rPr>
              <w:t>California energy crisis litigation reserves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16"/>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24"/>
                <w:szCs w:val="24"/>
                <w:color w:val="auto"/>
              </w:rPr>
            </w:pPr>
          </w:p>
        </w:tc>
        <w:tc>
          <w:tcPr>
            <w:tcW w:w="3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(6 )</w:t>
            </w:r>
          </w:p>
        </w:tc>
        <w:tc>
          <w:tcPr>
            <w:tcW w:w="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76"/>
              <w:spacing w:after="0"/>
              <w:rPr>
                <w:sz w:val="20"/>
                <w:szCs w:val="20"/>
                <w:color w:val="auto"/>
              </w:rPr>
            </w:pPr>
            <w:r>
              <w:rPr>
                <w:rFonts w:ascii="Arial" w:cs="Arial" w:eastAsia="Arial" w:hAnsi="Arial"/>
                <w:sz w:val="13"/>
                <w:szCs w:val="13"/>
                <w:color w:val="auto"/>
              </w:rPr>
              <w:t>56</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16"/>
              <w:spacing w:after="0"/>
              <w:rPr>
                <w:sz w:val="20"/>
                <w:szCs w:val="20"/>
                <w:color w:val="auto"/>
              </w:rPr>
            </w:pPr>
            <w:r>
              <w:rPr>
                <w:rFonts w:ascii="Arial" w:cs="Arial" w:eastAsia="Arial" w:hAnsi="Arial"/>
                <w:sz w:val="13"/>
                <w:szCs w:val="13"/>
                <w:color w:val="auto"/>
              </w:rPr>
              <w:t>59</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6"/>
              <w:spacing w:after="0"/>
              <w:rPr>
                <w:sz w:val="20"/>
                <w:szCs w:val="20"/>
                <w:color w:val="auto"/>
              </w:rPr>
            </w:pPr>
            <w:r>
              <w:rPr>
                <w:rFonts w:ascii="Arial" w:cs="Arial" w:eastAsia="Arial" w:hAnsi="Arial"/>
                <w:sz w:val="13"/>
                <w:szCs w:val="13"/>
                <w:color w:val="auto"/>
                <w:w w:val="92"/>
              </w:rPr>
              <w:t>100</w:t>
            </w:r>
          </w:p>
        </w:tc>
        <w:tc>
          <w:tcPr>
            <w:tcW w:w="480" w:type="dxa"/>
            <w:vAlign w:val="bottom"/>
          </w:tcPr>
          <w:p>
            <w:pPr>
              <w:ind w:left="1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shd w:val="clear" w:color="auto" w:fill="000000"/>
          </w:tcPr>
          <w:p>
            <w:pPr>
              <w:spacing w:after="0"/>
              <w:rPr>
                <w:sz w:val="15"/>
                <w:szCs w:val="15"/>
                <w:color w:val="auto"/>
              </w:rPr>
            </w:pPr>
          </w:p>
        </w:tc>
        <w:tc>
          <w:tcPr>
            <w:tcW w:w="228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140" w:type="dxa"/>
            <w:vAlign w:val="bottom"/>
            <w:tcBorders>
              <w:right w:val="single" w:sz="8" w:color="auto"/>
            </w:tcBorders>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58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3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During the six months ended June 30, 2006, natural gas revenues increased compared to the corresponding period in 2005 as a result of higher volumes and higher natural gas costs, which are passed on to customers. Natural gas revenues decreased in the three months ended June 30, 2006 due to lower costs of natural gas.</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Under the current regulatory framework, the cost of natural gas purchased for customers and the variations in that cost are passed through to customers on a substantially concurrent basis. However, SoCalGas' gas cost incentive mechanism (GCIM) allows SoCalGas to share in the savings or costs from buying natural gas for customers below or above market-based monthly benchmarks. Further discussion is provided in Notes 1 and 8 of the notes to Consolidated Financial Statements in the Annual Report.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natural gas volumes and revenues by customer class for the six month periods ended June 30.</w:t>
      </w:r>
    </w:p>
    <w:p>
      <w:pPr>
        <w:spacing w:after="0" w:line="15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Natural Gas Sales, Transportation and Exchange</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(Volumes in billion cubic feet, dollars in millions)</w:t>
      </w:r>
    </w:p>
    <w:p>
      <w:pPr>
        <w:spacing w:after="0" w:line="157" w:lineRule="exact"/>
        <w:rPr>
          <w:sz w:val="20"/>
          <w:szCs w:val="20"/>
          <w:color w:val="auto"/>
        </w:rPr>
      </w:pPr>
    </w:p>
    <w:p>
      <w:pPr>
        <w:jc w:val="center"/>
        <w:ind w:left="1420"/>
        <w:spacing w:after="0"/>
        <w:rPr>
          <w:sz w:val="20"/>
          <w:szCs w:val="20"/>
          <w:color w:val="auto"/>
        </w:rPr>
      </w:pPr>
      <w:r>
        <w:rPr>
          <w:rFonts w:ascii="Arial" w:cs="Arial" w:eastAsia="Arial" w:hAnsi="Arial"/>
          <w:sz w:val="13"/>
          <w:szCs w:val="13"/>
          <w:color w:val="auto"/>
        </w:rPr>
        <w:t>Transportation</w:t>
      </w:r>
    </w:p>
    <w:p>
      <w:pPr>
        <w:spacing w:after="0" w:line="47" w:lineRule="exact"/>
        <w:rPr>
          <w:sz w:val="20"/>
          <w:szCs w:val="20"/>
          <w:color w:val="auto"/>
        </w:rPr>
      </w:pPr>
    </w:p>
    <w:p>
      <w:pPr>
        <w:ind w:left="4320"/>
        <w:spacing w:after="0"/>
        <w:tabs>
          <w:tab w:leader="none" w:pos="6060" w:val="left"/>
          <w:tab w:leader="none" w:pos="8100" w:val="left"/>
        </w:tabs>
        <w:rPr>
          <w:sz w:val="20"/>
          <w:szCs w:val="20"/>
          <w:color w:val="auto"/>
        </w:rPr>
      </w:pPr>
      <w:r>
        <w:rPr>
          <w:rFonts w:ascii="Arial" w:cs="Arial" w:eastAsia="Arial" w:hAnsi="Arial"/>
          <w:sz w:val="13"/>
          <w:szCs w:val="13"/>
          <w:color w:val="auto"/>
        </w:rPr>
        <w:t>Natural Gas Sales</w:t>
      </w:r>
      <w:r>
        <w:rPr>
          <w:sz w:val="20"/>
          <w:szCs w:val="20"/>
          <w:color w:val="auto"/>
        </w:rPr>
        <w:tab/>
      </w:r>
      <w:r>
        <w:rPr>
          <w:rFonts w:ascii="Arial" w:cs="Arial" w:eastAsia="Arial" w:hAnsi="Arial"/>
          <w:sz w:val="13"/>
          <w:szCs w:val="13"/>
          <w:color w:val="auto"/>
        </w:rPr>
        <w:t>and Exchange</w:t>
      </w:r>
      <w:r>
        <w:rPr>
          <w:sz w:val="20"/>
          <w:szCs w:val="20"/>
          <w:color w:val="auto"/>
        </w:rPr>
        <w:tab/>
      </w:r>
      <w:r>
        <w:rPr>
          <w:rFonts w:ascii="Arial" w:cs="Arial" w:eastAsia="Arial" w:hAnsi="Arial"/>
          <w:sz w:val="11"/>
          <w:szCs w:val="11"/>
          <w:color w:val="auto"/>
        </w:rPr>
        <w:t>Total</w:t>
      </w:r>
    </w:p>
    <w:p>
      <w:pPr>
        <w:spacing w:after="0" w:line="20" w:lineRule="exact"/>
        <w:rPr>
          <w:sz w:val="20"/>
          <w:szCs w:val="20"/>
          <w:color w:val="auto"/>
        </w:rPr>
      </w:pPr>
    </w:p>
    <w:p>
      <w:pPr>
        <w:sectPr>
          <w:pgSz w:w="11900" w:h="16857" w:orient="portrait"/>
          <w:cols w:equalWidth="0" w:num="1">
            <w:col w:w="11380"/>
          </w:cols>
          <w:pgMar w:left="220" w:top="120" w:right="299" w:bottom="0" w:gutter="0" w:footer="0" w:header="0"/>
        </w:sectPr>
      </w:pPr>
    </w:p>
    <w:bookmarkStart w:id="11" w:name="page12"/>
    <w:bookmarkEnd w:id="11"/>
    <w:tbl>
      <w:tblPr>
        <w:tblLayout w:type="fixed"/>
        <w:tblInd w:w="2300" w:type="dxa"/>
        <w:tblCellMar>
          <w:top w:w="0" w:type="dxa"/>
          <w:left w:w="0" w:type="dxa"/>
          <w:bottom w:w="0" w:type="dxa"/>
          <w:right w:w="0" w:type="dxa"/>
        </w:tblCellMar>
      </w:tblPr>
      <w:tr>
        <w:trPr>
          <w:trHeight w:val="176"/>
        </w:trPr>
        <w:tc>
          <w:tcPr>
            <w:tcW w:w="17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Volumes</w:t>
            </w:r>
          </w:p>
        </w:tc>
        <w:tc>
          <w:tcPr>
            <w:tcW w:w="840" w:type="dxa"/>
            <w:vAlign w:val="bottom"/>
            <w:tcBorders>
              <w:top w:val="single" w:sz="8" w:color="auto"/>
            </w:tcBorders>
            <w:gridSpan w:val="2"/>
          </w:tcPr>
          <w:p>
            <w:pPr>
              <w:jc w:val="right"/>
              <w:ind w:right="176"/>
              <w:spacing w:after="0"/>
              <w:rPr>
                <w:sz w:val="20"/>
                <w:szCs w:val="20"/>
                <w:color w:val="auto"/>
              </w:rPr>
            </w:pPr>
            <w:r>
              <w:rPr>
                <w:rFonts w:ascii="Arial" w:cs="Arial" w:eastAsia="Arial" w:hAnsi="Arial"/>
                <w:sz w:val="13"/>
                <w:szCs w:val="13"/>
                <w:color w:val="auto"/>
              </w:rPr>
              <w:t>Revenue</w:t>
            </w:r>
          </w:p>
        </w:tc>
        <w:tc>
          <w:tcPr>
            <w:tcW w:w="860" w:type="dxa"/>
            <w:vAlign w:val="bottom"/>
            <w:tcBorders>
              <w:top w:val="single" w:sz="8" w:color="auto"/>
            </w:tcBorders>
          </w:tcPr>
          <w:p>
            <w:pPr>
              <w:jc w:val="right"/>
              <w:ind w:right="216"/>
              <w:spacing w:after="0"/>
              <w:rPr>
                <w:sz w:val="20"/>
                <w:szCs w:val="20"/>
                <w:color w:val="auto"/>
              </w:rPr>
            </w:pPr>
            <w:r>
              <w:rPr>
                <w:rFonts w:ascii="Arial" w:cs="Arial" w:eastAsia="Arial" w:hAnsi="Arial"/>
                <w:sz w:val="13"/>
                <w:szCs w:val="13"/>
                <w:color w:val="auto"/>
              </w:rPr>
              <w:t>Volumes</w:t>
            </w:r>
          </w:p>
        </w:tc>
        <w:tc>
          <w:tcPr>
            <w:tcW w:w="920" w:type="dxa"/>
            <w:vAlign w:val="bottom"/>
            <w:tcBorders>
              <w:top w:val="single" w:sz="8" w:color="auto"/>
            </w:tcBorders>
            <w:gridSpan w:val="2"/>
          </w:tcPr>
          <w:p>
            <w:pPr>
              <w:jc w:val="right"/>
              <w:ind w:right="236"/>
              <w:spacing w:after="0"/>
              <w:rPr>
                <w:sz w:val="20"/>
                <w:szCs w:val="20"/>
                <w:color w:val="auto"/>
              </w:rPr>
            </w:pPr>
            <w:r>
              <w:rPr>
                <w:rFonts w:ascii="Arial" w:cs="Arial" w:eastAsia="Arial" w:hAnsi="Arial"/>
                <w:sz w:val="13"/>
                <w:szCs w:val="13"/>
                <w:color w:val="auto"/>
              </w:rPr>
              <w:t>Revenue</w:t>
            </w:r>
          </w:p>
        </w:tc>
        <w:tc>
          <w:tcPr>
            <w:tcW w:w="104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color w:val="auto"/>
              </w:rPr>
              <w:t>Volumes</w:t>
            </w:r>
          </w:p>
        </w:tc>
        <w:tc>
          <w:tcPr>
            <w:tcW w:w="680" w:type="dxa"/>
            <w:vAlign w:val="bottom"/>
            <w:tcBorders>
              <w:top w:val="single" w:sz="8" w:color="auto"/>
            </w:tcBorders>
            <w:gridSpan w:val="2"/>
          </w:tcPr>
          <w:p>
            <w:pPr>
              <w:jc w:val="right"/>
              <w:ind w:right="136"/>
              <w:spacing w:after="0"/>
              <w:rPr>
                <w:sz w:val="20"/>
                <w:szCs w:val="20"/>
                <w:color w:val="auto"/>
              </w:rPr>
            </w:pPr>
            <w:r>
              <w:rPr>
                <w:rFonts w:ascii="Arial" w:cs="Arial" w:eastAsia="Arial" w:hAnsi="Arial"/>
                <w:sz w:val="13"/>
                <w:szCs w:val="13"/>
                <w:color w:val="auto"/>
                <w:w w:val="88"/>
              </w:rPr>
              <w:t>Revenue</w:t>
            </w:r>
          </w:p>
        </w:tc>
        <w:tc>
          <w:tcPr>
            <w:tcW w:w="0" w:type="dxa"/>
            <w:vAlign w:val="bottom"/>
          </w:tcPr>
          <w:p>
            <w:pPr>
              <w:spacing w:after="0"/>
              <w:rPr>
                <w:sz w:val="1"/>
                <w:szCs w:val="1"/>
                <w:color w:val="auto"/>
              </w:rPr>
            </w:pPr>
          </w:p>
        </w:tc>
      </w:tr>
      <w:tr>
        <w:trPr>
          <w:trHeight w:val="31"/>
        </w:trPr>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shd w:val="clear" w:color="auto" w:fill="000000"/>
          </w:tcPr>
          <w:p>
            <w:pPr>
              <w:spacing w:after="0"/>
              <w:rPr>
                <w:sz w:val="15"/>
                <w:szCs w:val="15"/>
                <w:color w:val="auto"/>
              </w:rPr>
            </w:pPr>
          </w:p>
        </w:tc>
        <w:tc>
          <w:tcPr>
            <w:tcW w:w="82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86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104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20"/>
                <w:szCs w:val="20"/>
                <w:color w:val="auto"/>
              </w:rPr>
            </w:pPr>
            <w:r>
              <w:rPr>
                <w:rFonts w:ascii="Arial" w:cs="Arial" w:eastAsia="Arial" w:hAnsi="Arial"/>
                <w:sz w:val="13"/>
                <w:szCs w:val="13"/>
                <w:color w:val="auto"/>
              </w:rPr>
              <w:t>2006:</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Residential</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143</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1,625</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4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3</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144</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58</w:t>
            </w:r>
          </w:p>
        </w:tc>
        <w:tc>
          <w:tcPr>
            <w:tcW w:w="34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565</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136</w:t>
            </w:r>
          </w:p>
        </w:tc>
        <w:tc>
          <w:tcPr>
            <w:tcW w:w="44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104</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194</w:t>
            </w: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Electric generation plants</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73</w:t>
            </w:r>
          </w:p>
        </w:tc>
        <w:tc>
          <w:tcPr>
            <w:tcW w:w="44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Wholesale</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72</w:t>
            </w:r>
          </w:p>
        </w:tc>
        <w:tc>
          <w:tcPr>
            <w:tcW w:w="44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11</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72</w:t>
            </w: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1"/>
        </w:trPr>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tcPr>
          <w:p>
            <w:pPr>
              <w:spacing w:after="0"/>
              <w:rPr>
                <w:sz w:val="15"/>
                <w:szCs w:val="15"/>
                <w:color w:val="auto"/>
              </w:rPr>
            </w:pPr>
          </w:p>
        </w:tc>
        <w:tc>
          <w:tcPr>
            <w:tcW w:w="82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86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104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201</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2,190</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282</w:t>
            </w:r>
          </w:p>
        </w:tc>
        <w:tc>
          <w:tcPr>
            <w:tcW w:w="4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146</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483</w:t>
            </w:r>
          </w:p>
        </w:tc>
        <w:tc>
          <w:tcPr>
            <w:tcW w:w="22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2,336</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w w:val="92"/>
              </w:rPr>
              <w:t>Balancing accounts and other</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31"/>
        </w:trPr>
        <w:tc>
          <w:tcPr>
            <w:tcW w:w="1720" w:type="dxa"/>
            <w:vAlign w:val="bottom"/>
            <w:vMerge w:val="restart"/>
          </w:tcPr>
          <w:p>
            <w:pPr>
              <w:ind w:left="200"/>
              <w:spacing w:after="0"/>
              <w:rPr>
                <w:sz w:val="20"/>
                <w:szCs w:val="20"/>
                <w:color w:val="auto"/>
              </w:rPr>
            </w:pPr>
            <w:r>
              <w:rPr>
                <w:rFonts w:ascii="Arial" w:cs="Arial" w:eastAsia="Arial" w:hAnsi="Arial"/>
                <w:sz w:val="13"/>
                <w:szCs w:val="13"/>
                <w:color w:val="auto"/>
              </w:rPr>
              <w:t>Total</w:t>
            </w: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2,333</w:t>
            </w:r>
          </w:p>
        </w:tc>
        <w:tc>
          <w:tcPr>
            <w:tcW w:w="0" w:type="dxa"/>
            <w:vAlign w:val="bottom"/>
          </w:tcPr>
          <w:p>
            <w:pPr>
              <w:spacing w:after="0"/>
              <w:rPr>
                <w:sz w:val="1"/>
                <w:szCs w:val="1"/>
                <w:color w:val="auto"/>
              </w:rPr>
            </w:pPr>
          </w:p>
        </w:tc>
      </w:tr>
      <w:tr>
        <w:trPr>
          <w:trHeight w:val="31"/>
        </w:trPr>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shd w:val="clear" w:color="auto" w:fill="000000"/>
          </w:tcPr>
          <w:p>
            <w:pPr>
              <w:spacing w:after="0"/>
              <w:rPr>
                <w:sz w:val="15"/>
                <w:szCs w:val="15"/>
                <w:color w:val="auto"/>
              </w:rPr>
            </w:pPr>
          </w:p>
        </w:tc>
        <w:tc>
          <w:tcPr>
            <w:tcW w:w="82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86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104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720" w:type="dxa"/>
            <w:vAlign w:val="bottom"/>
          </w:tcPr>
          <w:p>
            <w:pPr>
              <w:spacing w:after="0"/>
              <w:rPr>
                <w:sz w:val="20"/>
                <w:szCs w:val="20"/>
                <w:color w:val="auto"/>
              </w:rPr>
            </w:pPr>
            <w:r>
              <w:rPr>
                <w:rFonts w:ascii="Arial" w:cs="Arial" w:eastAsia="Arial" w:hAnsi="Arial"/>
                <w:sz w:val="13"/>
                <w:szCs w:val="13"/>
                <w:color w:val="auto"/>
              </w:rPr>
              <w:t>2005: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Residential</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138</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1,436</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4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3</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139</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56</w:t>
            </w:r>
          </w:p>
        </w:tc>
        <w:tc>
          <w:tcPr>
            <w:tcW w:w="34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504</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136</w:t>
            </w:r>
          </w:p>
        </w:tc>
        <w:tc>
          <w:tcPr>
            <w:tcW w:w="44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85</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192</w:t>
            </w: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Electric generation plants</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52</w:t>
            </w:r>
          </w:p>
        </w:tc>
        <w:tc>
          <w:tcPr>
            <w:tcW w:w="44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17</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52</w:t>
            </w: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rPr>
              <w:t>Wholesale</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84</w:t>
            </w:r>
          </w:p>
        </w:tc>
        <w:tc>
          <w:tcPr>
            <w:tcW w:w="44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40</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84</w:t>
            </w: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31"/>
        </w:trPr>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tcPr>
          <w:p>
            <w:pPr>
              <w:spacing w:after="0"/>
              <w:rPr>
                <w:sz w:val="15"/>
                <w:szCs w:val="15"/>
                <w:color w:val="auto"/>
              </w:rPr>
            </w:pPr>
          </w:p>
        </w:tc>
        <w:tc>
          <w:tcPr>
            <w:tcW w:w="82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86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104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194</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1,940</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273</w:t>
            </w:r>
          </w:p>
        </w:tc>
        <w:tc>
          <w:tcPr>
            <w:tcW w:w="4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6"/>
              <w:spacing w:after="0"/>
              <w:rPr>
                <w:sz w:val="20"/>
                <w:szCs w:val="20"/>
                <w:color w:val="auto"/>
              </w:rPr>
            </w:pPr>
            <w:r>
              <w:rPr>
                <w:rFonts w:ascii="Arial" w:cs="Arial" w:eastAsia="Arial" w:hAnsi="Arial"/>
                <w:sz w:val="13"/>
                <w:szCs w:val="13"/>
                <w:color w:val="auto"/>
              </w:rPr>
              <w:t>145</w:t>
            </w:r>
          </w:p>
        </w:tc>
        <w:tc>
          <w:tcPr>
            <w:tcW w:w="1040" w:type="dxa"/>
            <w:vAlign w:val="bottom"/>
          </w:tcPr>
          <w:p>
            <w:pPr>
              <w:jc w:val="right"/>
              <w:ind w:right="296"/>
              <w:spacing w:after="0"/>
              <w:rPr>
                <w:sz w:val="20"/>
                <w:szCs w:val="20"/>
                <w:color w:val="auto"/>
              </w:rPr>
            </w:pPr>
            <w:r>
              <w:rPr>
                <w:rFonts w:ascii="Arial" w:cs="Arial" w:eastAsia="Arial" w:hAnsi="Arial"/>
                <w:sz w:val="13"/>
                <w:szCs w:val="13"/>
                <w:color w:val="auto"/>
              </w:rPr>
              <w:t>467</w:t>
            </w:r>
          </w:p>
        </w:tc>
        <w:tc>
          <w:tcPr>
            <w:tcW w:w="22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2,085</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3"/>
                <w:szCs w:val="13"/>
                <w:color w:val="auto"/>
                <w:w w:val="92"/>
              </w:rPr>
              <w:t>Balancing accounts and other</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31"/>
        </w:trPr>
        <w:tc>
          <w:tcPr>
            <w:tcW w:w="1720" w:type="dxa"/>
            <w:vAlign w:val="bottom"/>
            <w:vMerge w:val="restart"/>
          </w:tcPr>
          <w:p>
            <w:pPr>
              <w:ind w:left="200"/>
              <w:spacing w:after="0"/>
              <w:rPr>
                <w:sz w:val="20"/>
                <w:szCs w:val="20"/>
                <w:color w:val="auto"/>
              </w:rPr>
            </w:pPr>
            <w:r>
              <w:rPr>
                <w:rFonts w:ascii="Arial" w:cs="Arial" w:eastAsia="Arial" w:hAnsi="Arial"/>
                <w:sz w:val="13"/>
                <w:szCs w:val="13"/>
                <w:color w:val="auto"/>
              </w:rPr>
              <w:t>Total</w:t>
            </w: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2,181</w:t>
            </w:r>
          </w:p>
        </w:tc>
        <w:tc>
          <w:tcPr>
            <w:tcW w:w="0" w:type="dxa"/>
            <w:vAlign w:val="bottom"/>
          </w:tcPr>
          <w:p>
            <w:pPr>
              <w:spacing w:after="0"/>
              <w:rPr>
                <w:sz w:val="1"/>
                <w:szCs w:val="1"/>
                <w:color w:val="auto"/>
              </w:rPr>
            </w:pPr>
          </w:p>
        </w:tc>
      </w:tr>
      <w:tr>
        <w:trPr>
          <w:trHeight w:val="31"/>
        </w:trPr>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shd w:val="clear" w:color="auto" w:fill="000000"/>
          </w:tcPr>
          <w:p>
            <w:pPr>
              <w:spacing w:after="0"/>
              <w:rPr>
                <w:sz w:val="15"/>
                <w:szCs w:val="15"/>
                <w:color w:val="auto"/>
              </w:rPr>
            </w:pPr>
          </w:p>
        </w:tc>
        <w:tc>
          <w:tcPr>
            <w:tcW w:w="82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500" w:type="dxa"/>
            <w:vAlign w:val="bottom"/>
            <w:shd w:val="clear" w:color="auto" w:fill="000000"/>
          </w:tcPr>
          <w:p>
            <w:pPr>
              <w:spacing w:after="0"/>
              <w:rPr>
                <w:sz w:val="15"/>
                <w:szCs w:val="15"/>
                <w:color w:val="auto"/>
              </w:rPr>
            </w:pPr>
          </w:p>
        </w:tc>
        <w:tc>
          <w:tcPr>
            <w:tcW w:w="860" w:type="dxa"/>
            <w:vAlign w:val="bottom"/>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480" w:type="dxa"/>
            <w:vAlign w:val="bottom"/>
            <w:shd w:val="clear" w:color="auto" w:fill="000000"/>
          </w:tcPr>
          <w:p>
            <w:pPr>
              <w:spacing w:after="0"/>
              <w:rPr>
                <w:sz w:val="15"/>
                <w:szCs w:val="15"/>
                <w:color w:val="auto"/>
              </w:rPr>
            </w:pPr>
          </w:p>
        </w:tc>
        <w:tc>
          <w:tcPr>
            <w:tcW w:w="1040" w:type="dxa"/>
            <w:vAlign w:val="bottom"/>
            <w:shd w:val="clear" w:color="auto" w:fill="000000"/>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51"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Income tax expense was $88 million and $85 million ($80 million and $81 million for SoCalGas) for the six months ended June 30, 2006 and 2005, respectively, and the effective income tax rates for the company were 43 percent and 40 percent (43 percent and 39 percent for SoCalGas), respectively.</w:t>
      </w:r>
    </w:p>
    <w:p>
      <w:pPr>
        <w:spacing w:after="0" w:line="126"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Income tax expense was $50 million and $37 million ($43 million and $34 million for SoCalGas) for the three months ended June 30, 2006 and 2005, respectively, and the effective income tax rates were 43 percent and 39 percent (42 percent and 37 percent for SoCalGas), respectively.</w:t>
      </w:r>
    </w:p>
    <w:p>
      <w:pPr>
        <w:spacing w:after="0" w:line="126" w:lineRule="exact"/>
        <w:rPr>
          <w:sz w:val="20"/>
          <w:szCs w:val="20"/>
          <w:color w:val="auto"/>
        </w:rPr>
      </w:pPr>
    </w:p>
    <w:p>
      <w:pPr>
        <w:jc w:val="both"/>
        <w:ind w:right="40"/>
        <w:spacing w:after="0" w:line="322" w:lineRule="auto"/>
        <w:rPr>
          <w:sz w:val="20"/>
          <w:szCs w:val="20"/>
          <w:color w:val="auto"/>
        </w:rPr>
      </w:pPr>
      <w:r>
        <w:rPr>
          <w:rFonts w:ascii="Arial" w:cs="Arial" w:eastAsia="Arial" w:hAnsi="Arial"/>
          <w:sz w:val="14"/>
          <w:szCs w:val="14"/>
          <w:color w:val="auto"/>
        </w:rPr>
        <w:t>The increase in income tax expense at PE for the six months ended June 30, 2006 was due to the favorable resolution of prior years' income tax issues in 2005, offset by lower pretax book income in 2006. The increases in income tax expense at both PE and SoCalGas for the three months ended June 30, 2006 were due primarily to higher taxable income in 2006.</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151"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Net income for SoCalGas decreased by $20 million (16%) to $108 million for the six months ended June 30, 2006, due primarily to the CPUC's Cost of Service decision in 2005 that eliminated 2004 revenue sharing, increasing 2005 net income by $11 million; higher interest expense in 2006 of $5 million due to increased debt; increased operating costs in excess of higher authorized margins, resulting in a reduction in net income in 2006 of $4 million; higher revenue sharing in 2006 and a favorable adjustment in 2005 for GCIM awards resulting in a reduction in net income in 2006 of $4 million; and the favorable resolution in 2005 of prior years' income tax issues, increasing 2005 net income by $4 million. The decreases were offset by the positive resolution of a natural gas royalty matter resulting in a $7 million increase in 2006 net income and an adjustment to the California energy crisis litigation reserves, which increased 2006 net income by $3 million. Net income for SoCalGas for the three months ended June 30, 2006 was the same as for the corresponding period for 2005. The positive resolution of a natural gas royalty matter in 2006 increasing net income by $7 million and the adjustment to the California energy crisis litigation reserves in 2006 increasing net income by $3 million were offset by higher revenue sharing in 2006 and the favorable adjustment in 2005 for GCIM awards resulting in a reduction of net income in 2006 of $4 million and higher interest expense of $2 million in 2006 due to increased debt. The six months and the three months ended June 30, 2006 included $8 million of after-tax interest income at PE only related to an insurance claim.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 AND LIQUIDITY</w:t>
      </w:r>
    </w:p>
    <w:p>
      <w:pPr>
        <w:spacing w:after="0" w:line="15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At June 30, 2006, the company had $393 million in unrestricted cash and $500 million in available unused, committed lines of credit at SoCalGas which are shared with SDG&amp;E and which are discussed more fully in Note 3 of the notes to Consolidated Financial Statements. Management believes that these amounts and cash flows from operations and security issuances will be adequate to finance capital expenditures and meet liquidity requirements and other commitments. Management continues to regularly monitor SoCalGas' ability to finance the needs of its operating, investing and financing activities in a manner consistent with its intention to maintain strong, investment-quality credit ratings.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spacing w:after="0" w:line="15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Net cash provided by PE's operating activities increased by $342 million (74%) to $806 million for 2006. For SoCalGas, net cash provided by operating activities increased by $327 million (73%) to $777 million for 2006. The changes were primarily due to a higher increase in overcollected regulatory balancing accounts in 2006 and an increase in income tax payable in 2006 compared to a decrease in 2005.</w:t>
      </w:r>
    </w:p>
    <w:p>
      <w:pPr>
        <w:spacing w:after="0" w:line="135" w:lineRule="exact"/>
        <w:rPr>
          <w:sz w:val="20"/>
          <w:szCs w:val="20"/>
          <w:color w:val="auto"/>
        </w:rPr>
      </w:pPr>
    </w:p>
    <w:p>
      <w:pPr>
        <w:ind w:right="700"/>
        <w:spacing w:after="0" w:line="436" w:lineRule="auto"/>
        <w:rPr>
          <w:sz w:val="20"/>
          <w:szCs w:val="20"/>
          <w:color w:val="auto"/>
        </w:rPr>
      </w:pPr>
      <w:r>
        <w:rPr>
          <w:rFonts w:ascii="Arial" w:cs="Arial" w:eastAsia="Arial" w:hAnsi="Arial"/>
          <w:sz w:val="16"/>
          <w:szCs w:val="16"/>
          <w:color w:val="auto"/>
        </w:rPr>
        <w:t>For the six months ended June 30, 2006, the company made contributions of $1 million and $13 million to the pension and other postretirement benefit plans, respectively. CASH FLOWS FROM INVESTING ACTIVITIES</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Net cash used in PE's investing activities decreased by $27 million (8%) to $313 million for 2006. Net cash used in SoCalGas' investing activities decreased by $42 million (13%) to $285 million for 2006. The decreases were primarily due to lower advances to Sempra Energy in 2006, offset by increased capital expenditures.</w:t>
      </w:r>
    </w:p>
    <w:p>
      <w:pPr>
        <w:spacing w:after="0" w:line="102"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Significant capital expenditures in 2006 are expected to be $400 million for improvements to distribution and transmission systems. These expenditures are expected to be financed by cash flows from operations and security issuances.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Net cash used in PE's financing activities increased by $58 million (44%) to $190 million for 2006. Net cash used in SoCalGas' financing activities increased by $58 million (44%) to $189 million for 2006. The increases were attributable to higher payments on short-term debt in 2006.</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COMMITMENTS</w:t>
      </w:r>
    </w:p>
    <w:p>
      <w:pPr>
        <w:spacing w:after="0" w:line="151"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color w:val="auto"/>
        </w:rPr>
        <w:t>At June 30, 2006, there were no significant changes to the commitments that were disclosed in the Annual Report, except for an increase of $250 million related to new natural gas contracts at SoCalGas. The future payments under the new contracts are expected to be $150 million for 2006 and $100 million for 2007.</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INFLUENCING FUTURE PERFORMANCE</w:t>
      </w:r>
    </w:p>
    <w:p>
      <w:pPr>
        <w:spacing w:after="0" w:line="155"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Performance of the company will depend primarily on the ratemaking and regulatory process, natural gas industry restructuring, and the changing energy marketplace. Performance will also depend on the successful completion of construction programs, which are discussed in various places in this report. These factors are discussed in Note 5 of the notes to Consolidated Financial Statements herein.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Litigation</w:t>
      </w:r>
    </w:p>
    <w:p>
      <w:pPr>
        <w:sectPr>
          <w:pgSz w:w="11900" w:h="16838" w:orient="portrait"/>
          <w:cols w:equalWidth="0" w:num="1">
            <w:col w:w="11460"/>
          </w:cols>
          <w:pgMar w:left="220" w:top="120" w:right="219" w:bottom="0" w:gutter="0" w:footer="0" w:header="0"/>
        </w:sectPr>
      </w:pPr>
    </w:p>
    <w:bookmarkStart w:id="12" w:name="page13"/>
    <w:bookmarkEnd w:id="12"/>
    <w:p>
      <w:pPr>
        <w:ind w:right="300"/>
        <w:spacing w:after="0" w:line="284" w:lineRule="auto"/>
        <w:rPr>
          <w:sz w:val="20"/>
          <w:szCs w:val="20"/>
          <w:color w:val="auto"/>
        </w:rPr>
      </w:pPr>
      <w:r>
        <w:rPr>
          <w:rFonts w:ascii="Arial" w:cs="Arial" w:eastAsia="Arial" w:hAnsi="Arial"/>
          <w:sz w:val="15"/>
          <w:szCs w:val="15"/>
          <w:color w:val="auto"/>
        </w:rPr>
        <w:t>Note 6 of the notes to Consolidated Financial Statements herein and Note 9 of the notes to Consolidated Financial Statements in the Annual Report describe litigation (primarily cases arising from the California energy crisis), the ultimate resolution of which could have a material adverse effect on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Industry Developments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Note 5 of the notes to Consolidated Financial Statements herein and Note 8 of the notes to Consolidated Financial Statements in the Annual Report describe natural gas restructuring and rates, and other pending proceedings and investigations.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STANDARDS</w:t>
      </w:r>
    </w:p>
    <w:p>
      <w:pPr>
        <w:spacing w:after="0" w:line="155"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Relevant pronouncements that have recently become effective and have had or may have a significant effect on the company's financial statements are described in Note 2 of the notes to Consolidated Financial Statements. One pronouncement of particular importance to the company is described below.</w:t>
      </w:r>
    </w:p>
    <w:p>
      <w:pPr>
        <w:spacing w:after="0" w:line="126"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i w:val="1"/>
          <w:iCs w:val="1"/>
          <w:color w:val="auto"/>
        </w:rPr>
        <w:t xml:space="preserve">Stock-Based Compensation: </w:t>
      </w:r>
      <w:r>
        <w:rPr>
          <w:rFonts w:ascii="Arial" w:cs="Arial" w:eastAsia="Arial" w:hAnsi="Arial"/>
          <w:sz w:val="14"/>
          <w:szCs w:val="14"/>
          <w:color w:val="auto"/>
        </w:rPr>
        <w:t>Effective January 1, 2006, Sempra Energy adopted Statement of Financial Accounting Standards (SFAS) No. 123 (revised 2004),</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Share-Based Payment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(SFAS 123R), which requires compensation costs related to share-based transactions, including employee stock options, to be recognized in the financial statements based on fair value. SFAS 123R revises SFAS No.123,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(SFAS 123), and supersedes Accounting Principles Board Opinion No. 25, </w:t>
      </w:r>
      <w:r>
        <w:rPr>
          <w:rFonts w:ascii="Arial" w:cs="Arial" w:eastAsia="Arial" w:hAnsi="Arial"/>
          <w:sz w:val="14"/>
          <w:szCs w:val="14"/>
          <w:i w:val="1"/>
          <w:iCs w:val="1"/>
          <w:color w:val="auto"/>
        </w:rPr>
        <w:t>Accounting for Stock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Issued to Employees. </w:t>
      </w:r>
      <w:r>
        <w:rPr>
          <w:rFonts w:ascii="Arial" w:cs="Arial" w:eastAsia="Arial" w:hAnsi="Arial"/>
          <w:sz w:val="14"/>
          <w:szCs w:val="14"/>
          <w:color w:val="auto"/>
        </w:rPr>
        <w:t>In March 2005, the Securities and Exchange Commission (the SEC) issued Staff Accounting Bulletin No. 107 (SAB 107) regarding the SEC's interpretation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SFAS 123R and the valuation of share-based payments for public companies. Sempra Energy has applied the provisions of SAB 107 in its adoption of SFAS 123R.</w:t>
      </w:r>
    </w:p>
    <w:p>
      <w:pPr>
        <w:spacing w:after="0" w:line="111" w:lineRule="exact"/>
        <w:rPr>
          <w:sz w:val="20"/>
          <w:szCs w:val="20"/>
          <w:color w:val="auto"/>
        </w:rPr>
      </w:pPr>
    </w:p>
    <w:p>
      <w:pPr>
        <w:ind w:right="240"/>
        <w:spacing w:after="0" w:line="278" w:lineRule="auto"/>
        <w:rPr>
          <w:sz w:val="20"/>
          <w:szCs w:val="20"/>
          <w:color w:val="auto"/>
        </w:rPr>
      </w:pPr>
      <w:r>
        <w:rPr>
          <w:rFonts w:ascii="Arial" w:cs="Arial" w:eastAsia="Arial" w:hAnsi="Arial"/>
          <w:sz w:val="14"/>
          <w:szCs w:val="14"/>
          <w:color w:val="auto"/>
        </w:rPr>
        <w:t>Sempra Energy adopted the provisions of SFAS 123R using the modified prospective transition method. In accordance with this transition method, Sempra Energy's consolidated financial statements for prior periods have not been restated to reflect the impact of SFAS 123R. Under the modified prospective transition method, share-based compensation expense for the first quarter of 2006 includes compensation expense for all share-based compensation awards granted prior to, but for which the requisite service has not yet been performed as of January 1, 2006, based on the grant date fair value estimated in accordance with the original provisions of SFAS 123. Share-based compensation expense for all share-based compensation awards granted after January 1, 2006 is based on the grant date fair value estimated in accordance with the provisions of SFAS 123R.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ITEM 3. </w:t>
      </w:r>
      <w:r>
        <w:rPr>
          <w:rFonts w:ascii="Arial" w:cs="Arial" w:eastAsia="Arial" w:hAnsi="Arial"/>
          <w:sz w:val="16"/>
          <w:szCs w:val="16"/>
          <w:b w:val="1"/>
          <w:bCs w:val="1"/>
          <w:color w:val="auto"/>
        </w:rPr>
        <w:t>QUANTITATIVE AND QUALITATIVE DISCLOSURES ABOUT MARKET RISK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in the risk issues affecting the company subsequent to those discussed in the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2006, the total Value at Risk of SoCalGas' positions was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ITEM 4. </w:t>
      </w:r>
      <w:r>
        <w:rPr>
          <w:rFonts w:ascii="Arial" w:cs="Arial" w:eastAsia="Arial" w:hAnsi="Arial"/>
          <w:sz w:val="16"/>
          <w:szCs w:val="16"/>
          <w:b w:val="1"/>
          <w:bCs w:val="1"/>
          <w:color w:val="auto"/>
        </w:rPr>
        <w:t>CONTROLS AND PROCEDURES</w:t>
      </w:r>
    </w:p>
    <w:p>
      <w:pPr>
        <w:spacing w:after="0" w:line="155" w:lineRule="exact"/>
        <w:rPr>
          <w:sz w:val="20"/>
          <w:szCs w:val="20"/>
          <w:color w:val="auto"/>
        </w:rPr>
      </w:pPr>
    </w:p>
    <w:p>
      <w:pPr>
        <w:jc w:val="both"/>
        <w:ind w:right="80"/>
        <w:spacing w:after="0" w:line="275" w:lineRule="auto"/>
        <w:rPr>
          <w:sz w:val="20"/>
          <w:szCs w:val="20"/>
          <w:color w:val="auto"/>
        </w:rPr>
      </w:pPr>
      <w:r>
        <w:rPr>
          <w:rFonts w:ascii="Arial" w:cs="Arial" w:eastAsia="Arial" w:hAnsi="Arial"/>
          <w:sz w:val="14"/>
          <w:szCs w:val="14"/>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cost-benefit relationship of other possible controls and proce dures.</w:t>
      </w:r>
    </w:p>
    <w:p>
      <w:pPr>
        <w:spacing w:after="0" w:line="114" w:lineRule="exact"/>
        <w:rPr>
          <w:sz w:val="20"/>
          <w:szCs w:val="20"/>
          <w:color w:val="auto"/>
        </w:rPr>
      </w:pPr>
    </w:p>
    <w:p>
      <w:pPr>
        <w:ind w:right="660"/>
        <w:spacing w:after="0" w:line="252" w:lineRule="auto"/>
        <w:rPr>
          <w:sz w:val="20"/>
          <w:szCs w:val="20"/>
          <w:color w:val="auto"/>
        </w:rPr>
      </w:pPr>
      <w:r>
        <w:rPr>
          <w:rFonts w:ascii="Arial" w:cs="Arial" w:eastAsia="Arial" w:hAnsi="Arial"/>
          <w:sz w:val="16"/>
          <w:szCs w:val="16"/>
          <w:color w:val="auto"/>
        </w:rPr>
        <w:t>There have been no changes in the company's internal controls over financial reporting during the company's most recent fiscal quarter that have materially affected, or are reasonably likely to materially affect, the company's internal controls over financial reporting.</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 xml:space="preserve">The company evaluates the effectiveness of its internal control over financial reporting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Under the supervision and with the participation of management, including the Chief Executive Officer and the Chief Financial Officer, the company evaluated the effectiveness of the design and operation of the company's disclosure controls and procedures as of June 30, 2006,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PART II - 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ITEM 1. </w:t>
      </w:r>
      <w:r>
        <w:rPr>
          <w:rFonts w:ascii="Arial" w:cs="Arial" w:eastAsia="Arial" w:hAnsi="Arial"/>
          <w:sz w:val="16"/>
          <w:szCs w:val="16"/>
          <w:b w:val="1"/>
          <w:bCs w:val="1"/>
          <w:color w:val="auto"/>
        </w:rPr>
        <w:t>LEGAL PROCEEDINGS</w:t>
      </w:r>
    </w:p>
    <w:p>
      <w:pPr>
        <w:spacing w:after="0" w:line="155"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Except as described in Notes 5 and 6 of the notes to Consolidated Financial Statements herein, neither the companies nor their subsidiaries are party to, nor is their property the subject of, any material pending legal proceedings other than routine litigation incidental to their businesses.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ITEM 1A. </w:t>
      </w:r>
      <w:r>
        <w:rPr>
          <w:rFonts w:ascii="Arial" w:cs="Arial" w:eastAsia="Arial" w:hAnsi="Arial"/>
          <w:sz w:val="16"/>
          <w:szCs w:val="16"/>
          <w:b w:val="1"/>
          <w:bCs w:val="1"/>
          <w:color w:val="auto"/>
        </w:rPr>
        <w:t>RISK FACTORS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risk factors as previously disclosed in the companies' 2005 Form 10-K.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ITEM 6. </w:t>
      </w:r>
      <w:r>
        <w:rPr>
          <w:rFonts w:ascii="Arial" w:cs="Arial" w:eastAsia="Arial" w:hAnsi="Arial"/>
          <w:sz w:val="16"/>
          <w:szCs w:val="16"/>
          <w:b w:val="1"/>
          <w:bCs w:val="1"/>
          <w:color w:val="auto"/>
        </w:rPr>
        <w:t>EXHIBITS AND REPORTS ON FORM 8-K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 Exhibits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Exhibit 12 - Computation of ratios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12.1 Computation of Ratio of Earnings to Fixed Charges of PE.</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12.2 Computation of Ratio of Earnings to Fixed Charges and Preferred Stock Dividends of SoCalGas.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Exhibit 31 -- Section 302 Certifications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31.1 Statement of PE's Chief Executive Officer pursuant to Rules 13a-14 and 15d-14 of the Securities Exchange Act of 1934.</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31.2 Statement of PE's Chief Financial Officer pursuant to Rules 13a-14 and 15d-14 of the Securities Exchange Act of 1934.</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31.3 Statement of SoCalGas' Chief Executive Officer pursuant to Rules 13a-14 and 15d-14 of the Securities Exchange Act of 1934.</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31.4 Statement of SoCalGas' Chief Financial Officer pursuant to Rules 13a-14 and 15d-14 of the Securities Exchange Act of 1934.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Exhibit 32 -- Section 906 Certifications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32.1 Statement of PE's Chief Executive Officer pursuant to 18 U.S.C. Sec. 1350.</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32.2 Statement of PE's Chief Financial Officer pursuant to 18 U.S.C. Sec. 1350.</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32.3 Statement of SoCalGas' Chief Executive Officer pursuant to 18 U.S.C. Sec. 1350.</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32.4 Statement of SoCalGas' Chief Financial Officer pursuant to 18 U.S.C. Sec. 1350.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 Reports on Form 8-K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reports on Form 8-K were filed after March 31, 2006:</w:t>
      </w:r>
    </w:p>
    <w:p>
      <w:pPr>
        <w:spacing w:after="0" w:line="15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Current Report on Form 8-K filed May 2, 2006, including as exhibits Sempra Energy's press release of May 2, 2006, giving the financial results for the three months ended March 31, 2006, and related Income Statement Data by Business Unit.</w:t>
      </w:r>
    </w:p>
    <w:p>
      <w:pPr>
        <w:sectPr>
          <w:pgSz w:w="11900" w:h="16838" w:orient="portrait"/>
          <w:cols w:equalWidth="0" w:num="1">
            <w:col w:w="11440"/>
          </w:cols>
          <w:pgMar w:left="220" w:top="124" w:right="239" w:bottom="0" w:gutter="0" w:footer="0" w:header="0"/>
        </w:sectPr>
      </w:pPr>
    </w:p>
    <w:bookmarkStart w:id="13" w:name="page14"/>
    <w:bookmarkEnd w:id="13"/>
    <w:p>
      <w:pPr>
        <w:spacing w:after="0" w:line="251" w:lineRule="auto"/>
        <w:rPr>
          <w:sz w:val="20"/>
          <w:szCs w:val="20"/>
          <w:color w:val="auto"/>
        </w:rPr>
      </w:pPr>
      <w:r>
        <w:rPr>
          <w:rFonts w:ascii="Arial" w:cs="Arial" w:eastAsia="Arial" w:hAnsi="Arial"/>
          <w:sz w:val="16"/>
          <w:szCs w:val="16"/>
          <w:color w:val="auto"/>
        </w:rPr>
        <w:t>Current Report on Form 8-K filed August 3, 2006, including as exhibits Sempra Energy's press release of August 3, 2006, giving the financial results for the three months ended June 30, 2006, and related Income Statement Data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353060</wp:posOffset>
            </wp:positionV>
            <wp:extent cx="73088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885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SIGNATURES</w:t>
      </w:r>
    </w:p>
    <w:p>
      <w:pPr>
        <w:spacing w:after="0" w:line="141" w:lineRule="exact"/>
        <w:rPr>
          <w:sz w:val="20"/>
          <w:szCs w:val="20"/>
          <w:color w:val="auto"/>
        </w:rPr>
      </w:pPr>
    </w:p>
    <w:p>
      <w:pPr>
        <w:ind w:left="2520" w:right="2660"/>
        <w:spacing w:after="0" w:line="285"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PACIFIC ENTERPRISES,</w:t>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52" w:lineRule="exact"/>
        <w:rPr>
          <w:sz w:val="20"/>
          <w:szCs w:val="20"/>
          <w:color w:val="auto"/>
        </w:rPr>
      </w:pPr>
    </w:p>
    <w:p>
      <w:pPr>
        <w:ind w:left="2520"/>
        <w:spacing w:after="0"/>
        <w:tabs>
          <w:tab w:leader="none" w:pos="5660" w:val="left"/>
        </w:tabs>
        <w:rPr>
          <w:sz w:val="20"/>
          <w:szCs w:val="20"/>
          <w:color w:val="auto"/>
        </w:rPr>
      </w:pPr>
      <w:r>
        <w:rPr>
          <w:rFonts w:ascii="Arial" w:cs="Arial" w:eastAsia="Arial" w:hAnsi="Arial"/>
          <w:sz w:val="16"/>
          <w:szCs w:val="16"/>
          <w:color w:val="auto"/>
        </w:rPr>
        <w:t>Date: August 3, 2006</w:t>
      </w:r>
      <w:r>
        <w:rPr>
          <w:sz w:val="20"/>
          <w:szCs w:val="20"/>
          <w:color w:val="auto"/>
        </w:rPr>
        <w:tab/>
      </w:r>
      <w:r>
        <w:rPr>
          <w:rFonts w:ascii="Arial" w:cs="Arial" w:eastAsia="Arial" w:hAnsi="Arial"/>
          <w:sz w:val="14"/>
          <w:szCs w:val="14"/>
          <w:color w:val="auto"/>
        </w:rPr>
        <w:t>By: /s/ S.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56515</wp:posOffset>
            </wp:positionV>
            <wp:extent cx="2157095" cy="18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7095" cy="18732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 D. Davis</w:t>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Sr. Vice President and Chief Financial Officer</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SOUTHERN CALIFORNIA GAS COMPANY,</w:t>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52" w:lineRule="exact"/>
        <w:rPr>
          <w:sz w:val="20"/>
          <w:szCs w:val="20"/>
          <w:color w:val="auto"/>
        </w:rPr>
      </w:pPr>
    </w:p>
    <w:p>
      <w:pPr>
        <w:ind w:left="2520"/>
        <w:spacing w:after="0"/>
        <w:tabs>
          <w:tab w:leader="none" w:pos="5660" w:val="left"/>
        </w:tabs>
        <w:rPr>
          <w:sz w:val="20"/>
          <w:szCs w:val="20"/>
          <w:color w:val="auto"/>
        </w:rPr>
      </w:pPr>
      <w:r>
        <w:rPr>
          <w:rFonts w:ascii="Arial" w:cs="Arial" w:eastAsia="Arial" w:hAnsi="Arial"/>
          <w:sz w:val="16"/>
          <w:szCs w:val="16"/>
          <w:color w:val="auto"/>
        </w:rPr>
        <w:t>Date: August 3, 2006</w:t>
      </w:r>
      <w:r>
        <w:rPr>
          <w:sz w:val="20"/>
          <w:szCs w:val="20"/>
          <w:color w:val="auto"/>
        </w:rPr>
        <w:tab/>
      </w:r>
      <w:r>
        <w:rPr>
          <w:rFonts w:ascii="Arial" w:cs="Arial" w:eastAsia="Arial" w:hAnsi="Arial"/>
          <w:sz w:val="14"/>
          <w:szCs w:val="14"/>
          <w:color w:val="auto"/>
        </w:rPr>
        <w:t>By: /s/ S.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56515</wp:posOffset>
            </wp:positionV>
            <wp:extent cx="2157095" cy="187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7095" cy="18732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 D. Davis</w:t>
      </w:r>
    </w:p>
    <w:p>
      <w:pPr>
        <w:ind w:left="5680"/>
        <w:spacing w:after="0"/>
        <w:rPr>
          <w:sz w:val="20"/>
          <w:szCs w:val="20"/>
          <w:color w:val="auto"/>
        </w:rPr>
      </w:pPr>
      <w:r>
        <w:rPr>
          <w:rFonts w:ascii="Arial" w:cs="Arial" w:eastAsia="Arial" w:hAnsi="Arial"/>
          <w:sz w:val="16"/>
          <w:szCs w:val="16"/>
          <w:color w:val="auto"/>
        </w:rPr>
        <w:t>Sr. Vice President-External Relations</w:t>
      </w:r>
    </w:p>
    <w:p>
      <w:pPr>
        <w:ind w:left="5680"/>
        <w:spacing w:after="0"/>
        <w:rPr>
          <w:sz w:val="20"/>
          <w:szCs w:val="20"/>
          <w:color w:val="auto"/>
        </w:rPr>
      </w:pPr>
      <w:r>
        <w:rPr>
          <w:rFonts w:ascii="Arial" w:cs="Arial" w:eastAsia="Arial" w:hAnsi="Arial"/>
          <w:sz w:val="16"/>
          <w:szCs w:val="16"/>
          <w:color w:val="auto"/>
        </w:rPr>
        <w:t>and Chief Financial Officer</w:t>
      </w:r>
    </w:p>
    <w:p>
      <w:pPr>
        <w:sectPr>
          <w:pgSz w:w="11900" w:h="16838" w:orient="portrait"/>
          <w:cols w:equalWidth="0" w:num="1">
            <w:col w:w="11460"/>
          </w:cols>
          <w:pgMar w:left="220" w:top="124" w:right="219" w:bottom="1440" w:gutter="0" w:footer="0" w:header="0"/>
        </w:sectPr>
      </w:pPr>
    </w:p>
    <w:bookmarkStart w:id="14" w:name="page15"/>
    <w:bookmarkEnd w:id="14"/>
    <w:p>
      <w:pPr>
        <w:ind w:left="4701"/>
        <w:spacing w:after="0"/>
        <w:rPr>
          <w:sz w:val="20"/>
          <w:szCs w:val="20"/>
          <w:color w:val="auto"/>
        </w:rPr>
      </w:pPr>
      <w:r>
        <w:rPr>
          <w:rFonts w:ascii="Arial" w:cs="Arial" w:eastAsia="Arial" w:hAnsi="Arial"/>
          <w:sz w:val="13"/>
          <w:szCs w:val="13"/>
          <w:b w:val="1"/>
          <w:bCs w:val="1"/>
          <w:color w:val="auto"/>
        </w:rPr>
        <w:t>EXHIBIT 12.1</w:t>
      </w:r>
    </w:p>
    <w:p>
      <w:pPr>
        <w:spacing w:after="0" w:line="20" w:lineRule="exact"/>
        <w:rPr>
          <w:sz w:val="20"/>
          <w:szCs w:val="20"/>
          <w:color w:val="auto"/>
        </w:rPr>
      </w:pPr>
    </w:p>
    <w:p>
      <w:pPr>
        <w:ind w:left="4381"/>
        <w:spacing w:after="0"/>
        <w:rPr>
          <w:sz w:val="20"/>
          <w:szCs w:val="20"/>
          <w:color w:val="auto"/>
        </w:rPr>
      </w:pPr>
      <w:r>
        <w:rPr>
          <w:rFonts w:ascii="Arial" w:cs="Arial" w:eastAsia="Arial" w:hAnsi="Arial"/>
          <w:sz w:val="13"/>
          <w:szCs w:val="13"/>
          <w:b w:val="1"/>
          <w:bCs w:val="1"/>
          <w:color w:val="auto"/>
        </w:rPr>
        <w:t>PACIFIC ENTERPRISES</w:t>
      </w:r>
    </w:p>
    <w:p>
      <w:pPr>
        <w:spacing w:after="0" w:line="18" w:lineRule="exact"/>
        <w:rPr>
          <w:sz w:val="20"/>
          <w:szCs w:val="20"/>
          <w:color w:val="auto"/>
        </w:rPr>
      </w:pPr>
    </w:p>
    <w:p>
      <w:pPr>
        <w:ind w:left="2841"/>
        <w:spacing w:after="0"/>
        <w:rPr>
          <w:sz w:val="20"/>
          <w:szCs w:val="20"/>
          <w:color w:val="auto"/>
        </w:rPr>
      </w:pPr>
      <w:r>
        <w:rPr>
          <w:rFonts w:ascii="Arial" w:cs="Arial" w:eastAsia="Arial" w:hAnsi="Arial"/>
          <w:sz w:val="13"/>
          <w:szCs w:val="13"/>
          <w:b w:val="1"/>
          <w:bCs w:val="1"/>
          <w:color w:val="auto"/>
        </w:rPr>
        <w:t>COMPUTATION OF RATIO OF EARNINGS TO COMBINED FIXED CHARGES</w:t>
      </w:r>
    </w:p>
    <w:p>
      <w:pPr>
        <w:spacing w:after="0" w:line="18" w:lineRule="exact"/>
        <w:rPr>
          <w:sz w:val="20"/>
          <w:szCs w:val="20"/>
          <w:color w:val="auto"/>
        </w:rPr>
      </w:pPr>
    </w:p>
    <w:p>
      <w:pPr>
        <w:ind w:left="3681"/>
        <w:spacing w:after="0"/>
        <w:rPr>
          <w:sz w:val="20"/>
          <w:szCs w:val="20"/>
          <w:color w:val="auto"/>
        </w:rPr>
      </w:pPr>
      <w:r>
        <w:rPr>
          <w:rFonts w:ascii="Arial" w:cs="Arial" w:eastAsia="Arial" w:hAnsi="Arial"/>
          <w:sz w:val="13"/>
          <w:szCs w:val="13"/>
          <w:b w:val="1"/>
          <w:bCs w:val="1"/>
          <w:color w:val="auto"/>
        </w:rPr>
        <w:t>AND PREFERRED STOCK DIVIDENDS</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340" w:type="dxa"/>
            <w:vAlign w:val="bottom"/>
            <w:gridSpan w:val="3"/>
          </w:tcPr>
          <w:p>
            <w:pPr>
              <w:jc w:val="right"/>
              <w:ind w:right="536"/>
              <w:spacing w:after="0"/>
              <w:rPr>
                <w:sz w:val="20"/>
                <w:szCs w:val="20"/>
                <w:color w:val="auto"/>
              </w:rPr>
            </w:pPr>
            <w:r>
              <w:rPr>
                <w:rFonts w:ascii="Arial" w:cs="Arial" w:eastAsia="Arial" w:hAnsi="Arial"/>
                <w:sz w:val="13"/>
                <w:szCs w:val="13"/>
                <w:b w:val="1"/>
                <w:bCs w:val="1"/>
                <w:color w:val="auto"/>
              </w:rPr>
              <w:t>(Dollars in millions)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2"/>
        </w:trPr>
        <w:tc>
          <w:tcPr>
            <w:tcW w:w="3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Six months</w:t>
            </w:r>
          </w:p>
        </w:tc>
      </w:tr>
      <w:tr>
        <w:trPr>
          <w:trHeight w:val="171"/>
        </w:trPr>
        <w:tc>
          <w:tcPr>
            <w:tcW w:w="3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ended</w:t>
            </w:r>
          </w:p>
        </w:tc>
      </w:tr>
      <w:tr>
        <w:trPr>
          <w:trHeight w:val="148"/>
        </w:trPr>
        <w:tc>
          <w:tcPr>
            <w:tcW w:w="3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jc w:val="center"/>
              <w:ind w:left="16"/>
              <w:spacing w:after="0" w:line="148" w:lineRule="exact"/>
              <w:rPr>
                <w:sz w:val="20"/>
                <w:szCs w:val="20"/>
                <w:color w:val="auto"/>
              </w:rPr>
            </w:pPr>
            <w:r>
              <w:rPr>
                <w:rFonts w:ascii="Arial" w:cs="Arial" w:eastAsia="Arial" w:hAnsi="Arial"/>
                <w:sz w:val="13"/>
                <w:szCs w:val="13"/>
                <w:color w:val="auto"/>
              </w:rPr>
              <w:t>June 30,</w:t>
            </w:r>
          </w:p>
        </w:tc>
      </w:tr>
      <w:tr>
        <w:trPr>
          <w:trHeight w:val="145"/>
        </w:trPr>
        <w:tc>
          <w:tcPr>
            <w:tcW w:w="4680" w:type="dxa"/>
            <w:vAlign w:val="bottom"/>
            <w:gridSpan w:val="2"/>
          </w:tcPr>
          <w:p>
            <w:pPr>
              <w:ind w:left="4400"/>
              <w:spacing w:after="0" w:line="146" w:lineRule="exact"/>
              <w:rPr>
                <w:sz w:val="20"/>
                <w:szCs w:val="20"/>
                <w:color w:val="auto"/>
              </w:rPr>
            </w:pPr>
            <w:r>
              <w:rPr>
                <w:rFonts w:ascii="Arial" w:cs="Arial" w:eastAsia="Arial" w:hAnsi="Arial"/>
                <w:sz w:val="13"/>
                <w:szCs w:val="13"/>
                <w:color w:val="auto"/>
                <w:w w:val="89"/>
              </w:rPr>
              <w:t>2001</w:t>
            </w:r>
          </w:p>
        </w:tc>
        <w:tc>
          <w:tcPr>
            <w:tcW w:w="580" w:type="dxa"/>
            <w:vAlign w:val="bottom"/>
          </w:tcPr>
          <w:p>
            <w:pPr>
              <w:spacing w:after="0"/>
              <w:rPr>
                <w:sz w:val="12"/>
                <w:szCs w:val="12"/>
                <w:color w:val="auto"/>
              </w:rPr>
            </w:pPr>
          </w:p>
        </w:tc>
        <w:tc>
          <w:tcPr>
            <w:tcW w:w="1040" w:type="dxa"/>
            <w:vAlign w:val="bottom"/>
          </w:tcPr>
          <w:p>
            <w:pPr>
              <w:jc w:val="right"/>
              <w:ind w:right="456"/>
              <w:spacing w:after="0" w:line="146" w:lineRule="exact"/>
              <w:rPr>
                <w:sz w:val="20"/>
                <w:szCs w:val="20"/>
                <w:color w:val="auto"/>
              </w:rPr>
            </w:pPr>
            <w:r>
              <w:rPr>
                <w:rFonts w:ascii="Arial" w:cs="Arial" w:eastAsia="Arial" w:hAnsi="Arial"/>
                <w:sz w:val="13"/>
                <w:szCs w:val="13"/>
                <w:color w:val="auto"/>
              </w:rPr>
              <w:t>2002</w:t>
            </w:r>
          </w:p>
        </w:tc>
        <w:tc>
          <w:tcPr>
            <w:tcW w:w="1060" w:type="dxa"/>
            <w:vAlign w:val="bottom"/>
          </w:tcPr>
          <w:p>
            <w:pPr>
              <w:jc w:val="right"/>
              <w:ind w:right="456"/>
              <w:spacing w:after="0" w:line="146" w:lineRule="exact"/>
              <w:rPr>
                <w:sz w:val="20"/>
                <w:szCs w:val="20"/>
                <w:color w:val="auto"/>
              </w:rPr>
            </w:pPr>
            <w:r>
              <w:rPr>
                <w:rFonts w:ascii="Arial" w:cs="Arial" w:eastAsia="Arial" w:hAnsi="Arial"/>
                <w:sz w:val="13"/>
                <w:szCs w:val="13"/>
                <w:color w:val="auto"/>
              </w:rPr>
              <w:t>2003</w:t>
            </w:r>
          </w:p>
        </w:tc>
        <w:tc>
          <w:tcPr>
            <w:tcW w:w="1020" w:type="dxa"/>
            <w:vAlign w:val="bottom"/>
          </w:tcPr>
          <w:p>
            <w:pPr>
              <w:jc w:val="right"/>
              <w:ind w:right="436"/>
              <w:spacing w:after="0" w:line="146" w:lineRule="exact"/>
              <w:rPr>
                <w:sz w:val="20"/>
                <w:szCs w:val="20"/>
                <w:color w:val="auto"/>
              </w:rPr>
            </w:pPr>
            <w:r>
              <w:rPr>
                <w:rFonts w:ascii="Arial" w:cs="Arial" w:eastAsia="Arial" w:hAnsi="Arial"/>
                <w:sz w:val="13"/>
                <w:szCs w:val="13"/>
                <w:color w:val="auto"/>
              </w:rPr>
              <w:t>2004</w:t>
            </w:r>
          </w:p>
        </w:tc>
        <w:tc>
          <w:tcPr>
            <w:tcW w:w="960" w:type="dxa"/>
            <w:vAlign w:val="bottom"/>
          </w:tcPr>
          <w:p>
            <w:pPr>
              <w:jc w:val="right"/>
              <w:ind w:right="356"/>
              <w:spacing w:after="0" w:line="146" w:lineRule="exact"/>
              <w:rPr>
                <w:sz w:val="20"/>
                <w:szCs w:val="20"/>
                <w:color w:val="auto"/>
              </w:rPr>
            </w:pPr>
            <w:r>
              <w:rPr>
                <w:rFonts w:ascii="Arial" w:cs="Arial" w:eastAsia="Arial" w:hAnsi="Arial"/>
                <w:sz w:val="13"/>
                <w:szCs w:val="13"/>
                <w:color w:val="auto"/>
              </w:rPr>
              <w:t>2005</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w w:val="96"/>
              </w:rPr>
              <w:t>2006</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176"/>
        </w:trPr>
        <w:tc>
          <w:tcPr>
            <w:tcW w:w="4680" w:type="dxa"/>
            <w:vAlign w:val="bottom"/>
            <w:gridSpan w:val="2"/>
          </w:tcPr>
          <w:p>
            <w:pPr>
              <w:spacing w:after="0"/>
              <w:rPr>
                <w:sz w:val="20"/>
                <w:szCs w:val="20"/>
                <w:color w:val="auto"/>
              </w:rPr>
            </w:pPr>
            <w:r>
              <w:rPr>
                <w:rFonts w:ascii="Arial" w:cs="Arial" w:eastAsia="Arial" w:hAnsi="Arial"/>
                <w:sz w:val="13"/>
                <w:szCs w:val="13"/>
                <w:color w:val="auto"/>
              </w:rPr>
              <w:t>Fixed Charges: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35"/>
        </w:trPr>
        <w:tc>
          <w:tcPr>
            <w:tcW w:w="4680" w:type="dxa"/>
            <w:vAlign w:val="bottom"/>
            <w:gridSpan w:val="2"/>
          </w:tcPr>
          <w:p>
            <w:pPr>
              <w:spacing w:after="0"/>
              <w:rPr>
                <w:sz w:val="20"/>
                <w:szCs w:val="20"/>
                <w:color w:val="auto"/>
              </w:rPr>
            </w:pPr>
            <w:r>
              <w:rPr>
                <w:rFonts w:ascii="Arial" w:cs="Arial" w:eastAsia="Arial" w:hAnsi="Arial"/>
                <w:sz w:val="13"/>
                <w:szCs w:val="13"/>
                <w:color w:val="auto"/>
              </w:rPr>
              <w:t>Interest</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$ 88</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$ 63</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$ 54</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$ 47</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$ 55</w:t>
            </w:r>
          </w:p>
        </w:tc>
        <w:tc>
          <w:tcPr>
            <w:tcW w:w="860" w:type="dxa"/>
            <w:vAlign w:val="bottom"/>
          </w:tcPr>
          <w:p>
            <w:pPr>
              <w:jc w:val="right"/>
              <w:spacing w:after="0"/>
              <w:rPr>
                <w:sz w:val="20"/>
                <w:szCs w:val="20"/>
                <w:color w:val="auto"/>
              </w:rPr>
            </w:pPr>
            <w:r>
              <w:rPr>
                <w:rFonts w:ascii="Arial" w:cs="Arial" w:eastAsia="Arial" w:hAnsi="Arial"/>
                <w:sz w:val="13"/>
                <w:szCs w:val="13"/>
                <w:color w:val="auto"/>
              </w:rPr>
              <w:t>$ 38</w:t>
            </w:r>
          </w:p>
        </w:tc>
      </w:tr>
      <w:tr>
        <w:trPr>
          <w:trHeight w:val="335"/>
        </w:trPr>
        <w:tc>
          <w:tcPr>
            <w:tcW w:w="4680" w:type="dxa"/>
            <w:vAlign w:val="bottom"/>
            <w:gridSpan w:val="2"/>
          </w:tcPr>
          <w:p>
            <w:pPr>
              <w:spacing w:after="0"/>
              <w:rPr>
                <w:sz w:val="20"/>
                <w:szCs w:val="20"/>
                <w:color w:val="auto"/>
              </w:rPr>
            </w:pPr>
            <w:r>
              <w:rPr>
                <w:rFonts w:ascii="Arial" w:cs="Arial" w:eastAsia="Arial" w:hAnsi="Arial"/>
                <w:sz w:val="13"/>
                <w:szCs w:val="13"/>
                <w:color w:val="auto"/>
              </w:rPr>
              <w:t>Interest portion of annual rentals</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3</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2</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326"/>
        </w:trPr>
        <w:tc>
          <w:tcPr>
            <w:tcW w:w="4680" w:type="dxa"/>
            <w:vAlign w:val="bottom"/>
            <w:gridSpan w:val="2"/>
          </w:tcPr>
          <w:p>
            <w:pPr>
              <w:spacing w:after="0"/>
              <w:rPr>
                <w:sz w:val="20"/>
                <w:szCs w:val="20"/>
                <w:color w:val="auto"/>
              </w:rPr>
            </w:pPr>
            <w:r>
              <w:rPr>
                <w:rFonts w:ascii="Arial" w:cs="Arial" w:eastAsia="Arial" w:hAnsi="Arial"/>
                <w:sz w:val="13"/>
                <w:szCs w:val="13"/>
                <w:color w:val="auto"/>
              </w:rPr>
              <w:t>Preferred dividends of subsidiary</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2</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2</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343"/>
        </w:trPr>
        <w:tc>
          <w:tcPr>
            <w:tcW w:w="4680" w:type="dxa"/>
            <w:vAlign w:val="bottom"/>
            <w:gridSpan w:val="2"/>
          </w:tcPr>
          <w:p>
            <w:pPr>
              <w:spacing w:after="0"/>
              <w:rPr>
                <w:sz w:val="20"/>
                <w:szCs w:val="20"/>
                <w:color w:val="auto"/>
              </w:rPr>
            </w:pPr>
            <w:r>
              <w:rPr>
                <w:rFonts w:ascii="Arial" w:cs="Arial" w:eastAsia="Arial" w:hAnsi="Arial"/>
                <w:sz w:val="13"/>
                <w:szCs w:val="13"/>
                <w:color w:val="auto"/>
              </w:rPr>
              <w:t>Total fixed charges</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93</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67</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58</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51</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60</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326"/>
        </w:trPr>
        <w:tc>
          <w:tcPr>
            <w:tcW w:w="4680" w:type="dxa"/>
            <w:vAlign w:val="bottom"/>
            <w:gridSpan w:val="2"/>
          </w:tcPr>
          <w:p>
            <w:pPr>
              <w:spacing w:after="0"/>
              <w:rPr>
                <w:sz w:val="20"/>
                <w:szCs w:val="20"/>
                <w:color w:val="auto"/>
              </w:rPr>
            </w:pPr>
            <w:r>
              <w:rPr>
                <w:rFonts w:ascii="Arial" w:cs="Arial" w:eastAsia="Arial" w:hAnsi="Arial"/>
                <w:sz w:val="13"/>
                <w:szCs w:val="13"/>
                <w:color w:val="auto"/>
              </w:rPr>
              <w:t>Preferred stock dividends</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7</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7</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7</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7</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6</w:t>
            </w: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343"/>
        </w:trPr>
        <w:tc>
          <w:tcPr>
            <w:tcW w:w="4680" w:type="dxa"/>
            <w:vAlign w:val="bottom"/>
            <w:gridSpan w:val="2"/>
          </w:tcPr>
          <w:p>
            <w:pPr>
              <w:spacing w:after="0"/>
              <w:rPr>
                <w:sz w:val="20"/>
                <w:szCs w:val="20"/>
                <w:color w:val="auto"/>
              </w:rPr>
            </w:pPr>
            <w:r>
              <w:rPr>
                <w:rFonts w:ascii="Arial" w:cs="Arial" w:eastAsia="Arial" w:hAnsi="Arial"/>
                <w:sz w:val="13"/>
                <w:szCs w:val="13"/>
                <w:color w:val="auto"/>
              </w:rPr>
              <w:t>Combined fixed charges and preferred</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9"/>
        </w:trPr>
        <w:tc>
          <w:tcPr>
            <w:tcW w:w="4680" w:type="dxa"/>
            <w:vAlign w:val="bottom"/>
            <w:gridSpan w:val="2"/>
          </w:tcPr>
          <w:p>
            <w:pPr>
              <w:spacing w:after="0"/>
              <w:rPr>
                <w:sz w:val="20"/>
                <w:szCs w:val="20"/>
                <w:color w:val="auto"/>
              </w:rPr>
            </w:pPr>
            <w:r>
              <w:rPr>
                <w:rFonts w:ascii="Arial" w:cs="Arial" w:eastAsia="Arial" w:hAnsi="Arial"/>
                <w:sz w:val="13"/>
                <w:szCs w:val="13"/>
                <w:color w:val="auto"/>
              </w:rPr>
              <w:t>stock dividends for purpose of ratio</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w w:val="92"/>
              </w:rPr>
              <w:t>$ 100</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$ 74</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$ 65</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$ 58</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$ 66</w:t>
            </w:r>
          </w:p>
        </w:tc>
        <w:tc>
          <w:tcPr>
            <w:tcW w:w="860" w:type="dxa"/>
            <w:vAlign w:val="bottom"/>
          </w:tcPr>
          <w:p>
            <w:pPr>
              <w:jc w:val="right"/>
              <w:spacing w:after="0"/>
              <w:rPr>
                <w:sz w:val="20"/>
                <w:szCs w:val="20"/>
                <w:color w:val="auto"/>
              </w:rPr>
            </w:pPr>
            <w:r>
              <w:rPr>
                <w:rFonts w:ascii="Arial" w:cs="Arial" w:eastAsia="Arial" w:hAnsi="Arial"/>
                <w:sz w:val="13"/>
                <w:szCs w:val="13"/>
                <w:color w:val="auto"/>
              </w:rPr>
              <w:t>$ 44</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158"/>
        </w:trPr>
        <w:tc>
          <w:tcPr>
            <w:tcW w:w="468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343"/>
        </w:trPr>
        <w:tc>
          <w:tcPr>
            <w:tcW w:w="4680" w:type="dxa"/>
            <w:vAlign w:val="bottom"/>
            <w:gridSpan w:val="2"/>
          </w:tcPr>
          <w:p>
            <w:pPr>
              <w:spacing w:after="0"/>
              <w:rPr>
                <w:sz w:val="20"/>
                <w:szCs w:val="20"/>
                <w:color w:val="auto"/>
              </w:rPr>
            </w:pPr>
            <w:r>
              <w:rPr>
                <w:rFonts w:ascii="Arial" w:cs="Arial" w:eastAsia="Arial" w:hAnsi="Arial"/>
                <w:sz w:val="13"/>
                <w:szCs w:val="13"/>
                <w:color w:val="auto"/>
              </w:rPr>
              <w:t>Earnings: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5"/>
        </w:trPr>
        <w:tc>
          <w:tcPr>
            <w:tcW w:w="4680" w:type="dxa"/>
            <w:vAlign w:val="bottom"/>
            <w:gridSpan w:val="2"/>
          </w:tcPr>
          <w:p>
            <w:pPr>
              <w:spacing w:after="0"/>
              <w:rPr>
                <w:sz w:val="20"/>
                <w:szCs w:val="20"/>
                <w:color w:val="auto"/>
              </w:rPr>
            </w:pPr>
            <w:r>
              <w:rPr>
                <w:rFonts w:ascii="Arial" w:cs="Arial" w:eastAsia="Arial" w:hAnsi="Arial"/>
                <w:sz w:val="13"/>
                <w:szCs w:val="13"/>
                <w:color w:val="auto"/>
              </w:rPr>
              <w:t>Pretax income from continuing operations</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w w:val="92"/>
              </w:rPr>
              <w:t>$ 377</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$ 383</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$ 361</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$ 390</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$ 324</w:t>
            </w:r>
          </w:p>
        </w:tc>
        <w:tc>
          <w:tcPr>
            <w:tcW w:w="860" w:type="dxa"/>
            <w:vAlign w:val="bottom"/>
          </w:tcPr>
          <w:p>
            <w:pPr>
              <w:jc w:val="right"/>
              <w:spacing w:after="0"/>
              <w:rPr>
                <w:sz w:val="20"/>
                <w:szCs w:val="20"/>
                <w:color w:val="auto"/>
              </w:rPr>
            </w:pPr>
            <w:r>
              <w:rPr>
                <w:rFonts w:ascii="Arial" w:cs="Arial" w:eastAsia="Arial" w:hAnsi="Arial"/>
                <w:sz w:val="13"/>
                <w:szCs w:val="13"/>
                <w:color w:val="auto"/>
              </w:rPr>
              <w:t>$ 206</w:t>
            </w:r>
          </w:p>
        </w:tc>
      </w:tr>
      <w:tr>
        <w:trPr>
          <w:trHeight w:val="335"/>
        </w:trPr>
        <w:tc>
          <w:tcPr>
            <w:tcW w:w="4680" w:type="dxa"/>
            <w:vAlign w:val="bottom"/>
            <w:gridSpan w:val="2"/>
          </w:tcPr>
          <w:p>
            <w:pPr>
              <w:spacing w:after="0"/>
              <w:rPr>
                <w:sz w:val="20"/>
                <w:szCs w:val="20"/>
                <w:color w:val="auto"/>
              </w:rPr>
            </w:pPr>
            <w:r>
              <w:rPr>
                <w:rFonts w:ascii="Arial" w:cs="Arial" w:eastAsia="Arial" w:hAnsi="Arial"/>
                <w:sz w:val="13"/>
                <w:szCs w:val="13"/>
                <w:color w:val="auto"/>
              </w:rPr>
              <w:t>Total fixed charges (from above)</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93</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67</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58</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51</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60</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326"/>
        </w:trPr>
        <w:tc>
          <w:tcPr>
            <w:tcW w:w="4680" w:type="dxa"/>
            <w:vAlign w:val="bottom"/>
            <w:gridSpan w:val="2"/>
          </w:tcPr>
          <w:p>
            <w:pPr>
              <w:spacing w:after="0"/>
              <w:rPr>
                <w:sz w:val="20"/>
                <w:szCs w:val="20"/>
                <w:color w:val="auto"/>
              </w:rPr>
            </w:pPr>
            <w:r>
              <w:rPr>
                <w:rFonts w:ascii="Arial" w:cs="Arial" w:eastAsia="Arial" w:hAnsi="Arial"/>
                <w:sz w:val="13"/>
                <w:szCs w:val="13"/>
                <w:color w:val="auto"/>
              </w:rPr>
              <w:t>Less: interest capitalized</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345"/>
        </w:trPr>
        <w:tc>
          <w:tcPr>
            <w:tcW w:w="4680" w:type="dxa"/>
            <w:vAlign w:val="bottom"/>
            <w:gridSpan w:val="2"/>
          </w:tcPr>
          <w:p>
            <w:pPr>
              <w:spacing w:after="0"/>
              <w:rPr>
                <w:sz w:val="20"/>
                <w:szCs w:val="20"/>
                <w:color w:val="auto"/>
              </w:rPr>
            </w:pPr>
            <w:r>
              <w:rPr>
                <w:rFonts w:ascii="Arial" w:cs="Arial" w:eastAsia="Arial" w:hAnsi="Arial"/>
                <w:sz w:val="13"/>
                <w:szCs w:val="13"/>
                <w:color w:val="auto"/>
              </w:rPr>
              <w:t>Total earnings for purpose of ratio</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w w:val="92"/>
              </w:rPr>
              <w:t>$ 470</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$ 450</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$ 419</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$ 441</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$ 384</w:t>
            </w:r>
          </w:p>
        </w:tc>
        <w:tc>
          <w:tcPr>
            <w:tcW w:w="860" w:type="dxa"/>
            <w:vAlign w:val="bottom"/>
          </w:tcPr>
          <w:p>
            <w:pPr>
              <w:jc w:val="right"/>
              <w:spacing w:after="0"/>
              <w:rPr>
                <w:sz w:val="20"/>
                <w:szCs w:val="20"/>
                <w:color w:val="auto"/>
              </w:rPr>
            </w:pPr>
            <w:r>
              <w:rPr>
                <w:rFonts w:ascii="Arial" w:cs="Arial" w:eastAsia="Arial" w:hAnsi="Arial"/>
                <w:sz w:val="13"/>
                <w:szCs w:val="13"/>
                <w:color w:val="auto"/>
              </w:rPr>
              <w:t>$ 247</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158"/>
        </w:trPr>
        <w:tc>
          <w:tcPr>
            <w:tcW w:w="468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353"/>
        </w:trPr>
        <w:tc>
          <w:tcPr>
            <w:tcW w:w="4680" w:type="dxa"/>
            <w:vAlign w:val="bottom"/>
            <w:gridSpan w:val="2"/>
          </w:tcPr>
          <w:p>
            <w:pPr>
              <w:spacing w:after="0"/>
              <w:rPr>
                <w:sz w:val="20"/>
                <w:szCs w:val="20"/>
                <w:color w:val="auto"/>
              </w:rPr>
            </w:pPr>
            <w:r>
              <w:rPr>
                <w:rFonts w:ascii="Arial" w:cs="Arial" w:eastAsia="Arial" w:hAnsi="Arial"/>
                <w:sz w:val="13"/>
                <w:szCs w:val="13"/>
                <w:color w:val="auto"/>
              </w:rPr>
              <w:t>Ratio of earnings to combined fixed</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9"/>
        </w:trPr>
        <w:tc>
          <w:tcPr>
            <w:tcW w:w="4680" w:type="dxa"/>
            <w:vAlign w:val="bottom"/>
            <w:gridSpan w:val="2"/>
          </w:tcPr>
          <w:p>
            <w:pPr>
              <w:spacing w:after="0"/>
              <w:rPr>
                <w:sz w:val="20"/>
                <w:szCs w:val="20"/>
                <w:color w:val="auto"/>
              </w:rPr>
            </w:pPr>
            <w:r>
              <w:rPr>
                <w:rFonts w:ascii="Arial" w:cs="Arial" w:eastAsia="Arial" w:hAnsi="Arial"/>
                <w:sz w:val="13"/>
                <w:szCs w:val="13"/>
                <w:color w:val="auto"/>
              </w:rPr>
              <w:t>charges and preferred stock dividends</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4.70</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6.08</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6.45</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7.60</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5.82</w:t>
            </w:r>
          </w:p>
        </w:tc>
        <w:tc>
          <w:tcPr>
            <w:tcW w:w="860" w:type="dxa"/>
            <w:vAlign w:val="bottom"/>
          </w:tcPr>
          <w:p>
            <w:pPr>
              <w:jc w:val="right"/>
              <w:spacing w:after="0"/>
              <w:rPr>
                <w:sz w:val="20"/>
                <w:szCs w:val="20"/>
                <w:color w:val="auto"/>
              </w:rPr>
            </w:pPr>
            <w:r>
              <w:rPr>
                <w:rFonts w:ascii="Arial" w:cs="Arial" w:eastAsia="Arial" w:hAnsi="Arial"/>
                <w:sz w:val="13"/>
                <w:szCs w:val="13"/>
                <w:color w:val="auto"/>
              </w:rPr>
              <w:t>5.61</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158"/>
        </w:trPr>
        <w:tc>
          <w:tcPr>
            <w:tcW w:w="468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354"/>
        </w:trPr>
        <w:tc>
          <w:tcPr>
            <w:tcW w:w="4680" w:type="dxa"/>
            <w:vAlign w:val="bottom"/>
            <w:gridSpan w:val="2"/>
          </w:tcPr>
          <w:p>
            <w:pPr>
              <w:spacing w:after="0"/>
              <w:rPr>
                <w:sz w:val="20"/>
                <w:szCs w:val="20"/>
                <w:color w:val="auto"/>
              </w:rPr>
            </w:pPr>
            <w:r>
              <w:rPr>
                <w:rFonts w:ascii="Arial" w:cs="Arial" w:eastAsia="Arial" w:hAnsi="Arial"/>
                <w:sz w:val="13"/>
                <w:szCs w:val="13"/>
                <w:color w:val="auto"/>
              </w:rPr>
              <w:t>Ratio of earnings to fixed charges</w:t>
            </w:r>
          </w:p>
        </w:tc>
        <w:tc>
          <w:tcPr>
            <w:tcW w:w="580" w:type="dxa"/>
            <w:vAlign w:val="bottom"/>
          </w:tcPr>
          <w:p>
            <w:pPr>
              <w:jc w:val="right"/>
              <w:ind w:right="196"/>
              <w:spacing w:after="0"/>
              <w:rPr>
                <w:sz w:val="20"/>
                <w:szCs w:val="20"/>
                <w:color w:val="auto"/>
              </w:rPr>
            </w:pPr>
            <w:r>
              <w:rPr>
                <w:rFonts w:ascii="Arial" w:cs="Arial" w:eastAsia="Arial" w:hAnsi="Arial"/>
                <w:sz w:val="13"/>
                <w:szCs w:val="13"/>
                <w:color w:val="auto"/>
              </w:rPr>
              <w:t>5.05</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6.72</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7.22</w:t>
            </w:r>
          </w:p>
        </w:tc>
        <w:tc>
          <w:tcPr>
            <w:tcW w:w="1020" w:type="dxa"/>
            <w:vAlign w:val="bottom"/>
          </w:tcPr>
          <w:p>
            <w:pPr>
              <w:jc w:val="right"/>
              <w:ind w:right="176"/>
              <w:spacing w:after="0"/>
              <w:rPr>
                <w:sz w:val="20"/>
                <w:szCs w:val="20"/>
                <w:color w:val="auto"/>
              </w:rPr>
            </w:pPr>
            <w:r>
              <w:rPr>
                <w:rFonts w:ascii="Arial" w:cs="Arial" w:eastAsia="Arial" w:hAnsi="Arial"/>
                <w:sz w:val="13"/>
                <w:szCs w:val="13"/>
                <w:color w:val="auto"/>
              </w:rPr>
              <w:t>8.65</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6.40</w:t>
            </w:r>
          </w:p>
        </w:tc>
        <w:tc>
          <w:tcPr>
            <w:tcW w:w="86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r>
        <w:trPr>
          <w:trHeight w:val="158"/>
        </w:trPr>
        <w:tc>
          <w:tcPr>
            <w:tcW w:w="3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8"/>
        </w:trPr>
        <w:tc>
          <w:tcPr>
            <w:tcW w:w="3960" w:type="dxa"/>
            <w:vAlign w:val="bottom"/>
          </w:tcPr>
          <w:p>
            <w:pPr>
              <w:spacing w:after="0"/>
              <w:rPr>
                <w:sz w:val="13"/>
                <w:szCs w:val="13"/>
                <w:color w:val="auto"/>
              </w:rPr>
            </w:pPr>
          </w:p>
        </w:tc>
        <w:tc>
          <w:tcPr>
            <w:tcW w:w="72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r>
    </w:tbl>
    <w:p>
      <w:pPr>
        <w:spacing w:after="0" w:line="189" w:lineRule="exact"/>
        <w:rPr>
          <w:sz w:val="20"/>
          <w:szCs w:val="20"/>
          <w:color w:val="auto"/>
        </w:rPr>
      </w:pPr>
    </w:p>
    <w:p>
      <w:pPr>
        <w:ind w:left="1" w:right="2859" w:hanging="1"/>
        <w:spacing w:after="0" w:line="275" w:lineRule="auto"/>
        <w:tabs>
          <w:tab w:leader="none" w:pos="193"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0240"/>
          </w:cols>
          <w:pgMar w:left="219" w:top="146"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EXHIBIT 12.2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SOUTHERN CALIFORNIA GAS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PREFERRED STOCK DIVIDENDS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Six months</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ended</w:t>
            </w: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1060" w:type="dxa"/>
            <w:vAlign w:val="bottom"/>
          </w:tcPr>
          <w:p>
            <w:pPr>
              <w:jc w:val="right"/>
              <w:ind w:right="436"/>
              <w:spacing w:after="0"/>
              <w:rPr>
                <w:sz w:val="20"/>
                <w:szCs w:val="20"/>
                <w:color w:val="auto"/>
              </w:rPr>
            </w:pPr>
            <w:r>
              <w:rPr>
                <w:rFonts w:ascii="Arial" w:cs="Arial" w:eastAsia="Arial" w:hAnsi="Arial"/>
                <w:sz w:val="13"/>
                <w:szCs w:val="13"/>
                <w:color w:val="auto"/>
              </w:rPr>
              <w:t>2001</w:t>
            </w:r>
          </w:p>
        </w:tc>
        <w:tc>
          <w:tcPr>
            <w:tcW w:w="1100" w:type="dxa"/>
            <w:vAlign w:val="bottom"/>
          </w:tcPr>
          <w:p>
            <w:pPr>
              <w:jc w:val="right"/>
              <w:ind w:right="496"/>
              <w:spacing w:after="0"/>
              <w:rPr>
                <w:sz w:val="20"/>
                <w:szCs w:val="20"/>
                <w:color w:val="auto"/>
              </w:rPr>
            </w:pPr>
            <w:r>
              <w:rPr>
                <w:rFonts w:ascii="Arial" w:cs="Arial" w:eastAsia="Arial" w:hAnsi="Arial"/>
                <w:sz w:val="13"/>
                <w:szCs w:val="13"/>
                <w:color w:val="auto"/>
              </w:rPr>
              <w:t>2002</w:t>
            </w:r>
          </w:p>
        </w:tc>
        <w:tc>
          <w:tcPr>
            <w:tcW w:w="1080" w:type="dxa"/>
            <w:vAlign w:val="bottom"/>
          </w:tcPr>
          <w:p>
            <w:pPr>
              <w:jc w:val="right"/>
              <w:ind w:right="496"/>
              <w:spacing w:after="0"/>
              <w:rPr>
                <w:sz w:val="20"/>
                <w:szCs w:val="20"/>
                <w:color w:val="auto"/>
              </w:rPr>
            </w:pPr>
            <w:r>
              <w:rPr>
                <w:rFonts w:ascii="Arial" w:cs="Arial" w:eastAsia="Arial" w:hAnsi="Arial"/>
                <w:sz w:val="13"/>
                <w:szCs w:val="13"/>
                <w:color w:val="auto"/>
              </w:rPr>
              <w:t>2003</w:t>
            </w:r>
          </w:p>
        </w:tc>
        <w:tc>
          <w:tcPr>
            <w:tcW w:w="1040" w:type="dxa"/>
            <w:vAlign w:val="bottom"/>
          </w:tcPr>
          <w:p>
            <w:pPr>
              <w:jc w:val="right"/>
              <w:ind w:right="456"/>
              <w:spacing w:after="0"/>
              <w:rPr>
                <w:sz w:val="20"/>
                <w:szCs w:val="20"/>
                <w:color w:val="auto"/>
              </w:rPr>
            </w:pPr>
            <w:r>
              <w:rPr>
                <w:rFonts w:ascii="Arial" w:cs="Arial" w:eastAsia="Arial" w:hAnsi="Arial"/>
                <w:sz w:val="13"/>
                <w:szCs w:val="13"/>
                <w:color w:val="auto"/>
              </w:rPr>
              <w:t>2004</w:t>
            </w:r>
          </w:p>
        </w:tc>
        <w:tc>
          <w:tcPr>
            <w:tcW w:w="860" w:type="dxa"/>
            <w:vAlign w:val="bottom"/>
          </w:tcPr>
          <w:p>
            <w:pPr>
              <w:jc w:val="right"/>
              <w:ind w:right="316"/>
              <w:spacing w:after="0"/>
              <w:rPr>
                <w:sz w:val="20"/>
                <w:szCs w:val="20"/>
                <w:color w:val="auto"/>
              </w:rPr>
            </w:pPr>
            <w:r>
              <w:rPr>
                <w:rFonts w:ascii="Arial" w:cs="Arial" w:eastAsia="Arial" w:hAnsi="Arial"/>
                <w:sz w:val="13"/>
                <w:szCs w:val="13"/>
                <w:color w:val="auto"/>
              </w:rPr>
              <w:t>2005</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June 30, 2006</w:t>
            </w:r>
          </w:p>
        </w:tc>
        <w:tc>
          <w:tcPr>
            <w:tcW w:w="0" w:type="dxa"/>
            <w:vAlign w:val="bottom"/>
          </w:tcPr>
          <w:p>
            <w:pPr>
              <w:spacing w:after="0"/>
              <w:rPr>
                <w:sz w:val="1"/>
                <w:szCs w:val="1"/>
                <w:color w:val="auto"/>
              </w:rPr>
            </w:pPr>
          </w:p>
        </w:tc>
      </w:tr>
      <w:tr>
        <w:trPr>
          <w:trHeight w:val="158"/>
        </w:trPr>
        <w:tc>
          <w:tcPr>
            <w:tcW w:w="2720" w:type="dxa"/>
            <w:vAlign w:val="bottom"/>
            <w:vMerge w:val="restart"/>
          </w:tcPr>
          <w:p>
            <w:pPr>
              <w:spacing w:after="0"/>
              <w:rPr>
                <w:sz w:val="20"/>
                <w:szCs w:val="20"/>
                <w:color w:val="auto"/>
              </w:rPr>
            </w:pPr>
            <w:r>
              <w:rPr>
                <w:rFonts w:ascii="Arial" w:cs="Arial" w:eastAsia="Arial" w:hAnsi="Arial"/>
                <w:sz w:val="13"/>
                <w:szCs w:val="13"/>
                <w:color w:val="auto"/>
              </w:rPr>
              <w:t>Fixed Charges:</w:t>
            </w: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720" w:type="dxa"/>
            <w:vAlign w:val="bottom"/>
          </w:tcPr>
          <w:p>
            <w:pPr>
              <w:spacing w:after="0"/>
              <w:rPr>
                <w:sz w:val="20"/>
                <w:szCs w:val="20"/>
                <w:color w:val="auto"/>
              </w:rPr>
            </w:pPr>
            <w:r>
              <w:rPr>
                <w:rFonts w:ascii="Arial" w:cs="Arial" w:eastAsia="Arial" w:hAnsi="Arial"/>
                <w:sz w:val="13"/>
                <w:szCs w:val="13"/>
                <w:color w:val="auto"/>
              </w:rPr>
              <w:t>Interest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$ 70</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$ 47</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$ 48</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$ 40</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$ 50</w:t>
            </w:r>
          </w:p>
        </w:tc>
        <w:tc>
          <w:tcPr>
            <w:tcW w:w="1240" w:type="dxa"/>
            <w:vAlign w:val="bottom"/>
          </w:tcPr>
          <w:p>
            <w:pPr>
              <w:jc w:val="right"/>
              <w:spacing w:after="0"/>
              <w:rPr>
                <w:sz w:val="20"/>
                <w:szCs w:val="20"/>
                <w:color w:val="auto"/>
              </w:rPr>
            </w:pPr>
            <w:r>
              <w:rPr>
                <w:rFonts w:ascii="Arial" w:cs="Arial" w:eastAsia="Arial" w:hAnsi="Arial"/>
                <w:sz w:val="13"/>
                <w:szCs w:val="13"/>
                <w:color w:val="auto"/>
              </w:rPr>
              <w:t>$ 36</w:t>
            </w:r>
          </w:p>
        </w:tc>
        <w:tc>
          <w:tcPr>
            <w:tcW w:w="0" w:type="dxa"/>
            <w:vAlign w:val="bottom"/>
          </w:tcPr>
          <w:p>
            <w:pPr>
              <w:spacing w:after="0"/>
              <w:rPr>
                <w:sz w:val="1"/>
                <w:szCs w:val="1"/>
                <w:color w:val="auto"/>
              </w:rPr>
            </w:pPr>
          </w:p>
        </w:tc>
      </w:tr>
      <w:tr>
        <w:trPr>
          <w:trHeight w:val="326"/>
        </w:trPr>
        <w:tc>
          <w:tcPr>
            <w:tcW w:w="2720" w:type="dxa"/>
            <w:vAlign w:val="bottom"/>
          </w:tcPr>
          <w:p>
            <w:pPr>
              <w:spacing w:after="0"/>
              <w:rPr>
                <w:sz w:val="20"/>
                <w:szCs w:val="20"/>
                <w:color w:val="auto"/>
              </w:rPr>
            </w:pPr>
            <w:r>
              <w:rPr>
                <w:rFonts w:ascii="Arial" w:cs="Arial" w:eastAsia="Arial" w:hAnsi="Arial"/>
                <w:sz w:val="13"/>
                <w:szCs w:val="13"/>
                <w:color w:val="auto"/>
              </w:rPr>
              <w:t>Interest portion of annual rentals</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3</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2</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3</w:t>
            </w: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720" w:type="dxa"/>
            <w:vAlign w:val="bottom"/>
          </w:tcPr>
          <w:p>
            <w:pPr>
              <w:spacing w:after="0"/>
              <w:rPr>
                <w:sz w:val="20"/>
                <w:szCs w:val="20"/>
                <w:color w:val="auto"/>
              </w:rPr>
            </w:pPr>
            <w:r>
              <w:rPr>
                <w:rFonts w:ascii="Arial" w:cs="Arial" w:eastAsia="Arial" w:hAnsi="Arial"/>
                <w:sz w:val="13"/>
                <w:szCs w:val="13"/>
                <w:color w:val="auto"/>
              </w:rPr>
              <w:t>Total fixed charges</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73</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49</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50</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42</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53</w:t>
            </w:r>
          </w:p>
        </w:tc>
        <w:tc>
          <w:tcPr>
            <w:tcW w:w="124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326"/>
        </w:trPr>
        <w:tc>
          <w:tcPr>
            <w:tcW w:w="2720" w:type="dxa"/>
            <w:vAlign w:val="bottom"/>
          </w:tcPr>
          <w:p>
            <w:pPr>
              <w:spacing w:after="0"/>
              <w:rPr>
                <w:sz w:val="20"/>
                <w:szCs w:val="20"/>
                <w:color w:val="auto"/>
              </w:rPr>
            </w:pPr>
            <w:r>
              <w:rPr>
                <w:rFonts w:ascii="Arial" w:cs="Arial" w:eastAsia="Arial" w:hAnsi="Arial"/>
                <w:sz w:val="13"/>
                <w:szCs w:val="13"/>
                <w:color w:val="auto"/>
              </w:rPr>
              <w:t>Preferred stock dividends (1)</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2</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2</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2</w:t>
            </w: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8"/>
        </w:trPr>
        <w:tc>
          <w:tcPr>
            <w:tcW w:w="2720" w:type="dxa"/>
            <w:vAlign w:val="bottom"/>
            <w:vMerge w:val="restart"/>
          </w:tcPr>
          <w:p>
            <w:pPr>
              <w:spacing w:after="0"/>
              <w:rPr>
                <w:sz w:val="20"/>
                <w:szCs w:val="20"/>
                <w:color w:val="auto"/>
              </w:rPr>
            </w:pPr>
            <w:r>
              <w:rPr>
                <w:rFonts w:ascii="Arial" w:cs="Arial" w:eastAsia="Arial" w:hAnsi="Arial"/>
                <w:sz w:val="13"/>
                <w:szCs w:val="13"/>
                <w:color w:val="auto"/>
              </w:rPr>
              <w:t>Combined fixed charges and preferred stock</w:t>
            </w: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20"/>
                <w:szCs w:val="20"/>
                <w:color w:val="auto"/>
              </w:rPr>
            </w:pPr>
            <w:r>
              <w:rPr>
                <w:rFonts w:ascii="Arial" w:cs="Arial" w:eastAsia="Arial" w:hAnsi="Arial"/>
                <w:sz w:val="13"/>
                <w:szCs w:val="13"/>
                <w:color w:val="auto"/>
              </w:rPr>
              <w:t>dividends for purpose of ratio</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$ 75</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$ 51</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$ 52</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$ 44</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$ 55</w:t>
            </w:r>
          </w:p>
        </w:tc>
        <w:tc>
          <w:tcPr>
            <w:tcW w:w="1240" w:type="dxa"/>
            <w:vAlign w:val="bottom"/>
          </w:tcPr>
          <w:p>
            <w:pPr>
              <w:jc w:val="right"/>
              <w:spacing w:after="0"/>
              <w:rPr>
                <w:sz w:val="20"/>
                <w:szCs w:val="20"/>
                <w:color w:val="auto"/>
              </w:rPr>
            </w:pPr>
            <w:r>
              <w:rPr>
                <w:rFonts w:ascii="Arial" w:cs="Arial" w:eastAsia="Arial" w:hAnsi="Arial"/>
                <w:sz w:val="13"/>
                <w:szCs w:val="13"/>
                <w:color w:val="auto"/>
              </w:rPr>
              <w:t>$ 39</w:t>
            </w:r>
          </w:p>
        </w:tc>
        <w:tc>
          <w:tcPr>
            <w:tcW w:w="0" w:type="dxa"/>
            <w:vAlign w:val="bottom"/>
          </w:tcPr>
          <w:p>
            <w:pPr>
              <w:spacing w:after="0"/>
              <w:rPr>
                <w:sz w:val="1"/>
                <w:szCs w:val="1"/>
                <w:color w:val="auto"/>
              </w:rPr>
            </w:pPr>
          </w:p>
        </w:tc>
      </w:tr>
      <w:tr>
        <w:trPr>
          <w:trHeight w:val="158"/>
        </w:trPr>
        <w:tc>
          <w:tcPr>
            <w:tcW w:w="2720" w:type="dxa"/>
            <w:vAlign w:val="bottom"/>
            <w:vMerge w:val="restart"/>
          </w:tcPr>
          <w:p>
            <w:pPr>
              <w:spacing w:after="0"/>
              <w:rPr>
                <w:sz w:val="20"/>
                <w:szCs w:val="20"/>
                <w:color w:val="auto"/>
              </w:rPr>
            </w:pPr>
            <w:r>
              <w:rPr>
                <w:rFonts w:ascii="Arial" w:cs="Arial" w:eastAsia="Arial" w:hAnsi="Arial"/>
                <w:sz w:val="13"/>
                <w:szCs w:val="13"/>
                <w:color w:val="auto"/>
              </w:rPr>
              <w:t>Earnings:</w:t>
            </w: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vMerge w:val="continue"/>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720" w:type="dxa"/>
            <w:vAlign w:val="bottom"/>
          </w:tcPr>
          <w:p>
            <w:pPr>
              <w:spacing w:after="0"/>
              <w:rPr>
                <w:sz w:val="20"/>
                <w:szCs w:val="20"/>
                <w:color w:val="auto"/>
              </w:rPr>
            </w:pPr>
            <w:r>
              <w:rPr>
                <w:rFonts w:ascii="Arial" w:cs="Arial" w:eastAsia="Arial" w:hAnsi="Arial"/>
                <w:sz w:val="13"/>
                <w:szCs w:val="13"/>
                <w:color w:val="auto"/>
              </w:rPr>
              <w:t>Pretax income from continuing operations</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377</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391</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360</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387</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309</w:t>
            </w:r>
          </w:p>
        </w:tc>
        <w:tc>
          <w:tcPr>
            <w:tcW w:w="1240" w:type="dxa"/>
            <w:vAlign w:val="bottom"/>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335"/>
        </w:trPr>
        <w:tc>
          <w:tcPr>
            <w:tcW w:w="2720" w:type="dxa"/>
            <w:vAlign w:val="bottom"/>
          </w:tcPr>
          <w:p>
            <w:pPr>
              <w:spacing w:after="0"/>
              <w:rPr>
                <w:sz w:val="20"/>
                <w:szCs w:val="20"/>
                <w:color w:val="auto"/>
              </w:rPr>
            </w:pPr>
            <w:r>
              <w:rPr>
                <w:rFonts w:ascii="Arial" w:cs="Arial" w:eastAsia="Arial" w:hAnsi="Arial"/>
                <w:sz w:val="13"/>
                <w:szCs w:val="13"/>
                <w:color w:val="auto"/>
              </w:rPr>
              <w:t>Add: total fixed charges (from above)</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73</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49</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50</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42</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53</w:t>
            </w:r>
          </w:p>
        </w:tc>
        <w:tc>
          <w:tcPr>
            <w:tcW w:w="124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326"/>
        </w:trPr>
        <w:tc>
          <w:tcPr>
            <w:tcW w:w="2720" w:type="dxa"/>
            <w:vAlign w:val="bottom"/>
          </w:tcPr>
          <w:p>
            <w:pPr>
              <w:spacing w:after="0"/>
              <w:rPr>
                <w:sz w:val="20"/>
                <w:szCs w:val="20"/>
                <w:color w:val="auto"/>
              </w:rPr>
            </w:pPr>
            <w:r>
              <w:rPr>
                <w:rFonts w:ascii="Arial" w:cs="Arial" w:eastAsia="Arial" w:hAnsi="Arial"/>
                <w:sz w:val="13"/>
                <w:szCs w:val="13"/>
                <w:color w:val="auto"/>
              </w:rPr>
              <w:t>Less: interest capitalized</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720" w:type="dxa"/>
            <w:vAlign w:val="bottom"/>
          </w:tcPr>
          <w:p>
            <w:pPr>
              <w:spacing w:after="0"/>
              <w:rPr>
                <w:sz w:val="20"/>
                <w:szCs w:val="20"/>
                <w:color w:val="auto"/>
              </w:rPr>
            </w:pPr>
            <w:r>
              <w:rPr>
                <w:rFonts w:ascii="Arial" w:cs="Arial" w:eastAsia="Arial" w:hAnsi="Arial"/>
                <w:sz w:val="13"/>
                <w:szCs w:val="13"/>
                <w:color w:val="auto"/>
              </w:rPr>
              <w:t>Total earnings for purpose of ratio</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$ 450</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$ 440</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$ 410</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$ 429</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$ 362</w:t>
            </w:r>
          </w:p>
        </w:tc>
        <w:tc>
          <w:tcPr>
            <w:tcW w:w="1240" w:type="dxa"/>
            <w:vAlign w:val="bottom"/>
          </w:tcPr>
          <w:p>
            <w:pPr>
              <w:jc w:val="right"/>
              <w:spacing w:after="0"/>
              <w:rPr>
                <w:sz w:val="20"/>
                <w:szCs w:val="20"/>
                <w:color w:val="auto"/>
              </w:rPr>
            </w:pPr>
            <w:r>
              <w:rPr>
                <w:rFonts w:ascii="Arial" w:cs="Arial" w:eastAsia="Arial" w:hAnsi="Arial"/>
                <w:sz w:val="13"/>
                <w:szCs w:val="13"/>
                <w:color w:val="auto"/>
              </w:rPr>
              <w:t>$ 226</w:t>
            </w:r>
          </w:p>
        </w:tc>
        <w:tc>
          <w:tcPr>
            <w:tcW w:w="0" w:type="dxa"/>
            <w:vAlign w:val="bottom"/>
          </w:tcPr>
          <w:p>
            <w:pPr>
              <w:spacing w:after="0"/>
              <w:rPr>
                <w:sz w:val="1"/>
                <w:szCs w:val="1"/>
                <w:color w:val="auto"/>
              </w:rPr>
            </w:pPr>
          </w:p>
        </w:tc>
      </w:tr>
      <w:tr>
        <w:trPr>
          <w:trHeight w:val="158"/>
        </w:trPr>
        <w:tc>
          <w:tcPr>
            <w:tcW w:w="2720" w:type="dxa"/>
            <w:vAlign w:val="bottom"/>
            <w:vMerge w:val="restart"/>
          </w:tcPr>
          <w:p>
            <w:pPr>
              <w:spacing w:after="0"/>
              <w:rPr>
                <w:sz w:val="20"/>
                <w:szCs w:val="20"/>
                <w:color w:val="auto"/>
              </w:rPr>
            </w:pPr>
            <w:r>
              <w:rPr>
                <w:rFonts w:ascii="Arial" w:cs="Arial" w:eastAsia="Arial" w:hAnsi="Arial"/>
                <w:sz w:val="13"/>
                <w:szCs w:val="13"/>
                <w:color w:val="auto"/>
              </w:rPr>
              <w:t>Ratio of earnings to combined fixed charges</w:t>
            </w: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vMerge w:val="continue"/>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20"/>
                <w:szCs w:val="20"/>
                <w:color w:val="auto"/>
              </w:rPr>
            </w:pPr>
            <w:r>
              <w:rPr>
                <w:rFonts w:ascii="Arial" w:cs="Arial" w:eastAsia="Arial" w:hAnsi="Arial"/>
                <w:sz w:val="13"/>
                <w:szCs w:val="13"/>
                <w:color w:val="auto"/>
              </w:rPr>
              <w:t>and preferred stock dividends</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6.00</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8.63</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7.88</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9.75</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6.58</w:t>
            </w:r>
          </w:p>
        </w:tc>
        <w:tc>
          <w:tcPr>
            <w:tcW w:w="1240" w:type="dxa"/>
            <w:vAlign w:val="bottom"/>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720" w:type="dxa"/>
            <w:vAlign w:val="bottom"/>
          </w:tcPr>
          <w:p>
            <w:pPr>
              <w:spacing w:after="0"/>
              <w:rPr>
                <w:sz w:val="20"/>
                <w:szCs w:val="20"/>
                <w:color w:val="auto"/>
              </w:rPr>
            </w:pPr>
            <w:r>
              <w:rPr>
                <w:rFonts w:ascii="Arial" w:cs="Arial" w:eastAsia="Arial" w:hAnsi="Arial"/>
                <w:sz w:val="13"/>
                <w:szCs w:val="13"/>
                <w:color w:val="auto"/>
              </w:rPr>
              <w:t>Ratio of earnings to fixed charges</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6.16</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8.98</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8.20</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10.21</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6.83</w:t>
            </w:r>
          </w:p>
        </w:tc>
        <w:tc>
          <w:tcPr>
            <w:tcW w:w="1240" w:type="dxa"/>
            <w:vAlign w:val="bottom"/>
          </w:tcPr>
          <w:p>
            <w:pPr>
              <w:jc w:val="right"/>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140"/>
        <w:spacing w:after="0" w:line="275" w:lineRule="auto"/>
        <w:tabs>
          <w:tab w:leader="none" w:pos="192"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9100"/>
          </w:cols>
          <w:pgMar w:left="1400" w:top="134" w:right="1399" w:bottom="1440" w:gutter="0" w:footer="0" w:header="0"/>
        </w:sectPr>
      </w:pPr>
    </w:p>
    <w:bookmarkStart w:id="16" w:name="page17"/>
    <w:bookmarkEnd w:id="16"/>
    <w:p>
      <w:pPr>
        <w:ind w:left="10700"/>
        <w:spacing w:after="0"/>
        <w:rPr>
          <w:sz w:val="20"/>
          <w:szCs w:val="20"/>
          <w:color w:val="auto"/>
        </w:rPr>
      </w:pPr>
      <w:r>
        <w:rPr>
          <w:rFonts w:ascii="Arial" w:cs="Arial" w:eastAsia="Arial" w:hAnsi="Arial"/>
          <w:sz w:val="12"/>
          <w:szCs w:val="12"/>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I, Edwin A. Guiles, certify that:</w:t>
      </w:r>
    </w:p>
    <w:p>
      <w:pPr>
        <w:spacing w:after="0" w:line="136" w:lineRule="exact"/>
        <w:rPr>
          <w:sz w:val="20"/>
          <w:szCs w:val="20"/>
          <w:color w:val="auto"/>
        </w:rPr>
      </w:pPr>
    </w:p>
    <w:p>
      <w:pPr>
        <w:ind w:left="400" w:hanging="135"/>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Pacific Enterprises;</w:t>
      </w:r>
    </w:p>
    <w:p>
      <w:pPr>
        <w:spacing w:after="0" w:line="136" w:lineRule="exact"/>
        <w:rPr>
          <w:rFonts w:ascii="Arial" w:cs="Arial" w:eastAsia="Arial" w:hAnsi="Arial"/>
          <w:sz w:val="13"/>
          <w:szCs w:val="13"/>
          <w:color w:val="auto"/>
        </w:rPr>
      </w:pPr>
    </w:p>
    <w:p>
      <w:pPr>
        <w:ind w:left="400" w:hanging="135"/>
        <w:spacing w:after="0" w:line="256"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00" w:right="60" w:hanging="135"/>
        <w:spacing w:after="0" w:line="252"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3"/>
          <w:szCs w:val="13"/>
          <w:color w:val="auto"/>
        </w:rPr>
      </w:pPr>
    </w:p>
    <w:p>
      <w:pPr>
        <w:ind w:left="400" w:right="80" w:hanging="135"/>
        <w:spacing w:after="0" w:line="265"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08" w:lineRule="exact"/>
        <w:rPr>
          <w:rFonts w:ascii="Arial" w:cs="Arial" w:eastAsia="Arial" w:hAnsi="Arial"/>
          <w:sz w:val="13"/>
          <w:szCs w:val="13"/>
          <w:color w:val="auto"/>
        </w:rPr>
      </w:pPr>
    </w:p>
    <w:p>
      <w:pPr>
        <w:ind w:left="780" w:right="440" w:hanging="112"/>
        <w:spacing w:after="0" w:line="277" w:lineRule="auto"/>
        <w:tabs>
          <w:tab w:leader="none" w:pos="780"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2"/>
          <w:szCs w:val="12"/>
          <w:color w:val="auto"/>
        </w:rPr>
      </w:pPr>
    </w:p>
    <w:p>
      <w:pPr>
        <w:ind w:left="780" w:hanging="122"/>
        <w:spacing w:after="0" w:line="252" w:lineRule="auto"/>
        <w:tabs>
          <w:tab w:leader="none" w:pos="780" w:val="left"/>
        </w:tabs>
        <w:numPr>
          <w:ilvl w:val="1"/>
          <w:numId w:val="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780" w:right="80" w:hanging="112"/>
        <w:spacing w:after="0" w:line="252" w:lineRule="auto"/>
        <w:tabs>
          <w:tab w:leader="none" w:pos="780" w:val="left"/>
        </w:tabs>
        <w:numPr>
          <w:ilvl w:val="1"/>
          <w:numId w:val="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Arial" w:cs="Arial" w:eastAsia="Arial" w:hAnsi="Arial"/>
          <w:sz w:val="13"/>
          <w:szCs w:val="13"/>
          <w:color w:val="auto"/>
        </w:rPr>
      </w:pPr>
    </w:p>
    <w:p>
      <w:pPr>
        <w:ind w:left="780" w:right="120" w:hanging="122"/>
        <w:spacing w:after="0" w:line="265" w:lineRule="auto"/>
        <w:tabs>
          <w:tab w:leader="none" w:pos="780" w:val="left"/>
        </w:tabs>
        <w:numPr>
          <w:ilvl w:val="1"/>
          <w:numId w:val="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Arial" w:cs="Arial" w:eastAsia="Arial" w:hAnsi="Arial"/>
          <w:sz w:val="13"/>
          <w:szCs w:val="13"/>
          <w:color w:val="auto"/>
        </w:rPr>
      </w:pPr>
    </w:p>
    <w:p>
      <w:pPr>
        <w:ind w:left="400" w:right="60" w:hanging="135"/>
        <w:spacing w:after="0" w:line="273"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2" w:lineRule="exact"/>
        <w:rPr>
          <w:rFonts w:ascii="Arial" w:cs="Arial" w:eastAsia="Arial" w:hAnsi="Arial"/>
          <w:sz w:val="13"/>
          <w:szCs w:val="13"/>
          <w:color w:val="auto"/>
        </w:rPr>
      </w:pPr>
    </w:p>
    <w:p>
      <w:pPr>
        <w:ind w:left="780" w:right="340" w:hanging="112"/>
        <w:spacing w:after="0" w:line="256" w:lineRule="auto"/>
        <w:tabs>
          <w:tab w:leader="none" w:pos="7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780" w:hanging="122"/>
        <w:spacing w:after="0"/>
        <w:tabs>
          <w:tab w:leader="none" w:pos="7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2"/>
          <w:szCs w:val="12"/>
          <w:u w:val="single" w:color="auto"/>
          <w:color w:val="auto"/>
        </w:rPr>
        <w:t>/S/ Edwin A. Guiles</w:t>
      </w:r>
    </w:p>
    <w:p>
      <w:pPr>
        <w:spacing w:after="0" w:line="157" w:lineRule="exact"/>
        <w:rPr>
          <w:sz w:val="20"/>
          <w:szCs w:val="20"/>
          <w:color w:val="auto"/>
        </w:rPr>
      </w:pPr>
    </w:p>
    <w:p>
      <w:pPr>
        <w:ind w:left="10540"/>
        <w:spacing w:after="0"/>
        <w:rPr>
          <w:sz w:val="20"/>
          <w:szCs w:val="20"/>
          <w:color w:val="auto"/>
        </w:rPr>
      </w:pPr>
      <w:r>
        <w:rPr>
          <w:rFonts w:ascii="Arial" w:cs="Arial" w:eastAsia="Arial" w:hAnsi="Arial"/>
          <w:sz w:val="13"/>
          <w:szCs w:val="13"/>
          <w:color w:val="auto"/>
        </w:rPr>
        <w:t>Edwin A. Guiles</w:t>
      </w:r>
    </w:p>
    <w:p>
      <w:pPr>
        <w:spacing w:after="0" w:line="146" w:lineRule="exact"/>
        <w:rPr>
          <w:sz w:val="20"/>
          <w:szCs w:val="20"/>
          <w:color w:val="auto"/>
        </w:rPr>
      </w:pPr>
    </w:p>
    <w:p>
      <w:pPr>
        <w:ind w:left="1018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60"/>
          </w:cols>
          <w:pgMar w:left="220" w:top="134" w:right="219" w:bottom="1440" w:gutter="0" w:footer="0" w:header="0"/>
        </w:sectPr>
      </w:pPr>
    </w:p>
    <w:bookmarkStart w:id="17" w:name="page18"/>
    <w:bookmarkEnd w:id="17"/>
    <w:p>
      <w:pPr>
        <w:ind w:left="10700"/>
        <w:spacing w:after="0"/>
        <w:rPr>
          <w:sz w:val="20"/>
          <w:szCs w:val="20"/>
          <w:color w:val="auto"/>
        </w:rPr>
      </w:pPr>
      <w:r>
        <w:rPr>
          <w:rFonts w:ascii="Arial" w:cs="Arial" w:eastAsia="Arial" w:hAnsi="Arial"/>
          <w:sz w:val="12"/>
          <w:szCs w:val="12"/>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I, Steven D. Davis, certify that:</w:t>
      </w:r>
    </w:p>
    <w:p>
      <w:pPr>
        <w:spacing w:after="0" w:line="136" w:lineRule="exact"/>
        <w:rPr>
          <w:sz w:val="20"/>
          <w:szCs w:val="20"/>
          <w:color w:val="auto"/>
        </w:rPr>
      </w:pPr>
    </w:p>
    <w:p>
      <w:pPr>
        <w:ind w:left="400" w:hanging="135"/>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Pacific Enterprises;</w:t>
      </w:r>
    </w:p>
    <w:p>
      <w:pPr>
        <w:spacing w:after="0" w:line="136" w:lineRule="exact"/>
        <w:rPr>
          <w:rFonts w:ascii="Arial" w:cs="Arial" w:eastAsia="Arial" w:hAnsi="Arial"/>
          <w:sz w:val="13"/>
          <w:szCs w:val="13"/>
          <w:color w:val="auto"/>
        </w:rPr>
      </w:pPr>
    </w:p>
    <w:p>
      <w:pPr>
        <w:ind w:left="400" w:hanging="135"/>
        <w:spacing w:after="0" w:line="25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00" w:right="60" w:hanging="135"/>
        <w:spacing w:after="0" w:line="252"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3"/>
          <w:szCs w:val="13"/>
          <w:color w:val="auto"/>
        </w:rPr>
      </w:pPr>
    </w:p>
    <w:p>
      <w:pPr>
        <w:ind w:left="400" w:right="80" w:hanging="135"/>
        <w:spacing w:after="0" w:line="265"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08" w:lineRule="exact"/>
        <w:rPr>
          <w:rFonts w:ascii="Arial" w:cs="Arial" w:eastAsia="Arial" w:hAnsi="Arial"/>
          <w:sz w:val="13"/>
          <w:szCs w:val="13"/>
          <w:color w:val="auto"/>
        </w:rPr>
      </w:pPr>
    </w:p>
    <w:p>
      <w:pPr>
        <w:ind w:left="780" w:right="440" w:hanging="112"/>
        <w:spacing w:after="0" w:line="277" w:lineRule="auto"/>
        <w:tabs>
          <w:tab w:leader="none" w:pos="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2"/>
          <w:szCs w:val="12"/>
          <w:color w:val="auto"/>
        </w:rPr>
      </w:pPr>
    </w:p>
    <w:p>
      <w:pPr>
        <w:ind w:left="780" w:hanging="122"/>
        <w:spacing w:after="0" w:line="252" w:lineRule="auto"/>
        <w:tabs>
          <w:tab w:leader="none" w:pos="780"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780" w:right="80" w:hanging="112"/>
        <w:spacing w:after="0" w:line="252" w:lineRule="auto"/>
        <w:tabs>
          <w:tab w:leader="none" w:pos="780" w:val="left"/>
        </w:tabs>
        <w:numPr>
          <w:ilvl w:val="1"/>
          <w:numId w:val="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Arial" w:cs="Arial" w:eastAsia="Arial" w:hAnsi="Arial"/>
          <w:sz w:val="13"/>
          <w:szCs w:val="13"/>
          <w:color w:val="auto"/>
        </w:rPr>
      </w:pPr>
    </w:p>
    <w:p>
      <w:pPr>
        <w:ind w:left="780" w:right="120" w:hanging="122"/>
        <w:spacing w:after="0" w:line="265" w:lineRule="auto"/>
        <w:tabs>
          <w:tab w:leader="none" w:pos="780"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Arial" w:cs="Arial" w:eastAsia="Arial" w:hAnsi="Arial"/>
          <w:sz w:val="13"/>
          <w:szCs w:val="13"/>
          <w:color w:val="auto"/>
        </w:rPr>
      </w:pPr>
    </w:p>
    <w:p>
      <w:pPr>
        <w:ind w:left="400" w:right="60" w:hanging="135"/>
        <w:spacing w:after="0" w:line="273"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2" w:lineRule="exact"/>
        <w:rPr>
          <w:rFonts w:ascii="Arial" w:cs="Arial" w:eastAsia="Arial" w:hAnsi="Arial"/>
          <w:sz w:val="13"/>
          <w:szCs w:val="13"/>
          <w:color w:val="auto"/>
        </w:rPr>
      </w:pPr>
    </w:p>
    <w:p>
      <w:pPr>
        <w:ind w:left="780" w:right="340" w:hanging="112"/>
        <w:spacing w:after="0" w:line="256" w:lineRule="auto"/>
        <w:tabs>
          <w:tab w:leader="none" w:pos="780" w:val="left"/>
        </w:tabs>
        <w:numPr>
          <w:ilvl w:val="1"/>
          <w:numId w:val="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780" w:hanging="122"/>
        <w:spacing w:after="0"/>
        <w:tabs>
          <w:tab w:leader="none" w:pos="780" w:val="left"/>
        </w:tabs>
        <w:numPr>
          <w:ilvl w:val="1"/>
          <w:numId w:val="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400"/>
        <w:spacing w:after="0"/>
        <w:rPr>
          <w:sz w:val="20"/>
          <w:szCs w:val="20"/>
          <w:color w:val="auto"/>
        </w:rPr>
      </w:pPr>
      <w:r>
        <w:rPr>
          <w:rFonts w:ascii="Arial" w:cs="Arial" w:eastAsia="Arial" w:hAnsi="Arial"/>
          <w:sz w:val="12"/>
          <w:szCs w:val="12"/>
          <w:u w:val="single" w:color="auto"/>
          <w:color w:val="auto"/>
        </w:rPr>
        <w:t>/S/ Steven D. Davis</w:t>
      </w:r>
    </w:p>
    <w:p>
      <w:pPr>
        <w:spacing w:after="0" w:line="157" w:lineRule="exact"/>
        <w:rPr>
          <w:sz w:val="20"/>
          <w:szCs w:val="20"/>
          <w:color w:val="auto"/>
        </w:rPr>
      </w:pPr>
    </w:p>
    <w:p>
      <w:pPr>
        <w:ind w:left="10560"/>
        <w:spacing w:after="0"/>
        <w:rPr>
          <w:sz w:val="20"/>
          <w:szCs w:val="20"/>
          <w:color w:val="auto"/>
        </w:rPr>
      </w:pPr>
      <w:r>
        <w:rPr>
          <w:rFonts w:ascii="Arial" w:cs="Arial" w:eastAsia="Arial" w:hAnsi="Arial"/>
          <w:sz w:val="12"/>
          <w:szCs w:val="12"/>
          <w:color w:val="auto"/>
        </w:rPr>
        <w:t>Steven D. Davis</w:t>
      </w:r>
    </w:p>
    <w:p>
      <w:pPr>
        <w:spacing w:after="0" w:line="157"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60"/>
          </w:cols>
          <w:pgMar w:left="220" w:top="134" w:right="219" w:bottom="1440" w:gutter="0" w:footer="0" w:header="0"/>
        </w:sectPr>
      </w:pPr>
    </w:p>
    <w:bookmarkStart w:id="18" w:name="page19"/>
    <w:bookmarkEnd w:id="18"/>
    <w:p>
      <w:pPr>
        <w:ind w:left="10700"/>
        <w:spacing w:after="0"/>
        <w:rPr>
          <w:sz w:val="20"/>
          <w:szCs w:val="20"/>
          <w:color w:val="auto"/>
        </w:rPr>
      </w:pPr>
      <w:r>
        <w:rPr>
          <w:rFonts w:ascii="Arial" w:cs="Arial" w:eastAsia="Arial" w:hAnsi="Arial"/>
          <w:sz w:val="12"/>
          <w:szCs w:val="12"/>
          <w:color w:val="auto"/>
        </w:rPr>
        <w:t>EXHIBIT 31.3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I, Edwin A. Guiles, certify that:</w:t>
      </w:r>
    </w:p>
    <w:p>
      <w:pPr>
        <w:spacing w:after="0" w:line="136" w:lineRule="exact"/>
        <w:rPr>
          <w:sz w:val="20"/>
          <w:szCs w:val="20"/>
          <w:color w:val="auto"/>
        </w:rPr>
      </w:pPr>
    </w:p>
    <w:p>
      <w:pPr>
        <w:ind w:left="400" w:hanging="135"/>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Southern California Gas Company;</w:t>
      </w:r>
    </w:p>
    <w:p>
      <w:pPr>
        <w:spacing w:after="0" w:line="136" w:lineRule="exact"/>
        <w:rPr>
          <w:rFonts w:ascii="Arial" w:cs="Arial" w:eastAsia="Arial" w:hAnsi="Arial"/>
          <w:sz w:val="13"/>
          <w:szCs w:val="13"/>
          <w:color w:val="auto"/>
        </w:rPr>
      </w:pPr>
    </w:p>
    <w:p>
      <w:pPr>
        <w:ind w:left="400" w:hanging="135"/>
        <w:spacing w:after="0" w:line="25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00" w:right="60" w:hanging="135"/>
        <w:spacing w:after="0" w:line="252"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3"/>
          <w:szCs w:val="13"/>
          <w:color w:val="auto"/>
        </w:rPr>
      </w:pPr>
    </w:p>
    <w:p>
      <w:pPr>
        <w:ind w:left="400" w:right="80" w:hanging="135"/>
        <w:spacing w:after="0" w:line="265"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08" w:lineRule="exact"/>
        <w:rPr>
          <w:rFonts w:ascii="Arial" w:cs="Arial" w:eastAsia="Arial" w:hAnsi="Arial"/>
          <w:sz w:val="13"/>
          <w:szCs w:val="13"/>
          <w:color w:val="auto"/>
        </w:rPr>
      </w:pPr>
    </w:p>
    <w:p>
      <w:pPr>
        <w:ind w:left="780" w:right="440" w:hanging="112"/>
        <w:spacing w:after="0" w:line="277" w:lineRule="auto"/>
        <w:tabs>
          <w:tab w:leader="none" w:pos="780" w:val="left"/>
        </w:tabs>
        <w:numPr>
          <w:ilvl w:val="1"/>
          <w:numId w:val="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2"/>
          <w:szCs w:val="12"/>
          <w:color w:val="auto"/>
        </w:rPr>
      </w:pPr>
    </w:p>
    <w:p>
      <w:pPr>
        <w:ind w:left="780" w:hanging="122"/>
        <w:spacing w:after="0" w:line="252" w:lineRule="auto"/>
        <w:tabs>
          <w:tab w:leader="none" w:pos="780" w:val="left"/>
        </w:tabs>
        <w:numPr>
          <w:ilvl w:val="1"/>
          <w:numId w:val="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780" w:right="80" w:hanging="112"/>
        <w:spacing w:after="0" w:line="252" w:lineRule="auto"/>
        <w:tabs>
          <w:tab w:leader="none" w:pos="780" w:val="left"/>
        </w:tabs>
        <w:numPr>
          <w:ilvl w:val="1"/>
          <w:numId w:val="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Arial" w:cs="Arial" w:eastAsia="Arial" w:hAnsi="Arial"/>
          <w:sz w:val="13"/>
          <w:szCs w:val="13"/>
          <w:color w:val="auto"/>
        </w:rPr>
      </w:pPr>
    </w:p>
    <w:p>
      <w:pPr>
        <w:ind w:left="780" w:right="120" w:hanging="122"/>
        <w:spacing w:after="0" w:line="265" w:lineRule="auto"/>
        <w:tabs>
          <w:tab w:leader="none" w:pos="780" w:val="left"/>
        </w:tabs>
        <w:numPr>
          <w:ilvl w:val="1"/>
          <w:numId w:val="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Arial" w:cs="Arial" w:eastAsia="Arial" w:hAnsi="Arial"/>
          <w:sz w:val="13"/>
          <w:szCs w:val="13"/>
          <w:color w:val="auto"/>
        </w:rPr>
      </w:pPr>
    </w:p>
    <w:p>
      <w:pPr>
        <w:ind w:left="400" w:right="60" w:hanging="135"/>
        <w:spacing w:after="0" w:line="273"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2" w:lineRule="exact"/>
        <w:rPr>
          <w:rFonts w:ascii="Arial" w:cs="Arial" w:eastAsia="Arial" w:hAnsi="Arial"/>
          <w:sz w:val="13"/>
          <w:szCs w:val="13"/>
          <w:color w:val="auto"/>
        </w:rPr>
      </w:pPr>
    </w:p>
    <w:p>
      <w:pPr>
        <w:ind w:left="780" w:right="340" w:hanging="112"/>
        <w:spacing w:after="0" w:line="256" w:lineRule="auto"/>
        <w:tabs>
          <w:tab w:leader="none" w:pos="780" w:val="left"/>
        </w:tabs>
        <w:numPr>
          <w:ilvl w:val="1"/>
          <w:numId w:val="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780" w:hanging="122"/>
        <w:spacing w:after="0"/>
        <w:tabs>
          <w:tab w:leader="none" w:pos="780" w:val="left"/>
        </w:tabs>
        <w:numPr>
          <w:ilvl w:val="1"/>
          <w:numId w:val="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2"/>
          <w:szCs w:val="12"/>
          <w:u w:val="single" w:color="auto"/>
          <w:color w:val="auto"/>
        </w:rPr>
        <w:t>/S/ Edwin A. Guiles</w:t>
      </w:r>
    </w:p>
    <w:p>
      <w:pPr>
        <w:spacing w:after="0" w:line="157" w:lineRule="exact"/>
        <w:rPr>
          <w:sz w:val="20"/>
          <w:szCs w:val="20"/>
          <w:color w:val="auto"/>
        </w:rPr>
      </w:pPr>
    </w:p>
    <w:p>
      <w:pPr>
        <w:ind w:left="10540"/>
        <w:spacing w:after="0"/>
        <w:rPr>
          <w:sz w:val="20"/>
          <w:szCs w:val="20"/>
          <w:color w:val="auto"/>
        </w:rPr>
      </w:pPr>
      <w:r>
        <w:rPr>
          <w:rFonts w:ascii="Arial" w:cs="Arial" w:eastAsia="Arial" w:hAnsi="Arial"/>
          <w:sz w:val="13"/>
          <w:szCs w:val="13"/>
          <w:color w:val="auto"/>
        </w:rPr>
        <w:t>Edwin A. Guiles</w:t>
      </w:r>
    </w:p>
    <w:p>
      <w:pPr>
        <w:spacing w:after="0" w:line="146" w:lineRule="exact"/>
        <w:rPr>
          <w:sz w:val="20"/>
          <w:szCs w:val="20"/>
          <w:color w:val="auto"/>
        </w:rPr>
      </w:pPr>
    </w:p>
    <w:p>
      <w:pPr>
        <w:ind w:left="1018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60"/>
          </w:cols>
          <w:pgMar w:left="220" w:top="134" w:right="219" w:bottom="1440" w:gutter="0" w:footer="0" w:header="0"/>
        </w:sectPr>
      </w:pPr>
    </w:p>
    <w:bookmarkStart w:id="19" w:name="page20"/>
    <w:bookmarkEnd w:id="19"/>
    <w:p>
      <w:pPr>
        <w:ind w:left="10700"/>
        <w:spacing w:after="0"/>
        <w:rPr>
          <w:sz w:val="20"/>
          <w:szCs w:val="20"/>
          <w:color w:val="auto"/>
        </w:rPr>
      </w:pPr>
      <w:r>
        <w:rPr>
          <w:rFonts w:ascii="Arial" w:cs="Arial" w:eastAsia="Arial" w:hAnsi="Arial"/>
          <w:sz w:val="12"/>
          <w:szCs w:val="12"/>
          <w:color w:val="auto"/>
        </w:rPr>
        <w:t>EXHIBIT 31.4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I, Steven D. Davis, certify that:</w:t>
      </w:r>
    </w:p>
    <w:p>
      <w:pPr>
        <w:spacing w:after="0" w:line="136" w:lineRule="exact"/>
        <w:rPr>
          <w:sz w:val="20"/>
          <w:szCs w:val="20"/>
          <w:color w:val="auto"/>
        </w:rPr>
      </w:pPr>
    </w:p>
    <w:p>
      <w:pPr>
        <w:ind w:left="400" w:hanging="135"/>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Southern California Gas Company;</w:t>
      </w:r>
    </w:p>
    <w:p>
      <w:pPr>
        <w:spacing w:after="0" w:line="136" w:lineRule="exact"/>
        <w:rPr>
          <w:rFonts w:ascii="Arial" w:cs="Arial" w:eastAsia="Arial" w:hAnsi="Arial"/>
          <w:sz w:val="13"/>
          <w:szCs w:val="13"/>
          <w:color w:val="auto"/>
        </w:rPr>
      </w:pPr>
    </w:p>
    <w:p>
      <w:pPr>
        <w:ind w:left="400" w:hanging="135"/>
        <w:spacing w:after="0" w:line="256"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00" w:right="60" w:hanging="135"/>
        <w:spacing w:after="0" w:line="252"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3"/>
          <w:szCs w:val="13"/>
          <w:color w:val="auto"/>
        </w:rPr>
      </w:pPr>
    </w:p>
    <w:p>
      <w:pPr>
        <w:ind w:left="400" w:right="80" w:hanging="135"/>
        <w:spacing w:after="0" w:line="265"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08" w:lineRule="exact"/>
        <w:rPr>
          <w:rFonts w:ascii="Arial" w:cs="Arial" w:eastAsia="Arial" w:hAnsi="Arial"/>
          <w:sz w:val="13"/>
          <w:szCs w:val="13"/>
          <w:color w:val="auto"/>
        </w:rPr>
      </w:pPr>
    </w:p>
    <w:p>
      <w:pPr>
        <w:ind w:left="780" w:right="440" w:hanging="112"/>
        <w:spacing w:after="0" w:line="277" w:lineRule="auto"/>
        <w:tabs>
          <w:tab w:leader="none" w:pos="780" w:val="left"/>
        </w:tabs>
        <w:numPr>
          <w:ilvl w:val="1"/>
          <w:numId w:val="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2"/>
          <w:szCs w:val="12"/>
          <w:color w:val="auto"/>
        </w:rPr>
      </w:pPr>
    </w:p>
    <w:p>
      <w:pPr>
        <w:ind w:left="780" w:hanging="122"/>
        <w:spacing w:after="0" w:line="252" w:lineRule="auto"/>
        <w:tabs>
          <w:tab w:leader="none" w:pos="780" w:val="left"/>
        </w:tabs>
        <w:numPr>
          <w:ilvl w:val="1"/>
          <w:numId w:val="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780" w:right="80" w:hanging="112"/>
        <w:spacing w:after="0" w:line="252" w:lineRule="auto"/>
        <w:tabs>
          <w:tab w:leader="none" w:pos="780" w:val="left"/>
        </w:tabs>
        <w:numPr>
          <w:ilvl w:val="1"/>
          <w:numId w:val="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Arial" w:cs="Arial" w:eastAsia="Arial" w:hAnsi="Arial"/>
          <w:sz w:val="13"/>
          <w:szCs w:val="13"/>
          <w:color w:val="auto"/>
        </w:rPr>
      </w:pPr>
    </w:p>
    <w:p>
      <w:pPr>
        <w:ind w:left="780" w:right="120" w:hanging="122"/>
        <w:spacing w:after="0" w:line="265" w:lineRule="auto"/>
        <w:tabs>
          <w:tab w:leader="none" w:pos="780" w:val="left"/>
        </w:tabs>
        <w:numPr>
          <w:ilvl w:val="1"/>
          <w:numId w:val="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Arial" w:cs="Arial" w:eastAsia="Arial" w:hAnsi="Arial"/>
          <w:sz w:val="13"/>
          <w:szCs w:val="13"/>
          <w:color w:val="auto"/>
        </w:rPr>
      </w:pPr>
    </w:p>
    <w:p>
      <w:pPr>
        <w:ind w:left="400" w:right="60" w:hanging="135"/>
        <w:spacing w:after="0" w:line="273"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2" w:lineRule="exact"/>
        <w:rPr>
          <w:rFonts w:ascii="Arial" w:cs="Arial" w:eastAsia="Arial" w:hAnsi="Arial"/>
          <w:sz w:val="13"/>
          <w:szCs w:val="13"/>
          <w:color w:val="auto"/>
        </w:rPr>
      </w:pPr>
    </w:p>
    <w:p>
      <w:pPr>
        <w:ind w:left="780" w:right="340" w:hanging="112"/>
        <w:spacing w:after="0" w:line="256" w:lineRule="auto"/>
        <w:tabs>
          <w:tab w:leader="none" w:pos="780" w:val="left"/>
        </w:tabs>
        <w:numPr>
          <w:ilvl w:val="1"/>
          <w:numId w:val="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780" w:hanging="122"/>
        <w:spacing w:after="0"/>
        <w:tabs>
          <w:tab w:leader="none" w:pos="780" w:val="left"/>
        </w:tabs>
        <w:numPr>
          <w:ilvl w:val="1"/>
          <w:numId w:val="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400"/>
        <w:spacing w:after="0"/>
        <w:rPr>
          <w:sz w:val="20"/>
          <w:szCs w:val="20"/>
          <w:color w:val="auto"/>
        </w:rPr>
      </w:pPr>
      <w:r>
        <w:rPr>
          <w:rFonts w:ascii="Arial" w:cs="Arial" w:eastAsia="Arial" w:hAnsi="Arial"/>
          <w:sz w:val="12"/>
          <w:szCs w:val="12"/>
          <w:u w:val="single" w:color="auto"/>
          <w:color w:val="auto"/>
        </w:rPr>
        <w:t>/S/ Steven D. Davis</w:t>
      </w:r>
    </w:p>
    <w:p>
      <w:pPr>
        <w:spacing w:after="0" w:line="157" w:lineRule="exact"/>
        <w:rPr>
          <w:sz w:val="20"/>
          <w:szCs w:val="20"/>
          <w:color w:val="auto"/>
        </w:rPr>
      </w:pPr>
    </w:p>
    <w:p>
      <w:pPr>
        <w:ind w:left="10560"/>
        <w:spacing w:after="0"/>
        <w:rPr>
          <w:sz w:val="20"/>
          <w:szCs w:val="20"/>
          <w:color w:val="auto"/>
        </w:rPr>
      </w:pPr>
      <w:r>
        <w:rPr>
          <w:rFonts w:ascii="Arial" w:cs="Arial" w:eastAsia="Arial" w:hAnsi="Arial"/>
          <w:sz w:val="12"/>
          <w:szCs w:val="12"/>
          <w:color w:val="auto"/>
        </w:rPr>
        <w:t>Steven D. Davis</w:t>
      </w:r>
    </w:p>
    <w:p>
      <w:pPr>
        <w:spacing w:after="0" w:line="157"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60"/>
          </w:cols>
          <w:pgMar w:left="220" w:top="134" w:right="219" w:bottom="1440" w:gutter="0" w:footer="0" w:header="0"/>
        </w:sectPr>
      </w:pPr>
    </w:p>
    <w:bookmarkStart w:id="20" w:name="page21"/>
    <w:bookmarkEnd w:id="20"/>
    <w:p>
      <w:pPr>
        <w:jc w:val="right"/>
        <w:spacing w:after="0"/>
        <w:rPr>
          <w:sz w:val="20"/>
          <w:szCs w:val="20"/>
          <w:color w:val="auto"/>
        </w:rPr>
      </w:pPr>
      <w:r>
        <w:rPr>
          <w:rFonts w:ascii="Arial" w:cs="Arial" w:eastAsia="Arial" w:hAnsi="Arial"/>
          <w:sz w:val="13"/>
          <w:szCs w:val="13"/>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Statement of 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Pursuant to 18 U.S.C. Sec 1350, as created by Section 906 of the Sarbanes-Oxley Act of 2002, the undersigned Chief Executive Officer of Pacific Enterprises (the "Company") certifies that:</w:t>
      </w:r>
    </w:p>
    <w:p>
      <w:pPr>
        <w:spacing w:after="0" w:line="136" w:lineRule="exact"/>
        <w:rPr>
          <w:sz w:val="20"/>
          <w:szCs w:val="20"/>
          <w:color w:val="auto"/>
        </w:rPr>
      </w:pPr>
    </w:p>
    <w:p>
      <w:pPr>
        <w:ind w:left="780" w:right="120" w:hanging="97"/>
        <w:spacing w:after="0" w:line="256" w:lineRule="auto"/>
        <w:rPr>
          <w:sz w:val="20"/>
          <w:szCs w:val="20"/>
          <w:color w:val="auto"/>
        </w:rPr>
      </w:pPr>
      <w:r>
        <w:rPr>
          <w:rFonts w:ascii="Arial" w:cs="Arial" w:eastAsia="Arial" w:hAnsi="Arial"/>
          <w:sz w:val="13"/>
          <w:szCs w:val="13"/>
          <w:color w:val="auto"/>
        </w:rPr>
        <w:t>i. the Quarterly Report on Form 10-Q of the Company filed with the Securities and Exchange Commission for the quarter ended June 30,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780" w:hanging="131"/>
        <w:spacing w:after="0"/>
        <w:tabs>
          <w:tab w:leader="none" w:pos="7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information contained in the Quarterly Report fairly presents, in all material respects, the financial condition and results of operations of the Company.</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2"/>
          <w:szCs w:val="12"/>
          <w:u w:val="single" w:color="auto"/>
          <w:color w:val="auto"/>
        </w:rPr>
        <w:t>/S/ Edwin A. Guiles</w:t>
      </w:r>
    </w:p>
    <w:p>
      <w:pPr>
        <w:spacing w:after="0" w:line="157" w:lineRule="exact"/>
        <w:rPr>
          <w:sz w:val="20"/>
          <w:szCs w:val="20"/>
          <w:color w:val="auto"/>
        </w:rPr>
      </w:pPr>
    </w:p>
    <w:p>
      <w:pPr>
        <w:ind w:left="10540"/>
        <w:spacing w:after="0"/>
        <w:rPr>
          <w:sz w:val="20"/>
          <w:szCs w:val="20"/>
          <w:color w:val="auto"/>
        </w:rPr>
      </w:pPr>
      <w:r>
        <w:rPr>
          <w:rFonts w:ascii="Arial" w:cs="Arial" w:eastAsia="Arial" w:hAnsi="Arial"/>
          <w:sz w:val="13"/>
          <w:szCs w:val="13"/>
          <w:color w:val="auto"/>
        </w:rPr>
        <w:t>Edwin A. Guiles</w:t>
      </w:r>
    </w:p>
    <w:p>
      <w:pPr>
        <w:spacing w:after="0" w:line="146" w:lineRule="exact"/>
        <w:rPr>
          <w:sz w:val="20"/>
          <w:szCs w:val="20"/>
          <w:color w:val="auto"/>
        </w:rPr>
      </w:pPr>
    </w:p>
    <w:p>
      <w:pPr>
        <w:ind w:left="1018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60"/>
          </w:cols>
          <w:pgMar w:left="220" w:top="134" w:right="21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Statement of 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Pursuant to 18 U.S.C. Sec 1350, as created by Section 906 of the Sarbanes-Oxley Act of 2002, the undersigned Chief Financial Officer of Pacific Enterprises (the "Company") certifies that:</w:t>
      </w:r>
    </w:p>
    <w:p>
      <w:pPr>
        <w:spacing w:after="0" w:line="136" w:lineRule="exact"/>
        <w:rPr>
          <w:sz w:val="20"/>
          <w:szCs w:val="20"/>
          <w:color w:val="auto"/>
        </w:rPr>
      </w:pPr>
    </w:p>
    <w:p>
      <w:pPr>
        <w:ind w:left="780" w:right="120" w:hanging="97"/>
        <w:spacing w:after="0" w:line="256" w:lineRule="auto"/>
        <w:rPr>
          <w:sz w:val="20"/>
          <w:szCs w:val="20"/>
          <w:color w:val="auto"/>
        </w:rPr>
      </w:pPr>
      <w:r>
        <w:rPr>
          <w:rFonts w:ascii="Arial" w:cs="Arial" w:eastAsia="Arial" w:hAnsi="Arial"/>
          <w:sz w:val="13"/>
          <w:szCs w:val="13"/>
          <w:color w:val="auto"/>
        </w:rPr>
        <w:t>i. the Quarterly Report on Form 10-Q of the Company filed with the Securities and Exchange Commission for the quarter ended June 30,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780" w:hanging="131"/>
        <w:spacing w:after="0"/>
        <w:tabs>
          <w:tab w:leader="none" w:pos="7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information contained in the Quarterly Report fairly presents, in all material respects, the financial condition and results of operations of the Company.</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400"/>
        <w:spacing w:after="0"/>
        <w:rPr>
          <w:sz w:val="20"/>
          <w:szCs w:val="20"/>
          <w:color w:val="auto"/>
        </w:rPr>
      </w:pPr>
      <w:r>
        <w:rPr>
          <w:rFonts w:ascii="Arial" w:cs="Arial" w:eastAsia="Arial" w:hAnsi="Arial"/>
          <w:sz w:val="12"/>
          <w:szCs w:val="12"/>
          <w:u w:val="single" w:color="auto"/>
          <w:color w:val="auto"/>
        </w:rPr>
        <w:t>/S/ Steven D. Davis</w:t>
      </w:r>
    </w:p>
    <w:p>
      <w:pPr>
        <w:spacing w:after="0" w:line="157" w:lineRule="exact"/>
        <w:rPr>
          <w:sz w:val="20"/>
          <w:szCs w:val="20"/>
          <w:color w:val="auto"/>
        </w:rPr>
      </w:pPr>
    </w:p>
    <w:p>
      <w:pPr>
        <w:ind w:left="10560"/>
        <w:spacing w:after="0"/>
        <w:rPr>
          <w:sz w:val="20"/>
          <w:szCs w:val="20"/>
          <w:color w:val="auto"/>
        </w:rPr>
      </w:pPr>
      <w:r>
        <w:rPr>
          <w:rFonts w:ascii="Arial" w:cs="Arial" w:eastAsia="Arial" w:hAnsi="Arial"/>
          <w:sz w:val="12"/>
          <w:szCs w:val="12"/>
          <w:color w:val="auto"/>
        </w:rPr>
        <w:t>Steven D. Davis</w:t>
      </w:r>
    </w:p>
    <w:p>
      <w:pPr>
        <w:spacing w:after="0" w:line="157"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60"/>
          </w:cols>
          <w:pgMar w:left="220" w:top="134"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color w:val="auto"/>
        </w:rPr>
        <w:t>Exhibit 32.3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Statement of 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Pursuant to 18 U.S.C. Sec 1350, as created by Section 906 of the Sarbanes-Oxley Act of 2002, the undersigned Chief Executive Officer of Southern California Gas Company (the "Company") certifies that:</w:t>
      </w:r>
    </w:p>
    <w:p>
      <w:pPr>
        <w:spacing w:after="0" w:line="148" w:lineRule="exact"/>
        <w:rPr>
          <w:sz w:val="20"/>
          <w:szCs w:val="20"/>
          <w:color w:val="auto"/>
        </w:rPr>
      </w:pPr>
    </w:p>
    <w:p>
      <w:pPr>
        <w:ind w:left="780" w:right="120" w:hanging="97"/>
        <w:spacing w:after="0" w:line="256" w:lineRule="auto"/>
        <w:rPr>
          <w:sz w:val="20"/>
          <w:szCs w:val="20"/>
          <w:color w:val="auto"/>
        </w:rPr>
      </w:pPr>
      <w:r>
        <w:rPr>
          <w:rFonts w:ascii="Arial" w:cs="Arial" w:eastAsia="Arial" w:hAnsi="Arial"/>
          <w:sz w:val="13"/>
          <w:szCs w:val="13"/>
          <w:color w:val="auto"/>
        </w:rPr>
        <w:t>i. the Quarterly Report on Form 10-Q of the Company filed with the Securities and Exchange Commission for the quarter ended June 30,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780" w:hanging="131"/>
        <w:spacing w:after="0"/>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information contained in the Quarterly Report fairly presents, in all material respects, the financial condition and results of operations of the Company.</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2"/>
          <w:szCs w:val="12"/>
          <w:u w:val="single" w:color="auto"/>
          <w:color w:val="auto"/>
        </w:rPr>
        <w:t>/S/ Edwin A. Guiles</w:t>
      </w:r>
    </w:p>
    <w:p>
      <w:pPr>
        <w:spacing w:after="0" w:line="157" w:lineRule="exact"/>
        <w:rPr>
          <w:sz w:val="20"/>
          <w:szCs w:val="20"/>
          <w:color w:val="auto"/>
        </w:rPr>
      </w:pPr>
    </w:p>
    <w:p>
      <w:pPr>
        <w:ind w:left="10540"/>
        <w:spacing w:after="0"/>
        <w:rPr>
          <w:sz w:val="20"/>
          <w:szCs w:val="20"/>
          <w:color w:val="auto"/>
        </w:rPr>
      </w:pPr>
      <w:r>
        <w:rPr>
          <w:rFonts w:ascii="Arial" w:cs="Arial" w:eastAsia="Arial" w:hAnsi="Arial"/>
          <w:sz w:val="13"/>
          <w:szCs w:val="13"/>
          <w:color w:val="auto"/>
        </w:rPr>
        <w:t>Edwin A. Guiles</w:t>
      </w:r>
    </w:p>
    <w:p>
      <w:pPr>
        <w:spacing w:after="0" w:line="146" w:lineRule="exact"/>
        <w:rPr>
          <w:sz w:val="20"/>
          <w:szCs w:val="20"/>
          <w:color w:val="auto"/>
        </w:rPr>
      </w:pPr>
    </w:p>
    <w:p>
      <w:pPr>
        <w:ind w:left="1018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60"/>
          </w:cols>
          <w:pgMar w:left="220" w:top="134"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color w:val="auto"/>
        </w:rPr>
        <w:t>Exhibit 32.4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Statement of 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Pursuant to 18 U.S.C. Sec 1350, as created by Section 906 of the Sarbanes-Oxley Act of 2002, the undersigned Chief Financial Officer of Southern California Gas Company (the "Company") certifies that:</w:t>
      </w:r>
    </w:p>
    <w:p>
      <w:pPr>
        <w:spacing w:after="0" w:line="148" w:lineRule="exact"/>
        <w:rPr>
          <w:sz w:val="20"/>
          <w:szCs w:val="20"/>
          <w:color w:val="auto"/>
        </w:rPr>
      </w:pPr>
    </w:p>
    <w:p>
      <w:pPr>
        <w:ind w:left="780" w:right="120" w:hanging="97"/>
        <w:spacing w:after="0" w:line="256" w:lineRule="auto"/>
        <w:rPr>
          <w:sz w:val="20"/>
          <w:szCs w:val="20"/>
          <w:color w:val="auto"/>
        </w:rPr>
      </w:pPr>
      <w:r>
        <w:rPr>
          <w:rFonts w:ascii="Arial" w:cs="Arial" w:eastAsia="Arial" w:hAnsi="Arial"/>
          <w:sz w:val="13"/>
          <w:szCs w:val="13"/>
          <w:color w:val="auto"/>
        </w:rPr>
        <w:t>i. the Quarterly Report on Form 10-Q of the Company filed with the Securities and Exchange Commission for the quarter ended June 30,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780" w:hanging="131"/>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information contained in the Quarterly Report fairly presents, in all material respects, the financial condition and results of operations of the Company.</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August 3, 2006</w:t>
      </w:r>
    </w:p>
    <w:p>
      <w:pPr>
        <w:spacing w:after="0" w:line="234" w:lineRule="exact"/>
        <w:rPr>
          <w:sz w:val="20"/>
          <w:szCs w:val="20"/>
          <w:color w:val="auto"/>
        </w:rPr>
      </w:pPr>
    </w:p>
    <w:p>
      <w:pPr>
        <w:ind w:left="10400"/>
        <w:spacing w:after="0"/>
        <w:rPr>
          <w:sz w:val="20"/>
          <w:szCs w:val="20"/>
          <w:color w:val="auto"/>
        </w:rPr>
      </w:pPr>
      <w:r>
        <w:rPr>
          <w:rFonts w:ascii="Arial" w:cs="Arial" w:eastAsia="Arial" w:hAnsi="Arial"/>
          <w:sz w:val="12"/>
          <w:szCs w:val="12"/>
          <w:u w:val="single" w:color="auto"/>
          <w:color w:val="auto"/>
        </w:rPr>
        <w:t>/S/ Steven D. Davis</w:t>
      </w:r>
    </w:p>
    <w:p>
      <w:pPr>
        <w:spacing w:after="0" w:line="157" w:lineRule="exact"/>
        <w:rPr>
          <w:sz w:val="20"/>
          <w:szCs w:val="20"/>
          <w:color w:val="auto"/>
        </w:rPr>
      </w:pPr>
    </w:p>
    <w:p>
      <w:pPr>
        <w:ind w:left="10560"/>
        <w:spacing w:after="0"/>
        <w:rPr>
          <w:sz w:val="20"/>
          <w:szCs w:val="20"/>
          <w:color w:val="auto"/>
        </w:rPr>
      </w:pPr>
      <w:r>
        <w:rPr>
          <w:rFonts w:ascii="Arial" w:cs="Arial" w:eastAsia="Arial" w:hAnsi="Arial"/>
          <w:sz w:val="12"/>
          <w:szCs w:val="12"/>
          <w:color w:val="auto"/>
        </w:rPr>
        <w:t>Steven D. Davis</w:t>
      </w:r>
    </w:p>
    <w:p>
      <w:pPr>
        <w:spacing w:after="0" w:line="157"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Chief Financial Officer</w:t>
      </w:r>
    </w:p>
    <w:sectPr>
      <w:pgSz w:w="11900" w:h="16838" w:orient="portrait"/>
      <w:cols w:equalWidth="0" w:num="1">
        <w:col w:w="11460"/>
      </w:cols>
      <w:pgMar w:left="220" w:top="13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2019-12-12T10:08:50Z</dcterms:created>
  <dcterms:modified xsi:type="dcterms:W3CDTF">2019-12-12T10:08:50Z</dcterms:modified>
</cp:coreProperties>
</file>