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5.jpeg" ContentType="image/jpeg"/>
  <Override PartName="/word/media/image84.jpeg" ContentType="image/jpeg"/>
  <Override PartName="/word/media/image83.jpeg" ContentType="image/jpeg"/>
  <Override PartName="/word/media/image82.jpeg" ContentType="image/jpeg"/>
  <Override PartName="/word/media/image69.jpeg" ContentType="image/jpeg"/>
  <Override PartName="/word/media/image81.jpeg" ContentType="image/jpeg"/>
  <Override PartName="/word/media/image68.jpeg" ContentType="image/jpeg"/>
  <Override PartName="/word/media/image80.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86.jpeg" ContentType="image/jpeg"/>
  <Override PartName="/word/media/image50.jpeg" ContentType="image/jpeg"/>
  <Override PartName="/word/media/image62.jpeg" ContentType="image/jpeg"/>
  <Override PartName="/word/media/image49.jpeg" ContentType="image/jpeg"/>
  <Override PartName="/word/media/image61.jpeg" ContentType="image/jpeg"/>
  <Override PartName="/word/media/image48.jpeg" ContentType="image/jpeg"/>
  <Override PartName="/word/media/image60.jpeg" ContentType="image/jpeg"/>
  <Override PartName="/word/media/image47.jpeg" ContentType="image/jpeg"/>
  <Override PartName="/word/media/image72.jpeg" ContentType="image/jpeg"/>
  <Override PartName="/word/media/image59.jpeg" ContentType="image/jpeg"/>
  <Override PartName="/word/media/image16.jpeg" ContentType="image/jpeg"/>
  <Override PartName="/word/media/image46.jpeg" ContentType="image/jpeg"/>
  <Override PartName="/word/media/image71.jpeg" ContentType="image/jpeg"/>
  <Override PartName="/word/media/image58.jpeg" ContentType="image/jpeg"/>
  <Override PartName="/word/media/image15.jpeg" ContentType="image/jpeg"/>
  <Override PartName="/word/media/image45.jpeg" ContentType="image/jpeg"/>
  <Override PartName="/word/media/image70.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79.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78.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73.jpeg" ContentType="image/jpeg"/>
  <Override PartName="/word/media/image17.jpeg" ContentType="image/jpeg"/>
  <Override PartName="/word/media/image30.jpeg" ContentType="image/jpeg"/>
  <Override PartName="/word/media/image74.jpeg" ContentType="image/jpeg"/>
  <Override PartName="/word/media/image18.jpeg" ContentType="image/jpeg"/>
  <Override PartName="/word/media/image31.jpeg" ContentType="image/jpeg"/>
  <Override PartName="/word/media/image75.jpeg" ContentType="image/jpeg"/>
  <Override PartName="/word/media/image19.jpeg" ContentType="image/jpeg"/>
  <Override PartName="/word/media/image32.jpeg" ContentType="image/jpeg"/>
  <Override PartName="/word/media/image76.jpeg" ContentType="image/jpeg"/>
  <Override PartName="/word/media/image1.jpeg" ContentType="image/jpeg"/>
  <Override PartName="/word/media/image33.jpeg" ContentType="image/jpeg"/>
  <Override PartName="/word/media/image77.jpeg" ContentType="image/jpeg"/>
  <Override PartName="/word/media/image2.jpeg" ContentType="image/jpeg"/>
  <Override PartName="/word/media/image34.jpeg" ContentType="image/jpeg"/>
  <Override PartName="/word/media/image87.jpeg" ContentType="image/jpeg"/>
  <Override PartName="/word/media/image51.jpeg" ContentType="image/jpeg"/>
  <Override PartName="/word/media/image38.jpeg" ContentType="image/jpeg"/>
  <Override PartName="/word/media/image8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8157ddef14a.htm"/>
        <w:bookmarkStart w:id="1" w:name="ksd108157ddef14a"/>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UNITED STATES </w:t>
      </w:r>
    </w:p>
    <w:p>
      <w:pPr>
        <w:pStyle w:val="TextBody"/>
        <w:spacing w:before="40" w:after="0"/>
        <w:jc w:val="center"/>
        <w:rPr>
          <w:rFonts w:ascii="Times New Roman" w:hAnsi="Times New Roman"/>
          <w:b/>
          <w:sz w:val="20"/>
        </w:rPr>
      </w:pPr>
      <w:r>
        <w:rPr>
          <w:rFonts w:ascii="Times New Roman" w:hAnsi="Times New Roman"/>
          <w:b/>
          <w:sz w:val="20"/>
        </w:rPr>
        <w:t xml:space="preserve">SECURITIES AND EXCHANGE COMMISSION </w:t>
      </w:r>
    </w:p>
    <w:p>
      <w:pPr>
        <w:pStyle w:val="TextBody"/>
        <w:spacing w:before="40" w:after="0"/>
        <w:jc w:val="center"/>
        <w:rPr>
          <w:rFonts w:ascii="Times New Roman" w:hAnsi="Times New Roman"/>
          <w:sz w:val="20"/>
        </w:rPr>
      </w:pPr>
      <w:r>
        <w:rPr>
          <w:rFonts w:ascii="Times New Roman" w:hAnsi="Times New Roman"/>
          <w:sz w:val="20"/>
        </w:rPr>
        <w:t xml:space="preserve">Washington, D.C. 20549 </w:t>
      </w:r>
    </w:p>
    <w:p>
      <w:pPr>
        <w:pStyle w:val="TextBody"/>
        <w:spacing w:before="240" w:after="0"/>
        <w:jc w:val="center"/>
        <w:rPr>
          <w:rFonts w:ascii="Times New Roman" w:hAnsi="Times New Roman"/>
          <w:b/>
          <w:sz w:val="30"/>
        </w:rPr>
      </w:pPr>
      <w:r>
        <w:rPr>
          <w:rFonts w:ascii="Times New Roman" w:hAnsi="Times New Roman"/>
          <w:b/>
          <w:sz w:val="30"/>
        </w:rPr>
        <w:t xml:space="preserve">SCHEDULE 14A </w:t>
      </w:r>
    </w:p>
    <w:p>
      <w:pPr>
        <w:pStyle w:val="TextBody"/>
        <w:spacing w:before="240" w:after="0"/>
        <w:jc w:val="center"/>
        <w:rPr>
          <w:rFonts w:ascii="Times New Roman" w:hAnsi="Times New Roman"/>
          <w:b/>
          <w:sz w:val="20"/>
        </w:rPr>
      </w:pPr>
      <w:r>
        <w:rPr>
          <w:rFonts w:ascii="Times New Roman" w:hAnsi="Times New Roman"/>
          <w:b/>
          <w:sz w:val="20"/>
        </w:rPr>
        <w:t xml:space="preserve">Proxy Statement Pursuant to Section 14(a) of the Securities </w:t>
      </w:r>
    </w:p>
    <w:p>
      <w:pPr>
        <w:pStyle w:val="TextBody"/>
        <w:spacing w:before="240" w:after="0"/>
        <w:jc w:val="center"/>
        <w:rPr>
          <w:rFonts w:ascii="Times New Roman" w:hAnsi="Times New Roman"/>
          <w:b/>
          <w:sz w:val="20"/>
        </w:rPr>
      </w:pPr>
      <w:r>
        <w:rPr>
          <w:rFonts w:ascii="Times New Roman" w:hAnsi="Times New Roman"/>
          <w:b/>
          <w:sz w:val="20"/>
        </w:rPr>
        <w:t xml:space="preserve">Exchange Act of 1934 (Amendment No. )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vAlign w:val="bottom"/>
          </w:tcPr>
          <w:p>
            <w:pPr>
              <w:pStyle w:val="TableContents"/>
              <w:spacing w:before="0" w:after="283"/>
              <w:jc w:val="center"/>
              <w:rPr/>
            </w:pPr>
            <w:r>
              <w:rPr/>
              <w:drawing>
                <wp:inline distT="0" distB="0" distL="0" distR="0">
                  <wp:extent cx="20320"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20" cy="19050"/>
                          </a:xfrm>
                          <a:prstGeom prst="rect">
                            <a:avLst/>
                          </a:prstGeom>
                        </pic:spPr>
                      </pic:pic>
                    </a:graphicData>
                  </a:graphic>
                </wp:inline>
              </w:drawing>
            </w:r>
            <w:r>
              <w:rPr/>
              <w:t xml:space="preserve"> </w:t>
            </w:r>
            <w:r>
              <w:rPr/>
              <w:t>Filed by the Registrant</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jc w:val="center"/>
              <w:rPr/>
            </w:pPr>
            <w:r>
              <w:rPr/>
              <w:drawing>
                <wp:inline distT="0" distB="0" distL="0" distR="0">
                  <wp:extent cx="20320" cy="19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320" cy="19050"/>
                          </a:xfrm>
                          <a:prstGeom prst="rect">
                            <a:avLst/>
                          </a:prstGeom>
                        </pic:spPr>
                      </pic:pic>
                    </a:graphicData>
                  </a:graphic>
                </wp:inline>
              </w:drawing>
            </w:r>
            <w:r>
              <w:rPr/>
              <w:t xml:space="preserve"> </w:t>
            </w:r>
            <w:r>
              <w:rPr>
                <w:rFonts w:ascii="Times New Roman" w:hAnsi="Times New Roman"/>
                <w:sz w:val="20"/>
              </w:rPr>
              <w:t>Filed by a Party other than the</w:t>
            </w:r>
          </w:p>
          <w:p>
            <w:pPr>
              <w:pStyle w:val="TableContents"/>
              <w:spacing w:before="0" w:after="20"/>
              <w:jc w:val="center"/>
              <w:rPr>
                <w:rFonts w:ascii="Times New Roman" w:hAnsi="Times New Roman"/>
                <w:sz w:val="20"/>
              </w:rPr>
            </w:pPr>
            <w:r>
              <w:rPr>
                <w:rFonts w:ascii="Times New Roman" w:hAnsi="Times New Roman"/>
                <w:sz w:val="20"/>
              </w:rPr>
              <w:t>Registrant</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
        <w:gridCol w:w="304"/>
        <w:gridCol w:w="9391"/>
      </w:tblGrid>
      <w:tr>
        <w:trPr/>
        <w:tc>
          <w:tcPr>
            <w:tcW w:w="51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9391"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2" w:space="0" w:color="000000"/>
              <w:left w:val="single" w:sz="2" w:space="0" w:color="000000"/>
              <w:bottom w:val="single" w:sz="2" w:space="0" w:color="000000"/>
              <w:right w:val="single" w:sz="2" w:space="0" w:color="000000"/>
            </w:tcBorders>
            <w:shd w:fill="EFEFEF" w:val="clear"/>
            <w:tcMar>
              <w:top w:w="28" w:type="dxa"/>
              <w:left w:w="160" w:type="dxa"/>
              <w:bottom w:w="28" w:type="dxa"/>
              <w:right w:w="40" w:type="dxa"/>
            </w:tcMar>
            <w:vAlign w:val="bottom"/>
          </w:tcPr>
          <w:p>
            <w:pPr>
              <w:pStyle w:val="TableContents"/>
              <w:spacing w:before="0" w:after="283"/>
              <w:rPr>
                <w:b/>
                <w:sz w:val="24"/>
              </w:rPr>
            </w:pPr>
            <w:r>
              <w:rPr>
                <w:b/>
                <w:sz w:val="24"/>
              </w:rPr>
              <w:t>Check the appropriate box:</w:t>
            </w:r>
          </w:p>
        </w:tc>
      </w:tr>
      <w:tr>
        <w:trPr>
          <w:trHeight w:val="75" w:hRule="atLeast"/>
        </w:trPr>
        <w:tc>
          <w:tcPr>
            <w:tcW w:w="510" w:type="dxa"/>
            <w:tcBorders>
              <w:left w:val="single" w:sz="2" w:space="0" w:color="000000"/>
              <w:right w:val="single" w:sz="12" w:space="0" w:color="000000"/>
            </w:tcBorders>
            <w:shd w:fill="auto" w:val="clear"/>
            <w:tcMar>
              <w:left w:w="160" w:type="dxa"/>
              <w:right w:w="28" w:type="dxa"/>
            </w:tcMar>
            <w:vAlign w:val="center"/>
          </w:tcPr>
          <w:p>
            <w:pPr>
              <w:pStyle w:val="TableContents"/>
              <w:spacing w:before="0" w:after="283"/>
              <w:rPr/>
            </w:pPr>
            <w:r>
              <w:rPr/>
              <w:t> </w:t>
            </w:r>
          </w:p>
        </w:tc>
        <w:tc>
          <w:tcPr>
            <w:tcW w:w="9695"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510" w:type="dxa"/>
            <w:tcBorders>
              <w:left w:val="single" w:sz="2" w:space="0" w:color="000000"/>
              <w:bottom w:val="single" w:sz="12" w:space="0" w:color="000000"/>
              <w:right w:val="single" w:sz="12" w:space="0" w:color="000000"/>
            </w:tcBorders>
            <w:shd w:fill="auto" w:val="clear"/>
            <w:tcMar>
              <w:left w:w="160" w:type="dxa"/>
              <w:bottom w:w="28" w:type="dxa"/>
              <w:right w:w="28" w:type="dxa"/>
            </w:tcMar>
          </w:tcPr>
          <w:p>
            <w:pPr>
              <w:pStyle w:val="TableContents"/>
              <w:spacing w:before="0" w:after="283"/>
              <w:rPr/>
            </w:pPr>
            <w:r>
              <w:rPr/>
              <w:t xml:space="preserve">  </w:t>
            </w:r>
            <w:r>
              <w:rPr/>
              <w:drawing>
                <wp:inline distT="0" distB="0" distL="0" distR="0">
                  <wp:extent cx="20320" cy="19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320" cy="19050"/>
                          </a:xfrm>
                          <a:prstGeom prst="rect">
                            <a:avLst/>
                          </a:prstGeom>
                        </pic:spPr>
                      </pic:pic>
                    </a:graphicData>
                  </a:graphic>
                </wp:inline>
              </w:drawing>
            </w:r>
            <w:r>
              <w:rPr/>
              <w:t xml:space="preserve">  </w:t>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1" w:type="dxa"/>
            <w:tcBorders>
              <w:bottom w:val="single" w:sz="12" w:space="0" w:color="000000"/>
              <w:right w:val="single" w:sz="2" w:space="0" w:color="000000"/>
            </w:tcBorders>
            <w:shd w:fill="auto" w:val="clear"/>
            <w:tcMar>
              <w:bottom w:w="28" w:type="dxa"/>
              <w:right w:w="40" w:type="dxa"/>
            </w:tcMar>
          </w:tcPr>
          <w:p>
            <w:pPr>
              <w:pStyle w:val="TableContents"/>
              <w:spacing w:before="0" w:after="283"/>
              <w:rPr/>
            </w:pPr>
            <w:r>
              <w:rPr/>
              <w:t>Preliminary Proxy Statement</w:t>
            </w:r>
          </w:p>
        </w:tc>
      </w:tr>
      <w:tr>
        <w:trPr/>
        <w:tc>
          <w:tcPr>
            <w:tcW w:w="510" w:type="dxa"/>
            <w:tcBorders>
              <w:left w:val="single" w:sz="2" w:space="0" w:color="000000"/>
              <w:bottom w:val="single" w:sz="12" w:space="0" w:color="000000"/>
              <w:right w:val="single" w:sz="12" w:space="0" w:color="000000"/>
            </w:tcBorders>
            <w:shd w:fill="auto" w:val="clear"/>
            <w:tcMar>
              <w:left w:w="160" w:type="dxa"/>
              <w:bottom w:w="28" w:type="dxa"/>
              <w:right w:w="28" w:type="dxa"/>
            </w:tcMar>
            <w:vAlign w:val="center"/>
          </w:tcPr>
          <w:p>
            <w:pPr>
              <w:pStyle w:val="TableContents"/>
              <w:spacing w:before="0" w:after="0"/>
              <w:rPr/>
            </w:pPr>
            <w:r>
              <w:rPr/>
              <w:t> </w:t>
            </w:r>
          </w:p>
          <w:p>
            <w:pPr>
              <w:pStyle w:val="TableContents"/>
              <w:spacing w:before="0" w:after="20"/>
              <w:rPr/>
            </w:pPr>
            <w:r>
              <w:rPr/>
              <w:t xml:space="preserve">  </w:t>
            </w:r>
            <w:r>
              <w:rPr/>
              <w:drawing>
                <wp:inline distT="0" distB="0" distL="0" distR="0">
                  <wp:extent cx="20320" cy="19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320" cy="19050"/>
                          </a:xfrm>
                          <a:prstGeom prst="rect">
                            <a:avLst/>
                          </a:prstGeom>
                        </pic:spPr>
                      </pic:pic>
                    </a:graphicData>
                  </a:graphic>
                </wp:inline>
              </w:drawing>
            </w:r>
            <w:r>
              <w:rPr/>
              <w:t xml:space="preserve"> </w:t>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1" w:type="dxa"/>
            <w:tcBorders>
              <w:bottom w:val="single" w:sz="12" w:space="0" w:color="000000"/>
              <w:right w:val="single" w:sz="2" w:space="0" w:color="000000"/>
            </w:tcBorders>
            <w:shd w:fill="auto" w:val="clear"/>
            <w:tcMar>
              <w:bottom w:w="28" w:type="dxa"/>
              <w:right w:w="40" w:type="dxa"/>
            </w:tcMar>
            <w:vAlign w:val="center"/>
          </w:tcPr>
          <w:p>
            <w:pPr>
              <w:pStyle w:val="TableContents"/>
              <w:spacing w:before="0" w:after="283"/>
              <w:rPr/>
            </w:pPr>
            <w:r>
              <w:rPr/>
              <w:t>CONFIDENTIAL, FOR USE OF THE COMMISSION ONLY (AS PERMITTED BY RULE 14a-6(e)(2))</w:t>
            </w:r>
          </w:p>
        </w:tc>
      </w:tr>
      <w:tr>
        <w:trPr>
          <w:trHeight w:val="75" w:hRule="atLeast"/>
        </w:trPr>
        <w:tc>
          <w:tcPr>
            <w:tcW w:w="510" w:type="dxa"/>
            <w:tcBorders>
              <w:left w:val="single" w:sz="2" w:space="0" w:color="000000"/>
              <w:right w:val="single" w:sz="12" w:space="0" w:color="000000"/>
            </w:tcBorders>
            <w:shd w:fill="auto" w:val="clear"/>
            <w:tcMar>
              <w:left w:w="160" w:type="dxa"/>
              <w:right w:w="28" w:type="dxa"/>
            </w:tcMar>
            <w:vAlign w:val="center"/>
          </w:tcPr>
          <w:p>
            <w:pPr>
              <w:pStyle w:val="TableContents"/>
              <w:spacing w:before="0" w:after="283"/>
              <w:rPr/>
            </w:pPr>
            <w:r>
              <w:rPr/>
              <w:t> </w:t>
            </w:r>
          </w:p>
        </w:tc>
        <w:tc>
          <w:tcPr>
            <w:tcW w:w="9695"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510" w:type="dxa"/>
            <w:tcBorders>
              <w:left w:val="single" w:sz="2" w:space="0" w:color="000000"/>
              <w:bottom w:val="single" w:sz="12" w:space="0" w:color="000000"/>
              <w:right w:val="single" w:sz="12" w:space="0" w:color="000000"/>
            </w:tcBorders>
            <w:shd w:fill="auto" w:val="clear"/>
            <w:tcMar>
              <w:left w:w="160" w:type="dxa"/>
              <w:bottom w:w="28" w:type="dxa"/>
              <w:right w:w="28" w:type="dxa"/>
            </w:tcMar>
          </w:tcPr>
          <w:p>
            <w:pPr>
              <w:pStyle w:val="TableContents"/>
              <w:spacing w:before="0" w:after="283"/>
              <w:rPr/>
            </w:pPr>
            <w:r>
              <w:rPr/>
              <w:t xml:space="preserve">  </w:t>
            </w:r>
            <w:r>
              <w:rPr/>
              <w:drawing>
                <wp:inline distT="0" distB="0" distL="0" distR="0">
                  <wp:extent cx="20320" cy="19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320" cy="19050"/>
                          </a:xfrm>
                          <a:prstGeom prst="rect">
                            <a:avLst/>
                          </a:prstGeom>
                        </pic:spPr>
                      </pic:pic>
                    </a:graphicData>
                  </a:graphic>
                </wp:inline>
              </w:drawing>
            </w:r>
            <w:r>
              <w:rPr/>
              <w:t xml:space="preserve"> </w:t>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1" w:type="dxa"/>
            <w:tcBorders>
              <w:bottom w:val="single" w:sz="12" w:space="0" w:color="000000"/>
              <w:right w:val="single" w:sz="2" w:space="0" w:color="000000"/>
            </w:tcBorders>
            <w:shd w:fill="auto" w:val="clear"/>
            <w:tcMar>
              <w:bottom w:w="28" w:type="dxa"/>
              <w:right w:w="40" w:type="dxa"/>
            </w:tcMar>
          </w:tcPr>
          <w:p>
            <w:pPr>
              <w:pStyle w:val="TableContents"/>
              <w:spacing w:before="0" w:after="283"/>
              <w:rPr/>
            </w:pPr>
            <w:r>
              <w:rPr/>
              <w:t>Definitive Proxy Statement</w:t>
            </w:r>
          </w:p>
        </w:tc>
      </w:tr>
      <w:tr>
        <w:trPr>
          <w:trHeight w:val="75" w:hRule="atLeast"/>
        </w:trPr>
        <w:tc>
          <w:tcPr>
            <w:tcW w:w="510" w:type="dxa"/>
            <w:tcBorders>
              <w:left w:val="single" w:sz="2" w:space="0" w:color="000000"/>
              <w:right w:val="single" w:sz="12" w:space="0" w:color="000000"/>
            </w:tcBorders>
            <w:shd w:fill="auto" w:val="clear"/>
            <w:tcMar>
              <w:left w:w="160" w:type="dxa"/>
              <w:right w:w="28" w:type="dxa"/>
            </w:tcMar>
            <w:vAlign w:val="center"/>
          </w:tcPr>
          <w:p>
            <w:pPr>
              <w:pStyle w:val="TableContents"/>
              <w:spacing w:before="0" w:after="283"/>
              <w:rPr/>
            </w:pPr>
            <w:r>
              <w:rPr/>
              <w:t> </w:t>
            </w:r>
          </w:p>
        </w:tc>
        <w:tc>
          <w:tcPr>
            <w:tcW w:w="9695"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510" w:type="dxa"/>
            <w:tcBorders>
              <w:left w:val="single" w:sz="2" w:space="0" w:color="000000"/>
              <w:bottom w:val="single" w:sz="12" w:space="0" w:color="000000"/>
              <w:right w:val="single" w:sz="12" w:space="0" w:color="000000"/>
            </w:tcBorders>
            <w:shd w:fill="auto" w:val="clear"/>
            <w:tcMar>
              <w:left w:w="160" w:type="dxa"/>
              <w:bottom w:w="28" w:type="dxa"/>
              <w:right w:w="28" w:type="dxa"/>
            </w:tcMar>
          </w:tcPr>
          <w:p>
            <w:pPr>
              <w:pStyle w:val="TableContents"/>
              <w:spacing w:before="0" w:after="283"/>
              <w:rPr/>
            </w:pPr>
            <w:r>
              <w:rPr/>
              <w:t xml:space="preserve">  </w:t>
            </w:r>
            <w:r>
              <w:rPr/>
              <w:drawing>
                <wp:inline distT="0" distB="0" distL="0" distR="0">
                  <wp:extent cx="20320" cy="19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320" cy="19050"/>
                          </a:xfrm>
                          <a:prstGeom prst="rect">
                            <a:avLst/>
                          </a:prstGeom>
                        </pic:spPr>
                      </pic:pic>
                    </a:graphicData>
                  </a:graphic>
                </wp:inline>
              </w:drawing>
            </w:r>
            <w:r>
              <w:rPr/>
              <w:t xml:space="preserve"> </w:t>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1" w:type="dxa"/>
            <w:tcBorders>
              <w:bottom w:val="single" w:sz="12" w:space="0" w:color="000000"/>
              <w:right w:val="single" w:sz="2" w:space="0" w:color="000000"/>
            </w:tcBorders>
            <w:shd w:fill="auto" w:val="clear"/>
            <w:tcMar>
              <w:bottom w:w="28" w:type="dxa"/>
              <w:right w:w="40" w:type="dxa"/>
            </w:tcMar>
          </w:tcPr>
          <w:p>
            <w:pPr>
              <w:pStyle w:val="TableContents"/>
              <w:spacing w:before="0" w:after="283"/>
              <w:rPr/>
            </w:pPr>
            <w:r>
              <w:rPr/>
              <w:t>Definitive Additional Materials</w:t>
            </w:r>
          </w:p>
        </w:tc>
      </w:tr>
      <w:tr>
        <w:trPr>
          <w:trHeight w:val="75" w:hRule="atLeast"/>
        </w:trPr>
        <w:tc>
          <w:tcPr>
            <w:tcW w:w="510" w:type="dxa"/>
            <w:tcBorders>
              <w:left w:val="single" w:sz="2" w:space="0" w:color="000000"/>
              <w:right w:val="single" w:sz="12" w:space="0" w:color="000000"/>
            </w:tcBorders>
            <w:shd w:fill="auto" w:val="clear"/>
            <w:tcMar>
              <w:left w:w="160" w:type="dxa"/>
              <w:right w:w="28" w:type="dxa"/>
            </w:tcMar>
            <w:vAlign w:val="center"/>
          </w:tcPr>
          <w:p>
            <w:pPr>
              <w:pStyle w:val="TableContents"/>
              <w:spacing w:before="0" w:after="283"/>
              <w:rPr/>
            </w:pPr>
            <w:r>
              <w:rPr/>
              <w:t> </w:t>
            </w:r>
          </w:p>
        </w:tc>
        <w:tc>
          <w:tcPr>
            <w:tcW w:w="9695"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510" w:type="dxa"/>
            <w:tcBorders>
              <w:left w:val="single" w:sz="2" w:space="0" w:color="000000"/>
              <w:bottom w:val="single" w:sz="2" w:space="0" w:color="000000"/>
              <w:right w:val="single" w:sz="12" w:space="0" w:color="000000"/>
            </w:tcBorders>
            <w:shd w:fill="auto" w:val="clear"/>
            <w:tcMar>
              <w:left w:w="160" w:type="dxa"/>
              <w:bottom w:w="28" w:type="dxa"/>
              <w:right w:w="28" w:type="dxa"/>
            </w:tcMar>
          </w:tcPr>
          <w:p>
            <w:pPr>
              <w:pStyle w:val="TableContents"/>
              <w:spacing w:before="0" w:after="283"/>
              <w:rPr/>
            </w:pPr>
            <w:r>
              <w:rPr/>
              <w:t xml:space="preserve">  </w:t>
            </w:r>
            <w:r>
              <w:rPr/>
              <w:drawing>
                <wp:inline distT="0" distB="0" distL="0" distR="0">
                  <wp:extent cx="20320" cy="19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320" cy="19050"/>
                          </a:xfrm>
                          <a:prstGeom prst="rect">
                            <a:avLst/>
                          </a:prstGeom>
                        </pic:spPr>
                      </pic:pic>
                    </a:graphicData>
                  </a:graphic>
                </wp:inline>
              </w:drawing>
            </w:r>
            <w:r>
              <w:rPr/>
              <w:t xml:space="preserve"> </w:t>
            </w:r>
          </w:p>
        </w:tc>
        <w:tc>
          <w:tcPr>
            <w:tcW w:w="304" w:type="dxa"/>
            <w:tcBorders>
              <w:bottom w:val="single" w:sz="2" w:space="0" w:color="000000"/>
            </w:tcBorders>
            <w:shd w:fill="auto" w:val="clear"/>
            <w:tcMar>
              <w:bottom w:w="28" w:type="dxa"/>
            </w:tcMar>
            <w:vAlign w:val="bottom"/>
          </w:tcPr>
          <w:p>
            <w:pPr>
              <w:pStyle w:val="TableContents"/>
              <w:spacing w:before="0" w:after="283"/>
              <w:rPr/>
            </w:pPr>
            <w:r>
              <w:rPr/>
              <w:t> </w:t>
            </w:r>
          </w:p>
        </w:tc>
        <w:tc>
          <w:tcPr>
            <w:tcW w:w="9391" w:type="dxa"/>
            <w:tcBorders>
              <w:bottom w:val="single" w:sz="2" w:space="0" w:color="000000"/>
              <w:right w:val="single" w:sz="2" w:space="0" w:color="000000"/>
            </w:tcBorders>
            <w:shd w:fill="auto" w:val="clear"/>
            <w:tcMar>
              <w:bottom w:w="28" w:type="dxa"/>
              <w:right w:w="40" w:type="dxa"/>
            </w:tcMar>
          </w:tcPr>
          <w:p>
            <w:pPr>
              <w:pStyle w:val="TableContents"/>
              <w:spacing w:before="0" w:after="283"/>
              <w:rPr/>
            </w:pPr>
            <w:r>
              <w:rPr/>
              <w:t>Soliciting Material Pursuant to Section 240.14a-11(c) or Section 240.14a-12</w:t>
            </w:r>
          </w:p>
        </w:tc>
      </w:tr>
    </w:tbl>
    <w:p>
      <w:pPr>
        <w:pStyle w:val="TextBody"/>
        <w:spacing w:before="240" w:after="0"/>
        <w:jc w:val="center"/>
        <w:rPr>
          <w:rFonts w:ascii="Times New Roman" w:hAnsi="Times New Roman"/>
          <w:b/>
          <w:color w:val="001C71"/>
          <w:sz w:val="44"/>
        </w:rPr>
      </w:pPr>
      <w:r>
        <w:rPr>
          <w:rFonts w:ascii="Times New Roman" w:hAnsi="Times New Roman"/>
          <w:b/>
          <w:color w:val="001C71"/>
          <w:sz w:val="44"/>
        </w:rPr>
        <w:t xml:space="preserve">SEMPRA ENERGY </w:t>
      </w:r>
    </w:p>
    <w:p>
      <w:pPr>
        <w:pStyle w:val="TextBody"/>
        <w:spacing w:before="160" w:after="0"/>
        <w:jc w:val="center"/>
        <w:rPr>
          <w:rFonts w:ascii="Times New Roman" w:hAnsi="Times New Roman"/>
          <w:i/>
          <w:sz w:val="20"/>
        </w:rPr>
      </w:pPr>
      <w:r>
        <w:rPr>
          <w:rFonts w:ascii="Times New Roman" w:hAnsi="Times New Roman"/>
          <w:i/>
          <w:sz w:val="20"/>
        </w:rPr>
        <w:t xml:space="preserve">(Name of Registrant as Specified In Its Charter) </w:t>
      </w:r>
    </w:p>
    <w:p>
      <w:pPr>
        <w:pStyle w:val="TextBody"/>
        <w:spacing w:before="80" w:after="0"/>
        <w:jc w:val="center"/>
        <w:rPr>
          <w:rFonts w:ascii="Times New Roman" w:hAnsi="Times New Roman"/>
          <w:i/>
          <w:sz w:val="20"/>
        </w:rPr>
      </w:pPr>
      <w:r>
        <w:rPr>
          <w:rFonts w:ascii="Times New Roman" w:hAnsi="Times New Roman"/>
          <w:i/>
          <w:sz w:val="20"/>
        </w:rPr>
        <w:t xml:space="preserve">(Name of Person(s) Filing Proxy Statement, if other than the Registrant)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9"/>
        <w:gridCol w:w="304"/>
        <w:gridCol w:w="9392"/>
      </w:tblGrid>
      <w:tr>
        <w:trPr/>
        <w:tc>
          <w:tcPr>
            <w:tcW w:w="5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939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2" w:space="0" w:color="000000"/>
              <w:left w:val="single" w:sz="2" w:space="0" w:color="000000"/>
              <w:bottom w:val="single" w:sz="2" w:space="0" w:color="000000"/>
              <w:right w:val="single" w:sz="2" w:space="0" w:color="000000"/>
            </w:tcBorders>
            <w:shd w:fill="EFEFEF" w:val="clear"/>
            <w:tcMar>
              <w:top w:w="28" w:type="dxa"/>
              <w:left w:w="160" w:type="dxa"/>
              <w:bottom w:w="28" w:type="dxa"/>
              <w:right w:w="40" w:type="dxa"/>
            </w:tcMar>
            <w:vAlign w:val="bottom"/>
          </w:tcPr>
          <w:p>
            <w:pPr>
              <w:pStyle w:val="TableContents"/>
              <w:spacing w:before="0" w:after="283"/>
              <w:rPr>
                <w:b/>
                <w:sz w:val="24"/>
              </w:rPr>
            </w:pPr>
            <w:r>
              <w:rPr>
                <w:b/>
                <w:sz w:val="24"/>
              </w:rPr>
              <w:t>Payment of Filing Fee (Check the appropriate box):</w:t>
            </w:r>
          </w:p>
        </w:tc>
      </w:tr>
      <w:tr>
        <w:trPr>
          <w:trHeight w:val="180" w:hRule="atLeast"/>
        </w:trPr>
        <w:tc>
          <w:tcPr>
            <w:tcW w:w="509" w:type="dxa"/>
            <w:tcBorders>
              <w:left w:val="single" w:sz="2" w:space="0" w:color="000000"/>
              <w:right w:val="single" w:sz="12" w:space="0" w:color="000000"/>
            </w:tcBorders>
            <w:shd w:fill="auto" w:val="clear"/>
            <w:tcMar>
              <w:left w:w="160" w:type="dxa"/>
              <w:right w:w="28" w:type="dxa"/>
            </w:tcMar>
            <w:vAlign w:val="center"/>
          </w:tcPr>
          <w:p>
            <w:pPr>
              <w:pStyle w:val="TableContents"/>
              <w:spacing w:before="0" w:after="283"/>
              <w:rPr/>
            </w:pPr>
            <w:r>
              <w:rPr/>
              <w:t> </w:t>
            </w:r>
          </w:p>
        </w:tc>
        <w:tc>
          <w:tcPr>
            <w:tcW w:w="9696"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509" w:type="dxa"/>
            <w:tcBorders>
              <w:left w:val="single" w:sz="2" w:space="0" w:color="000000"/>
              <w:bottom w:val="single" w:sz="12" w:space="0" w:color="000000"/>
              <w:right w:val="single" w:sz="12" w:space="0" w:color="000000"/>
            </w:tcBorders>
            <w:shd w:fill="auto" w:val="clear"/>
            <w:tcMar>
              <w:left w:w="160" w:type="dxa"/>
              <w:bottom w:w="28" w:type="dxa"/>
              <w:right w:w="28" w:type="dxa"/>
            </w:tcMar>
          </w:tcPr>
          <w:p>
            <w:pPr>
              <w:pStyle w:val="TableContents"/>
              <w:spacing w:before="0" w:after="0"/>
              <w:rPr/>
            </w:pPr>
            <w:r>
              <w:rPr/>
              <w:t xml:space="preserve">  </w:t>
            </w:r>
            <w:r>
              <w:rPr/>
              <w:drawing>
                <wp:inline distT="0" distB="0" distL="0" distR="0">
                  <wp:extent cx="20320" cy="19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0320" cy="19050"/>
                          </a:xfrm>
                          <a:prstGeom prst="rect">
                            <a:avLst/>
                          </a:prstGeom>
                        </pic:spPr>
                      </pic:pic>
                    </a:graphicData>
                  </a:graphic>
                </wp:inline>
              </w:drawing>
            </w:r>
            <w:r>
              <w:rPr/>
              <w:t xml:space="preserve"> </w:t>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b/>
              </w:rPr>
            </w:pPr>
            <w:r>
              <w:rPr>
                <w:b/>
              </w:rPr>
              <w:t>No fee required.</w:t>
            </w:r>
          </w:p>
        </w:tc>
      </w:tr>
      <w:tr>
        <w:trPr>
          <w:trHeight w:val="120" w:hRule="atLeast"/>
        </w:trPr>
        <w:tc>
          <w:tcPr>
            <w:tcW w:w="509" w:type="dxa"/>
            <w:tcBorders>
              <w:left w:val="single" w:sz="2" w:space="0" w:color="000000"/>
              <w:right w:val="single" w:sz="12" w:space="0" w:color="000000"/>
            </w:tcBorders>
            <w:shd w:fill="auto" w:val="clear"/>
            <w:tcMar>
              <w:left w:w="160" w:type="dxa"/>
              <w:right w:w="28" w:type="dxa"/>
            </w:tcMar>
            <w:vAlign w:val="center"/>
          </w:tcPr>
          <w:p>
            <w:pPr>
              <w:pStyle w:val="TableContents"/>
              <w:spacing w:before="0" w:after="283"/>
              <w:rPr/>
            </w:pPr>
            <w:r>
              <w:rPr/>
              <w:t> </w:t>
            </w:r>
          </w:p>
        </w:tc>
        <w:tc>
          <w:tcPr>
            <w:tcW w:w="9696"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509" w:type="dxa"/>
            <w:vMerge w:val="restart"/>
            <w:tcBorders>
              <w:left w:val="single" w:sz="2" w:space="0" w:color="000000"/>
              <w:right w:val="single" w:sz="12" w:space="0" w:color="000000"/>
            </w:tcBorders>
            <w:shd w:fill="auto" w:val="clear"/>
            <w:tcMar>
              <w:left w:w="160" w:type="dxa"/>
              <w:right w:w="28" w:type="dxa"/>
            </w:tcMar>
          </w:tcPr>
          <w:p>
            <w:pPr>
              <w:pStyle w:val="TableContents"/>
              <w:spacing w:before="0" w:after="0"/>
              <w:rPr/>
            </w:pPr>
            <w:r>
              <w:rPr/>
              <w:t> </w:t>
            </w:r>
          </w:p>
          <w:p>
            <w:pPr>
              <w:pStyle w:val="TableContents"/>
              <w:spacing w:before="0" w:after="20"/>
              <w:rPr/>
            </w:pPr>
            <w:r>
              <w:rPr/>
              <w:t xml:space="preserve">  </w:t>
            </w:r>
            <w:r>
              <w:rPr/>
              <w:drawing>
                <wp:inline distT="0" distB="0" distL="0" distR="0">
                  <wp:extent cx="20320" cy="19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320" cy="19050"/>
                          </a:xfrm>
                          <a:prstGeom prst="rect">
                            <a:avLst/>
                          </a:prstGeom>
                        </pic:spPr>
                      </pic:pic>
                    </a:graphicData>
                  </a:graphic>
                </wp:inline>
              </w:drawing>
            </w:r>
            <w:r>
              <w:rPr/>
              <w:t xml:space="preserve"> </w:t>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b/>
              </w:rPr>
            </w:pPr>
            <w:r>
              <w:rPr>
                <w:b/>
              </w:rPr>
              <w:t>Fee computed on table below per Exchange Act Rules 14a-6(i)(4) and 0-11.</w:t>
            </w:r>
          </w:p>
        </w:tc>
      </w:tr>
      <w:tr>
        <w:trPr/>
        <w:tc>
          <w:tcPr>
            <w:tcW w:w="509" w:type="dxa"/>
            <w:vMerge w:val="continue"/>
            <w:tcBorders>
              <w:left w:val="single" w:sz="2" w:space="0" w:color="000000"/>
              <w:right w:val="single" w:sz="12" w:space="0" w:color="000000"/>
            </w:tcBorders>
            <w:shd w:fill="auto" w:val="clear"/>
            <w:tcMar>
              <w:left w:w="160" w:type="dxa"/>
              <w:right w:w="28" w:type="dxa"/>
            </w:tcMar>
          </w:tcPr>
          <w:p>
            <w:pPr>
              <w:pStyle w:val="Normal"/>
              <w:rPr/>
            </w:pPr>
            <w:r>
              <w:rPr/>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pPr>
            <w:r>
              <w:rPr/>
              <w:t>(1) Title of each class of securities to which transaction applies:</w:t>
            </w:r>
          </w:p>
        </w:tc>
      </w:tr>
      <w:tr>
        <w:trPr/>
        <w:tc>
          <w:tcPr>
            <w:tcW w:w="509" w:type="dxa"/>
            <w:vMerge w:val="continue"/>
            <w:tcBorders>
              <w:left w:val="single" w:sz="2" w:space="0" w:color="000000"/>
              <w:right w:val="single" w:sz="12" w:space="0" w:color="000000"/>
            </w:tcBorders>
            <w:shd w:fill="auto" w:val="clear"/>
            <w:tcMar>
              <w:left w:w="160" w:type="dxa"/>
              <w:right w:w="28" w:type="dxa"/>
            </w:tcMar>
          </w:tcPr>
          <w:p>
            <w:pPr>
              <w:pStyle w:val="Normal"/>
              <w:rPr/>
            </w:pPr>
            <w:r>
              <w:rPr/>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pPr>
            <w:r>
              <w:rPr/>
              <w:t>(2) Aggregate number of securities to which transaction applies:</w:t>
            </w:r>
          </w:p>
        </w:tc>
      </w:tr>
      <w:tr>
        <w:trPr/>
        <w:tc>
          <w:tcPr>
            <w:tcW w:w="509" w:type="dxa"/>
            <w:vMerge w:val="continue"/>
            <w:tcBorders>
              <w:left w:val="single" w:sz="2" w:space="0" w:color="000000"/>
              <w:right w:val="single" w:sz="12" w:space="0" w:color="000000"/>
            </w:tcBorders>
            <w:shd w:fill="auto" w:val="clear"/>
            <w:tcMar>
              <w:left w:w="160" w:type="dxa"/>
              <w:right w:w="28" w:type="dxa"/>
            </w:tcMar>
          </w:tcPr>
          <w:p>
            <w:pPr>
              <w:pStyle w:val="Normal"/>
              <w:rPr/>
            </w:pPr>
            <w:r>
              <w:rPr/>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pPr>
            <w:r>
              <w:rPr/>
              <w:t>(3) Per unit price or other underlying value of transaction computed pursuant to Exchange Act Rule 0-11 (set forth the amount on which the filing fee is calculated and state how it was determined):</w:t>
            </w:r>
          </w:p>
        </w:tc>
      </w:tr>
      <w:tr>
        <w:trPr/>
        <w:tc>
          <w:tcPr>
            <w:tcW w:w="509" w:type="dxa"/>
            <w:vMerge w:val="continue"/>
            <w:tcBorders>
              <w:left w:val="single" w:sz="2" w:space="0" w:color="000000"/>
              <w:right w:val="single" w:sz="12" w:space="0" w:color="000000"/>
            </w:tcBorders>
            <w:shd w:fill="auto" w:val="clear"/>
            <w:tcMar>
              <w:left w:w="160" w:type="dxa"/>
              <w:right w:w="28" w:type="dxa"/>
            </w:tcMar>
          </w:tcPr>
          <w:p>
            <w:pPr>
              <w:pStyle w:val="Normal"/>
              <w:rPr/>
            </w:pPr>
            <w:r>
              <w:rPr/>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pPr>
            <w:r>
              <w:rPr/>
              <w:t>(4) Proposed maximum aggregate value of transaction:</w:t>
            </w:r>
          </w:p>
        </w:tc>
      </w:tr>
      <w:tr>
        <w:trPr/>
        <w:tc>
          <w:tcPr>
            <w:tcW w:w="509" w:type="dxa"/>
            <w:vMerge w:val="continue"/>
            <w:tcBorders>
              <w:left w:val="single" w:sz="2" w:space="0" w:color="000000"/>
              <w:right w:val="single" w:sz="12" w:space="0" w:color="000000"/>
            </w:tcBorders>
            <w:shd w:fill="auto" w:val="clear"/>
            <w:tcMar>
              <w:left w:w="160" w:type="dxa"/>
              <w:right w:w="28" w:type="dxa"/>
            </w:tcMar>
          </w:tcPr>
          <w:p>
            <w:pPr>
              <w:pStyle w:val="Normal"/>
              <w:rPr/>
            </w:pPr>
            <w:r>
              <w:rPr/>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pPr>
            <w:r>
              <w:rPr/>
              <w:t>(5) Total fee paid:</w:t>
            </w:r>
          </w:p>
        </w:tc>
      </w:tr>
      <w:tr>
        <w:trPr>
          <w:trHeight w:val="180" w:hRule="atLeast"/>
        </w:trPr>
        <w:tc>
          <w:tcPr>
            <w:tcW w:w="509" w:type="dxa"/>
            <w:tcBorders>
              <w:top w:val="single" w:sz="12" w:space="0" w:color="000000"/>
              <w:left w:val="single" w:sz="2" w:space="0" w:color="000000"/>
              <w:right w:val="single" w:sz="12" w:space="0" w:color="000000"/>
            </w:tcBorders>
            <w:shd w:fill="auto" w:val="clear"/>
            <w:tcMar>
              <w:top w:w="28" w:type="dxa"/>
              <w:left w:w="160" w:type="dxa"/>
              <w:right w:w="28" w:type="dxa"/>
            </w:tcMar>
            <w:vAlign w:val="center"/>
          </w:tcPr>
          <w:p>
            <w:pPr>
              <w:pStyle w:val="TableContents"/>
              <w:spacing w:before="0" w:after="283"/>
              <w:rPr/>
            </w:pPr>
            <w:r>
              <w:rPr/>
              <w:t> </w:t>
            </w:r>
          </w:p>
        </w:tc>
        <w:tc>
          <w:tcPr>
            <w:tcW w:w="9696"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509" w:type="dxa"/>
            <w:tcBorders>
              <w:left w:val="single" w:sz="2" w:space="0" w:color="000000"/>
              <w:bottom w:val="single" w:sz="12" w:space="0" w:color="000000"/>
              <w:right w:val="single" w:sz="12" w:space="0" w:color="000000"/>
            </w:tcBorders>
            <w:shd w:fill="auto" w:val="clear"/>
            <w:tcMar>
              <w:left w:w="160" w:type="dxa"/>
              <w:bottom w:w="28" w:type="dxa"/>
              <w:right w:w="28" w:type="dxa"/>
            </w:tcMar>
          </w:tcPr>
          <w:p>
            <w:pPr>
              <w:pStyle w:val="TableContents"/>
              <w:spacing w:before="0" w:after="0"/>
              <w:rPr/>
            </w:pPr>
            <w:r>
              <w:rPr/>
              <w:t xml:space="preserve">  </w:t>
            </w:r>
            <w:r>
              <w:rPr/>
              <w:drawing>
                <wp:inline distT="0" distB="0" distL="0" distR="0">
                  <wp:extent cx="20320" cy="19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320" cy="19050"/>
                          </a:xfrm>
                          <a:prstGeom prst="rect">
                            <a:avLst/>
                          </a:prstGeom>
                        </pic:spPr>
                      </pic:pic>
                    </a:graphicData>
                  </a:graphic>
                </wp:inline>
              </w:drawing>
            </w:r>
            <w:r>
              <w:rPr/>
              <w:t xml:space="preserve"> </w:t>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b/>
              </w:rPr>
            </w:pPr>
            <w:r>
              <w:rPr>
                <w:b/>
              </w:rPr>
              <w:t>Fee paid previously with preliminary materials.</w:t>
            </w:r>
          </w:p>
        </w:tc>
      </w:tr>
      <w:tr>
        <w:trPr>
          <w:trHeight w:val="120" w:hRule="atLeast"/>
        </w:trPr>
        <w:tc>
          <w:tcPr>
            <w:tcW w:w="509" w:type="dxa"/>
            <w:tcBorders>
              <w:left w:val="single" w:sz="2" w:space="0" w:color="000000"/>
              <w:right w:val="single" w:sz="12" w:space="0" w:color="000000"/>
            </w:tcBorders>
            <w:shd w:fill="auto" w:val="clear"/>
            <w:tcMar>
              <w:left w:w="160" w:type="dxa"/>
              <w:right w:w="28" w:type="dxa"/>
            </w:tcMar>
            <w:vAlign w:val="center"/>
          </w:tcPr>
          <w:p>
            <w:pPr>
              <w:pStyle w:val="TableContents"/>
              <w:spacing w:before="0" w:after="283"/>
              <w:rPr/>
            </w:pPr>
            <w:r>
              <w:rPr/>
              <w:t> </w:t>
            </w:r>
          </w:p>
        </w:tc>
        <w:tc>
          <w:tcPr>
            <w:tcW w:w="9696"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509" w:type="dxa"/>
            <w:vMerge w:val="restart"/>
            <w:tcBorders>
              <w:left w:val="single" w:sz="2" w:space="0" w:color="000000"/>
              <w:bottom w:val="single" w:sz="2" w:space="0" w:color="000000"/>
              <w:right w:val="single" w:sz="12" w:space="0" w:color="000000"/>
            </w:tcBorders>
            <w:shd w:fill="auto" w:val="clear"/>
            <w:tcMar>
              <w:left w:w="160" w:type="dxa"/>
              <w:bottom w:w="28" w:type="dxa"/>
              <w:right w:w="28" w:type="dxa"/>
            </w:tcMar>
          </w:tcPr>
          <w:p>
            <w:pPr>
              <w:pStyle w:val="TableContents"/>
              <w:spacing w:before="0" w:after="0"/>
              <w:rPr/>
            </w:pPr>
            <w:r>
              <w:rPr/>
              <w:t> </w:t>
            </w:r>
          </w:p>
          <w:p>
            <w:pPr>
              <w:pStyle w:val="TableContents"/>
              <w:spacing w:before="0" w:after="20"/>
              <w:rPr/>
            </w:pPr>
            <w:r>
              <w:rPr/>
              <w:t xml:space="preserve">  </w:t>
            </w:r>
            <w:r>
              <w:rPr/>
              <w:drawing>
                <wp:inline distT="0" distB="0" distL="0" distR="0">
                  <wp:extent cx="20320" cy="19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0320" cy="19050"/>
                          </a:xfrm>
                          <a:prstGeom prst="rect">
                            <a:avLst/>
                          </a:prstGeom>
                        </pic:spPr>
                      </pic:pic>
                    </a:graphicData>
                  </a:graphic>
                </wp:inline>
              </w:drawing>
            </w:r>
            <w:r>
              <w:rPr/>
              <w:t xml:space="preserve"> </w:t>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b/>
              </w:rPr>
            </w:pPr>
            <w:r>
              <w:rPr>
                <w:b/>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509" w:type="dxa"/>
            <w:vMerge w:val="continue"/>
            <w:tcBorders>
              <w:left w:val="single" w:sz="2" w:space="0" w:color="000000"/>
              <w:bottom w:val="single" w:sz="2" w:space="0" w:color="000000"/>
              <w:right w:val="single" w:sz="12" w:space="0" w:color="000000"/>
            </w:tcBorders>
            <w:shd w:fill="auto" w:val="clear"/>
            <w:tcMar>
              <w:left w:w="160" w:type="dxa"/>
              <w:bottom w:w="28" w:type="dxa"/>
              <w:right w:w="28" w:type="dxa"/>
            </w:tcMar>
          </w:tcPr>
          <w:p>
            <w:pPr>
              <w:pStyle w:val="Normal"/>
              <w:rPr/>
            </w:pPr>
            <w:r>
              <w:rPr/>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pPr>
            <w:r>
              <w:rPr/>
              <w:t>(1) Amount Previously Paid:</w:t>
            </w:r>
          </w:p>
        </w:tc>
      </w:tr>
      <w:tr>
        <w:trPr/>
        <w:tc>
          <w:tcPr>
            <w:tcW w:w="509" w:type="dxa"/>
            <w:vMerge w:val="continue"/>
            <w:tcBorders>
              <w:left w:val="single" w:sz="2" w:space="0" w:color="000000"/>
              <w:bottom w:val="single" w:sz="2" w:space="0" w:color="000000"/>
              <w:right w:val="single" w:sz="12" w:space="0" w:color="000000"/>
            </w:tcBorders>
            <w:shd w:fill="auto" w:val="clear"/>
            <w:tcMar>
              <w:left w:w="160" w:type="dxa"/>
              <w:bottom w:w="28" w:type="dxa"/>
              <w:right w:w="28" w:type="dxa"/>
            </w:tcMar>
          </w:tcPr>
          <w:p>
            <w:pPr>
              <w:pStyle w:val="Normal"/>
              <w:rPr/>
            </w:pPr>
            <w:r>
              <w:rPr/>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pPr>
            <w:r>
              <w:rPr/>
              <w:t>(2) Form, Schedule or Registration Statement No.:</w:t>
            </w:r>
          </w:p>
        </w:tc>
      </w:tr>
      <w:tr>
        <w:trPr/>
        <w:tc>
          <w:tcPr>
            <w:tcW w:w="509" w:type="dxa"/>
            <w:vMerge w:val="continue"/>
            <w:tcBorders>
              <w:left w:val="single" w:sz="2" w:space="0" w:color="000000"/>
              <w:bottom w:val="single" w:sz="2" w:space="0" w:color="000000"/>
              <w:right w:val="single" w:sz="12" w:space="0" w:color="000000"/>
            </w:tcBorders>
            <w:shd w:fill="auto" w:val="clear"/>
            <w:tcMar>
              <w:left w:w="160" w:type="dxa"/>
              <w:bottom w:w="28" w:type="dxa"/>
              <w:right w:w="28" w:type="dxa"/>
            </w:tcMar>
          </w:tcPr>
          <w:p>
            <w:pPr>
              <w:pStyle w:val="Normal"/>
              <w:rPr/>
            </w:pPr>
            <w:r>
              <w:rPr/>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pPr>
            <w:r>
              <w:rPr/>
              <w:t>(3) Filing Party:</w:t>
            </w:r>
          </w:p>
        </w:tc>
      </w:tr>
      <w:tr>
        <w:trPr/>
        <w:tc>
          <w:tcPr>
            <w:tcW w:w="509" w:type="dxa"/>
            <w:vMerge w:val="continue"/>
            <w:tcBorders>
              <w:left w:val="single" w:sz="2" w:space="0" w:color="000000"/>
              <w:bottom w:val="single" w:sz="2" w:space="0" w:color="000000"/>
              <w:right w:val="single" w:sz="12" w:space="0" w:color="000000"/>
            </w:tcBorders>
            <w:shd w:fill="auto" w:val="clear"/>
            <w:tcMar>
              <w:left w:w="160" w:type="dxa"/>
              <w:bottom w:w="28" w:type="dxa"/>
              <w:right w:w="28" w:type="dxa"/>
            </w:tcMar>
          </w:tcPr>
          <w:p>
            <w:pPr>
              <w:pStyle w:val="Normal"/>
              <w:rPr/>
            </w:pPr>
            <w:r>
              <w:rPr/>
            </w:r>
          </w:p>
        </w:tc>
        <w:tc>
          <w:tcPr>
            <w:tcW w:w="30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12" w:space="0" w:color="000000"/>
              <w:right w:val="single" w:sz="2" w:space="0" w:color="000000"/>
            </w:tcBorders>
            <w:shd w:fill="auto" w:val="clear"/>
            <w:tcMar>
              <w:bottom w:w="28" w:type="dxa"/>
              <w:right w:w="40" w:type="dxa"/>
            </w:tcMar>
            <w:vAlign w:val="bottom"/>
          </w:tcPr>
          <w:p>
            <w:pPr>
              <w:pStyle w:val="TableContents"/>
              <w:spacing w:before="0" w:after="283"/>
              <w:rPr/>
            </w:pPr>
            <w:r>
              <w:rPr/>
              <w:t>(4) Date Filed:</w:t>
            </w:r>
          </w:p>
        </w:tc>
      </w:tr>
      <w:tr>
        <w:trPr/>
        <w:tc>
          <w:tcPr>
            <w:tcW w:w="509" w:type="dxa"/>
            <w:vMerge w:val="continue"/>
            <w:tcBorders>
              <w:left w:val="single" w:sz="2" w:space="0" w:color="000000"/>
              <w:bottom w:val="single" w:sz="2" w:space="0" w:color="000000"/>
              <w:right w:val="single" w:sz="12" w:space="0" w:color="000000"/>
            </w:tcBorders>
            <w:shd w:fill="auto" w:val="clear"/>
            <w:tcMar>
              <w:left w:w="160" w:type="dxa"/>
              <w:bottom w:w="28" w:type="dxa"/>
              <w:right w:w="28" w:type="dxa"/>
            </w:tcMar>
          </w:tcPr>
          <w:p>
            <w:pPr>
              <w:pStyle w:val="Normal"/>
              <w:rPr/>
            </w:pPr>
            <w:r>
              <w:rPr/>
            </w:r>
          </w:p>
        </w:tc>
        <w:tc>
          <w:tcPr>
            <w:tcW w:w="304" w:type="dxa"/>
            <w:tcBorders>
              <w:bottom w:val="single" w:sz="2" w:space="0" w:color="000000"/>
            </w:tcBorders>
            <w:shd w:fill="auto" w:val="clear"/>
            <w:tcMar>
              <w:bottom w:w="28" w:type="dxa"/>
            </w:tcMar>
            <w:vAlign w:val="bottom"/>
          </w:tcPr>
          <w:p>
            <w:pPr>
              <w:pStyle w:val="TableContents"/>
              <w:spacing w:before="0" w:after="283"/>
              <w:rPr/>
            </w:pPr>
            <w:r>
              <w:rPr/>
              <w:t> </w:t>
            </w:r>
          </w:p>
        </w:tc>
        <w:tc>
          <w:tcPr>
            <w:tcW w:w="9392"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Notes: Reg. (s) 240.14a-101 SEC 1913 (3-99)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813435" cy="104267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13435" cy="1042670"/>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2021 Notice of Annual Shareholders Meeting and Proxy Statement May 14, 2021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211"/>
        <w:gridCol w:w="136"/>
        <w:gridCol w:w="4858"/>
      </w:tblGrid>
      <w:tr>
        <w:trPr/>
        <w:tc>
          <w:tcPr>
            <w:tcW w:w="521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4858" w:type="dxa"/>
            <w:tcBorders/>
            <w:shd w:fill="auto" w:val="clear"/>
            <w:vAlign w:val="center"/>
          </w:tcPr>
          <w:p>
            <w:pPr>
              <w:pStyle w:val="TableContents"/>
              <w:spacing w:before="0" w:after="283"/>
              <w:rPr>
                <w:sz w:val="4"/>
                <w:szCs w:val="4"/>
              </w:rPr>
            </w:pPr>
            <w:r>
              <w:rPr>
                <w:sz w:val="4"/>
                <w:szCs w:val="4"/>
              </w:rPr>
            </w:r>
          </w:p>
        </w:tc>
      </w:tr>
      <w:tr>
        <w:trPr/>
        <w:tc>
          <w:tcPr>
            <w:tcW w:w="5211" w:type="dxa"/>
            <w:tcBorders/>
            <w:shd w:fill="auto" w:val="clear"/>
          </w:tcPr>
          <w:p>
            <w:pPr>
              <w:pStyle w:val="TableContents"/>
              <w:spacing w:before="0" w:after="283"/>
              <w:rPr/>
            </w:pPr>
            <w:r>
              <w:rPr/>
              <w:drawing>
                <wp:inline distT="0" distB="0" distL="0" distR="0">
                  <wp:extent cx="203200" cy="50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03200" cy="50800"/>
                          </a:xfrm>
                          <a:prstGeom prst="rect">
                            <a:avLst/>
                          </a:prstGeom>
                        </pic:spPr>
                      </pic:pic>
                    </a:graphicData>
                  </a:graphic>
                </wp:inline>
              </w:drawing>
            </w:r>
            <w:r>
              <w:rPr/>
              <w:t xml:space="preserve"> </w:t>
            </w:r>
          </w:p>
        </w:tc>
        <w:tc>
          <w:tcPr>
            <w:tcW w:w="136" w:type="dxa"/>
            <w:tcBorders/>
            <w:shd w:fill="auto" w:val="clear"/>
            <w:vAlign w:val="bottom"/>
          </w:tcPr>
          <w:p>
            <w:pPr>
              <w:pStyle w:val="TableContents"/>
              <w:spacing w:before="0" w:after="283"/>
              <w:rPr/>
            </w:pPr>
            <w:r>
              <w:rPr/>
              <w:t>  </w:t>
            </w:r>
          </w:p>
        </w:tc>
        <w:tc>
          <w:tcPr>
            <w:tcW w:w="4858" w:type="dxa"/>
            <w:tcBorders/>
            <w:shd w:fill="auto" w:val="clear"/>
          </w:tcPr>
          <w:p>
            <w:pPr>
              <w:pStyle w:val="TableContents"/>
              <w:spacing w:before="0" w:after="283"/>
              <w:jc w:val="right"/>
              <w:rPr/>
            </w:pPr>
            <w:r>
              <w:rPr/>
              <w:drawing>
                <wp:inline distT="0" distB="0" distL="0" distR="0">
                  <wp:extent cx="85725" cy="1155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 cy="115570"/>
                          </a:xfrm>
                          <a:prstGeom prst="rect">
                            <a:avLst/>
                          </a:prstGeom>
                        </pic:spPr>
                      </pic:pic>
                    </a:graphicData>
                  </a:graphic>
                </wp:inline>
              </w:drawing>
            </w:r>
            <w:r>
              <w:rPr/>
              <w:t xml:space="preserve"> </w:t>
            </w:r>
          </w:p>
        </w:tc>
      </w:tr>
    </w:tbl>
    <w:p>
      <w:pPr>
        <w:pStyle w:val="TextBody"/>
        <w:spacing w:before="240" w:after="0"/>
        <w:jc w:val="left"/>
        <w:rPr>
          <w:rFonts w:ascii="arial" w:hAnsi="arial"/>
          <w:sz w:val="18"/>
        </w:rPr>
      </w:pPr>
      <w:r>
        <w:rPr>
          <w:rFonts w:ascii="arial" w:hAnsi="arial"/>
          <w:sz w:val="18"/>
        </w:rPr>
        <w:t xml:space="preserve">March 26, 2021 </w:t>
      </w:r>
    </w:p>
    <w:p>
      <w:pPr>
        <w:pStyle w:val="TextBody"/>
        <w:spacing w:before="480" w:after="0"/>
        <w:jc w:val="left"/>
        <w:rPr>
          <w:rFonts w:ascii="arial" w:hAnsi="arial"/>
          <w:sz w:val="18"/>
        </w:rPr>
      </w:pPr>
      <w:r>
        <w:rPr>
          <w:rFonts w:ascii="arial" w:hAnsi="arial"/>
          <w:sz w:val="18"/>
        </w:rPr>
        <w:t xml:space="preserve">Dear fellow shareholders: </w:t>
      </w:r>
    </w:p>
    <w:p>
      <w:pPr>
        <w:pStyle w:val="TextBody"/>
        <w:spacing w:before="160" w:after="0"/>
        <w:jc w:val="left"/>
        <w:rPr>
          <w:rFonts w:ascii="arial" w:hAnsi="arial"/>
          <w:sz w:val="18"/>
        </w:rPr>
      </w:pPr>
      <w:r>
        <w:rPr>
          <w:rFonts w:ascii="arial" w:hAnsi="arial"/>
          <w:sz w:val="18"/>
        </w:rPr>
        <w:t xml:space="preserve">We are pleased to invite you to attend our virtual 2021 Annual Shareholders Meeting. It is scheduled for Friday, May 14, 2021, at 9 a.m. Pacific Time. The accompanying proxy information outlines how to attend the virtual meeting and the matters to be voted on at the meeting. </w:t>
      </w:r>
    </w:p>
    <w:p>
      <w:pPr>
        <w:pStyle w:val="TextBody"/>
        <w:spacing w:before="160" w:after="0"/>
        <w:jc w:val="left"/>
        <w:rPr>
          <w:rFonts w:ascii="arial" w:hAnsi="arial"/>
          <w:sz w:val="18"/>
        </w:rPr>
      </w:pPr>
      <w:r>
        <w:rPr>
          <w:rFonts w:ascii="arial" w:hAnsi="arial"/>
          <w:sz w:val="18"/>
        </w:rPr>
        <w:t xml:space="preserve">Our industry has faced many challenges in the past year due to the impacts of COVID-19, and our hearts go out to all those who have experienced hardship and loss from the pandemic. Amidst these challenges, Sempra Energy and our 19,000 employees are humbled to have the opportunity to continue delivering energy with purpose  with an unwavering focus on safety  to more than 36 million consumers during a time when they need it most. We have remained resilient by continuing to invest in a high-performing culture that focuses on the well-being of our employees and our communities. </w:t>
      </w:r>
    </w:p>
    <w:p>
      <w:pPr>
        <w:pStyle w:val="TextBody"/>
        <w:spacing w:before="160" w:after="0"/>
        <w:jc w:val="left"/>
        <w:rPr>
          <w:rFonts w:ascii="arial" w:hAnsi="arial"/>
          <w:sz w:val="18"/>
        </w:rPr>
      </w:pPr>
      <w:r>
        <w:rPr>
          <w:rFonts w:ascii="arial" w:hAnsi="arial"/>
          <w:sz w:val="18"/>
        </w:rPr>
        <w:t xml:space="preserve">The political unrest and racial injustice that has occurred in the United States over the past year has also brought to the forefront the importance of living our values: doing the right thing, championing people and shaping the future. As part of our companys continued commitment to building a high-performing culture, we have continued our efforts to build an increasingly diverse and inclusive workforce, with a view toward helping all employees reach their full potential. Also, we have matched this effort with a commitment to expand programs in the communities we serve to help strengthen our partnerships and improve access to opportunity. </w:t>
      </w:r>
    </w:p>
    <w:p>
      <w:pPr>
        <w:pStyle w:val="TextBody"/>
        <w:spacing w:before="160" w:after="0"/>
        <w:jc w:val="left"/>
        <w:rPr>
          <w:rFonts w:ascii="arial" w:hAnsi="arial"/>
          <w:sz w:val="18"/>
        </w:rPr>
      </w:pPr>
      <w:r>
        <w:rPr>
          <w:rFonts w:ascii="arial" w:hAnsi="arial"/>
          <w:sz w:val="18"/>
        </w:rPr>
        <w:t xml:space="preserve">Additionally, our resilience has enabled us to further advance our strategic mission to be North Americas premier energy infrastructure company. With the divestiture of our businesses in South America, the companys portfolio is now squarely focused on top-tier markets in North America, with a focus on transmission and distribution infrastructure investments that should provide attractive risk-adjusted returns. </w:t>
      </w:r>
    </w:p>
    <w:p>
      <w:pPr>
        <w:pStyle w:val="TextBody"/>
        <w:spacing w:before="160" w:after="0"/>
        <w:jc w:val="left"/>
        <w:rPr>
          <w:rFonts w:ascii="arial" w:hAnsi="arial"/>
          <w:sz w:val="18"/>
        </w:rPr>
      </w:pPr>
      <w:r>
        <w:rPr>
          <w:rFonts w:ascii="arial" w:hAnsi="arial"/>
          <w:sz w:val="18"/>
        </w:rPr>
        <w:t xml:space="preserve">The content of the Annual Shareholders Meeting will focus on the shareholder business items outlined in the accompanying meeting notice. For more information about our business, our 2020 Annual Report to Shareholders is available online at www.sempra.com/2021-annual-meeting and www.proxyvote.com. </w:t>
      </w:r>
    </w:p>
    <w:p>
      <w:pPr>
        <w:pStyle w:val="TextBody"/>
        <w:spacing w:before="160" w:after="0"/>
        <w:jc w:val="left"/>
        <w:rPr>
          <w:rFonts w:ascii="arial" w:hAnsi="arial"/>
          <w:sz w:val="18"/>
        </w:rPr>
      </w:pPr>
      <w:r>
        <w:rPr>
          <w:rFonts w:ascii="arial" w:hAnsi="arial"/>
          <w:sz w:val="18"/>
        </w:rPr>
        <w:t xml:space="preserve">Please review the accompanying materials and promptly vote your shares. As in past years, you can vote in advance of the meeting by completing, signing, dating and returning the accompanying proxy card or voting instruction form. You can also vote by telephone or via the Internet. </w:t>
      </w:r>
    </w:p>
    <w:p>
      <w:pPr>
        <w:pStyle w:val="TextBody"/>
        <w:spacing w:before="160" w:after="0"/>
        <w:jc w:val="left"/>
        <w:rPr>
          <w:rFonts w:ascii="arial" w:hAnsi="arial"/>
          <w:sz w:val="18"/>
        </w:rPr>
      </w:pPr>
      <w:r>
        <w:rPr>
          <w:rFonts w:ascii="arial" w:hAnsi="arial"/>
          <w:sz w:val="18"/>
        </w:rPr>
        <w:t xml:space="preserve">In reviewing the materials, you will note that director Kathleen L. Brown, who has served on our board since 2013 and has attained the age of 75, has not been nominated to stand for re-election in 2021 in keeping with our policy. </w:t>
      </w:r>
    </w:p>
    <w:p>
      <w:pPr>
        <w:pStyle w:val="TextBody"/>
        <w:spacing w:before="160" w:after="0"/>
        <w:jc w:val="left"/>
        <w:rPr>
          <w:rFonts w:ascii="arial" w:hAnsi="arial"/>
          <w:sz w:val="18"/>
        </w:rPr>
      </w:pPr>
      <w:r>
        <w:rPr>
          <w:rFonts w:ascii="arial" w:hAnsi="arial"/>
          <w:sz w:val="18"/>
        </w:rPr>
        <w:t xml:space="preserve">We appreciate your vote and your continued investment in Sempra Energy. </w:t>
      </w:r>
    </w:p>
    <w:p>
      <w:pPr>
        <w:pStyle w:val="TextBody"/>
        <w:spacing w:before="160" w:after="0"/>
        <w:jc w:val="left"/>
        <w:rPr>
          <w:rFonts w:ascii="arial" w:hAnsi="arial"/>
          <w:sz w:val="18"/>
        </w:rPr>
      </w:pPr>
      <w:r>
        <w:rPr>
          <w:rFonts w:ascii="arial" w:hAnsi="arial"/>
          <w:sz w:val="18"/>
        </w:rPr>
        <w:t xml:space="preserve">Sincerely,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256540" cy="9271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6540" cy="92710"/>
                    </a:xfrm>
                    <a:prstGeom prst="rect">
                      <a:avLst/>
                    </a:prstGeom>
                  </pic:spPr>
                </pic:pic>
              </a:graphicData>
            </a:graphic>
          </wp:inline>
        </w:drawing>
      </w:r>
      <w:r>
        <w:rPr/>
        <w:t xml:space="preserve"> </w:t>
      </w:r>
    </w:p>
    <w:p>
      <w:pPr>
        <w:pStyle w:val="TextBody"/>
        <w:spacing w:before="160" w:after="0"/>
        <w:jc w:val="left"/>
        <w:rPr>
          <w:rFonts w:ascii="arial" w:hAnsi="arial"/>
          <w:b/>
          <w:sz w:val="18"/>
        </w:rPr>
      </w:pPr>
      <w:r>
        <w:rPr>
          <w:rFonts w:ascii="arial" w:hAnsi="arial"/>
          <w:b/>
          <w:sz w:val="18"/>
        </w:rPr>
        <w:t xml:space="preserve">Jeffrey W. Martin </w:t>
      </w:r>
    </w:p>
    <w:p>
      <w:pPr>
        <w:pStyle w:val="TextBody"/>
        <w:spacing w:before="80" w:after="0"/>
        <w:jc w:val="left"/>
        <w:rPr>
          <w:rFonts w:ascii="arial" w:hAnsi="arial"/>
          <w:i/>
          <w:sz w:val="18"/>
        </w:rPr>
      </w:pPr>
      <w:r>
        <w:rPr>
          <w:rFonts w:ascii="arial" w:hAnsi="arial"/>
          <w:i/>
          <w:sz w:val="18"/>
        </w:rPr>
        <w:t xml:space="preserve">Chairman and Chief Executive Officer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211"/>
        <w:gridCol w:w="136"/>
        <w:gridCol w:w="4858"/>
      </w:tblGrid>
      <w:tr>
        <w:trPr/>
        <w:tc>
          <w:tcPr>
            <w:tcW w:w="521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4858" w:type="dxa"/>
            <w:tcBorders/>
            <w:shd w:fill="auto" w:val="clear"/>
            <w:vAlign w:val="center"/>
          </w:tcPr>
          <w:p>
            <w:pPr>
              <w:pStyle w:val="TableContents"/>
              <w:spacing w:before="0" w:after="283"/>
              <w:rPr>
                <w:sz w:val="4"/>
                <w:szCs w:val="4"/>
              </w:rPr>
            </w:pPr>
            <w:r>
              <w:rPr>
                <w:sz w:val="4"/>
                <w:szCs w:val="4"/>
              </w:rPr>
            </w:r>
          </w:p>
        </w:tc>
      </w:tr>
      <w:tr>
        <w:trPr/>
        <w:tc>
          <w:tcPr>
            <w:tcW w:w="5211" w:type="dxa"/>
            <w:tcBorders/>
            <w:shd w:fill="auto" w:val="clear"/>
          </w:tcPr>
          <w:p>
            <w:pPr>
              <w:pStyle w:val="TableContents"/>
              <w:spacing w:before="0" w:after="283"/>
              <w:rPr/>
            </w:pPr>
            <w:r>
              <w:rPr/>
              <w:drawing>
                <wp:inline distT="0" distB="0" distL="0" distR="0">
                  <wp:extent cx="203200" cy="50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03200" cy="50800"/>
                          </a:xfrm>
                          <a:prstGeom prst="rect">
                            <a:avLst/>
                          </a:prstGeom>
                        </pic:spPr>
                      </pic:pic>
                    </a:graphicData>
                  </a:graphic>
                </wp:inline>
              </w:drawing>
            </w:r>
            <w:r>
              <w:rPr/>
              <w:t xml:space="preserve"> </w:t>
            </w:r>
          </w:p>
        </w:tc>
        <w:tc>
          <w:tcPr>
            <w:tcW w:w="136" w:type="dxa"/>
            <w:tcBorders/>
            <w:shd w:fill="auto" w:val="clear"/>
            <w:vAlign w:val="bottom"/>
          </w:tcPr>
          <w:p>
            <w:pPr>
              <w:pStyle w:val="TableContents"/>
              <w:spacing w:before="0" w:after="283"/>
              <w:rPr/>
            </w:pPr>
            <w:r>
              <w:rPr/>
              <w:t>  </w:t>
            </w:r>
          </w:p>
        </w:tc>
        <w:tc>
          <w:tcPr>
            <w:tcW w:w="4858" w:type="dxa"/>
            <w:tcBorders/>
            <w:shd w:fill="auto" w:val="clear"/>
          </w:tcPr>
          <w:p>
            <w:pPr>
              <w:pStyle w:val="TableContents"/>
              <w:spacing w:before="0" w:after="283"/>
              <w:jc w:val="right"/>
              <w:rPr/>
            </w:pPr>
            <w:r>
              <w:rPr/>
              <w:drawing>
                <wp:inline distT="0" distB="0" distL="0" distR="0">
                  <wp:extent cx="85725" cy="11557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725" cy="115570"/>
                          </a:xfrm>
                          <a:prstGeom prst="rect">
                            <a:avLst/>
                          </a:prstGeom>
                        </pic:spPr>
                      </pic:pic>
                    </a:graphicData>
                  </a:graphic>
                </wp:inline>
              </w:drawing>
            </w:r>
            <w:r>
              <w:rPr/>
              <w:t xml:space="preserve"> </w:t>
            </w:r>
          </w:p>
        </w:tc>
      </w:tr>
    </w:tbl>
    <w:p>
      <w:pPr>
        <w:pStyle w:val="TextBody"/>
        <w:spacing w:before="240" w:after="0"/>
        <w:jc w:val="left"/>
        <w:rPr>
          <w:rFonts w:ascii="arial" w:hAnsi="arial"/>
          <w:sz w:val="18"/>
        </w:rPr>
      </w:pPr>
      <w:r>
        <w:rPr>
          <w:rFonts w:ascii="arial" w:hAnsi="arial"/>
          <w:sz w:val="18"/>
        </w:rPr>
        <w:t xml:space="preserve">March 26, 2021 </w:t>
      </w:r>
    </w:p>
    <w:p>
      <w:pPr>
        <w:pStyle w:val="TextBody"/>
        <w:spacing w:before="480" w:after="0"/>
        <w:jc w:val="left"/>
        <w:rPr>
          <w:rFonts w:ascii="arial" w:hAnsi="arial"/>
          <w:sz w:val="18"/>
        </w:rPr>
      </w:pPr>
      <w:r>
        <w:rPr>
          <w:rFonts w:ascii="arial" w:hAnsi="arial"/>
          <w:sz w:val="18"/>
        </w:rPr>
        <w:t xml:space="preserve">Dear fellow shareholders: </w:t>
      </w:r>
    </w:p>
    <w:p>
      <w:pPr>
        <w:pStyle w:val="TextBody"/>
        <w:spacing w:before="160" w:after="0"/>
        <w:jc w:val="left"/>
        <w:rPr>
          <w:rFonts w:ascii="arial" w:hAnsi="arial"/>
          <w:sz w:val="18"/>
        </w:rPr>
      </w:pPr>
      <w:r>
        <w:rPr>
          <w:rFonts w:ascii="arial" w:hAnsi="arial"/>
          <w:sz w:val="18"/>
        </w:rPr>
        <w:t xml:space="preserve">When I wrote to you one year ago, little could we have known what challenges 2020 would bring to our economy, our country and our world. While the past year brought much uncertainty  related to the COVID-19 global pandemic and the political unrest and racial injustice issues here in the United States  your board of directors continued to fulfill its role in providing oversight of Sempra Energys response to these challenges and its actions to further its strategic mission to be North Americas premier energy infrastructure company. Within this environment, your board of directors held more frequent meetings, enhanced our level of communication with the senior management team and received regular briefings on the companys efforts in these key areas, all while maintaining a strong focus on long-term strategy. </w:t>
      </w:r>
    </w:p>
    <w:p>
      <w:pPr>
        <w:pStyle w:val="TextBody"/>
        <w:spacing w:before="160" w:after="0"/>
        <w:jc w:val="left"/>
        <w:rPr>
          <w:rFonts w:ascii="arial" w:hAnsi="arial"/>
          <w:sz w:val="18"/>
        </w:rPr>
      </w:pPr>
      <w:r>
        <w:rPr>
          <w:rFonts w:ascii="arial" w:hAnsi="arial"/>
          <w:sz w:val="18"/>
        </w:rPr>
        <w:t xml:space="preserve">Throughout 2020, your board of directors continued to play a key role in providing strategic guidance to the companys management team, overseeing corporate governance policies, and providing oversight of risk management. The board of directors is committed to continuing to do our part to help reinforce the companys strong focus on doing what is right for its shareholders and other stakeholders and operating with the same high standards for which the company is known. </w:t>
      </w:r>
    </w:p>
    <w:p>
      <w:pPr>
        <w:pStyle w:val="TextBody"/>
        <w:spacing w:before="160" w:after="0"/>
        <w:jc w:val="left"/>
        <w:rPr>
          <w:rFonts w:ascii="arial" w:hAnsi="arial"/>
          <w:sz w:val="18"/>
        </w:rPr>
      </w:pPr>
      <w:r>
        <w:rPr>
          <w:rFonts w:ascii="arial" w:hAnsi="arial"/>
          <w:sz w:val="18"/>
        </w:rPr>
        <w:t xml:space="preserve">Another key area of focus for the board of directors this year was its oversight of the companys efforts to continue investing in a high-performing culture. Sound safety practices are central to the companys business culture. Amid the COVID-19 pandemic, the company continued to prioritize the health and safety of its employees, customers, partners and communities. Sempra Energy and its operating companies adapted their facilities and protocols consistent with the recommendations of public health officials, with a view toward delivering essential energy to millions in North America. In addition to advancing our health and safety priorities over the past year, we all continued our focus on delivering sustainable value for our shareholders. </w:t>
      </w:r>
    </w:p>
    <w:p>
      <w:pPr>
        <w:pStyle w:val="TextBody"/>
        <w:spacing w:before="160" w:after="0"/>
        <w:jc w:val="left"/>
        <w:rPr>
          <w:rFonts w:ascii="arial" w:hAnsi="arial"/>
          <w:sz w:val="18"/>
        </w:rPr>
      </w:pPr>
      <w:r>
        <w:rPr>
          <w:rFonts w:ascii="arial" w:hAnsi="arial"/>
          <w:sz w:val="18"/>
        </w:rPr>
        <w:t xml:space="preserve">Diversity and inclusion are also central to the companys business culture and have been priorities at our company since its founding. We believe, as the companys management does, that a strong focus on these areas is essential to building a better, more successful company. Our board members both embrace and reflect this focus. For the last seven years, at least half of our independent board members have been women and/or people of color and, today, 62% of our board members are women and/or people of color. The diverse backgrounds, perspectives, and skills of our board members contribute a wealth of experience to our business and demonstrate that diverse perspectives are encouraged and valued throughout the company. </w:t>
      </w:r>
    </w:p>
    <w:p>
      <w:pPr>
        <w:pStyle w:val="TextBody"/>
        <w:spacing w:before="160" w:after="0"/>
        <w:jc w:val="left"/>
        <w:rPr>
          <w:rFonts w:ascii="arial" w:hAnsi="arial"/>
          <w:sz w:val="18"/>
        </w:rPr>
      </w:pPr>
      <w:r>
        <w:rPr>
          <w:rFonts w:ascii="arial" w:hAnsi="arial"/>
          <w:sz w:val="18"/>
        </w:rPr>
        <w:t xml:space="preserve">In 2020, we continued our robust shareholder engagement program. We understand that this is an important way for us to gather feedback and input that informs our policies and programs in a variety of areas, such as environmental practices, sustainability efforts and governance. Last year, we reached out to shareholders representing approximately 63% of our total outstanding shares of common stock and engaged directly with holders of approximately 46% of our outstanding shares of common stock. I participated in many of these conversations and, on behalf of the board, we appreciate your valuable input on how to strengthen and support the companys mission. </w:t>
      </w:r>
    </w:p>
    <w:p>
      <w:pPr>
        <w:pStyle w:val="TextBody"/>
        <w:spacing w:before="160" w:after="0"/>
        <w:jc w:val="left"/>
        <w:rPr>
          <w:rFonts w:ascii="arial" w:hAnsi="arial"/>
          <w:sz w:val="18"/>
        </w:rPr>
      </w:pPr>
      <w:r>
        <w:rPr>
          <w:rFonts w:ascii="arial" w:hAnsi="arial"/>
          <w:sz w:val="18"/>
        </w:rPr>
        <w:t xml:space="preserve">On behalf of your board of directors, we thank you for your investment in Sempra Energy. We are proud to serve in this important role for your company. </w:t>
      </w:r>
    </w:p>
    <w:p>
      <w:pPr>
        <w:pStyle w:val="TextBody"/>
        <w:spacing w:before="160" w:after="0"/>
        <w:jc w:val="left"/>
        <w:rPr>
          <w:rFonts w:ascii="arial" w:hAnsi="arial"/>
          <w:sz w:val="18"/>
        </w:rPr>
      </w:pPr>
      <w:r>
        <w:rPr>
          <w:rFonts w:ascii="arial" w:hAnsi="arial"/>
          <w:sz w:val="18"/>
        </w:rPr>
        <w:t xml:space="preserve">Sincerely,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154940" cy="3683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4940" cy="36830"/>
                    </a:xfrm>
                    <a:prstGeom prst="rect">
                      <a:avLst/>
                    </a:prstGeom>
                  </pic:spPr>
                </pic:pic>
              </a:graphicData>
            </a:graphic>
          </wp:inline>
        </w:drawing>
      </w:r>
      <w:r>
        <w:rPr/>
        <w:t xml:space="preserve"> </w:t>
      </w:r>
    </w:p>
    <w:p>
      <w:pPr>
        <w:pStyle w:val="TextBody"/>
        <w:spacing w:before="160" w:after="0"/>
        <w:jc w:val="left"/>
        <w:rPr>
          <w:rFonts w:ascii="arial" w:hAnsi="arial"/>
          <w:b/>
          <w:sz w:val="18"/>
        </w:rPr>
      </w:pPr>
      <w:r>
        <w:rPr>
          <w:rFonts w:ascii="arial" w:hAnsi="arial"/>
          <w:b/>
          <w:sz w:val="18"/>
        </w:rPr>
        <w:t xml:space="preserve">William D. Jones </w:t>
      </w:r>
    </w:p>
    <w:p>
      <w:pPr>
        <w:pStyle w:val="TextBody"/>
        <w:spacing w:before="80" w:after="0"/>
        <w:jc w:val="left"/>
        <w:rPr>
          <w:rFonts w:ascii="arial" w:hAnsi="arial"/>
          <w:i/>
          <w:sz w:val="18"/>
        </w:rPr>
      </w:pPr>
      <w:r>
        <w:rPr>
          <w:rFonts w:ascii="arial" w:hAnsi="arial"/>
          <w:i/>
          <w:sz w:val="18"/>
        </w:rPr>
        <w:t xml:space="preserve">Lead Independent Director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1C71"/>
          <w:sz w:val="44"/>
        </w:rPr>
      </w:pPr>
      <w:bookmarkStart w:id="2" w:name="toc"/>
      <w:bookmarkEnd w:id="2"/>
      <w:r>
        <w:rPr>
          <w:rFonts w:ascii="arial" w:hAnsi="arial"/>
          <w:b/>
          <w:color w:val="001C71"/>
          <w:sz w:val="44"/>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76"/>
        <w:gridCol w:w="156"/>
        <w:gridCol w:w="60"/>
        <w:gridCol w:w="391"/>
        <w:gridCol w:w="122"/>
      </w:tblGrid>
      <w:tr>
        <w:trPr/>
        <w:tc>
          <w:tcPr>
            <w:tcW w:w="94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1">
              <w:r>
                <w:rPr>
                  <w:rStyle w:val="InternetLink"/>
                  <w:rFonts w:ascii="arial" w:hAnsi="arial"/>
                  <w:b/>
                  <w:color w:val="001C71"/>
                  <w:sz w:val="22"/>
                </w:rPr>
                <w:t>Notice of Annual Shareholders Meeting</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1</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2">
              <w:r>
                <w:rPr>
                  <w:rStyle w:val="InternetLink"/>
                  <w:rFonts w:ascii="arial" w:hAnsi="arial"/>
                  <w:b/>
                  <w:color w:val="001C71"/>
                  <w:sz w:val="22"/>
                </w:rPr>
                <w:t>Proxy Statement Summary</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2</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3">
              <w:r>
                <w:rPr>
                  <w:rStyle w:val="InternetLink"/>
                  <w:rFonts w:ascii="arial" w:hAnsi="arial"/>
                  <w:b/>
                  <w:color w:val="001C71"/>
                  <w:sz w:val="22"/>
                </w:rPr>
                <w:t>Corporate Governance</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9</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60"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shd w:fill="auto" w:val="clear"/>
          </w:tcPr>
          <w:p>
            <w:pPr>
              <w:pStyle w:val="TableContents"/>
              <w:spacing w:before="0" w:after="0"/>
              <w:rPr/>
            </w:pPr>
            <w:hyperlink w:anchor="toc108157_4">
              <w:r>
                <w:rPr>
                  <w:rStyle w:val="InternetLink"/>
                  <w:rFonts w:ascii="arial" w:hAnsi="arial"/>
                  <w:sz w:val="18"/>
                </w:rPr>
                <w:t>Board of Directors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9</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5">
              <w:r>
                <w:rPr>
                  <w:rStyle w:val="InternetLink"/>
                  <w:rFonts w:ascii="arial" w:hAnsi="arial"/>
                  <w:sz w:val="18"/>
                </w:rPr>
                <w:t>Board Committees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16</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6">
              <w:r>
                <w:rPr>
                  <w:rStyle w:val="InternetLink"/>
                  <w:rFonts w:ascii="arial" w:hAnsi="arial"/>
                  <w:sz w:val="18"/>
                </w:rPr>
                <w:t>Communications with the Board</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19</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7">
              <w:r>
                <w:rPr>
                  <w:rStyle w:val="InternetLink"/>
                  <w:rFonts w:ascii="arial" w:hAnsi="arial"/>
                  <w:sz w:val="18"/>
                </w:rPr>
                <w:t>Director Compensation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20</w:t>
            </w:r>
          </w:p>
        </w:tc>
        <w:tc>
          <w:tcPr>
            <w:tcW w:w="122" w:type="dxa"/>
            <w:tcBorders/>
            <w:shd w:fill="auto" w:val="clear"/>
            <w:vAlign w:val="bottom"/>
          </w:tcPr>
          <w:p>
            <w:pPr>
              <w:pStyle w:val="TableContents"/>
              <w:spacing w:before="0" w:after="283"/>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8">
              <w:r>
                <w:rPr>
                  <w:rStyle w:val="InternetLink"/>
                  <w:rFonts w:ascii="arial" w:hAnsi="arial"/>
                  <w:b/>
                  <w:color w:val="001C71"/>
                  <w:sz w:val="22"/>
                </w:rPr>
                <w:t>Audit Committee Report</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24</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9">
              <w:r>
                <w:rPr>
                  <w:rStyle w:val="InternetLink"/>
                  <w:rFonts w:ascii="arial" w:hAnsi="arial"/>
                  <w:b/>
                  <w:color w:val="001C71"/>
                  <w:sz w:val="22"/>
                </w:rPr>
                <w:t>Share Ownership</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25</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10">
              <w:r>
                <w:rPr>
                  <w:rStyle w:val="InternetLink"/>
                  <w:rFonts w:ascii="arial" w:hAnsi="arial"/>
                  <w:b/>
                  <w:color w:val="001C71"/>
                  <w:sz w:val="22"/>
                </w:rPr>
                <w:t>Proposals To Be Voted On</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27</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60"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shd w:fill="auto" w:val="clear"/>
          </w:tcPr>
          <w:p>
            <w:pPr>
              <w:pStyle w:val="TableContents"/>
              <w:spacing w:before="0" w:after="0"/>
              <w:rPr/>
            </w:pPr>
            <w:hyperlink w:anchor="toc108157_11">
              <w:r>
                <w:rPr>
                  <w:rStyle w:val="InternetLink"/>
                  <w:rFonts w:ascii="arial" w:hAnsi="arial"/>
                  <w:sz w:val="18"/>
                </w:rPr>
                <w:t>Board of Directors Proposals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27</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12">
              <w:r>
                <w:rPr>
                  <w:rStyle w:val="InternetLink"/>
                  <w:rFonts w:ascii="arial" w:hAnsi="arial"/>
                  <w:sz w:val="18"/>
                </w:rPr>
                <w:t>Proposal 1: Election of Directors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27</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13">
              <w:r>
                <w:rPr>
                  <w:rStyle w:val="InternetLink"/>
                  <w:rFonts w:ascii="arial" w:hAnsi="arial"/>
                  <w:sz w:val="18"/>
                </w:rPr>
                <w:t xml:space="preserve">Proposal 2: Ratification of Appointment of Independent Registered Public Accounting Firm </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33</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14">
              <w:r>
                <w:rPr>
                  <w:rStyle w:val="InternetLink"/>
                  <w:rFonts w:ascii="arial" w:hAnsi="arial"/>
                  <w:sz w:val="18"/>
                </w:rPr>
                <w:t>Proposal 3: Advisory Approval of Our Executive Compensation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35</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15">
              <w:r>
                <w:rPr>
                  <w:rStyle w:val="InternetLink"/>
                  <w:rFonts w:ascii="arial" w:hAnsi="arial"/>
                  <w:sz w:val="18"/>
                </w:rPr>
                <w:t>Shareholder Proposals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36</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16">
              <w:r>
                <w:rPr>
                  <w:rStyle w:val="InternetLink"/>
                  <w:rFonts w:ascii="arial" w:hAnsi="arial"/>
                  <w:sz w:val="18"/>
                </w:rPr>
                <w:t>Proposal 4: Shareholder Proposal Requesting an Amendment to Our Proxy Access Bylaw to Eliminate the Shareholder Nominating Group Limit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36</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17">
              <w:r>
                <w:rPr>
                  <w:rStyle w:val="InternetLink"/>
                  <w:rFonts w:ascii="arial" w:hAnsi="arial"/>
                  <w:sz w:val="18"/>
                </w:rPr>
                <w:t>Proposal 5: Shareholder Proposal Requesting a Report on Alignment of Our Lobbying Activities with the Paris Agreement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39</w:t>
            </w:r>
          </w:p>
        </w:tc>
        <w:tc>
          <w:tcPr>
            <w:tcW w:w="122" w:type="dxa"/>
            <w:tcBorders/>
            <w:shd w:fill="auto" w:val="clear"/>
            <w:vAlign w:val="bottom"/>
          </w:tcPr>
          <w:p>
            <w:pPr>
              <w:pStyle w:val="TableContents"/>
              <w:spacing w:before="0" w:after="283"/>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18">
              <w:r>
                <w:rPr>
                  <w:rStyle w:val="InternetLink"/>
                  <w:rFonts w:ascii="arial" w:hAnsi="arial"/>
                  <w:b/>
                  <w:color w:val="001C71"/>
                  <w:sz w:val="22"/>
                </w:rPr>
                <w:t>Executive Compensation</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43</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60"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shd w:fill="auto" w:val="clear"/>
          </w:tcPr>
          <w:p>
            <w:pPr>
              <w:pStyle w:val="TableContents"/>
              <w:spacing w:before="0" w:after="0"/>
              <w:rPr/>
            </w:pPr>
            <w:hyperlink w:anchor="toc108157_19">
              <w:r>
                <w:rPr>
                  <w:rStyle w:val="InternetLink"/>
                  <w:rFonts w:ascii="arial" w:hAnsi="arial"/>
                  <w:sz w:val="18"/>
                </w:rPr>
                <w:t>Compensation Discussion and Analysis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43</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20">
              <w:r>
                <w:rPr>
                  <w:rStyle w:val="InternetLink"/>
                  <w:rFonts w:ascii="arial" w:hAnsi="arial"/>
                  <w:sz w:val="18"/>
                </w:rPr>
                <w:t>Compensation and Talent Development Committee Report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70</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21">
              <w:r>
                <w:rPr>
                  <w:rStyle w:val="InternetLink"/>
                  <w:rFonts w:ascii="arial" w:hAnsi="arial"/>
                  <w:sz w:val="18"/>
                </w:rPr>
                <w:t>Compensation Tables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71</w:t>
            </w:r>
          </w:p>
        </w:tc>
        <w:tc>
          <w:tcPr>
            <w:tcW w:w="122" w:type="dxa"/>
            <w:tcBorders/>
            <w:shd w:fill="auto" w:val="clear"/>
            <w:vAlign w:val="bottom"/>
          </w:tcPr>
          <w:p>
            <w:pPr>
              <w:pStyle w:val="TableContents"/>
              <w:spacing w:before="0" w:after="283"/>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22">
              <w:r>
                <w:rPr>
                  <w:rStyle w:val="InternetLink"/>
                  <w:rFonts w:ascii="arial" w:hAnsi="arial"/>
                  <w:b/>
                  <w:color w:val="001C71"/>
                  <w:sz w:val="22"/>
                </w:rPr>
                <w:t>About the Annual Shareholders Meeting and Voting</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88</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60"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shd w:fill="auto" w:val="clear"/>
          </w:tcPr>
          <w:p>
            <w:pPr>
              <w:pStyle w:val="TableContents"/>
              <w:spacing w:before="0" w:after="0"/>
              <w:rPr/>
            </w:pPr>
            <w:hyperlink w:anchor="toc108157_23">
              <w:r>
                <w:rPr>
                  <w:rStyle w:val="InternetLink"/>
                  <w:rFonts w:ascii="arial" w:hAnsi="arial"/>
                  <w:sz w:val="18"/>
                </w:rPr>
                <w:t>Attending the Annual Shareholders Meeting</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88</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24">
              <w:r>
                <w:rPr>
                  <w:rStyle w:val="InternetLink"/>
                  <w:rFonts w:ascii="arial" w:hAnsi="arial"/>
                  <w:sz w:val="18"/>
                </w:rPr>
                <w:t>How You Can Vote</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89</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25">
              <w:r>
                <w:rPr>
                  <w:rStyle w:val="InternetLink"/>
                  <w:rFonts w:ascii="arial" w:hAnsi="arial"/>
                  <w:sz w:val="18"/>
                </w:rPr>
                <w:t>Information About Proposals To Be Voted 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92</w:t>
            </w:r>
          </w:p>
        </w:tc>
        <w:tc>
          <w:tcPr>
            <w:tcW w:w="122" w:type="dxa"/>
            <w:tcBorders/>
            <w:shd w:fill="auto" w:val="clear"/>
            <w:vAlign w:val="bottom"/>
          </w:tcPr>
          <w:p>
            <w:pPr>
              <w:pStyle w:val="TableContents"/>
              <w:spacing w:before="0" w:after="283"/>
              <w:rPr/>
            </w:pPr>
            <w:r>
              <w:rPr/>
              <w:t> </w:t>
            </w:r>
          </w:p>
        </w:tc>
      </w:tr>
      <w:tr>
        <w:trPr/>
        <w:tc>
          <w:tcPr>
            <w:tcW w:w="9476" w:type="dxa"/>
            <w:tcBorders/>
            <w:shd w:fill="auto" w:val="clear"/>
          </w:tcPr>
          <w:p>
            <w:pPr>
              <w:pStyle w:val="TableContents"/>
              <w:spacing w:before="0" w:after="0"/>
              <w:rPr/>
            </w:pPr>
            <w:hyperlink w:anchor="toc108157_26">
              <w:r>
                <w:rPr>
                  <w:rStyle w:val="InternetLink"/>
                  <w:rFonts w:ascii="arial" w:hAnsi="arial"/>
                  <w:sz w:val="18"/>
                </w:rPr>
                <w:t>Proxy Materials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right"/>
              <w:rPr/>
            </w:pPr>
            <w:r>
              <w:rPr/>
              <w:t>95</w:t>
            </w:r>
          </w:p>
        </w:tc>
        <w:tc>
          <w:tcPr>
            <w:tcW w:w="122" w:type="dxa"/>
            <w:tcBorders/>
            <w:shd w:fill="auto" w:val="clear"/>
            <w:vAlign w:val="bottom"/>
          </w:tcPr>
          <w:p>
            <w:pPr>
              <w:pStyle w:val="TableContents"/>
              <w:spacing w:before="0" w:after="283"/>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27">
              <w:r>
                <w:rPr>
                  <w:rStyle w:val="InternetLink"/>
                  <w:rFonts w:ascii="arial" w:hAnsi="arial"/>
                  <w:b/>
                  <w:color w:val="001C71"/>
                  <w:sz w:val="22"/>
                </w:rPr>
                <w:t xml:space="preserve">Information about 2022 Shareholder Proposals and Director Nominations </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97</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28">
              <w:r>
                <w:rPr>
                  <w:rStyle w:val="InternetLink"/>
                  <w:rFonts w:ascii="arial" w:hAnsi="arial"/>
                  <w:b/>
                  <w:color w:val="001C71"/>
                  <w:sz w:val="22"/>
                </w:rPr>
                <w:t>Other Information</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99</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29">
              <w:r>
                <w:rPr>
                  <w:rStyle w:val="InternetLink"/>
                  <w:rFonts w:ascii="arial" w:hAnsi="arial"/>
                  <w:b/>
                  <w:color w:val="001C71"/>
                  <w:sz w:val="22"/>
                </w:rPr>
                <w:t>Appendix A: Reconciliation of Non-GAAP Financial Measures (Unaudited)</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101</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30">
              <w:r>
                <w:rPr>
                  <w:rStyle w:val="InternetLink"/>
                  <w:rFonts w:ascii="arial" w:hAnsi="arial"/>
                  <w:b/>
                  <w:color w:val="001C71"/>
                  <w:sz w:val="22"/>
                </w:rPr>
                <w:t>Appendix  B: Companies Included in General Industry Benchmarking Review</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103</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31">
              <w:r>
                <w:rPr>
                  <w:rStyle w:val="InternetLink"/>
                  <w:rFonts w:ascii="arial" w:hAnsi="arial"/>
                  <w:b/>
                  <w:color w:val="001C71"/>
                  <w:sz w:val="22"/>
                </w:rPr>
                <w:t>Appendix  C: Companies Included in Utilities Benchmarking Review</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104</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r>
        <w:trPr>
          <w:trHeight w:val="285" w:hRule="atLeast"/>
        </w:trPr>
        <w:tc>
          <w:tcPr>
            <w:tcW w:w="9476" w:type="dxa"/>
            <w:tcBorders/>
            <w:shd w:fill="auto" w:val="clear"/>
            <w:vAlign w:val="center"/>
          </w:tcPr>
          <w:p>
            <w:pPr>
              <w:pStyle w:val="TableContents"/>
              <w:spacing w:before="0" w:after="283"/>
              <w:rPr>
                <w:sz w:val="4"/>
                <w:szCs w:val="4"/>
              </w:rPr>
            </w:pPr>
            <w:r>
              <w:rPr>
                <w:sz w:val="4"/>
                <w:szCs w:val="4"/>
              </w:rPr>
            </w:r>
          </w:p>
        </w:tc>
        <w:tc>
          <w:tcPr>
            <w:tcW w:w="729" w:type="dxa"/>
            <w:gridSpan w:val="4"/>
            <w:tcBorders/>
            <w:shd w:fill="auto" w:val="clear"/>
            <w:vAlign w:val="center"/>
          </w:tcPr>
          <w:p>
            <w:pPr>
              <w:pStyle w:val="TableContents"/>
              <w:spacing w:before="0" w:after="283"/>
              <w:rPr>
                <w:sz w:val="4"/>
                <w:szCs w:val="4"/>
              </w:rPr>
            </w:pPr>
            <w:r>
              <w:rPr>
                <w:sz w:val="4"/>
                <w:szCs w:val="4"/>
              </w:rPr>
            </w:r>
          </w:p>
        </w:tc>
      </w:tr>
      <w:tr>
        <w:trPr/>
        <w:tc>
          <w:tcPr>
            <w:tcW w:w="9476" w:type="dxa"/>
            <w:tcBorders>
              <w:bottom w:val="single" w:sz="2" w:space="0" w:color="001C71"/>
            </w:tcBorders>
            <w:shd w:fill="auto" w:val="clear"/>
            <w:tcMar>
              <w:bottom w:w="28" w:type="dxa"/>
            </w:tcMar>
          </w:tcPr>
          <w:p>
            <w:pPr>
              <w:pStyle w:val="TableContents"/>
              <w:spacing w:before="0" w:after="0"/>
              <w:rPr/>
            </w:pPr>
            <w:hyperlink w:anchor="toc108157_32">
              <w:r>
                <w:rPr>
                  <w:rStyle w:val="InternetLink"/>
                  <w:rFonts w:ascii="arial" w:hAnsi="arial"/>
                  <w:b/>
                  <w:color w:val="001C71"/>
                  <w:sz w:val="22"/>
                </w:rPr>
                <w:t>Appendix  D: Performance-Based Annual Bonus PlanAdditional Information</w:t>
              </w:r>
            </w:hyperlink>
          </w:p>
          <w:p>
            <w:pPr>
              <w:pStyle w:val="TableContents"/>
              <w:spacing w:before="0" w:after="20"/>
              <w:rPr/>
            </w:pPr>
            <w:r>
              <w:rPr/>
              <w:t> </w:t>
            </w:r>
          </w:p>
        </w:tc>
        <w:tc>
          <w:tcPr>
            <w:tcW w:w="156"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c>
          <w:tcPr>
            <w:tcW w:w="391" w:type="dxa"/>
            <w:tcBorders>
              <w:bottom w:val="single" w:sz="2" w:space="0" w:color="001C71"/>
            </w:tcBorders>
            <w:shd w:fill="auto" w:val="clear"/>
            <w:tcMar>
              <w:bottom w:w="28" w:type="dxa"/>
            </w:tcMar>
            <w:vAlign w:val="bottom"/>
          </w:tcPr>
          <w:p>
            <w:pPr>
              <w:pStyle w:val="TableContents"/>
              <w:jc w:val="right"/>
              <w:rPr/>
            </w:pPr>
            <w:r>
              <w:rPr>
                <w:b/>
                <w:color w:val="001C71"/>
              </w:rPr>
              <w:t>105</w:t>
            </w:r>
            <w:r>
              <w:rPr/>
              <w:t xml:space="preserve"> </w:t>
            </w:r>
          </w:p>
          <w:p>
            <w:pPr>
              <w:pStyle w:val="TableContents"/>
              <w:spacing w:before="0" w:after="20"/>
              <w:jc w:val="left"/>
              <w:rPr/>
            </w:pPr>
            <w:r>
              <w:rPr/>
              <w:t> </w:t>
            </w:r>
          </w:p>
        </w:tc>
        <w:tc>
          <w:tcPr>
            <w:tcW w:w="122" w:type="dxa"/>
            <w:tcBorders>
              <w:bottom w:val="single" w:sz="2" w:space="0" w:color="001C71"/>
            </w:tcBorders>
            <w:shd w:fill="auto" w:val="clear"/>
            <w:tcMar>
              <w:bottom w:w="28" w:type="dxa"/>
            </w:tcMar>
            <w:vAlign w:val="bottom"/>
          </w:tcPr>
          <w:p>
            <w:pPr>
              <w:pStyle w:val="TableContents"/>
              <w:rPr/>
            </w:pPr>
            <w:r>
              <w:rPr>
                <w:color w:val="001C71"/>
              </w:rPr>
              <w:t> </w:t>
            </w:r>
            <w:r>
              <w:rPr/>
              <w:t xml:space="preserve"> </w:t>
            </w:r>
          </w:p>
          <w:p>
            <w:pPr>
              <w:pStyle w:val="TableContents"/>
              <w:spacing w:before="0" w:after="20"/>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148"/>
        <w:gridCol w:w="120"/>
        <w:gridCol w:w="4937"/>
      </w:tblGrid>
      <w:tr>
        <w:trPr/>
        <w:tc>
          <w:tcPr>
            <w:tcW w:w="51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37" w:type="dxa"/>
            <w:tcBorders/>
            <w:shd w:fill="auto" w:val="clear"/>
            <w:vAlign w:val="center"/>
          </w:tcPr>
          <w:p>
            <w:pPr>
              <w:pStyle w:val="TableContents"/>
              <w:spacing w:before="0" w:after="283"/>
              <w:rPr>
                <w:sz w:val="4"/>
                <w:szCs w:val="4"/>
              </w:rPr>
            </w:pPr>
            <w:r>
              <w:rPr>
                <w:sz w:val="4"/>
                <w:szCs w:val="4"/>
              </w:rPr>
            </w:r>
          </w:p>
        </w:tc>
      </w:tr>
      <w:tr>
        <w:trPr/>
        <w:tc>
          <w:tcPr>
            <w:tcW w:w="5148" w:type="dxa"/>
            <w:tcBorders/>
            <w:shd w:fill="auto" w:val="clear"/>
            <w:vAlign w:val="bottom"/>
          </w:tcPr>
          <w:p>
            <w:pPr>
              <w:pStyle w:val="TableContents"/>
              <w:spacing w:before="0" w:after="283"/>
              <w:rPr/>
            </w:pPr>
            <w:r>
              <w:rPr/>
              <w:drawing>
                <wp:inline distT="0" distB="0" distL="0" distR="0">
                  <wp:extent cx="2028825" cy="552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028825" cy="55245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4937" w:type="dxa"/>
            <w:tcBorders/>
            <w:shd w:fill="auto" w:val="clear"/>
            <w:vAlign w:val="bottom"/>
          </w:tcPr>
          <w:p>
            <w:pPr>
              <w:pStyle w:val="TableContents"/>
              <w:spacing w:before="0" w:after="0"/>
              <w:jc w:val="right"/>
              <w:rPr>
                <w:rFonts w:ascii="arial" w:hAnsi="arial"/>
                <w:sz w:val="16"/>
              </w:rPr>
            </w:pPr>
            <w:r>
              <w:rPr>
                <w:rFonts w:ascii="arial" w:hAnsi="arial"/>
                <w:sz w:val="16"/>
              </w:rPr>
              <w:t>488 8th Avenue, San Diego, California 92101</w:t>
            </w:r>
          </w:p>
          <w:p>
            <w:pPr>
              <w:pStyle w:val="TableContents"/>
              <w:spacing w:before="0" w:after="20"/>
              <w:jc w:val="right"/>
              <w:rPr>
                <w:rFonts w:ascii="arial" w:hAnsi="arial"/>
                <w:sz w:val="16"/>
              </w:rPr>
            </w:pPr>
            <w:r>
              <w:rPr>
                <w:rFonts w:ascii="arial" w:hAnsi="arial"/>
                <w:sz w:val="16"/>
              </w:rPr>
              <w:t>(877) 736-7727</w:t>
            </w:r>
          </w:p>
        </w:tc>
      </w:tr>
    </w:tbl>
    <w:p>
      <w:pPr>
        <w:pStyle w:val="TextBody"/>
        <w:spacing w:before="280" w:after="0"/>
        <w:jc w:val="left"/>
        <w:rPr>
          <w:rFonts w:ascii="arial" w:hAnsi="arial"/>
          <w:b/>
          <w:color w:val="001C71"/>
          <w:sz w:val="44"/>
          <w:highlight w:val="white"/>
        </w:rPr>
      </w:pPr>
      <w:bookmarkStart w:id="3" w:name="toc108157_1"/>
      <w:bookmarkEnd w:id="3"/>
      <w:r>
        <w:rPr>
          <w:rFonts w:ascii="arial" w:hAnsi="arial"/>
          <w:b/>
          <w:color w:val="001C71"/>
          <w:sz w:val="44"/>
          <w:highlight w:val="white"/>
        </w:rPr>
        <w:t xml:space="preserve">Notice of Annual Shareholders Meeting </w:t>
      </w:r>
    </w:p>
    <w:p>
      <w:pPr>
        <w:pStyle w:val="TextBody"/>
        <w:spacing w:before="360" w:after="0"/>
        <w:jc w:val="left"/>
        <w:rPr>
          <w:rFonts w:ascii="arial" w:hAnsi="arial"/>
          <w:b/>
          <w:sz w:val="24"/>
          <w:highlight w:val="white"/>
        </w:rPr>
      </w:pPr>
      <w:r>
        <w:rPr>
          <w:rFonts w:ascii="arial" w:hAnsi="arial"/>
          <w:b/>
          <w:sz w:val="24"/>
          <w:highlight w:val="white"/>
        </w:rPr>
        <w:t xml:space="preserve">Friday, May 14, 2021, 9 a.m. Pacific Time </w:t>
      </w:r>
    </w:p>
    <w:p>
      <w:pPr>
        <w:pStyle w:val="TextBody"/>
        <w:spacing w:before="0" w:after="0"/>
        <w:jc w:val="left"/>
        <w:rPr>
          <w:rFonts w:ascii="arial" w:hAnsi="arial"/>
          <w:sz w:val="22"/>
          <w:highlight w:val="white"/>
        </w:rPr>
      </w:pPr>
      <w:r>
        <w:rPr>
          <w:rFonts w:ascii="arial" w:hAnsi="arial"/>
          <w:sz w:val="22"/>
          <w:highlight w:val="white"/>
        </w:rPr>
        <w:t xml:space="preserve">Virtual-only meeting at www.virtualshareholdermeeting.com/SRE2021 </w:t>
      </w:r>
    </w:p>
    <w:p>
      <w:pPr>
        <w:pStyle w:val="TextBody"/>
        <w:spacing w:before="80" w:after="0"/>
        <w:jc w:val="left"/>
        <w:rPr>
          <w:rFonts w:ascii="arial" w:hAnsi="arial"/>
          <w:sz w:val="16"/>
          <w:highlight w:val="white"/>
        </w:rPr>
      </w:pPr>
      <w:r>
        <w:rPr>
          <w:rFonts w:ascii="arial" w:hAnsi="arial"/>
          <w:sz w:val="16"/>
          <w:highlight w:val="white"/>
        </w:rPr>
        <w:t xml:space="preserve">The 2021 annual meeting of shareholders of Sempra Energy (Annual Shareholders Meeting) will be held on Friday, May 14, 2021, at 9 a.m. Pacific Time. The Annual Shareholders Meeting will be a completely virtual meeting of our shareholders conducted via live audio webcast. You will be able to attend the Annual Shareholders Meeting, vote and submit your questions during the Annual Shareholders Meeting by visiting www.virtualshareholdermeeting.com/SRE2021 and entering your 16-digit control number as described below. To help protect the health and safety of our shareholders, employees and directors in light of the ongoing COVID-19 pandemic, and in compliance with guidance from applicable federal, state and local public health authorities, our Annual Shareholders Meeting will be conducted via live audio webcast using online tools. There will be no physical location for the meeting. </w:t>
      </w:r>
    </w:p>
    <w:p>
      <w:pPr>
        <w:pStyle w:val="TextBody"/>
        <w:spacing w:before="240" w:after="0"/>
        <w:jc w:val="left"/>
        <w:rPr>
          <w:rFonts w:ascii="arial" w:hAnsi="arial"/>
          <w:color w:val="001C71"/>
          <w:sz w:val="22"/>
          <w:highlight w:val="white"/>
        </w:rPr>
      </w:pPr>
      <w:r>
        <w:rPr>
          <w:rFonts w:ascii="arial" w:hAnsi="arial"/>
          <w:color w:val="001C71"/>
          <w:sz w:val="22"/>
          <w:highlight w:val="white"/>
        </w:rPr>
        <w:t xml:space="preserve">Business Items </w:t>
      </w:r>
    </w:p>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Election of the following director nominees, all of whom are currently directors: Alan L. Boeckmann; Andrés Conesa; Maria Contreras-Sweet; Pablo A. Ferrero; William D. Jones; Jeffrey W. Martin; Bethany J. Mayer; Michael N. Mears; Jack T. Taylor; Cynthia L. Walker; Cynthia J. Warner; and James C. Yardley.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arial" w:hAnsi="arial"/>
                <w:sz w:val="16"/>
              </w:rPr>
            </w:pPr>
            <w:r>
              <w:rPr>
                <w:rFonts w:ascii="arial" w:hAnsi="arial"/>
                <w:sz w:val="16"/>
              </w:rPr>
              <w:t xml:space="preserve">Ratification of appointment of independent registered public accounting firm.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Advisory approval of our executive compensation.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arial" w:hAnsi="arial"/>
                <w:sz w:val="16"/>
              </w:rPr>
            </w:pPr>
            <w:r>
              <w:rPr>
                <w:rFonts w:ascii="arial" w:hAnsi="arial"/>
                <w:sz w:val="16"/>
              </w:rPr>
              <w:t xml:space="preserve">Shareholder proposal requesting an amendment to our proxy access bylaw to eliminate the shareholder nominating group limit, if properly presented at the meeting.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arial" w:hAnsi="arial"/>
                <w:sz w:val="16"/>
              </w:rPr>
            </w:pPr>
            <w:r>
              <w:rPr>
                <w:rFonts w:ascii="arial" w:hAnsi="arial"/>
                <w:sz w:val="16"/>
              </w:rPr>
              <w:t xml:space="preserve">Shareholder proposal requesting a report on the alignment of our lobbying activities with the Paris Agreement, if properly presented at the meeting.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arial" w:hAnsi="arial"/>
                <w:sz w:val="16"/>
              </w:rPr>
            </w:pPr>
            <w:r>
              <w:rPr>
                <w:rFonts w:ascii="arial" w:hAnsi="arial"/>
                <w:sz w:val="16"/>
              </w:rPr>
              <w:t xml:space="preserve">Consideration of other matters that may properly come before the meeting, if any. </w:t>
            </w:r>
          </w:p>
        </w:tc>
      </w:tr>
    </w:tbl>
    <w:p>
      <w:pPr>
        <w:pStyle w:val="TextBody"/>
        <w:spacing w:before="240" w:after="0"/>
        <w:jc w:val="left"/>
        <w:rPr>
          <w:rFonts w:ascii="arial" w:hAnsi="arial"/>
          <w:color w:val="001C71"/>
          <w:sz w:val="22"/>
          <w:highlight w:val="white"/>
        </w:rPr>
      </w:pPr>
      <w:r>
        <w:rPr>
          <w:rFonts w:ascii="arial" w:hAnsi="arial"/>
          <w:color w:val="001C71"/>
          <w:sz w:val="22"/>
          <w:highlight w:val="white"/>
        </w:rPr>
        <w:t xml:space="preserve">Adjournments and Postponements </w:t>
      </w:r>
    </w:p>
    <w:p>
      <w:pPr>
        <w:pStyle w:val="TextBody"/>
        <w:spacing w:before="120" w:after="0"/>
        <w:jc w:val="left"/>
        <w:rPr>
          <w:rFonts w:ascii="arial" w:hAnsi="arial"/>
          <w:sz w:val="16"/>
          <w:highlight w:val="white"/>
        </w:rPr>
      </w:pPr>
      <w:r>
        <w:rPr>
          <w:rFonts w:ascii="arial" w:hAnsi="arial"/>
          <w:sz w:val="16"/>
          <w:highlight w:val="white"/>
        </w:rPr>
        <w:t xml:space="preserve">The business items for the Annual Shareholders Meeting may be considered at the meeting and any adjournment or postponement of the meeting. </w:t>
      </w:r>
    </w:p>
    <w:p>
      <w:pPr>
        <w:pStyle w:val="TextBody"/>
        <w:spacing w:before="240" w:after="0"/>
        <w:jc w:val="left"/>
        <w:rPr>
          <w:rFonts w:ascii="arial" w:hAnsi="arial"/>
          <w:color w:val="001C71"/>
          <w:sz w:val="22"/>
          <w:highlight w:val="white"/>
        </w:rPr>
      </w:pPr>
      <w:r>
        <w:rPr>
          <w:rFonts w:ascii="arial" w:hAnsi="arial"/>
          <w:color w:val="001C71"/>
          <w:sz w:val="22"/>
          <w:highlight w:val="white"/>
        </w:rPr>
        <w:t xml:space="preserve">Record Date </w:t>
      </w:r>
    </w:p>
    <w:p>
      <w:pPr>
        <w:pStyle w:val="TextBody"/>
        <w:spacing w:before="120" w:after="0"/>
        <w:jc w:val="left"/>
        <w:rPr>
          <w:rFonts w:ascii="arial" w:hAnsi="arial"/>
          <w:sz w:val="16"/>
          <w:highlight w:val="white"/>
        </w:rPr>
      </w:pPr>
      <w:r>
        <w:rPr>
          <w:rFonts w:ascii="arial" w:hAnsi="arial"/>
          <w:sz w:val="16"/>
          <w:highlight w:val="white"/>
        </w:rPr>
        <w:t xml:space="preserve">The record date for the Annual Shareholders Meeting is March 19, 2021. You are entitled to notice of and to vote at the Annual Shareholders Meeting and any adjournment or postponement thereof, only if you were a holder of Sempra Energy common stock at the close of business on the record date. </w:t>
      </w:r>
    </w:p>
    <w:p>
      <w:pPr>
        <w:pStyle w:val="TextBody"/>
        <w:spacing w:before="240" w:after="0"/>
        <w:jc w:val="left"/>
        <w:rPr>
          <w:rFonts w:ascii="arial" w:hAnsi="arial"/>
          <w:color w:val="001C71"/>
          <w:sz w:val="22"/>
          <w:highlight w:val="white"/>
        </w:rPr>
      </w:pPr>
      <w:r>
        <w:rPr>
          <w:rFonts w:ascii="arial" w:hAnsi="arial"/>
          <w:color w:val="001C71"/>
          <w:sz w:val="22"/>
          <w:highlight w:val="white"/>
        </w:rPr>
        <w:t xml:space="preserve">Meeting Attendance and Participation </w:t>
      </w:r>
    </w:p>
    <w:p>
      <w:pPr>
        <w:pStyle w:val="TextBody"/>
        <w:spacing w:before="120" w:after="0"/>
        <w:jc w:val="left"/>
        <w:rPr>
          <w:rFonts w:ascii="arial" w:hAnsi="arial"/>
          <w:sz w:val="16"/>
          <w:highlight w:val="white"/>
        </w:rPr>
      </w:pPr>
      <w:r>
        <w:rPr>
          <w:rFonts w:ascii="arial" w:hAnsi="arial"/>
          <w:sz w:val="16"/>
          <w:highlight w:val="white"/>
        </w:rPr>
        <w:t xml:space="preserve">We will permit all persons, including shareholders of record, beneficial owners of shares held in street name through a bank, broker or other nominee and guests, to attend the Annual Shareholders Meeting via live audio webcast. Please visit www.virtualshareholdermeeting.com/SRE2021 at the date and time of the meeting to attend. You will only be permitted to submit questions at the meeting or vote your shares at the meeting if you were a shareholder of record or beneficial owner of shares of our common stock as of March 19, 2021, the record date for the meeting. To attend the meeting as a shareholder and access these capabilities, you will need to log into the meeting site with the 16-digit control number shown on your notice about the Internet availability of our proxy materials, voting instruction form or proxy card or, if you are a beneficial owner of shares held through a bank, broker or other nominee and your voting instruction form does </w:t>
      </w:r>
      <w:r>
        <w:rPr>
          <w:rFonts w:ascii="arial" w:hAnsi="arial"/>
          <w:i/>
          <w:sz w:val="16"/>
          <w:highlight w:val="white"/>
          <w:u w:val="single"/>
        </w:rPr>
        <w:t>not</w:t>
      </w:r>
      <w:r>
        <w:rPr>
          <w:rFonts w:ascii="arial" w:hAnsi="arial"/>
          <w:sz w:val="16"/>
          <w:highlight w:val="white"/>
        </w:rPr>
        <w:t xml:space="preserve"> indicate that you may vote your shares through www.proxyvote.com, you will need to obtain a legal proxy from your bank, broker or other nominee (preferably at least five days before the Annual Shareholders Meeting) to receive a 16-digit control number that may be used to log into the meeting site. If you need to obtain such a legal proxy to attend the meeting, please follow the specific instructions to do so provided by your bank, broker or other nominee. </w:t>
      </w:r>
    </w:p>
    <w:p>
      <w:pPr>
        <w:pStyle w:val="TextBody"/>
        <w:spacing w:before="80" w:after="0"/>
        <w:jc w:val="left"/>
        <w:rPr>
          <w:rFonts w:ascii="arial" w:hAnsi="arial"/>
          <w:sz w:val="16"/>
          <w:highlight w:val="white"/>
        </w:rPr>
      </w:pPr>
      <w:r>
        <w:rPr>
          <w:rFonts w:ascii="arial" w:hAnsi="arial"/>
          <w:sz w:val="16"/>
          <w:highlight w:val="white"/>
        </w:rPr>
        <w:t xml:space="preserve">Additional instructions on how to attend and participate in the virtual meeting are included in About the Annual Shareholders Meeting and Voting in the accompanying proxy statement and are posted at www.proxyvote.com. If you encounter difficulties accessing the virtual meeting during the check-in or meeting time, please call (844) 976-0738 (U.S. and Canada) or +1 (303) 562-9301 (International) beginning April 15, 2021 for technical support, which numbers also will be posted on the login page at www.virtualshareholdermeeting.com/SRE2021. The Annual Shareholders Meeting live audio webcast will begin promptly at 9 a.m. Pacific Time on Friday, May 14, 2021. We encourage you to access the meeting site prior to the start time. Online check-in will begin at 8:30 a.m. Pacific Time, and you should allow ample time for the check-in procedures the day of the Annual Shareholders Meeting. </w:t>
      </w:r>
    </w:p>
    <w:p>
      <w:pPr>
        <w:pStyle w:val="TextBody"/>
        <w:spacing w:before="240" w:after="0"/>
        <w:jc w:val="left"/>
        <w:rPr>
          <w:rFonts w:ascii="arial" w:hAnsi="arial"/>
          <w:color w:val="001C71"/>
          <w:sz w:val="22"/>
          <w:highlight w:val="white"/>
        </w:rPr>
      </w:pPr>
      <w:r>
        <w:rPr>
          <w:rFonts w:ascii="arial" w:hAnsi="arial"/>
          <w:color w:val="001C71"/>
          <w:sz w:val="22"/>
          <w:highlight w:val="white"/>
        </w:rPr>
        <w:t xml:space="preserve">Voting </w:t>
      </w:r>
    </w:p>
    <w:p>
      <w:pPr>
        <w:pStyle w:val="TextBody"/>
        <w:spacing w:before="120" w:after="0"/>
        <w:jc w:val="left"/>
        <w:rPr>
          <w:rFonts w:ascii="arial" w:hAnsi="arial"/>
          <w:sz w:val="16"/>
          <w:highlight w:val="white"/>
        </w:rPr>
      </w:pPr>
      <w:r>
        <w:rPr>
          <w:rFonts w:ascii="arial" w:hAnsi="arial"/>
          <w:sz w:val="16"/>
          <w:highlight w:val="white"/>
        </w:rPr>
        <w:t xml:space="preserve">Your vote is important. Whether or not you plan to attend the virtual Annual Shareholders Meeting, we encourage you to read the accompanying proxy statement and promptly vote your shares. You may vote in advance of the meeting by completing, signing and dating the enclosed proxy card or voting instruction form and returning it in the enclosed envelope (if you received a paper copy of our proxy materials), or by telephone or via the Internet. Internet and telephone voting for holders of record will be available until 11:59 p.m. Eastern Time on May 13, 2021. For specific instructions on how to vote your shares, please see About the Annual Shareholders Meeting and Voting in the accompanying proxy statement and the instructions on your notice about the Internet availability of our proxy materials, proxy card or voting instruction form. </w:t>
      </w:r>
    </w:p>
    <w:p>
      <w:pPr>
        <w:pStyle w:val="TextBody"/>
        <w:spacing w:before="80" w:after="0"/>
        <w:jc w:val="left"/>
        <w:rPr>
          <w:rFonts w:ascii="arial" w:hAnsi="arial"/>
          <w:sz w:val="16"/>
          <w:highlight w:val="white"/>
        </w:rPr>
      </w:pPr>
      <w:r>
        <w:rPr>
          <w:rFonts w:ascii="arial" w:hAnsi="arial"/>
          <w:sz w:val="16"/>
          <w:highlight w:val="white"/>
        </w:rPr>
        <w:t xml:space="preserve">Our proxy materials, including this Notice of Annual Shareholders Meeting and the accompanying proxy statement and form of proxy card or voting instruction form, are being provided to shareholders beginning on or about March 26, 2021. </w:t>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2347"/>
        <w:gridCol w:w="101"/>
        <w:gridCol w:w="2552"/>
        <w:gridCol w:w="101"/>
        <w:gridCol w:w="2553"/>
        <w:gridCol w:w="100"/>
        <w:gridCol w:w="2451"/>
      </w:tblGrid>
      <w:tr>
        <w:trPr/>
        <w:tc>
          <w:tcPr>
            <w:tcW w:w="234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2451" w:type="dxa"/>
            <w:tcBorders/>
            <w:shd w:fill="auto" w:val="clear"/>
            <w:vAlign w:val="center"/>
          </w:tcPr>
          <w:p>
            <w:pPr>
              <w:pStyle w:val="TableContents"/>
              <w:spacing w:before="0" w:after="283"/>
              <w:rPr>
                <w:sz w:val="4"/>
                <w:szCs w:val="4"/>
              </w:rPr>
            </w:pPr>
            <w:r>
              <w:rPr>
                <w:sz w:val="4"/>
                <w:szCs w:val="4"/>
              </w:rPr>
            </w:r>
          </w:p>
        </w:tc>
      </w:tr>
      <w:tr>
        <w:trPr/>
        <w:tc>
          <w:tcPr>
            <w:tcW w:w="234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55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553"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2451" w:type="dxa"/>
            <w:tcBorders/>
            <w:shd w:fill="auto" w:val="clear"/>
          </w:tcPr>
          <w:p>
            <w:pPr>
              <w:pStyle w:val="TableContents"/>
              <w:spacing w:before="0" w:after="0"/>
              <w:jc w:val="right"/>
              <w:rPr>
                <w:rFonts w:ascii="arial" w:hAnsi="arial"/>
                <w:b/>
                <w:sz w:val="18"/>
              </w:rPr>
            </w:pPr>
            <w:r>
              <w:rPr>
                <w:rFonts w:ascii="arial" w:hAnsi="arial"/>
                <w:b/>
                <w:sz w:val="18"/>
              </w:rPr>
              <w:t>Jennifer F. Jett</w:t>
            </w:r>
          </w:p>
          <w:p>
            <w:pPr>
              <w:pStyle w:val="TableContents"/>
              <w:spacing w:before="0" w:after="20"/>
              <w:jc w:val="right"/>
              <w:rPr>
                <w:rFonts w:ascii="arial" w:hAnsi="arial"/>
                <w:sz w:val="18"/>
              </w:rPr>
            </w:pPr>
            <w:r>
              <w:rPr>
                <w:rFonts w:ascii="arial" w:hAnsi="arial"/>
                <w:sz w:val="18"/>
              </w:rPr>
              <w:t>Corporate Secretary</w:t>
            </w:r>
          </w:p>
        </w:tc>
      </w:tr>
    </w:tbl>
    <w:p>
      <w:pPr>
        <w:pStyle w:val="TextBody"/>
        <w:spacing w:before="240" w:after="0"/>
        <w:jc w:val="center"/>
        <w:rPr>
          <w:rFonts w:ascii="arial" w:hAnsi="arial"/>
          <w:b/>
          <w:sz w:val="18"/>
          <w:highlight w:val="white"/>
        </w:rPr>
      </w:pPr>
      <w:r>
        <w:rPr>
          <w:rFonts w:ascii="arial" w:hAnsi="arial"/>
          <w:b/>
          <w:sz w:val="18"/>
          <w:highlight w:val="white"/>
        </w:rPr>
        <w:t xml:space="preserve">Important Notice Regarding the Availability of Proxy Materials </w:t>
      </w:r>
    </w:p>
    <w:p>
      <w:pPr>
        <w:pStyle w:val="TextBody"/>
        <w:spacing w:before="0" w:after="0"/>
        <w:jc w:val="center"/>
        <w:rPr>
          <w:rFonts w:ascii="arial" w:hAnsi="arial"/>
          <w:b/>
          <w:sz w:val="18"/>
          <w:highlight w:val="white"/>
        </w:rPr>
      </w:pPr>
      <w:r>
        <w:rPr>
          <w:rFonts w:ascii="arial" w:hAnsi="arial"/>
          <w:b/>
          <w:sz w:val="18"/>
          <w:highlight w:val="white"/>
        </w:rPr>
        <w:t xml:space="preserve">for the Annual Shareholders Meeting to be Held on May 14, 2021. </w:t>
      </w:r>
    </w:p>
    <w:p>
      <w:pPr>
        <w:pStyle w:val="TextBody"/>
        <w:spacing w:before="0" w:after="0"/>
        <w:jc w:val="center"/>
        <w:rPr>
          <w:rFonts w:ascii="arial" w:hAnsi="arial"/>
          <w:sz w:val="18"/>
          <w:highlight w:val="white"/>
        </w:rPr>
      </w:pPr>
      <w:r>
        <w:rPr>
          <w:rFonts w:ascii="arial" w:hAnsi="arial"/>
          <w:sz w:val="18"/>
          <w:highlight w:val="white"/>
        </w:rPr>
        <w:t xml:space="preserve">This Notice of Annual Shareholders Meeting, the Accompanying Proxy Statement, the Proxy Card and the </w:t>
      </w:r>
    </w:p>
    <w:p>
      <w:pPr>
        <w:pStyle w:val="TextBody"/>
        <w:spacing w:before="0" w:after="0"/>
        <w:jc w:val="center"/>
        <w:rPr>
          <w:rFonts w:ascii="arial" w:hAnsi="arial"/>
          <w:sz w:val="18"/>
          <w:highlight w:val="white"/>
        </w:rPr>
      </w:pPr>
      <w:r>
        <w:rPr>
          <w:rFonts w:ascii="arial" w:hAnsi="arial"/>
          <w:sz w:val="18"/>
          <w:highlight w:val="white"/>
        </w:rPr>
        <w:t xml:space="preserve">Annual Report to Shareholders are available on the Internet at www.proxyvote.com. </w:t>
      </w:r>
    </w:p>
    <w:p>
      <w:pPr>
        <w:pStyle w:val="TextBody"/>
        <w:spacing w:before="0" w:after="0"/>
        <w:jc w:val="left"/>
        <w:rPr>
          <w:highlight w:val="white"/>
        </w:rPr>
      </w:pPr>
      <w:r>
        <w:rPr>
          <w:highlight w:val="white"/>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highlight w:val="white"/>
        </w:rPr>
      </w:pPr>
      <w:r>
        <w:rPr>
          <w:highlight w:val="white"/>
        </w:rPr>
        <w:t xml:space="preserve">     </w:t>
      </w:r>
    </w:p>
    <w:p>
      <w:pPr>
        <w:pStyle w:val="TextBody"/>
        <w:spacing w:before="0" w:after="0"/>
        <w:jc w:val="left"/>
        <w:rPr>
          <w:highlight w:val="white"/>
        </w:rPr>
      </w:pPr>
      <w:r>
        <w:rPr>
          <w:highlight w:val="white"/>
        </w:rPr>
        <w:t> </w:t>
      </w:r>
    </w:p>
    <w:p>
      <w:pPr>
        <w:pStyle w:val="TextBody"/>
        <w:spacing w:before="0" w:after="0"/>
        <w:jc w:val="left"/>
        <w:rPr>
          <w:color w:val="001C71"/>
          <w:highlight w:val="white"/>
        </w:rPr>
      </w:pPr>
      <w:r>
        <w:rPr>
          <w:color w:val="001C71"/>
          <w:highlight w:val="white"/>
        </w:rPr>
        <w:t xml:space="preserve">     </w:t>
      </w:r>
    </w:p>
    <w:p>
      <w:pPr>
        <w:pStyle w:val="TextBody"/>
        <w:spacing w:before="0" w:after="0"/>
        <w:jc w:val="left"/>
        <w:rPr>
          <w:rFonts w:ascii="arial" w:hAnsi="arial"/>
          <w:b/>
          <w:color w:val="001C71"/>
          <w:sz w:val="44"/>
          <w:highlight w:val="white"/>
        </w:rPr>
      </w:pPr>
      <w:bookmarkStart w:id="4" w:name="toc108157_2"/>
      <w:bookmarkEnd w:id="4"/>
      <w:r>
        <w:rPr>
          <w:rFonts w:ascii="arial" w:hAnsi="arial"/>
          <w:b/>
          <w:color w:val="001C71"/>
          <w:sz w:val="44"/>
          <w:highlight w:val="white"/>
        </w:rPr>
        <w:t xml:space="preserve">Proxy Statement Summary </w:t>
      </w:r>
    </w:p>
    <w:p>
      <w:pPr>
        <w:pStyle w:val="TextBody"/>
        <w:spacing w:before="120" w:after="0"/>
        <w:jc w:val="left"/>
        <w:rPr>
          <w:rFonts w:ascii="arial" w:hAnsi="arial"/>
          <w:sz w:val="16"/>
          <w:highlight w:val="white"/>
        </w:rPr>
      </w:pPr>
      <w:r>
        <w:rPr>
          <w:rFonts w:ascii="arial" w:hAnsi="arial"/>
          <w:sz w:val="16"/>
          <w:highlight w:val="white"/>
        </w:rPr>
        <w:t xml:space="preserve">This proxy statement is being provided in connection with the 2021 annual meeting of shareholders of Sempra Energy (Annual Shareholders Meeting). This summary highlights selected information to assist you in your review of this proxy statement. It does not contain all of the information you should consider, and you should read the entire proxy statement carefully before voting. Information regarding the performance of Sempra Energy is available in the companys Annual Report to Shareholders for the year ended December 31, 2020, which accompanies this proxy statement and is available on the companys website at www.sempra.com/2021-annual-meeting. For additional information about the Annual Shareholders Meeting and voting, please see About the Annual Shareholders Meeting and Voting. This proxy statement and the accompanying form of proxy card or voting instruction form are first being made available to shareholders on or about March 26, 2021. All website references in our proxy materials are inactive textual references, and the information on, or that can be accessed through, such websites does not constitute a part of these materials. </w:t>
      </w:r>
    </w:p>
    <w:p>
      <w:pPr>
        <w:pStyle w:val="TextBody"/>
        <w:spacing w:before="120" w:after="0"/>
        <w:jc w:val="left"/>
        <w:rPr>
          <w:rFonts w:ascii="arial" w:hAnsi="arial"/>
          <w:b/>
          <w:sz w:val="32"/>
          <w:highlight w:val="white"/>
        </w:rPr>
      </w:pPr>
      <w:r>
        <w:rPr>
          <w:rFonts w:ascii="arial" w:hAnsi="arial"/>
          <w:b/>
          <w:sz w:val="32"/>
          <w:highlight w:val="white"/>
        </w:rPr>
        <w:t xml:space="preserve">Annual Shareholders Meeting Details </w:t>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5103"/>
        <w:gridCol w:w="407"/>
        <w:gridCol w:w="4695"/>
      </w:tblGrid>
      <w:tr>
        <w:trPr/>
        <w:tc>
          <w:tcPr>
            <w:tcW w:w="510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4695"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5103" w:type="dxa"/>
            <w:tcBorders>
              <w:top w:val="single" w:sz="2" w:space="0" w:color="001C71"/>
              <w:left w:val="single" w:sz="2" w:space="0" w:color="001C71"/>
            </w:tcBorders>
            <w:shd w:fill="001C71" w:val="clear"/>
            <w:tcMar>
              <w:top w:w="28" w:type="dxa"/>
              <w:left w:w="160" w:type="dxa"/>
            </w:tcMar>
            <w:vAlign w:val="center"/>
          </w:tcPr>
          <w:p>
            <w:pPr>
              <w:pStyle w:val="TableContents"/>
              <w:spacing w:before="0" w:after="283"/>
              <w:rPr/>
            </w:pPr>
            <w:r>
              <w:rPr/>
              <w:t> </w:t>
            </w:r>
          </w:p>
        </w:tc>
        <w:tc>
          <w:tcPr>
            <w:tcW w:w="5102" w:type="dxa"/>
            <w:gridSpan w:val="2"/>
            <w:tcBorders>
              <w:top w:val="single" w:sz="2" w:space="0" w:color="001C71"/>
              <w:right w:val="single" w:sz="2" w:space="0" w:color="001C71"/>
            </w:tcBorders>
            <w:shd w:fill="001C71" w:val="clear"/>
            <w:tcMar>
              <w:top w:w="28" w:type="dxa"/>
              <w:right w:w="28" w:type="dxa"/>
            </w:tcMar>
            <w:vAlign w:val="center"/>
          </w:tcPr>
          <w:p>
            <w:pPr>
              <w:pStyle w:val="TableContents"/>
              <w:spacing w:before="0" w:after="283"/>
              <w:rPr/>
            </w:pPr>
            <w:r>
              <w:rPr/>
              <w:t> </w:t>
            </w:r>
          </w:p>
        </w:tc>
      </w:tr>
      <w:tr>
        <w:trPr/>
        <w:tc>
          <w:tcPr>
            <w:tcW w:w="5103" w:type="dxa"/>
            <w:tcBorders>
              <w:left w:val="single" w:sz="2" w:space="0" w:color="001C71"/>
              <w:bottom w:val="single" w:sz="2" w:space="0" w:color="001C71"/>
            </w:tcBorders>
            <w:shd w:fill="001C71" w:val="clear"/>
            <w:tcMar>
              <w:left w:w="160" w:type="dxa"/>
              <w:bottom w:w="60" w:type="dxa"/>
            </w:tcMar>
            <w:vAlign w:val="bottom"/>
          </w:tcPr>
          <w:p>
            <w:pPr>
              <w:pStyle w:val="TableContents"/>
              <w:spacing w:before="0" w:after="283"/>
              <w:rPr>
                <w:color w:val="FFFFFF"/>
              </w:rPr>
            </w:pPr>
            <w:r>
              <w:rPr>
                <w:color w:val="FFFFFF"/>
              </w:rPr>
              <w:t>      </w:t>
            </w:r>
            <w:r>
              <w:rPr>
                <w:b/>
                <w:color w:val="FFFFFF"/>
              </w:rPr>
              <w:t>Date/Time</w:t>
            </w:r>
          </w:p>
        </w:tc>
        <w:tc>
          <w:tcPr>
            <w:tcW w:w="407" w:type="dxa"/>
            <w:tcBorders>
              <w:bottom w:val="single" w:sz="2" w:space="0" w:color="001C71"/>
            </w:tcBorders>
            <w:shd w:fill="001C71" w:val="clear"/>
            <w:tcMar>
              <w:bottom w:w="28" w:type="dxa"/>
            </w:tcMar>
            <w:vAlign w:val="bottom"/>
          </w:tcPr>
          <w:p>
            <w:pPr>
              <w:pStyle w:val="TableContents"/>
              <w:spacing w:before="0" w:after="283"/>
              <w:rPr/>
            </w:pPr>
            <w:r>
              <w:rPr/>
              <w:t>    </w:t>
            </w:r>
          </w:p>
        </w:tc>
        <w:tc>
          <w:tcPr>
            <w:tcW w:w="4695" w:type="dxa"/>
            <w:tcBorders>
              <w:bottom w:val="single" w:sz="2" w:space="0" w:color="001C71"/>
              <w:right w:val="single" w:sz="2" w:space="0" w:color="001C71"/>
            </w:tcBorders>
            <w:shd w:fill="001C71" w:val="clear"/>
            <w:tcMar>
              <w:bottom w:w="60" w:type="dxa"/>
              <w:right w:w="40" w:type="dxa"/>
            </w:tcMar>
            <w:vAlign w:val="bottom"/>
          </w:tcPr>
          <w:p>
            <w:pPr>
              <w:pStyle w:val="TableContents"/>
              <w:spacing w:before="0" w:after="283"/>
              <w:rPr>
                <w:b/>
                <w:color w:val="FFFFFF"/>
              </w:rPr>
            </w:pPr>
            <w:r>
              <w:rPr>
                <w:b/>
                <w:color w:val="FFFFFF"/>
              </w:rPr>
              <w:t>Location</w:t>
            </w:r>
          </w:p>
        </w:tc>
      </w:tr>
      <w:tr>
        <w:trPr/>
        <w:tc>
          <w:tcPr>
            <w:tcW w:w="5103" w:type="dxa"/>
            <w:tcBorders>
              <w:bottom w:val="single" w:sz="8" w:space="0" w:color="001C71"/>
            </w:tcBorders>
            <w:shd w:fill="auto" w:val="clear"/>
            <w:tcMar>
              <w:bottom w:w="28" w:type="dxa"/>
            </w:tcMar>
          </w:tcPr>
          <w:p>
            <w:pPr>
              <w:pStyle w:val="TableContents"/>
              <w:spacing w:before="0" w:after="0"/>
              <w:rPr>
                <w:color w:val="001C71"/>
              </w:rPr>
            </w:pPr>
            <w:r>
              <w:rPr>
                <w:color w:val="001C71"/>
              </w:rPr>
              <w:t>  </w:t>
            </w:r>
            <w:r>
              <w:rPr>
                <w:rFonts w:ascii="arial" w:hAnsi="arial"/>
                <w:color w:val="001C71"/>
                <w:sz w:val="16"/>
              </w:rPr>
              <w:t>Friday,May 14, 2021 - 9 a.m. Pacific Time</w:t>
            </w:r>
          </w:p>
          <w:p>
            <w:pPr>
              <w:pStyle w:val="TableContents"/>
              <w:spacing w:before="0" w:after="20"/>
              <w:rPr/>
            </w:pPr>
            <w:r>
              <w:rPr/>
              <w:t> </w:t>
            </w:r>
          </w:p>
        </w:tc>
        <w:tc>
          <w:tcPr>
            <w:tcW w:w="407" w:type="dxa"/>
            <w:tcBorders>
              <w:bottom w:val="single" w:sz="8" w:space="0" w:color="001C71"/>
            </w:tcBorders>
            <w:shd w:fill="auto" w:val="clear"/>
            <w:tcMar>
              <w:bottom w:w="28" w:type="dxa"/>
            </w:tcMar>
            <w:vAlign w:val="bottom"/>
          </w:tcPr>
          <w:p>
            <w:pPr>
              <w:pStyle w:val="TableContents"/>
              <w:spacing w:before="0" w:after="283"/>
              <w:rPr/>
            </w:pPr>
            <w:r>
              <w:rPr/>
              <w:t>    </w:t>
            </w:r>
          </w:p>
        </w:tc>
        <w:tc>
          <w:tcPr>
            <w:tcW w:w="4695" w:type="dxa"/>
            <w:tcBorders>
              <w:bottom w:val="single" w:sz="8" w:space="0" w:color="001C71"/>
            </w:tcBorders>
            <w:shd w:fill="auto" w:val="clear"/>
            <w:tcMar>
              <w:bottom w:w="28" w:type="dxa"/>
            </w:tcMar>
          </w:tcPr>
          <w:p>
            <w:pPr>
              <w:pStyle w:val="TableContents"/>
              <w:spacing w:before="0" w:after="0"/>
              <w:rPr>
                <w:rFonts w:ascii="arial" w:hAnsi="arial"/>
                <w:color w:val="001C71"/>
                <w:sz w:val="16"/>
              </w:rPr>
            </w:pPr>
            <w:r>
              <w:rPr>
                <w:rFonts w:ascii="arial" w:hAnsi="arial"/>
                <w:color w:val="001C71"/>
                <w:sz w:val="16"/>
              </w:rPr>
              <w:t>www.virtualshareholdermeeting.com/SRE2021</w:t>
            </w:r>
          </w:p>
          <w:p>
            <w:pPr>
              <w:pStyle w:val="TableContents"/>
              <w:spacing w:before="0" w:after="20"/>
              <w:rPr/>
            </w:pPr>
            <w:r>
              <w:rPr/>
              <w:t> </w:t>
            </w:r>
          </w:p>
        </w:tc>
      </w:tr>
    </w:tbl>
    <w:p>
      <w:pPr>
        <w:pStyle w:val="TextBody"/>
        <w:spacing w:before="80" w:after="0"/>
        <w:jc w:val="left"/>
        <w:rPr>
          <w:rFonts w:ascii="arial" w:hAnsi="arial"/>
          <w:b/>
          <w:sz w:val="32"/>
          <w:highlight w:val="white"/>
        </w:rPr>
      </w:pPr>
      <w:r>
        <w:rPr>
          <w:rFonts w:ascii="arial" w:hAnsi="arial"/>
          <w:b/>
          <w:sz w:val="32"/>
          <w:highlight w:val="white"/>
        </w:rPr>
        <w:t xml:space="preserve">Shareholder Voting Matters </w:t>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5102"/>
        <w:gridCol w:w="306"/>
        <w:gridCol w:w="4797"/>
      </w:tblGrid>
      <w:tr>
        <w:trPr/>
        <w:tc>
          <w:tcPr>
            <w:tcW w:w="5102"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5102" w:type="dxa"/>
            <w:tcBorders>
              <w:top w:val="single" w:sz="2" w:space="0" w:color="001C71"/>
              <w:left w:val="single" w:sz="2" w:space="0" w:color="001C71"/>
            </w:tcBorders>
            <w:shd w:fill="001C71" w:val="clear"/>
            <w:tcMar>
              <w:top w:w="28" w:type="dxa"/>
              <w:left w:w="160" w:type="dxa"/>
            </w:tcMar>
            <w:vAlign w:val="center"/>
          </w:tcPr>
          <w:p>
            <w:pPr>
              <w:pStyle w:val="TableContents"/>
              <w:spacing w:before="0" w:after="283"/>
              <w:rPr/>
            </w:pPr>
            <w:r>
              <w:rPr/>
              <w:t> </w:t>
            </w:r>
          </w:p>
        </w:tc>
        <w:tc>
          <w:tcPr>
            <w:tcW w:w="5103" w:type="dxa"/>
            <w:gridSpan w:val="2"/>
            <w:tcBorders>
              <w:top w:val="single" w:sz="2" w:space="0" w:color="001C71"/>
              <w:right w:val="single" w:sz="2" w:space="0" w:color="001C71"/>
            </w:tcBorders>
            <w:shd w:fill="001C71" w:val="clear"/>
            <w:tcMar>
              <w:top w:w="28" w:type="dxa"/>
              <w:right w:w="28" w:type="dxa"/>
            </w:tcMar>
            <w:vAlign w:val="center"/>
          </w:tcPr>
          <w:p>
            <w:pPr>
              <w:pStyle w:val="TableContents"/>
              <w:spacing w:before="0" w:after="283"/>
              <w:rPr/>
            </w:pPr>
            <w:r>
              <w:rPr/>
              <w:t> </w:t>
            </w:r>
          </w:p>
        </w:tc>
      </w:tr>
      <w:tr>
        <w:trPr/>
        <w:tc>
          <w:tcPr>
            <w:tcW w:w="5102" w:type="dxa"/>
            <w:tcBorders>
              <w:left w:val="single" w:sz="2" w:space="0" w:color="001C71"/>
              <w:bottom w:val="single" w:sz="2" w:space="0" w:color="001C71"/>
            </w:tcBorders>
            <w:shd w:fill="001C71" w:val="clear"/>
            <w:tcMar>
              <w:left w:w="160" w:type="dxa"/>
              <w:bottom w:w="60" w:type="dxa"/>
            </w:tcMar>
            <w:vAlign w:val="bottom"/>
          </w:tcPr>
          <w:p>
            <w:pPr>
              <w:pStyle w:val="TableContents"/>
              <w:spacing w:before="0" w:after="283"/>
              <w:rPr>
                <w:color w:val="FFFFFF"/>
              </w:rPr>
            </w:pPr>
            <w:r>
              <w:rPr>
                <w:color w:val="FFFFFF"/>
              </w:rPr>
              <w:t>       </w:t>
            </w:r>
            <w:r>
              <w:rPr>
                <w:b/>
                <w:color w:val="FFFFFF"/>
              </w:rPr>
              <w:t>Proposals</w:t>
            </w:r>
          </w:p>
        </w:tc>
        <w:tc>
          <w:tcPr>
            <w:tcW w:w="306" w:type="dxa"/>
            <w:tcBorders>
              <w:bottom w:val="single" w:sz="2" w:space="0" w:color="001C71"/>
            </w:tcBorders>
            <w:shd w:fill="001C71" w:val="clear"/>
            <w:tcMar>
              <w:bottom w:w="28" w:type="dxa"/>
            </w:tcMar>
            <w:vAlign w:val="bottom"/>
          </w:tcPr>
          <w:p>
            <w:pPr>
              <w:pStyle w:val="TableContents"/>
              <w:spacing w:before="0" w:after="283"/>
              <w:rPr/>
            </w:pPr>
            <w:r>
              <w:rPr/>
              <w:t>  </w:t>
            </w:r>
          </w:p>
        </w:tc>
        <w:tc>
          <w:tcPr>
            <w:tcW w:w="4797" w:type="dxa"/>
            <w:tcBorders>
              <w:bottom w:val="single" w:sz="2" w:space="0" w:color="001C71"/>
              <w:right w:val="single" w:sz="2" w:space="0" w:color="001C71"/>
            </w:tcBorders>
            <w:shd w:fill="001C71" w:val="clear"/>
            <w:tcMar>
              <w:bottom w:w="60" w:type="dxa"/>
              <w:right w:w="40" w:type="dxa"/>
            </w:tcMar>
            <w:vAlign w:val="bottom"/>
          </w:tcPr>
          <w:p>
            <w:pPr>
              <w:pStyle w:val="TableContents"/>
              <w:spacing w:before="0" w:after="283"/>
              <w:rPr>
                <w:b/>
                <w:color w:val="FFFFFF"/>
              </w:rPr>
            </w:pPr>
            <w:r>
              <w:rPr>
                <w:b/>
                <w:color w:val="FFFFFF"/>
              </w:rPr>
              <w:t>Board Recommendations</w:t>
            </w:r>
          </w:p>
        </w:tc>
      </w:tr>
      <w:tr>
        <w:trPr>
          <w:trHeight w:val="60" w:hRule="atLeast"/>
        </w:trPr>
        <w:tc>
          <w:tcPr>
            <w:tcW w:w="5102" w:type="dxa"/>
            <w:tcBorders/>
            <w:shd w:fill="E5E5E5" w:val="clear"/>
            <w:vAlign w:val="center"/>
          </w:tcPr>
          <w:p>
            <w:pPr>
              <w:pStyle w:val="TableContents"/>
              <w:spacing w:before="0" w:after="283"/>
              <w:rPr>
                <w:sz w:val="4"/>
                <w:szCs w:val="4"/>
              </w:rPr>
            </w:pPr>
            <w:r>
              <w:rPr>
                <w:sz w:val="4"/>
                <w:szCs w:val="4"/>
              </w:rPr>
            </w:r>
          </w:p>
        </w:tc>
        <w:tc>
          <w:tcPr>
            <w:tcW w:w="5103" w:type="dxa"/>
            <w:gridSpan w:val="2"/>
            <w:tcBorders/>
            <w:shd w:fill="E5E5E5" w:val="clear"/>
            <w:vAlign w:val="center"/>
          </w:tcPr>
          <w:p>
            <w:pPr>
              <w:pStyle w:val="TableContents"/>
              <w:spacing w:before="0" w:after="283"/>
              <w:rPr>
                <w:sz w:val="4"/>
                <w:szCs w:val="4"/>
              </w:rPr>
            </w:pPr>
            <w:r>
              <w:rPr>
                <w:sz w:val="4"/>
                <w:szCs w:val="4"/>
              </w:rPr>
            </w:r>
          </w:p>
        </w:tc>
      </w:tr>
      <w:tr>
        <w:trPr/>
        <w:tc>
          <w:tcPr>
            <w:tcW w:w="5102" w:type="dxa"/>
            <w:tcBorders>
              <w:bottom w:val="single" w:sz="2" w:space="0" w:color="001C71"/>
            </w:tcBorders>
            <w:shd w:fill="E5E5E5" w:val="clear"/>
            <w:tcMar>
              <w:bottom w:w="40" w:type="dxa"/>
            </w:tcMar>
          </w:tcPr>
          <w:p>
            <w:pPr>
              <w:pStyle w:val="TableContents"/>
              <w:spacing w:before="0" w:after="0"/>
              <w:rPr/>
            </w:pPr>
            <w:r>
              <w:rPr/>
              <w:t>  </w:t>
            </w:r>
            <w:r>
              <w:rPr>
                <w:rFonts w:ascii="arial" w:hAnsi="arial"/>
                <w:sz w:val="16"/>
              </w:rPr>
              <w:t>1.   Election of directors</w:t>
            </w:r>
          </w:p>
        </w:tc>
        <w:tc>
          <w:tcPr>
            <w:tcW w:w="306" w:type="dxa"/>
            <w:tcBorders>
              <w:bottom w:val="single" w:sz="2" w:space="0" w:color="001C71"/>
            </w:tcBorders>
            <w:shd w:fill="E5E5E5" w:val="clear"/>
            <w:tcMar>
              <w:bottom w:w="28" w:type="dxa"/>
            </w:tcMar>
            <w:vAlign w:val="bottom"/>
          </w:tcPr>
          <w:p>
            <w:pPr>
              <w:pStyle w:val="TableContents"/>
              <w:spacing w:before="0" w:after="283"/>
              <w:rPr/>
            </w:pPr>
            <w:r>
              <w:rPr/>
              <w:t>  </w:t>
            </w:r>
          </w:p>
        </w:tc>
        <w:tc>
          <w:tcPr>
            <w:tcW w:w="4797" w:type="dxa"/>
            <w:tcBorders>
              <w:bottom w:val="single" w:sz="2" w:space="0" w:color="001C71"/>
            </w:tcBorders>
            <w:shd w:fill="E5E5E5" w:val="clear"/>
            <w:tcMar>
              <w:bottom w:w="40" w:type="dxa"/>
            </w:tcMar>
          </w:tcPr>
          <w:p>
            <w:pPr>
              <w:pStyle w:val="TableContents"/>
              <w:spacing w:before="0" w:after="283"/>
              <w:rPr/>
            </w:pPr>
            <w:r>
              <w:rPr>
                <w:b/>
              </w:rPr>
              <w:t>FOR</w:t>
            </w:r>
            <w:r>
              <w:rPr/>
              <w:t xml:space="preserve"> each director nominee</w:t>
            </w:r>
          </w:p>
        </w:tc>
      </w:tr>
      <w:tr>
        <w:trPr>
          <w:trHeight w:val="60" w:hRule="atLeast"/>
        </w:trPr>
        <w:tc>
          <w:tcPr>
            <w:tcW w:w="5102"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r>
      <w:tr>
        <w:trPr/>
        <w:tc>
          <w:tcPr>
            <w:tcW w:w="5102" w:type="dxa"/>
            <w:tcBorders>
              <w:bottom w:val="single" w:sz="2" w:space="0" w:color="001C71"/>
            </w:tcBorders>
            <w:shd w:fill="auto" w:val="clear"/>
            <w:tcMar>
              <w:bottom w:w="40" w:type="dxa"/>
            </w:tcMar>
          </w:tcPr>
          <w:p>
            <w:pPr>
              <w:pStyle w:val="TableContents"/>
              <w:spacing w:before="0" w:after="0"/>
              <w:rPr/>
            </w:pPr>
            <w:r>
              <w:rPr/>
              <w:t>  </w:t>
            </w:r>
            <w:r>
              <w:rPr>
                <w:rFonts w:ascii="arial" w:hAnsi="arial"/>
                <w:sz w:val="16"/>
              </w:rPr>
              <w:t>2. Ratification of appointment of independent registered public accounting firm</w:t>
            </w:r>
          </w:p>
        </w:tc>
        <w:tc>
          <w:tcPr>
            <w:tcW w:w="306" w:type="dxa"/>
            <w:tcBorders>
              <w:bottom w:val="single" w:sz="2" w:space="0" w:color="001C71"/>
            </w:tcBorders>
            <w:shd w:fill="auto" w:val="clear"/>
            <w:tcMar>
              <w:bottom w:w="28" w:type="dxa"/>
            </w:tcMar>
            <w:vAlign w:val="bottom"/>
          </w:tcPr>
          <w:p>
            <w:pPr>
              <w:pStyle w:val="TableContents"/>
              <w:spacing w:before="0" w:after="283"/>
              <w:rPr/>
            </w:pPr>
            <w:r>
              <w:rPr/>
              <w:t>  </w:t>
            </w:r>
          </w:p>
        </w:tc>
        <w:tc>
          <w:tcPr>
            <w:tcW w:w="4797" w:type="dxa"/>
            <w:tcBorders>
              <w:bottom w:val="single" w:sz="2" w:space="0" w:color="001C71"/>
            </w:tcBorders>
            <w:shd w:fill="auto" w:val="clear"/>
            <w:tcMar>
              <w:bottom w:w="40" w:type="dxa"/>
            </w:tcMar>
          </w:tcPr>
          <w:p>
            <w:pPr>
              <w:pStyle w:val="TableContents"/>
              <w:spacing w:before="0" w:after="283"/>
              <w:rPr/>
            </w:pPr>
            <w:r>
              <w:rPr>
                <w:b/>
              </w:rPr>
              <w:t>FOR</w:t>
            </w:r>
            <w:r>
              <w:rPr/>
              <w:t xml:space="preserve"> ratification of appointment of independent registered public accounting firm</w:t>
            </w:r>
          </w:p>
        </w:tc>
      </w:tr>
      <w:tr>
        <w:trPr>
          <w:trHeight w:val="60" w:hRule="atLeast"/>
        </w:trPr>
        <w:tc>
          <w:tcPr>
            <w:tcW w:w="5102" w:type="dxa"/>
            <w:tcBorders/>
            <w:shd w:fill="E5E5E5" w:val="clear"/>
            <w:vAlign w:val="center"/>
          </w:tcPr>
          <w:p>
            <w:pPr>
              <w:pStyle w:val="TableContents"/>
              <w:spacing w:before="0" w:after="283"/>
              <w:rPr>
                <w:sz w:val="4"/>
                <w:szCs w:val="4"/>
              </w:rPr>
            </w:pPr>
            <w:r>
              <w:rPr>
                <w:sz w:val="4"/>
                <w:szCs w:val="4"/>
              </w:rPr>
            </w:r>
          </w:p>
        </w:tc>
        <w:tc>
          <w:tcPr>
            <w:tcW w:w="5103" w:type="dxa"/>
            <w:gridSpan w:val="2"/>
            <w:tcBorders/>
            <w:shd w:fill="E5E5E5" w:val="clear"/>
            <w:vAlign w:val="center"/>
          </w:tcPr>
          <w:p>
            <w:pPr>
              <w:pStyle w:val="TableContents"/>
              <w:spacing w:before="0" w:after="283"/>
              <w:rPr>
                <w:sz w:val="4"/>
                <w:szCs w:val="4"/>
              </w:rPr>
            </w:pPr>
            <w:r>
              <w:rPr>
                <w:sz w:val="4"/>
                <w:szCs w:val="4"/>
              </w:rPr>
            </w:r>
          </w:p>
        </w:tc>
      </w:tr>
      <w:tr>
        <w:trPr/>
        <w:tc>
          <w:tcPr>
            <w:tcW w:w="5102" w:type="dxa"/>
            <w:tcBorders>
              <w:bottom w:val="single" w:sz="2" w:space="0" w:color="001C71"/>
            </w:tcBorders>
            <w:shd w:fill="E5E5E5" w:val="clear"/>
            <w:tcMar>
              <w:bottom w:w="40" w:type="dxa"/>
            </w:tcMar>
          </w:tcPr>
          <w:p>
            <w:pPr>
              <w:pStyle w:val="TableContents"/>
              <w:spacing w:before="0" w:after="0"/>
              <w:rPr/>
            </w:pPr>
            <w:r>
              <w:rPr/>
              <w:t>  </w:t>
            </w:r>
            <w:r>
              <w:rPr>
                <w:rFonts w:ascii="arial" w:hAnsi="arial"/>
                <w:sz w:val="16"/>
              </w:rPr>
              <w:t>3. Advisory approval of our executive compensation</w:t>
            </w:r>
          </w:p>
        </w:tc>
        <w:tc>
          <w:tcPr>
            <w:tcW w:w="306" w:type="dxa"/>
            <w:tcBorders>
              <w:bottom w:val="single" w:sz="2" w:space="0" w:color="001C71"/>
            </w:tcBorders>
            <w:shd w:fill="E5E5E5" w:val="clear"/>
            <w:tcMar>
              <w:bottom w:w="28" w:type="dxa"/>
            </w:tcMar>
            <w:vAlign w:val="bottom"/>
          </w:tcPr>
          <w:p>
            <w:pPr>
              <w:pStyle w:val="TableContents"/>
              <w:spacing w:before="0" w:after="283"/>
              <w:rPr/>
            </w:pPr>
            <w:r>
              <w:rPr/>
              <w:t>  </w:t>
            </w:r>
          </w:p>
        </w:tc>
        <w:tc>
          <w:tcPr>
            <w:tcW w:w="4797" w:type="dxa"/>
            <w:tcBorders>
              <w:bottom w:val="single" w:sz="2" w:space="0" w:color="001C71"/>
            </w:tcBorders>
            <w:shd w:fill="E5E5E5" w:val="clear"/>
            <w:tcMar>
              <w:bottom w:w="40" w:type="dxa"/>
            </w:tcMar>
          </w:tcPr>
          <w:p>
            <w:pPr>
              <w:pStyle w:val="TableContents"/>
              <w:spacing w:before="0" w:after="283"/>
              <w:rPr/>
            </w:pPr>
            <w:r>
              <w:rPr>
                <w:b/>
              </w:rPr>
              <w:t>FOR</w:t>
            </w:r>
            <w:r>
              <w:rPr/>
              <w:t xml:space="preserve"> advisory approval of our executive compensation</w:t>
            </w:r>
          </w:p>
        </w:tc>
      </w:tr>
      <w:tr>
        <w:trPr>
          <w:trHeight w:val="60" w:hRule="atLeast"/>
        </w:trPr>
        <w:tc>
          <w:tcPr>
            <w:tcW w:w="5102"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r>
      <w:tr>
        <w:trPr/>
        <w:tc>
          <w:tcPr>
            <w:tcW w:w="5102" w:type="dxa"/>
            <w:tcBorders>
              <w:bottom w:val="single" w:sz="2" w:space="0" w:color="001C71"/>
            </w:tcBorders>
            <w:shd w:fill="auto" w:val="clear"/>
            <w:tcMar>
              <w:bottom w:w="40" w:type="dxa"/>
            </w:tcMar>
          </w:tcPr>
          <w:p>
            <w:pPr>
              <w:pStyle w:val="TableContents"/>
              <w:spacing w:before="0" w:after="0"/>
              <w:rPr/>
            </w:pPr>
            <w:r>
              <w:rPr/>
              <w:t>  </w:t>
            </w:r>
            <w:r>
              <w:rPr>
                <w:rFonts w:ascii="arial" w:hAnsi="arial"/>
                <w:sz w:val="16"/>
              </w:rPr>
              <w:t>4. Shareholder proposal requesting an amendment to our proxy access bylaw to eliminate the shareholder nominating group limit</w:t>
            </w:r>
          </w:p>
        </w:tc>
        <w:tc>
          <w:tcPr>
            <w:tcW w:w="306" w:type="dxa"/>
            <w:tcBorders>
              <w:bottom w:val="single" w:sz="2" w:space="0" w:color="001C71"/>
            </w:tcBorders>
            <w:shd w:fill="auto" w:val="clear"/>
            <w:tcMar>
              <w:bottom w:w="28" w:type="dxa"/>
            </w:tcMar>
            <w:vAlign w:val="bottom"/>
          </w:tcPr>
          <w:p>
            <w:pPr>
              <w:pStyle w:val="TableContents"/>
              <w:spacing w:before="0" w:after="283"/>
              <w:rPr/>
            </w:pPr>
            <w:r>
              <w:rPr/>
              <w:t>  </w:t>
            </w:r>
          </w:p>
        </w:tc>
        <w:tc>
          <w:tcPr>
            <w:tcW w:w="4797" w:type="dxa"/>
            <w:tcBorders>
              <w:bottom w:val="single" w:sz="2" w:space="0" w:color="001C71"/>
            </w:tcBorders>
            <w:shd w:fill="auto" w:val="clear"/>
            <w:tcMar>
              <w:bottom w:w="40" w:type="dxa"/>
            </w:tcMar>
          </w:tcPr>
          <w:p>
            <w:pPr>
              <w:pStyle w:val="TableContents"/>
              <w:spacing w:before="0" w:after="283"/>
              <w:rPr/>
            </w:pPr>
            <w:r>
              <w:rPr>
                <w:b/>
              </w:rPr>
              <w:t>AGAINST</w:t>
            </w:r>
            <w:r>
              <w:rPr/>
              <w:t xml:space="preserve"> shareholder proposal requesting an amendment to our proxy access bylaw to eliminate the shareholder nominating group limit</w:t>
            </w:r>
          </w:p>
        </w:tc>
      </w:tr>
      <w:tr>
        <w:trPr>
          <w:trHeight w:val="60" w:hRule="atLeast"/>
        </w:trPr>
        <w:tc>
          <w:tcPr>
            <w:tcW w:w="5102" w:type="dxa"/>
            <w:tcBorders/>
            <w:shd w:fill="E5E5E5" w:val="clear"/>
            <w:vAlign w:val="center"/>
          </w:tcPr>
          <w:p>
            <w:pPr>
              <w:pStyle w:val="TableContents"/>
              <w:spacing w:before="0" w:after="283"/>
              <w:rPr>
                <w:sz w:val="4"/>
                <w:szCs w:val="4"/>
              </w:rPr>
            </w:pPr>
            <w:r>
              <w:rPr>
                <w:sz w:val="4"/>
                <w:szCs w:val="4"/>
              </w:rPr>
            </w:r>
          </w:p>
        </w:tc>
        <w:tc>
          <w:tcPr>
            <w:tcW w:w="5103" w:type="dxa"/>
            <w:gridSpan w:val="2"/>
            <w:tcBorders/>
            <w:shd w:fill="E5E5E5" w:val="clear"/>
            <w:vAlign w:val="center"/>
          </w:tcPr>
          <w:p>
            <w:pPr>
              <w:pStyle w:val="TableContents"/>
              <w:spacing w:before="0" w:after="283"/>
              <w:rPr>
                <w:sz w:val="4"/>
                <w:szCs w:val="4"/>
              </w:rPr>
            </w:pPr>
            <w:r>
              <w:rPr>
                <w:sz w:val="4"/>
                <w:szCs w:val="4"/>
              </w:rPr>
            </w:r>
          </w:p>
        </w:tc>
      </w:tr>
      <w:tr>
        <w:trPr/>
        <w:tc>
          <w:tcPr>
            <w:tcW w:w="5102" w:type="dxa"/>
            <w:tcBorders>
              <w:bottom w:val="single" w:sz="8" w:space="0" w:color="001C71"/>
            </w:tcBorders>
            <w:shd w:fill="E5E5E5" w:val="clear"/>
            <w:tcMar>
              <w:bottom w:w="40" w:type="dxa"/>
            </w:tcMar>
          </w:tcPr>
          <w:p>
            <w:pPr>
              <w:pStyle w:val="TableContents"/>
              <w:spacing w:before="0" w:after="0"/>
              <w:rPr/>
            </w:pPr>
            <w:r>
              <w:rPr/>
              <w:t>  </w:t>
            </w:r>
            <w:r>
              <w:rPr>
                <w:rFonts w:ascii="arial" w:hAnsi="arial"/>
                <w:sz w:val="16"/>
              </w:rPr>
              <w:t>5. Shareholder proposal requesting a report on alignment of our lobbying activities with the Paris Agreement</w:t>
            </w:r>
          </w:p>
        </w:tc>
        <w:tc>
          <w:tcPr>
            <w:tcW w:w="306" w:type="dxa"/>
            <w:tcBorders>
              <w:bottom w:val="single" w:sz="8" w:space="0" w:color="001C71"/>
            </w:tcBorders>
            <w:shd w:fill="E5E5E5" w:val="clear"/>
            <w:tcMar>
              <w:bottom w:w="28" w:type="dxa"/>
            </w:tcMar>
            <w:vAlign w:val="bottom"/>
          </w:tcPr>
          <w:p>
            <w:pPr>
              <w:pStyle w:val="TableContents"/>
              <w:spacing w:before="0" w:after="283"/>
              <w:rPr/>
            </w:pPr>
            <w:r>
              <w:rPr/>
              <w:t>  </w:t>
            </w:r>
          </w:p>
        </w:tc>
        <w:tc>
          <w:tcPr>
            <w:tcW w:w="4797" w:type="dxa"/>
            <w:tcBorders>
              <w:bottom w:val="single" w:sz="8" w:space="0" w:color="001C71"/>
            </w:tcBorders>
            <w:shd w:fill="E5E5E5" w:val="clear"/>
            <w:tcMar>
              <w:bottom w:w="40" w:type="dxa"/>
            </w:tcMar>
          </w:tcPr>
          <w:p>
            <w:pPr>
              <w:pStyle w:val="TableContents"/>
              <w:spacing w:before="0" w:after="283"/>
              <w:rPr/>
            </w:pPr>
            <w:r>
              <w:rPr>
                <w:b/>
              </w:rPr>
              <w:t>AGAINST</w:t>
            </w:r>
            <w:r>
              <w:rPr/>
              <w:t xml:space="preserve"> shareholder proposal requesting a report on alignment of our lobbying activities with the Paris Agreement</w:t>
            </w:r>
          </w:p>
        </w:tc>
      </w:tr>
    </w:tbl>
    <w:p>
      <w:pPr>
        <w:pStyle w:val="TextBody"/>
        <w:spacing w:before="80" w:after="0"/>
        <w:jc w:val="left"/>
        <w:rPr>
          <w:rFonts w:ascii="arial" w:hAnsi="arial"/>
          <w:b/>
          <w:sz w:val="32"/>
          <w:highlight w:val="white"/>
        </w:rPr>
      </w:pPr>
      <w:r>
        <w:rPr>
          <w:rFonts w:ascii="arial" w:hAnsi="arial"/>
          <w:b/>
          <w:sz w:val="32"/>
          <w:highlight w:val="white"/>
        </w:rPr>
        <w:t xml:space="preserve">Director Nominees </w:t>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5183"/>
        <w:gridCol w:w="109"/>
        <w:gridCol w:w="391"/>
        <w:gridCol w:w="109"/>
        <w:gridCol w:w="861"/>
        <w:gridCol w:w="109"/>
        <w:gridCol w:w="788"/>
        <w:gridCol w:w="109"/>
        <w:gridCol w:w="428"/>
        <w:gridCol w:w="109"/>
        <w:gridCol w:w="505"/>
        <w:gridCol w:w="109"/>
        <w:gridCol w:w="416"/>
        <w:gridCol w:w="109"/>
        <w:gridCol w:w="483"/>
        <w:gridCol w:w="109"/>
        <w:gridCol w:w="278"/>
      </w:tblGrid>
      <w:tr>
        <w:trPr/>
        <w:tc>
          <w:tcPr>
            <w:tcW w:w="5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5183" w:type="dxa"/>
            <w:tcBorders/>
            <w:shd w:fill="001C71"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001C71"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001C71"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001C71" w:val="clear"/>
            <w:tcMar>
              <w:right w:w="28" w:type="dxa"/>
            </w:tcMar>
            <w:vAlign w:val="center"/>
          </w:tcPr>
          <w:p>
            <w:pPr>
              <w:pStyle w:val="TableContents"/>
              <w:spacing w:before="0" w:after="283"/>
              <w:rPr/>
            </w:pPr>
            <w:r>
              <w:rPr/>
              <w:t> </w:t>
            </w:r>
          </w:p>
        </w:tc>
        <w:tc>
          <w:tcPr>
            <w:tcW w:w="2655" w:type="dxa"/>
            <w:gridSpan w:val="10"/>
            <w:tcBorders/>
            <w:shd w:fill="001C71" w:val="clear"/>
            <w:vAlign w:val="center"/>
          </w:tcPr>
          <w:p>
            <w:pPr>
              <w:pStyle w:val="TableContents"/>
              <w:spacing w:before="0" w:after="283"/>
              <w:rPr>
                <w:sz w:val="4"/>
                <w:szCs w:val="4"/>
              </w:rPr>
            </w:pPr>
            <w:r>
              <w:rPr>
                <w:sz w:val="4"/>
                <w:szCs w:val="4"/>
              </w:rPr>
            </w:r>
          </w:p>
        </w:tc>
      </w:tr>
      <w:tr>
        <w:trPr/>
        <w:tc>
          <w:tcPr>
            <w:tcW w:w="5183" w:type="dxa"/>
            <w:vMerge w:val="restart"/>
            <w:tcBorders/>
            <w:shd w:fill="001C71" w:val="clear"/>
            <w:vAlign w:val="bottom"/>
          </w:tcPr>
          <w:p>
            <w:pPr>
              <w:pStyle w:val="TableContents"/>
              <w:spacing w:before="0" w:after="20"/>
              <w:rPr>
                <w:color w:val="FFFFFF"/>
              </w:rPr>
            </w:pPr>
            <w:r>
              <w:rPr>
                <w:color w:val="FFFFFF"/>
              </w:rPr>
              <w:t>  </w:t>
            </w:r>
            <w:r>
              <w:rPr>
                <w:rFonts w:ascii="arial" w:hAnsi="arial"/>
                <w:b/>
                <w:color w:val="FFFFFF"/>
                <w:sz w:val="16"/>
              </w:rPr>
              <w:t>Name and Occupation</w:t>
            </w:r>
          </w:p>
        </w:tc>
        <w:tc>
          <w:tcPr>
            <w:tcW w:w="109" w:type="dxa"/>
            <w:vMerge w:val="restart"/>
            <w:tcBorders>
              <w:left w:val="single" w:sz="2" w:space="0" w:color="E5E5E5"/>
            </w:tcBorders>
            <w:shd w:fill="001C71" w:val="clear"/>
            <w:tcMar>
              <w:left w:w="28" w:type="dxa"/>
            </w:tcMar>
            <w:vAlign w:val="bottom"/>
          </w:tcPr>
          <w:p>
            <w:pPr>
              <w:pStyle w:val="TableContents"/>
              <w:spacing w:before="0" w:after="283"/>
              <w:rPr/>
            </w:pPr>
            <w:r>
              <w:rPr/>
              <w:t> </w:t>
            </w:r>
          </w:p>
        </w:tc>
        <w:tc>
          <w:tcPr>
            <w:tcW w:w="391" w:type="dxa"/>
            <w:vMerge w:val="restart"/>
            <w:tcBorders>
              <w:right w:val="single" w:sz="2" w:space="0" w:color="E5E5E5"/>
            </w:tcBorders>
            <w:shd w:fill="001C71" w:val="clear"/>
            <w:tcMar>
              <w:right w:w="28" w:type="dxa"/>
            </w:tcMar>
            <w:vAlign w:val="bottom"/>
          </w:tcPr>
          <w:p>
            <w:pPr>
              <w:pStyle w:val="TableContents"/>
              <w:spacing w:before="0" w:after="20"/>
              <w:jc w:val="center"/>
              <w:rPr>
                <w:rFonts w:ascii="arial" w:hAnsi="arial"/>
                <w:b/>
                <w:color w:val="FFFFFF"/>
                <w:sz w:val="16"/>
              </w:rPr>
            </w:pPr>
            <w:r>
              <w:rPr>
                <w:rFonts w:ascii="arial" w:hAnsi="arial"/>
                <w:b/>
                <w:color w:val="FFFFFF"/>
                <w:sz w:val="16"/>
              </w:rPr>
              <w:t>Age</w:t>
            </w:r>
          </w:p>
        </w:tc>
        <w:tc>
          <w:tcPr>
            <w:tcW w:w="109" w:type="dxa"/>
            <w:vMerge w:val="restart"/>
            <w:tcBorders/>
            <w:shd w:fill="001C71" w:val="clear"/>
            <w:vAlign w:val="bottom"/>
          </w:tcPr>
          <w:p>
            <w:pPr>
              <w:pStyle w:val="TableContents"/>
              <w:spacing w:before="0" w:after="283"/>
              <w:rPr/>
            </w:pPr>
            <w:r>
              <w:rPr/>
              <w:t> </w:t>
            </w:r>
          </w:p>
        </w:tc>
        <w:tc>
          <w:tcPr>
            <w:tcW w:w="861" w:type="dxa"/>
            <w:vMerge w:val="restart"/>
            <w:tcBorders>
              <w:right w:val="single" w:sz="2" w:space="0" w:color="E5E5E5"/>
            </w:tcBorders>
            <w:shd w:fill="001C71" w:val="clear"/>
            <w:tcMar>
              <w:right w:w="28" w:type="dxa"/>
            </w:tcMar>
            <w:vAlign w:val="bottom"/>
          </w:tcPr>
          <w:p>
            <w:pPr>
              <w:pStyle w:val="TableContents"/>
              <w:spacing w:before="0" w:after="0"/>
              <w:jc w:val="center"/>
              <w:rPr>
                <w:rFonts w:ascii="arial" w:hAnsi="arial"/>
                <w:b/>
                <w:color w:val="FFFFFF"/>
                <w:sz w:val="16"/>
              </w:rPr>
            </w:pPr>
            <w:r>
              <w:rPr>
                <w:rFonts w:ascii="arial" w:hAnsi="arial"/>
                <w:b/>
                <w:color w:val="FFFFFF"/>
                <w:sz w:val="16"/>
              </w:rPr>
              <w:t>Director</w:t>
            </w:r>
          </w:p>
          <w:p>
            <w:pPr>
              <w:pStyle w:val="TableContents"/>
              <w:spacing w:before="0" w:after="20"/>
              <w:jc w:val="center"/>
              <w:rPr>
                <w:rFonts w:ascii="arial" w:hAnsi="arial"/>
                <w:b/>
                <w:color w:val="FFFFFF"/>
                <w:sz w:val="16"/>
              </w:rPr>
            </w:pPr>
            <w:r>
              <w:rPr>
                <w:rFonts w:ascii="arial" w:hAnsi="arial"/>
                <w:b/>
                <w:color w:val="FFFFFF"/>
                <w:sz w:val="16"/>
              </w:rPr>
              <w:t>Since</w:t>
            </w:r>
          </w:p>
        </w:tc>
        <w:tc>
          <w:tcPr>
            <w:tcW w:w="109" w:type="dxa"/>
            <w:vMerge w:val="restart"/>
            <w:tcBorders/>
            <w:shd w:fill="001C71" w:val="clear"/>
            <w:vAlign w:val="bottom"/>
          </w:tcPr>
          <w:p>
            <w:pPr>
              <w:pStyle w:val="TableContents"/>
              <w:spacing w:before="0" w:after="283"/>
              <w:rPr/>
            </w:pPr>
            <w:r>
              <w:rPr/>
              <w:t> </w:t>
            </w:r>
          </w:p>
        </w:tc>
        <w:tc>
          <w:tcPr>
            <w:tcW w:w="788" w:type="dxa"/>
            <w:vMerge w:val="restart"/>
            <w:tcBorders>
              <w:right w:val="single" w:sz="2" w:space="0" w:color="E5E5E5"/>
            </w:tcBorders>
            <w:shd w:fill="001C71" w:val="clear"/>
            <w:tcMar>
              <w:right w:w="28" w:type="dxa"/>
            </w:tcMar>
            <w:vAlign w:val="bottom"/>
          </w:tcPr>
          <w:p>
            <w:pPr>
              <w:pStyle w:val="TableContents"/>
              <w:spacing w:before="0" w:after="0"/>
              <w:jc w:val="center"/>
              <w:rPr>
                <w:rFonts w:ascii="arial" w:hAnsi="arial"/>
                <w:b/>
                <w:color w:val="FFFFFF"/>
                <w:sz w:val="16"/>
              </w:rPr>
            </w:pPr>
            <w:r>
              <w:rPr>
                <w:rFonts w:ascii="arial" w:hAnsi="arial"/>
                <w:b/>
                <w:color w:val="FFFFFF"/>
                <w:sz w:val="16"/>
              </w:rPr>
              <w:t>Inde-</w:t>
            </w:r>
          </w:p>
          <w:p>
            <w:pPr>
              <w:pStyle w:val="TableContents"/>
              <w:spacing w:before="0" w:after="20"/>
              <w:jc w:val="center"/>
              <w:rPr>
                <w:rFonts w:ascii="arial" w:hAnsi="arial"/>
                <w:b/>
                <w:color w:val="FFFFFF"/>
                <w:sz w:val="16"/>
              </w:rPr>
            </w:pPr>
            <w:r>
              <w:rPr>
                <w:rFonts w:ascii="arial" w:hAnsi="arial"/>
                <w:b/>
                <w:color w:val="FFFFFF"/>
                <w:sz w:val="16"/>
              </w:rPr>
              <w:t>pendent</w:t>
            </w:r>
          </w:p>
        </w:tc>
        <w:tc>
          <w:tcPr>
            <w:tcW w:w="109" w:type="dxa"/>
            <w:tcBorders>
              <w:bottom w:val="single" w:sz="2" w:space="0" w:color="FFFFFF"/>
            </w:tcBorders>
            <w:shd w:fill="001C71" w:val="clear"/>
            <w:tcMar>
              <w:bottom w:w="28" w:type="dxa"/>
            </w:tcMar>
            <w:vAlign w:val="bottom"/>
          </w:tcPr>
          <w:p>
            <w:pPr>
              <w:pStyle w:val="TableContents"/>
              <w:spacing w:before="0" w:after="283"/>
              <w:rPr/>
            </w:pPr>
            <w:r>
              <w:rPr/>
              <w:t> </w:t>
            </w:r>
          </w:p>
        </w:tc>
        <w:tc>
          <w:tcPr>
            <w:tcW w:w="2546" w:type="dxa"/>
            <w:gridSpan w:val="9"/>
            <w:tcBorders>
              <w:bottom w:val="single" w:sz="2" w:space="0" w:color="FFFFFF"/>
            </w:tcBorders>
            <w:shd w:fill="001C71" w:val="clear"/>
            <w:tcMar>
              <w:bottom w:w="40" w:type="dxa"/>
            </w:tcMar>
            <w:vAlign w:val="bottom"/>
          </w:tcPr>
          <w:p>
            <w:pPr>
              <w:pStyle w:val="TableContents"/>
              <w:spacing w:before="0" w:after="0"/>
              <w:jc w:val="center"/>
              <w:rPr>
                <w:rFonts w:ascii="arial" w:hAnsi="arial"/>
                <w:b/>
                <w:color w:val="FFFFFF"/>
                <w:sz w:val="16"/>
              </w:rPr>
            </w:pPr>
            <w:r>
              <w:rPr>
                <w:rFonts w:ascii="arial" w:hAnsi="arial"/>
                <w:b/>
                <w:color w:val="FFFFFF"/>
                <w:sz w:val="16"/>
              </w:rPr>
              <w:t>Standing Board</w:t>
            </w:r>
          </w:p>
          <w:p>
            <w:pPr>
              <w:pStyle w:val="TableContents"/>
              <w:spacing w:before="0" w:after="0"/>
              <w:jc w:val="center"/>
              <w:rPr>
                <w:rFonts w:ascii="arial" w:hAnsi="arial"/>
                <w:b/>
                <w:color w:val="FFFFFF"/>
                <w:sz w:val="16"/>
              </w:rPr>
            </w:pPr>
            <w:r>
              <w:rPr>
                <w:rFonts w:ascii="arial" w:hAnsi="arial"/>
                <w:b/>
                <w:color w:val="FFFFFF"/>
                <w:sz w:val="16"/>
              </w:rPr>
              <w:t>Committee Memberships(A)</w:t>
            </w:r>
          </w:p>
          <w:p>
            <w:pPr>
              <w:pStyle w:val="TableContents"/>
              <w:spacing w:before="0" w:after="20"/>
              <w:jc w:val="left"/>
              <w:rPr/>
            </w:pPr>
            <w:r>
              <w:rPr/>
              <w:t> </w:t>
            </w:r>
          </w:p>
        </w:tc>
      </w:tr>
      <w:tr>
        <w:trPr/>
        <w:tc>
          <w:tcPr>
            <w:tcW w:w="5183" w:type="dxa"/>
            <w:vMerge w:val="continue"/>
            <w:tcBorders/>
            <w:shd w:fill="001C71" w:val="clear"/>
            <w:vAlign w:val="bottom"/>
          </w:tcPr>
          <w:p>
            <w:pPr>
              <w:pStyle w:val="Normal"/>
              <w:rPr/>
            </w:pPr>
            <w:r>
              <w:rPr/>
            </w:r>
          </w:p>
        </w:tc>
        <w:tc>
          <w:tcPr>
            <w:tcW w:w="109" w:type="dxa"/>
            <w:vMerge w:val="continue"/>
            <w:tcBorders>
              <w:left w:val="single" w:sz="2" w:space="0" w:color="E5E5E5"/>
            </w:tcBorders>
            <w:shd w:fill="001C71" w:val="clear"/>
            <w:tcMar>
              <w:left w:w="28" w:type="dxa"/>
            </w:tcMar>
            <w:vAlign w:val="bottom"/>
          </w:tcPr>
          <w:p>
            <w:pPr>
              <w:pStyle w:val="Normal"/>
              <w:rPr/>
            </w:pPr>
            <w:r>
              <w:rPr/>
            </w:r>
          </w:p>
        </w:tc>
        <w:tc>
          <w:tcPr>
            <w:tcW w:w="391" w:type="dxa"/>
            <w:vMerge w:val="continue"/>
            <w:tcBorders>
              <w:right w:val="single" w:sz="2" w:space="0" w:color="E5E5E5"/>
            </w:tcBorders>
            <w:shd w:fill="001C71" w:val="clear"/>
            <w:tcMar>
              <w:right w:w="28" w:type="dxa"/>
            </w:tcMar>
            <w:vAlign w:val="bottom"/>
          </w:tcPr>
          <w:p>
            <w:pPr>
              <w:pStyle w:val="Normal"/>
              <w:rPr/>
            </w:pPr>
            <w:r>
              <w:rPr/>
            </w:r>
          </w:p>
        </w:tc>
        <w:tc>
          <w:tcPr>
            <w:tcW w:w="109" w:type="dxa"/>
            <w:vMerge w:val="continue"/>
            <w:tcBorders/>
            <w:shd w:fill="001C71" w:val="clear"/>
            <w:vAlign w:val="bottom"/>
          </w:tcPr>
          <w:p>
            <w:pPr>
              <w:pStyle w:val="Normal"/>
              <w:rPr/>
            </w:pPr>
            <w:r>
              <w:rPr/>
            </w:r>
          </w:p>
        </w:tc>
        <w:tc>
          <w:tcPr>
            <w:tcW w:w="861" w:type="dxa"/>
            <w:vMerge w:val="continue"/>
            <w:tcBorders>
              <w:right w:val="single" w:sz="2" w:space="0" w:color="E5E5E5"/>
            </w:tcBorders>
            <w:shd w:fill="001C71" w:val="clear"/>
            <w:tcMar>
              <w:right w:w="28" w:type="dxa"/>
            </w:tcMar>
            <w:vAlign w:val="bottom"/>
          </w:tcPr>
          <w:p>
            <w:pPr>
              <w:pStyle w:val="Normal"/>
              <w:rPr/>
            </w:pPr>
            <w:r>
              <w:rPr/>
            </w:r>
          </w:p>
        </w:tc>
        <w:tc>
          <w:tcPr>
            <w:tcW w:w="109" w:type="dxa"/>
            <w:vMerge w:val="continue"/>
            <w:tcBorders/>
            <w:shd w:fill="001C71" w:val="clear"/>
            <w:vAlign w:val="bottom"/>
          </w:tcPr>
          <w:p>
            <w:pPr>
              <w:pStyle w:val="Normal"/>
              <w:rPr/>
            </w:pPr>
            <w:r>
              <w:rPr/>
            </w:r>
          </w:p>
        </w:tc>
        <w:tc>
          <w:tcPr>
            <w:tcW w:w="788" w:type="dxa"/>
            <w:vMerge w:val="continue"/>
            <w:tcBorders>
              <w:right w:val="single" w:sz="2" w:space="0" w:color="E5E5E5"/>
            </w:tcBorders>
            <w:shd w:fill="001C71" w:val="clear"/>
            <w:tcMar>
              <w:right w:w="28" w:type="dxa"/>
            </w:tcMar>
            <w:vAlign w:val="bottom"/>
          </w:tcPr>
          <w:p>
            <w:pPr>
              <w:pStyle w:val="Normal"/>
              <w:rPr/>
            </w:pPr>
            <w:r>
              <w:rPr/>
            </w:r>
          </w:p>
        </w:tc>
        <w:tc>
          <w:tcPr>
            <w:tcW w:w="109" w:type="dxa"/>
            <w:tcBorders/>
            <w:shd w:fill="001C71" w:val="clear"/>
            <w:vAlign w:val="bottom"/>
          </w:tcPr>
          <w:p>
            <w:pPr>
              <w:pStyle w:val="TableContents"/>
              <w:spacing w:before="0" w:after="283"/>
              <w:rPr/>
            </w:pPr>
            <w:r>
              <w:rPr/>
              <w:t> </w:t>
            </w:r>
          </w:p>
        </w:tc>
        <w:tc>
          <w:tcPr>
            <w:tcW w:w="428" w:type="dxa"/>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AC</w:t>
            </w:r>
          </w:p>
          <w:p>
            <w:pPr>
              <w:pStyle w:val="TableContents"/>
              <w:spacing w:before="0" w:after="20"/>
              <w:jc w:val="left"/>
              <w:rPr/>
            </w:pPr>
            <w:r>
              <w:rPr/>
              <w:t> </w:t>
            </w:r>
          </w:p>
        </w:tc>
        <w:tc>
          <w:tcPr>
            <w:tcW w:w="109" w:type="dxa"/>
            <w:tcBorders>
              <w:left w:val="single" w:sz="2" w:space="0" w:color="E5E5E5"/>
            </w:tcBorders>
            <w:shd w:fill="001C71" w:val="clear"/>
            <w:tcMar>
              <w:left w:w="28" w:type="dxa"/>
            </w:tcMar>
            <w:vAlign w:val="bottom"/>
          </w:tcPr>
          <w:p>
            <w:pPr>
              <w:pStyle w:val="TableContents"/>
              <w:spacing w:before="0" w:after="283"/>
              <w:rPr/>
            </w:pPr>
            <w:r>
              <w:rPr/>
              <w:t> </w:t>
            </w:r>
          </w:p>
        </w:tc>
        <w:tc>
          <w:tcPr>
            <w:tcW w:w="505" w:type="dxa"/>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C&amp;TD</w:t>
            </w:r>
          </w:p>
          <w:p>
            <w:pPr>
              <w:pStyle w:val="TableContents"/>
              <w:spacing w:before="0" w:after="20"/>
              <w:jc w:val="left"/>
              <w:rPr/>
            </w:pPr>
            <w:r>
              <w:rPr/>
              <w:t> </w:t>
            </w:r>
          </w:p>
        </w:tc>
        <w:tc>
          <w:tcPr>
            <w:tcW w:w="109" w:type="dxa"/>
            <w:tcBorders>
              <w:left w:val="single" w:sz="2" w:space="0" w:color="E5E5E5"/>
            </w:tcBorders>
            <w:shd w:fill="001C71" w:val="clear"/>
            <w:tcMar>
              <w:left w:w="28" w:type="dxa"/>
            </w:tcMar>
            <w:vAlign w:val="bottom"/>
          </w:tcPr>
          <w:p>
            <w:pPr>
              <w:pStyle w:val="TableContents"/>
              <w:spacing w:before="0" w:after="283"/>
              <w:rPr/>
            </w:pPr>
            <w:r>
              <w:rPr/>
              <w:t> </w:t>
            </w:r>
          </w:p>
        </w:tc>
        <w:tc>
          <w:tcPr>
            <w:tcW w:w="416" w:type="dxa"/>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CGC</w:t>
            </w:r>
          </w:p>
          <w:p>
            <w:pPr>
              <w:pStyle w:val="TableContents"/>
              <w:spacing w:before="0" w:after="20"/>
              <w:jc w:val="left"/>
              <w:rPr/>
            </w:pPr>
            <w:r>
              <w:rPr/>
              <w:t> </w:t>
            </w:r>
          </w:p>
        </w:tc>
        <w:tc>
          <w:tcPr>
            <w:tcW w:w="109" w:type="dxa"/>
            <w:tcBorders>
              <w:left w:val="single" w:sz="2" w:space="0" w:color="E5E5E5"/>
            </w:tcBorders>
            <w:shd w:fill="001C71" w:val="clear"/>
            <w:tcMar>
              <w:left w:w="28" w:type="dxa"/>
            </w:tcMar>
            <w:vAlign w:val="bottom"/>
          </w:tcPr>
          <w:p>
            <w:pPr>
              <w:pStyle w:val="TableContents"/>
              <w:spacing w:before="0" w:after="283"/>
              <w:rPr/>
            </w:pPr>
            <w:r>
              <w:rPr/>
              <w:t> </w:t>
            </w:r>
          </w:p>
        </w:tc>
        <w:tc>
          <w:tcPr>
            <w:tcW w:w="483" w:type="dxa"/>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SS&amp;T</w:t>
            </w:r>
          </w:p>
          <w:p>
            <w:pPr>
              <w:pStyle w:val="TableContents"/>
              <w:spacing w:before="0" w:after="20"/>
              <w:jc w:val="left"/>
              <w:rPr/>
            </w:pPr>
            <w:r>
              <w:rPr/>
              <w:t> </w:t>
            </w:r>
          </w:p>
        </w:tc>
        <w:tc>
          <w:tcPr>
            <w:tcW w:w="109" w:type="dxa"/>
            <w:tcBorders>
              <w:left w:val="single" w:sz="2" w:space="0" w:color="E5E5E5"/>
            </w:tcBorders>
            <w:shd w:fill="001C71" w:val="clear"/>
            <w:tcMar>
              <w:left w:w="28" w:type="dxa"/>
            </w:tcMar>
            <w:vAlign w:val="bottom"/>
          </w:tcPr>
          <w:p>
            <w:pPr>
              <w:pStyle w:val="TableContents"/>
              <w:spacing w:before="0" w:after="283"/>
              <w:rPr/>
            </w:pPr>
            <w:r>
              <w:rPr/>
              <w:t> </w:t>
            </w:r>
          </w:p>
        </w:tc>
        <w:tc>
          <w:tcPr>
            <w:tcW w:w="278" w:type="dxa"/>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EC</w:t>
            </w:r>
          </w:p>
          <w:p>
            <w:pPr>
              <w:pStyle w:val="TableContents"/>
              <w:spacing w:before="0" w:after="20"/>
              <w:jc w:val="left"/>
              <w:rPr/>
            </w:pPr>
            <w:r>
              <w:rPr/>
              <w:t> </w:t>
            </w:r>
          </w:p>
        </w:tc>
      </w:tr>
      <w:tr>
        <w:trPr>
          <w:trHeight w:val="30" w:hRule="atLeast"/>
        </w:trPr>
        <w:tc>
          <w:tcPr>
            <w:tcW w:w="5183" w:type="dxa"/>
            <w:tcBorders/>
            <w:shd w:fill="E5E5E5"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E5E5E5"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537" w:type="dxa"/>
            <w:gridSpan w:val="2"/>
            <w:tcBorders/>
            <w:shd w:fill="E5E5E5"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E5E5E5" w:val="clear"/>
            <w:tcMar>
              <w:left w:w="28" w:type="dxa"/>
            </w:tcMar>
            <w:vAlign w:val="center"/>
          </w:tcPr>
          <w:p>
            <w:pPr>
              <w:pStyle w:val="TableContents"/>
              <w:spacing w:before="0" w:after="283"/>
              <w:rPr/>
            </w:pPr>
            <w:r>
              <w:rPr/>
              <w:t> </w:t>
            </w:r>
          </w:p>
        </w:tc>
      </w:tr>
      <w:tr>
        <w:trPr/>
        <w:tc>
          <w:tcPr>
            <w:tcW w:w="5183" w:type="dxa"/>
            <w:tcBorders/>
            <w:shd w:fill="E5E5E5" w:val="clear"/>
          </w:tcPr>
          <w:p>
            <w:pPr>
              <w:pStyle w:val="TableContents"/>
              <w:spacing w:before="0" w:after="0"/>
              <w:rPr>
                <w:rFonts w:ascii="arial" w:hAnsi="arial"/>
                <w:b/>
                <w:color w:val="001C71"/>
                <w:sz w:val="14"/>
              </w:rPr>
            </w:pPr>
            <w:r>
              <w:rPr>
                <w:rFonts w:ascii="arial" w:hAnsi="arial"/>
                <w:b/>
                <w:color w:val="001C71"/>
                <w:sz w:val="14"/>
              </w:rPr>
              <w:t>Alan L. Boeckmann</w:t>
            </w:r>
          </w:p>
          <w:p>
            <w:pPr>
              <w:pStyle w:val="TableContents"/>
              <w:spacing w:before="0" w:after="20"/>
              <w:rPr>
                <w:rFonts w:ascii="arial" w:hAnsi="arial"/>
                <w:sz w:val="14"/>
              </w:rPr>
            </w:pPr>
            <w:r>
              <w:rPr>
                <w:rFonts w:ascii="arial" w:hAnsi="arial"/>
                <w:sz w:val="14"/>
              </w:rPr>
              <w:t>Executive Chair, Fluor Corporation</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391" w:type="dxa"/>
            <w:tcBorders>
              <w:right w:val="single" w:sz="2" w:space="0" w:color="E5E5E5"/>
            </w:tcBorders>
            <w:shd w:fill="E5E5E5" w:val="clear"/>
            <w:tcMar>
              <w:right w:w="28" w:type="dxa"/>
            </w:tcMar>
            <w:vAlign w:val="center"/>
          </w:tcPr>
          <w:p>
            <w:pPr>
              <w:pStyle w:val="TableContents"/>
              <w:spacing w:before="0" w:after="283"/>
              <w:jc w:val="center"/>
              <w:rPr/>
            </w:pPr>
            <w:r>
              <w:rPr/>
              <w:t>72</w:t>
            </w:r>
          </w:p>
        </w:tc>
        <w:tc>
          <w:tcPr>
            <w:tcW w:w="109" w:type="dxa"/>
            <w:tcBorders/>
            <w:shd w:fill="E5E5E5" w:val="clear"/>
            <w:vAlign w:val="bottom"/>
          </w:tcPr>
          <w:p>
            <w:pPr>
              <w:pStyle w:val="TableContents"/>
              <w:spacing w:before="0" w:after="283"/>
              <w:rPr/>
            </w:pPr>
            <w:r>
              <w:rPr/>
              <w:t> </w:t>
            </w:r>
          </w:p>
        </w:tc>
        <w:tc>
          <w:tcPr>
            <w:tcW w:w="861" w:type="dxa"/>
            <w:tcBorders>
              <w:right w:val="single" w:sz="2" w:space="0" w:color="E5E5E5"/>
            </w:tcBorders>
            <w:shd w:fill="E5E5E5" w:val="clear"/>
            <w:tcMar>
              <w:right w:w="28" w:type="dxa"/>
            </w:tcMar>
            <w:vAlign w:val="center"/>
          </w:tcPr>
          <w:p>
            <w:pPr>
              <w:pStyle w:val="TableContents"/>
              <w:spacing w:before="0" w:after="283"/>
              <w:jc w:val="center"/>
              <w:rPr/>
            </w:pPr>
            <w:r>
              <w:rPr/>
              <w:t>2011</w:t>
            </w:r>
          </w:p>
        </w:tc>
        <w:tc>
          <w:tcPr>
            <w:tcW w:w="109" w:type="dxa"/>
            <w:tcBorders/>
            <w:shd w:fill="E5E5E5" w:val="clear"/>
            <w:vAlign w:val="bottom"/>
          </w:tcPr>
          <w:p>
            <w:pPr>
              <w:pStyle w:val="TableContents"/>
              <w:spacing w:before="0" w:after="283"/>
              <w:rPr/>
            </w:pPr>
            <w:r>
              <w:rPr/>
              <w:t> </w:t>
            </w:r>
          </w:p>
        </w:tc>
        <w:tc>
          <w:tcPr>
            <w:tcW w:w="788" w:type="dxa"/>
            <w:tcBorders>
              <w:right w:val="single" w:sz="2" w:space="0" w:color="E5E5E5"/>
            </w:tcBorders>
            <w:shd w:fill="E5E5E5" w:val="clear"/>
            <w:tcMar>
              <w:right w:w="28" w:type="dxa"/>
            </w:tcMar>
            <w:vAlign w:val="center"/>
          </w:tcPr>
          <w:p>
            <w:pPr>
              <w:pStyle w:val="TableContents"/>
              <w:spacing w:before="0" w:after="283"/>
              <w:jc w:val="center"/>
              <w:rPr>
                <w:color w:val="001C71"/>
              </w:rPr>
            </w:pPr>
            <w:r>
              <w:rPr>
                <w:color w:val="001C71"/>
              </w:rPr>
              <w:t>✓</w:t>
            </w:r>
          </w:p>
        </w:tc>
        <w:tc>
          <w:tcPr>
            <w:tcW w:w="109" w:type="dxa"/>
            <w:tcBorders/>
            <w:shd w:fill="E5E5E5" w:val="clear"/>
            <w:vAlign w:val="bottom"/>
          </w:tcPr>
          <w:p>
            <w:pPr>
              <w:pStyle w:val="TableContents"/>
              <w:spacing w:before="0" w:after="283"/>
              <w:rPr/>
            </w:pPr>
            <w:r>
              <w:rPr/>
              <w:t> </w:t>
            </w:r>
          </w:p>
        </w:tc>
        <w:tc>
          <w:tcPr>
            <w:tcW w:w="428"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505"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16" w:type="dxa"/>
            <w:tcBorders/>
            <w:shd w:fill="E5E5E5"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83"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278" w:type="dxa"/>
            <w:tcBorders/>
            <w:shd w:fill="E5E5E5" w:val="clear"/>
            <w:vAlign w:val="center"/>
          </w:tcPr>
          <w:p>
            <w:pPr>
              <w:pStyle w:val="TableContents"/>
              <w:spacing w:before="0" w:after="283"/>
              <w:rPr>
                <w:sz w:val="4"/>
                <w:szCs w:val="4"/>
              </w:rPr>
            </w:pPr>
            <w:r>
              <w:rPr>
                <w:sz w:val="4"/>
                <w:szCs w:val="4"/>
              </w:rPr>
            </w:r>
          </w:p>
        </w:tc>
      </w:tr>
      <w:tr>
        <w:trPr>
          <w:trHeight w:val="30" w:hRule="atLeast"/>
        </w:trPr>
        <w:tc>
          <w:tcPr>
            <w:tcW w:w="5183" w:type="dxa"/>
            <w:tcBorders/>
            <w:shd w:fill="auto"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auto"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537" w:type="dxa"/>
            <w:gridSpan w:val="2"/>
            <w:tcBorders/>
            <w:shd w:fill="auto"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auto" w:val="clear"/>
            <w:tcMar>
              <w:left w:w="28" w:type="dxa"/>
            </w:tcMar>
            <w:vAlign w:val="center"/>
          </w:tcPr>
          <w:p>
            <w:pPr>
              <w:pStyle w:val="TableContents"/>
              <w:spacing w:before="0" w:after="283"/>
              <w:rPr/>
            </w:pPr>
            <w:r>
              <w:rPr/>
              <w:t> </w:t>
            </w:r>
          </w:p>
        </w:tc>
      </w:tr>
      <w:tr>
        <w:trPr/>
        <w:tc>
          <w:tcPr>
            <w:tcW w:w="5183" w:type="dxa"/>
            <w:tcBorders/>
            <w:shd w:fill="auto" w:val="clear"/>
          </w:tcPr>
          <w:p>
            <w:pPr>
              <w:pStyle w:val="TableContents"/>
              <w:spacing w:before="0" w:after="0"/>
              <w:rPr>
                <w:rFonts w:ascii="arial" w:hAnsi="arial"/>
                <w:b/>
                <w:color w:val="001C71"/>
                <w:sz w:val="14"/>
              </w:rPr>
            </w:pPr>
            <w:r>
              <w:rPr>
                <w:rFonts w:ascii="arial" w:hAnsi="arial"/>
                <w:b/>
                <w:color w:val="001C71"/>
                <w:sz w:val="14"/>
              </w:rPr>
              <w:t>Andrés Conesa, Ph.D.</w:t>
            </w:r>
          </w:p>
          <w:p>
            <w:pPr>
              <w:pStyle w:val="TableContents"/>
              <w:spacing w:before="0" w:after="20"/>
              <w:rPr>
                <w:rFonts w:ascii="arial" w:hAnsi="arial"/>
                <w:sz w:val="14"/>
              </w:rPr>
            </w:pPr>
            <w:r>
              <w:rPr>
                <w:rFonts w:ascii="arial" w:hAnsi="arial"/>
                <w:sz w:val="14"/>
              </w:rPr>
              <w:t>Chief Executive Officer, Grupo Aeroméxico, S.A.B. de C.V</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391" w:type="dxa"/>
            <w:tcBorders>
              <w:right w:val="single" w:sz="2" w:space="0" w:color="E5E5E5"/>
            </w:tcBorders>
            <w:shd w:fill="auto" w:val="clear"/>
            <w:tcMar>
              <w:right w:w="28" w:type="dxa"/>
            </w:tcMar>
            <w:vAlign w:val="center"/>
          </w:tcPr>
          <w:p>
            <w:pPr>
              <w:pStyle w:val="TableContents"/>
              <w:spacing w:before="0" w:after="283"/>
              <w:jc w:val="center"/>
              <w:rPr/>
            </w:pPr>
            <w:r>
              <w:rPr/>
              <w:t>51</w:t>
            </w:r>
          </w:p>
        </w:tc>
        <w:tc>
          <w:tcPr>
            <w:tcW w:w="109" w:type="dxa"/>
            <w:tcBorders/>
            <w:shd w:fill="auto" w:val="clear"/>
            <w:vAlign w:val="bottom"/>
          </w:tcPr>
          <w:p>
            <w:pPr>
              <w:pStyle w:val="TableContents"/>
              <w:spacing w:before="0" w:after="283"/>
              <w:rPr/>
            </w:pPr>
            <w:r>
              <w:rPr/>
              <w:t> </w:t>
            </w:r>
          </w:p>
        </w:tc>
        <w:tc>
          <w:tcPr>
            <w:tcW w:w="861" w:type="dxa"/>
            <w:tcBorders>
              <w:right w:val="single" w:sz="2" w:space="0" w:color="E5E5E5"/>
            </w:tcBorders>
            <w:shd w:fill="auto" w:val="clear"/>
            <w:tcMar>
              <w:right w:w="28" w:type="dxa"/>
            </w:tcMar>
            <w:vAlign w:val="center"/>
          </w:tcPr>
          <w:p>
            <w:pPr>
              <w:pStyle w:val="TableContents"/>
              <w:spacing w:before="0" w:after="283"/>
              <w:jc w:val="center"/>
              <w:rPr/>
            </w:pPr>
            <w:r>
              <w:rPr/>
              <w:t>2017</w:t>
            </w:r>
          </w:p>
        </w:tc>
        <w:tc>
          <w:tcPr>
            <w:tcW w:w="109" w:type="dxa"/>
            <w:tcBorders/>
            <w:shd w:fill="auto" w:val="clear"/>
            <w:vAlign w:val="bottom"/>
          </w:tcPr>
          <w:p>
            <w:pPr>
              <w:pStyle w:val="TableContents"/>
              <w:spacing w:before="0" w:after="283"/>
              <w:rPr/>
            </w:pPr>
            <w:r>
              <w:rPr/>
              <w:t> </w:t>
            </w:r>
          </w:p>
        </w:tc>
        <w:tc>
          <w:tcPr>
            <w:tcW w:w="788" w:type="dxa"/>
            <w:tcBorders>
              <w:right w:val="single" w:sz="2" w:space="0" w:color="E5E5E5"/>
            </w:tcBorders>
            <w:shd w:fill="auto" w:val="clear"/>
            <w:tcMar>
              <w:right w:w="28" w:type="dxa"/>
            </w:tcMar>
            <w:vAlign w:val="center"/>
          </w:tcPr>
          <w:p>
            <w:pPr>
              <w:pStyle w:val="TableContents"/>
              <w:spacing w:before="0" w:after="283"/>
              <w:jc w:val="center"/>
              <w:rPr>
                <w:color w:val="001C71"/>
              </w:rPr>
            </w:pPr>
            <w:r>
              <w:rPr>
                <w:color w:val="001C71"/>
              </w:rPr>
              <w:t>✓</w:t>
            </w:r>
          </w:p>
        </w:tc>
        <w:tc>
          <w:tcPr>
            <w:tcW w:w="109" w:type="dxa"/>
            <w:tcBorders/>
            <w:shd w:fill="auto" w:val="clear"/>
            <w:vAlign w:val="bottom"/>
          </w:tcPr>
          <w:p>
            <w:pPr>
              <w:pStyle w:val="TableContents"/>
              <w:spacing w:before="0" w:after="283"/>
              <w:rPr/>
            </w:pPr>
            <w:r>
              <w:rPr/>
              <w:t> </w:t>
            </w:r>
          </w:p>
        </w:tc>
        <w:tc>
          <w:tcPr>
            <w:tcW w:w="428" w:type="dxa"/>
            <w:tcBorders/>
            <w:shd w:fill="auto"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505" w:type="dxa"/>
            <w:tcBorders/>
            <w:shd w:fill="auto" w:val="clear"/>
            <w:vAlign w:val="center"/>
          </w:tcPr>
          <w:p>
            <w:pPr>
              <w:pStyle w:val="TableContents"/>
              <w:spacing w:before="0" w:after="283"/>
              <w:jc w:val="center"/>
              <w:rPr>
                <w:color w:val="001C71"/>
              </w:rPr>
            </w:pPr>
            <w:r>
              <w:rPr>
                <w:color w:val="001C71"/>
              </w:rPr>
              <w:t>C</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278" w:type="dxa"/>
            <w:tcBorders/>
            <w:shd w:fill="auto" w:val="clear"/>
            <w:vAlign w:val="center"/>
          </w:tcPr>
          <w:p>
            <w:pPr>
              <w:pStyle w:val="TableContents"/>
              <w:spacing w:before="0" w:after="283"/>
              <w:jc w:val="center"/>
              <w:rPr>
                <w:color w:val="001C71"/>
              </w:rPr>
            </w:pPr>
            <w:r>
              <w:rPr>
                <w:color w:val="001C71"/>
              </w:rPr>
              <w:t>✓</w:t>
            </w:r>
          </w:p>
        </w:tc>
      </w:tr>
      <w:tr>
        <w:trPr>
          <w:trHeight w:val="30" w:hRule="atLeast"/>
        </w:trPr>
        <w:tc>
          <w:tcPr>
            <w:tcW w:w="5183" w:type="dxa"/>
            <w:tcBorders/>
            <w:shd w:fill="E5E5E5"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E5E5E5"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537" w:type="dxa"/>
            <w:gridSpan w:val="2"/>
            <w:tcBorders/>
            <w:shd w:fill="E5E5E5"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E5E5E5" w:val="clear"/>
            <w:tcMar>
              <w:left w:w="28" w:type="dxa"/>
            </w:tcMar>
            <w:vAlign w:val="center"/>
          </w:tcPr>
          <w:p>
            <w:pPr>
              <w:pStyle w:val="TableContents"/>
              <w:spacing w:before="0" w:after="283"/>
              <w:rPr/>
            </w:pPr>
            <w:r>
              <w:rPr/>
              <w:t> </w:t>
            </w:r>
          </w:p>
        </w:tc>
      </w:tr>
      <w:tr>
        <w:trPr/>
        <w:tc>
          <w:tcPr>
            <w:tcW w:w="5183" w:type="dxa"/>
            <w:tcBorders/>
            <w:shd w:fill="E5E5E5" w:val="clear"/>
          </w:tcPr>
          <w:p>
            <w:pPr>
              <w:pStyle w:val="TableContents"/>
              <w:spacing w:before="0" w:after="0"/>
              <w:rPr>
                <w:rFonts w:ascii="arial" w:hAnsi="arial"/>
                <w:b/>
                <w:color w:val="001C71"/>
                <w:sz w:val="14"/>
              </w:rPr>
            </w:pPr>
            <w:r>
              <w:rPr>
                <w:rFonts w:ascii="arial" w:hAnsi="arial"/>
                <w:b/>
                <w:color w:val="001C71"/>
                <w:sz w:val="14"/>
              </w:rPr>
              <w:t>Maria Contreras-Sweet</w:t>
            </w:r>
          </w:p>
          <w:p>
            <w:pPr>
              <w:pStyle w:val="TableContents"/>
              <w:spacing w:before="0" w:after="20"/>
              <w:rPr>
                <w:rFonts w:ascii="arial" w:hAnsi="arial"/>
                <w:sz w:val="14"/>
              </w:rPr>
            </w:pPr>
            <w:r>
              <w:rPr>
                <w:rFonts w:ascii="arial" w:hAnsi="arial"/>
                <w:sz w:val="14"/>
              </w:rPr>
              <w:t>Managing Partner, Contreras Sweet Companies, LLC and Rockway Equity Partners; 24th Administrator, U.S. Small Business Administration</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391" w:type="dxa"/>
            <w:tcBorders>
              <w:right w:val="single" w:sz="2" w:space="0" w:color="E5E5E5"/>
            </w:tcBorders>
            <w:shd w:fill="E5E5E5" w:val="clear"/>
            <w:tcMar>
              <w:right w:w="28" w:type="dxa"/>
            </w:tcMar>
            <w:vAlign w:val="center"/>
          </w:tcPr>
          <w:p>
            <w:pPr>
              <w:pStyle w:val="TableContents"/>
              <w:spacing w:before="0" w:after="283"/>
              <w:jc w:val="center"/>
              <w:rPr/>
            </w:pPr>
            <w:r>
              <w:rPr/>
              <w:t>65</w:t>
            </w:r>
          </w:p>
        </w:tc>
        <w:tc>
          <w:tcPr>
            <w:tcW w:w="109" w:type="dxa"/>
            <w:tcBorders/>
            <w:shd w:fill="E5E5E5" w:val="clear"/>
            <w:vAlign w:val="bottom"/>
          </w:tcPr>
          <w:p>
            <w:pPr>
              <w:pStyle w:val="TableContents"/>
              <w:spacing w:before="0" w:after="283"/>
              <w:rPr/>
            </w:pPr>
            <w:r>
              <w:rPr/>
              <w:t> </w:t>
            </w:r>
          </w:p>
        </w:tc>
        <w:tc>
          <w:tcPr>
            <w:tcW w:w="861" w:type="dxa"/>
            <w:tcBorders>
              <w:right w:val="single" w:sz="2" w:space="0" w:color="E5E5E5"/>
            </w:tcBorders>
            <w:shd w:fill="E5E5E5" w:val="clear"/>
            <w:tcMar>
              <w:right w:w="28" w:type="dxa"/>
            </w:tcMar>
            <w:vAlign w:val="center"/>
          </w:tcPr>
          <w:p>
            <w:pPr>
              <w:pStyle w:val="TableContents"/>
              <w:spacing w:before="0" w:after="283"/>
              <w:jc w:val="center"/>
              <w:rPr/>
            </w:pPr>
            <w:r>
              <w:rPr/>
              <w:t>2017</w:t>
            </w:r>
          </w:p>
        </w:tc>
        <w:tc>
          <w:tcPr>
            <w:tcW w:w="109" w:type="dxa"/>
            <w:tcBorders/>
            <w:shd w:fill="E5E5E5" w:val="clear"/>
            <w:vAlign w:val="bottom"/>
          </w:tcPr>
          <w:p>
            <w:pPr>
              <w:pStyle w:val="TableContents"/>
              <w:spacing w:before="0" w:after="283"/>
              <w:rPr/>
            </w:pPr>
            <w:r>
              <w:rPr/>
              <w:t> </w:t>
            </w:r>
          </w:p>
        </w:tc>
        <w:tc>
          <w:tcPr>
            <w:tcW w:w="788" w:type="dxa"/>
            <w:tcBorders>
              <w:right w:val="single" w:sz="2" w:space="0" w:color="E5E5E5"/>
            </w:tcBorders>
            <w:shd w:fill="E5E5E5" w:val="clear"/>
            <w:tcMar>
              <w:right w:w="28" w:type="dxa"/>
            </w:tcMar>
            <w:vAlign w:val="center"/>
          </w:tcPr>
          <w:p>
            <w:pPr>
              <w:pStyle w:val="TableContents"/>
              <w:spacing w:before="0" w:after="283"/>
              <w:jc w:val="center"/>
              <w:rPr>
                <w:color w:val="001C71"/>
              </w:rPr>
            </w:pPr>
            <w:r>
              <w:rPr>
                <w:color w:val="001C71"/>
              </w:rPr>
              <w:t>✓</w:t>
            </w:r>
          </w:p>
        </w:tc>
        <w:tc>
          <w:tcPr>
            <w:tcW w:w="109" w:type="dxa"/>
            <w:tcBorders/>
            <w:shd w:fill="E5E5E5" w:val="clear"/>
            <w:vAlign w:val="bottom"/>
          </w:tcPr>
          <w:p>
            <w:pPr>
              <w:pStyle w:val="TableContents"/>
              <w:spacing w:before="0" w:after="283"/>
              <w:rPr/>
            </w:pPr>
            <w:r>
              <w:rPr/>
              <w:t> </w:t>
            </w:r>
          </w:p>
        </w:tc>
        <w:tc>
          <w:tcPr>
            <w:tcW w:w="428" w:type="dxa"/>
            <w:tcBorders/>
            <w:shd w:fill="E5E5E5"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505" w:type="dxa"/>
            <w:tcBorders/>
            <w:shd w:fill="E5E5E5"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16"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83"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278" w:type="dxa"/>
            <w:tcBorders/>
            <w:shd w:fill="E5E5E5" w:val="clear"/>
            <w:vAlign w:val="center"/>
          </w:tcPr>
          <w:p>
            <w:pPr>
              <w:pStyle w:val="TableContents"/>
              <w:spacing w:before="0" w:after="283"/>
              <w:rPr>
                <w:sz w:val="4"/>
                <w:szCs w:val="4"/>
              </w:rPr>
            </w:pPr>
            <w:r>
              <w:rPr>
                <w:sz w:val="4"/>
                <w:szCs w:val="4"/>
              </w:rPr>
            </w:r>
          </w:p>
        </w:tc>
      </w:tr>
      <w:tr>
        <w:trPr>
          <w:trHeight w:val="30" w:hRule="atLeast"/>
        </w:trPr>
        <w:tc>
          <w:tcPr>
            <w:tcW w:w="5183" w:type="dxa"/>
            <w:tcBorders/>
            <w:shd w:fill="auto"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auto"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537" w:type="dxa"/>
            <w:gridSpan w:val="2"/>
            <w:tcBorders/>
            <w:shd w:fill="auto"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auto" w:val="clear"/>
            <w:tcMar>
              <w:left w:w="28" w:type="dxa"/>
            </w:tcMar>
            <w:vAlign w:val="center"/>
          </w:tcPr>
          <w:p>
            <w:pPr>
              <w:pStyle w:val="TableContents"/>
              <w:spacing w:before="0" w:after="283"/>
              <w:rPr/>
            </w:pPr>
            <w:r>
              <w:rPr/>
              <w:t> </w:t>
            </w:r>
          </w:p>
        </w:tc>
      </w:tr>
      <w:tr>
        <w:trPr/>
        <w:tc>
          <w:tcPr>
            <w:tcW w:w="5183" w:type="dxa"/>
            <w:tcBorders/>
            <w:shd w:fill="auto" w:val="clear"/>
          </w:tcPr>
          <w:p>
            <w:pPr>
              <w:pStyle w:val="TableContents"/>
              <w:spacing w:before="0" w:after="0"/>
              <w:rPr>
                <w:rFonts w:ascii="arial" w:hAnsi="arial"/>
                <w:b/>
                <w:color w:val="001C71"/>
                <w:sz w:val="14"/>
              </w:rPr>
            </w:pPr>
            <w:r>
              <w:rPr>
                <w:rFonts w:ascii="arial" w:hAnsi="arial"/>
                <w:b/>
                <w:color w:val="001C71"/>
                <w:sz w:val="14"/>
              </w:rPr>
              <w:t>Pablo A. Ferrero</w:t>
            </w:r>
          </w:p>
          <w:p>
            <w:pPr>
              <w:pStyle w:val="TableContents"/>
              <w:spacing w:before="0" w:after="20"/>
              <w:rPr>
                <w:rFonts w:ascii="arial" w:hAnsi="arial"/>
                <w:sz w:val="14"/>
              </w:rPr>
            </w:pPr>
            <w:r>
              <w:rPr>
                <w:rFonts w:ascii="arial" w:hAnsi="arial"/>
                <w:sz w:val="14"/>
              </w:rPr>
              <w:t>Independent energy consultant</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391" w:type="dxa"/>
            <w:tcBorders>
              <w:right w:val="single" w:sz="2" w:space="0" w:color="E5E5E5"/>
            </w:tcBorders>
            <w:shd w:fill="auto" w:val="clear"/>
            <w:tcMar>
              <w:right w:w="28" w:type="dxa"/>
            </w:tcMar>
            <w:vAlign w:val="center"/>
          </w:tcPr>
          <w:p>
            <w:pPr>
              <w:pStyle w:val="TableContents"/>
              <w:spacing w:before="0" w:after="283"/>
              <w:jc w:val="center"/>
              <w:rPr/>
            </w:pPr>
            <w:r>
              <w:rPr/>
              <w:t>58</w:t>
            </w:r>
          </w:p>
        </w:tc>
        <w:tc>
          <w:tcPr>
            <w:tcW w:w="109" w:type="dxa"/>
            <w:tcBorders/>
            <w:shd w:fill="auto" w:val="clear"/>
            <w:vAlign w:val="bottom"/>
          </w:tcPr>
          <w:p>
            <w:pPr>
              <w:pStyle w:val="TableContents"/>
              <w:spacing w:before="0" w:after="283"/>
              <w:rPr/>
            </w:pPr>
            <w:r>
              <w:rPr/>
              <w:t> </w:t>
            </w:r>
          </w:p>
        </w:tc>
        <w:tc>
          <w:tcPr>
            <w:tcW w:w="861" w:type="dxa"/>
            <w:tcBorders>
              <w:right w:val="single" w:sz="2" w:space="0" w:color="E5E5E5"/>
            </w:tcBorders>
            <w:shd w:fill="auto" w:val="clear"/>
            <w:tcMar>
              <w:right w:w="28" w:type="dxa"/>
            </w:tcMar>
            <w:vAlign w:val="center"/>
          </w:tcPr>
          <w:p>
            <w:pPr>
              <w:pStyle w:val="TableContents"/>
              <w:spacing w:before="0" w:after="283"/>
              <w:jc w:val="center"/>
              <w:rPr/>
            </w:pPr>
            <w:r>
              <w:rPr/>
              <w:t>2013</w:t>
            </w:r>
          </w:p>
        </w:tc>
        <w:tc>
          <w:tcPr>
            <w:tcW w:w="109" w:type="dxa"/>
            <w:tcBorders/>
            <w:shd w:fill="auto" w:val="clear"/>
            <w:vAlign w:val="bottom"/>
          </w:tcPr>
          <w:p>
            <w:pPr>
              <w:pStyle w:val="TableContents"/>
              <w:spacing w:before="0" w:after="283"/>
              <w:rPr/>
            </w:pPr>
            <w:r>
              <w:rPr/>
              <w:t> </w:t>
            </w:r>
          </w:p>
        </w:tc>
        <w:tc>
          <w:tcPr>
            <w:tcW w:w="788" w:type="dxa"/>
            <w:tcBorders>
              <w:right w:val="single" w:sz="2" w:space="0" w:color="E5E5E5"/>
            </w:tcBorders>
            <w:shd w:fill="auto" w:val="clear"/>
            <w:tcMar>
              <w:right w:w="28" w:type="dxa"/>
            </w:tcMar>
            <w:vAlign w:val="center"/>
          </w:tcPr>
          <w:p>
            <w:pPr>
              <w:pStyle w:val="TableContents"/>
              <w:spacing w:before="0" w:after="283"/>
              <w:jc w:val="center"/>
              <w:rPr>
                <w:color w:val="001C71"/>
              </w:rPr>
            </w:pPr>
            <w:r>
              <w:rPr>
                <w:color w:val="001C71"/>
              </w:rPr>
              <w:t>✓</w:t>
            </w:r>
          </w:p>
        </w:tc>
        <w:tc>
          <w:tcPr>
            <w:tcW w:w="109" w:type="dxa"/>
            <w:tcBorders/>
            <w:shd w:fill="auto" w:val="clear"/>
            <w:vAlign w:val="bottom"/>
          </w:tcPr>
          <w:p>
            <w:pPr>
              <w:pStyle w:val="TableContents"/>
              <w:spacing w:before="0" w:after="283"/>
              <w:rPr/>
            </w:pPr>
            <w:r>
              <w:rPr/>
              <w:t> </w:t>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16" w:type="dxa"/>
            <w:tcBorders/>
            <w:shd w:fill="auto"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83" w:type="dxa"/>
            <w:tcBorders/>
            <w:shd w:fill="auto"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278"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183" w:type="dxa"/>
            <w:tcBorders/>
            <w:shd w:fill="E5E5E5"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E5E5E5"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537" w:type="dxa"/>
            <w:gridSpan w:val="2"/>
            <w:tcBorders/>
            <w:shd w:fill="E5E5E5"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E5E5E5" w:val="clear"/>
            <w:tcMar>
              <w:left w:w="28" w:type="dxa"/>
            </w:tcMar>
            <w:vAlign w:val="center"/>
          </w:tcPr>
          <w:p>
            <w:pPr>
              <w:pStyle w:val="TableContents"/>
              <w:spacing w:before="0" w:after="283"/>
              <w:rPr/>
            </w:pPr>
            <w:r>
              <w:rPr/>
              <w:t> </w:t>
            </w:r>
          </w:p>
        </w:tc>
      </w:tr>
      <w:tr>
        <w:trPr/>
        <w:tc>
          <w:tcPr>
            <w:tcW w:w="5183" w:type="dxa"/>
            <w:tcBorders/>
            <w:shd w:fill="E5E5E5" w:val="clear"/>
          </w:tcPr>
          <w:p>
            <w:pPr>
              <w:pStyle w:val="TableContents"/>
              <w:spacing w:before="0" w:after="0"/>
              <w:rPr>
                <w:rFonts w:ascii="arial" w:hAnsi="arial"/>
                <w:b/>
                <w:color w:val="001C71"/>
                <w:sz w:val="14"/>
              </w:rPr>
            </w:pPr>
            <w:r>
              <w:rPr>
                <w:rFonts w:ascii="arial" w:hAnsi="arial"/>
                <w:b/>
                <w:color w:val="001C71"/>
                <w:sz w:val="14"/>
              </w:rPr>
              <w:t>William D. Jones  Lead Independent Director</w:t>
            </w:r>
          </w:p>
          <w:p>
            <w:pPr>
              <w:pStyle w:val="TableContents"/>
              <w:spacing w:before="0" w:after="20"/>
              <w:rPr>
                <w:rFonts w:ascii="arial" w:hAnsi="arial"/>
                <w:sz w:val="14"/>
              </w:rPr>
            </w:pPr>
            <w:r>
              <w:rPr>
                <w:rFonts w:ascii="arial" w:hAnsi="arial"/>
                <w:sz w:val="14"/>
              </w:rPr>
              <w:t>President and Chief Executive Officer, CityLink Investment Corp.</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391" w:type="dxa"/>
            <w:tcBorders>
              <w:right w:val="single" w:sz="2" w:space="0" w:color="E5E5E5"/>
            </w:tcBorders>
            <w:shd w:fill="E5E5E5" w:val="clear"/>
            <w:tcMar>
              <w:right w:w="28" w:type="dxa"/>
            </w:tcMar>
            <w:vAlign w:val="center"/>
          </w:tcPr>
          <w:p>
            <w:pPr>
              <w:pStyle w:val="TableContents"/>
              <w:spacing w:before="0" w:after="283"/>
              <w:jc w:val="center"/>
              <w:rPr/>
            </w:pPr>
            <w:r>
              <w:rPr/>
              <w:t>65</w:t>
            </w:r>
          </w:p>
        </w:tc>
        <w:tc>
          <w:tcPr>
            <w:tcW w:w="109" w:type="dxa"/>
            <w:tcBorders/>
            <w:shd w:fill="E5E5E5" w:val="clear"/>
            <w:vAlign w:val="bottom"/>
          </w:tcPr>
          <w:p>
            <w:pPr>
              <w:pStyle w:val="TableContents"/>
              <w:spacing w:before="0" w:after="283"/>
              <w:rPr/>
            </w:pPr>
            <w:r>
              <w:rPr/>
              <w:t> </w:t>
            </w:r>
          </w:p>
        </w:tc>
        <w:tc>
          <w:tcPr>
            <w:tcW w:w="861" w:type="dxa"/>
            <w:tcBorders>
              <w:right w:val="single" w:sz="2" w:space="0" w:color="E5E5E5"/>
            </w:tcBorders>
            <w:shd w:fill="E5E5E5" w:val="clear"/>
            <w:tcMar>
              <w:right w:w="28" w:type="dxa"/>
            </w:tcMar>
            <w:vAlign w:val="center"/>
          </w:tcPr>
          <w:p>
            <w:pPr>
              <w:pStyle w:val="TableContents"/>
              <w:spacing w:before="0" w:after="283"/>
              <w:jc w:val="center"/>
              <w:rPr/>
            </w:pPr>
            <w:r>
              <w:rPr/>
              <w:t>1998</w:t>
            </w:r>
          </w:p>
        </w:tc>
        <w:tc>
          <w:tcPr>
            <w:tcW w:w="109" w:type="dxa"/>
            <w:tcBorders/>
            <w:shd w:fill="E5E5E5" w:val="clear"/>
            <w:vAlign w:val="bottom"/>
          </w:tcPr>
          <w:p>
            <w:pPr>
              <w:pStyle w:val="TableContents"/>
              <w:spacing w:before="0" w:after="283"/>
              <w:rPr/>
            </w:pPr>
            <w:r>
              <w:rPr/>
              <w:t> </w:t>
            </w:r>
          </w:p>
        </w:tc>
        <w:tc>
          <w:tcPr>
            <w:tcW w:w="788" w:type="dxa"/>
            <w:tcBorders>
              <w:right w:val="single" w:sz="2" w:space="0" w:color="E5E5E5"/>
            </w:tcBorders>
            <w:shd w:fill="E5E5E5" w:val="clear"/>
            <w:tcMar>
              <w:right w:w="28" w:type="dxa"/>
            </w:tcMar>
            <w:vAlign w:val="center"/>
          </w:tcPr>
          <w:p>
            <w:pPr>
              <w:pStyle w:val="TableContents"/>
              <w:spacing w:before="0" w:after="283"/>
              <w:jc w:val="center"/>
              <w:rPr>
                <w:color w:val="001C71"/>
              </w:rPr>
            </w:pPr>
            <w:r>
              <w:rPr>
                <w:color w:val="001C71"/>
              </w:rPr>
              <w:t>✓</w:t>
            </w:r>
          </w:p>
        </w:tc>
        <w:tc>
          <w:tcPr>
            <w:tcW w:w="109" w:type="dxa"/>
            <w:tcBorders/>
            <w:shd w:fill="E5E5E5" w:val="clear"/>
            <w:vAlign w:val="bottom"/>
          </w:tcPr>
          <w:p>
            <w:pPr>
              <w:pStyle w:val="TableContents"/>
              <w:spacing w:before="0" w:after="283"/>
              <w:rPr/>
            </w:pPr>
            <w:r>
              <w:rPr/>
              <w:t> </w:t>
            </w:r>
          </w:p>
        </w:tc>
        <w:tc>
          <w:tcPr>
            <w:tcW w:w="428"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505" w:type="dxa"/>
            <w:tcBorders/>
            <w:shd w:fill="E5E5E5"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16" w:type="dxa"/>
            <w:tcBorders/>
            <w:shd w:fill="E5E5E5" w:val="clear"/>
            <w:vAlign w:val="center"/>
          </w:tcPr>
          <w:p>
            <w:pPr>
              <w:pStyle w:val="TableContents"/>
              <w:spacing w:before="0" w:after="283"/>
              <w:jc w:val="center"/>
              <w:rPr>
                <w:color w:val="001C71"/>
              </w:rPr>
            </w:pPr>
            <w:r>
              <w:rPr>
                <w:color w:val="001C71"/>
              </w:rPr>
              <w:t>C</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83"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278" w:type="dxa"/>
            <w:tcBorders/>
            <w:shd w:fill="E5E5E5" w:val="clear"/>
            <w:vAlign w:val="center"/>
          </w:tcPr>
          <w:p>
            <w:pPr>
              <w:pStyle w:val="TableContents"/>
              <w:spacing w:before="0" w:after="283"/>
              <w:jc w:val="center"/>
              <w:rPr>
                <w:color w:val="001C71"/>
              </w:rPr>
            </w:pPr>
            <w:r>
              <w:rPr>
                <w:color w:val="001C71"/>
              </w:rPr>
              <w:t>✓</w:t>
            </w:r>
          </w:p>
        </w:tc>
      </w:tr>
      <w:tr>
        <w:trPr>
          <w:trHeight w:val="30" w:hRule="atLeast"/>
        </w:trPr>
        <w:tc>
          <w:tcPr>
            <w:tcW w:w="5183" w:type="dxa"/>
            <w:tcBorders/>
            <w:shd w:fill="auto"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auto"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537" w:type="dxa"/>
            <w:gridSpan w:val="2"/>
            <w:tcBorders/>
            <w:shd w:fill="auto"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auto" w:val="clear"/>
            <w:tcMar>
              <w:left w:w="28" w:type="dxa"/>
            </w:tcMar>
            <w:vAlign w:val="center"/>
          </w:tcPr>
          <w:p>
            <w:pPr>
              <w:pStyle w:val="TableContents"/>
              <w:spacing w:before="0" w:after="283"/>
              <w:rPr/>
            </w:pPr>
            <w:r>
              <w:rPr/>
              <w:t> </w:t>
            </w:r>
          </w:p>
        </w:tc>
      </w:tr>
      <w:tr>
        <w:trPr/>
        <w:tc>
          <w:tcPr>
            <w:tcW w:w="5183" w:type="dxa"/>
            <w:tcBorders/>
            <w:shd w:fill="auto" w:val="clear"/>
          </w:tcPr>
          <w:p>
            <w:pPr>
              <w:pStyle w:val="TableContents"/>
              <w:spacing w:before="0" w:after="0"/>
              <w:rPr>
                <w:rFonts w:ascii="arial" w:hAnsi="arial"/>
                <w:b/>
                <w:color w:val="001C71"/>
                <w:sz w:val="14"/>
              </w:rPr>
            </w:pPr>
            <w:r>
              <w:rPr>
                <w:rFonts w:ascii="arial" w:hAnsi="arial"/>
                <w:b/>
                <w:color w:val="001C71"/>
                <w:sz w:val="14"/>
              </w:rPr>
              <w:t>Jeffrey W. Martin</w:t>
            </w:r>
          </w:p>
          <w:p>
            <w:pPr>
              <w:pStyle w:val="TableContents"/>
              <w:spacing w:before="0" w:after="20"/>
              <w:rPr>
                <w:rFonts w:ascii="arial" w:hAnsi="arial"/>
                <w:sz w:val="14"/>
              </w:rPr>
            </w:pPr>
            <w:r>
              <w:rPr>
                <w:rFonts w:ascii="arial" w:hAnsi="arial"/>
                <w:sz w:val="14"/>
              </w:rPr>
              <w:t>Chairman of the Board, Chief Executive Officer and President, Sempra Energy</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391" w:type="dxa"/>
            <w:tcBorders>
              <w:right w:val="single" w:sz="2" w:space="0" w:color="E5E5E5"/>
            </w:tcBorders>
            <w:shd w:fill="auto" w:val="clear"/>
            <w:tcMar>
              <w:right w:w="28" w:type="dxa"/>
            </w:tcMar>
            <w:vAlign w:val="center"/>
          </w:tcPr>
          <w:p>
            <w:pPr>
              <w:pStyle w:val="TableContents"/>
              <w:spacing w:before="0" w:after="283"/>
              <w:jc w:val="center"/>
              <w:rPr/>
            </w:pPr>
            <w:r>
              <w:rPr/>
              <w:t>59</w:t>
            </w:r>
          </w:p>
        </w:tc>
        <w:tc>
          <w:tcPr>
            <w:tcW w:w="109" w:type="dxa"/>
            <w:tcBorders/>
            <w:shd w:fill="auto" w:val="clear"/>
            <w:vAlign w:val="bottom"/>
          </w:tcPr>
          <w:p>
            <w:pPr>
              <w:pStyle w:val="TableContents"/>
              <w:spacing w:before="0" w:after="283"/>
              <w:rPr/>
            </w:pPr>
            <w:r>
              <w:rPr/>
              <w:t> </w:t>
            </w:r>
          </w:p>
        </w:tc>
        <w:tc>
          <w:tcPr>
            <w:tcW w:w="861" w:type="dxa"/>
            <w:tcBorders>
              <w:right w:val="single" w:sz="2" w:space="0" w:color="E5E5E5"/>
            </w:tcBorders>
            <w:shd w:fill="auto" w:val="clear"/>
            <w:tcMar>
              <w:right w:w="28" w:type="dxa"/>
            </w:tcMar>
            <w:vAlign w:val="center"/>
          </w:tcPr>
          <w:p>
            <w:pPr>
              <w:pStyle w:val="TableContents"/>
              <w:spacing w:before="0" w:after="283"/>
              <w:jc w:val="center"/>
              <w:rPr/>
            </w:pPr>
            <w:r>
              <w:rPr/>
              <w:t>2018</w:t>
            </w:r>
          </w:p>
        </w:tc>
        <w:tc>
          <w:tcPr>
            <w:tcW w:w="109" w:type="dxa"/>
            <w:tcBorders/>
            <w:shd w:fill="auto" w:val="clear"/>
            <w:vAlign w:val="bottom"/>
          </w:tcPr>
          <w:p>
            <w:pPr>
              <w:pStyle w:val="TableContents"/>
              <w:spacing w:before="0" w:after="283"/>
              <w:rPr/>
            </w:pPr>
            <w:r>
              <w:rPr/>
              <w:t> </w:t>
            </w:r>
          </w:p>
        </w:tc>
        <w:tc>
          <w:tcPr>
            <w:tcW w:w="788" w:type="dxa"/>
            <w:tcBorders>
              <w:right w:val="single" w:sz="2" w:space="0" w:color="E5E5E5"/>
            </w:tcBorders>
            <w:shd w:fill="auto" w:val="clear"/>
            <w:tcMar>
              <w:right w:w="28" w:type="dxa"/>
            </w:tcMar>
            <w:vAlign w:val="center"/>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278" w:type="dxa"/>
            <w:tcBorders/>
            <w:shd w:fill="auto" w:val="clear"/>
            <w:vAlign w:val="center"/>
          </w:tcPr>
          <w:p>
            <w:pPr>
              <w:pStyle w:val="TableContents"/>
              <w:spacing w:before="0" w:after="283"/>
              <w:jc w:val="center"/>
              <w:rPr>
                <w:color w:val="001C71"/>
              </w:rPr>
            </w:pPr>
            <w:r>
              <w:rPr>
                <w:color w:val="001C71"/>
              </w:rPr>
              <w:t>C</w:t>
            </w:r>
          </w:p>
        </w:tc>
      </w:tr>
      <w:tr>
        <w:trPr>
          <w:trHeight w:val="30" w:hRule="atLeast"/>
        </w:trPr>
        <w:tc>
          <w:tcPr>
            <w:tcW w:w="5183" w:type="dxa"/>
            <w:tcBorders/>
            <w:shd w:fill="E5E5E5"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E5E5E5"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537" w:type="dxa"/>
            <w:gridSpan w:val="2"/>
            <w:tcBorders/>
            <w:shd w:fill="E5E5E5"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E5E5E5" w:val="clear"/>
            <w:tcMar>
              <w:left w:w="28" w:type="dxa"/>
            </w:tcMar>
            <w:vAlign w:val="center"/>
          </w:tcPr>
          <w:p>
            <w:pPr>
              <w:pStyle w:val="TableContents"/>
              <w:spacing w:before="0" w:after="283"/>
              <w:rPr/>
            </w:pPr>
            <w:r>
              <w:rPr/>
              <w:t> </w:t>
            </w:r>
          </w:p>
        </w:tc>
      </w:tr>
      <w:tr>
        <w:trPr/>
        <w:tc>
          <w:tcPr>
            <w:tcW w:w="5183" w:type="dxa"/>
            <w:tcBorders/>
            <w:shd w:fill="E5E5E5" w:val="clear"/>
          </w:tcPr>
          <w:p>
            <w:pPr>
              <w:pStyle w:val="TableContents"/>
              <w:spacing w:before="0" w:after="0"/>
              <w:rPr>
                <w:rFonts w:ascii="arial" w:hAnsi="arial"/>
                <w:b/>
                <w:color w:val="001C71"/>
                <w:sz w:val="14"/>
              </w:rPr>
            </w:pPr>
            <w:r>
              <w:rPr>
                <w:rFonts w:ascii="arial" w:hAnsi="arial"/>
                <w:b/>
                <w:color w:val="001C71"/>
                <w:sz w:val="14"/>
              </w:rPr>
              <w:t>Bethany J. Mayer</w:t>
            </w:r>
          </w:p>
          <w:p>
            <w:pPr>
              <w:pStyle w:val="TableContents"/>
              <w:spacing w:before="0" w:after="20"/>
              <w:rPr>
                <w:rFonts w:ascii="arial" w:hAnsi="arial"/>
                <w:sz w:val="14"/>
              </w:rPr>
            </w:pPr>
            <w:r>
              <w:rPr>
                <w:rFonts w:ascii="arial" w:hAnsi="arial"/>
                <w:sz w:val="14"/>
              </w:rPr>
              <w:t>Executive Partner, Siris Capital Group LLC</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391" w:type="dxa"/>
            <w:tcBorders>
              <w:right w:val="single" w:sz="2" w:space="0" w:color="E5E5E5"/>
            </w:tcBorders>
            <w:shd w:fill="E5E5E5" w:val="clear"/>
            <w:tcMar>
              <w:right w:w="28" w:type="dxa"/>
            </w:tcMar>
            <w:vAlign w:val="center"/>
          </w:tcPr>
          <w:p>
            <w:pPr>
              <w:pStyle w:val="TableContents"/>
              <w:spacing w:before="0" w:after="283"/>
              <w:jc w:val="center"/>
              <w:rPr/>
            </w:pPr>
            <w:r>
              <w:rPr/>
              <w:t>59</w:t>
            </w:r>
          </w:p>
        </w:tc>
        <w:tc>
          <w:tcPr>
            <w:tcW w:w="109" w:type="dxa"/>
            <w:tcBorders/>
            <w:shd w:fill="E5E5E5" w:val="clear"/>
            <w:vAlign w:val="bottom"/>
          </w:tcPr>
          <w:p>
            <w:pPr>
              <w:pStyle w:val="TableContents"/>
              <w:spacing w:before="0" w:after="283"/>
              <w:rPr/>
            </w:pPr>
            <w:r>
              <w:rPr/>
              <w:t> </w:t>
            </w:r>
          </w:p>
        </w:tc>
        <w:tc>
          <w:tcPr>
            <w:tcW w:w="861" w:type="dxa"/>
            <w:tcBorders>
              <w:right w:val="single" w:sz="2" w:space="0" w:color="E5E5E5"/>
            </w:tcBorders>
            <w:shd w:fill="E5E5E5" w:val="clear"/>
            <w:tcMar>
              <w:right w:w="28" w:type="dxa"/>
            </w:tcMar>
            <w:vAlign w:val="center"/>
          </w:tcPr>
          <w:p>
            <w:pPr>
              <w:pStyle w:val="TableContents"/>
              <w:spacing w:before="0" w:after="283"/>
              <w:jc w:val="center"/>
              <w:rPr/>
            </w:pPr>
            <w:r>
              <w:rPr/>
              <w:t>2019(B)</w:t>
            </w:r>
          </w:p>
        </w:tc>
        <w:tc>
          <w:tcPr>
            <w:tcW w:w="109" w:type="dxa"/>
            <w:tcBorders/>
            <w:shd w:fill="E5E5E5" w:val="clear"/>
            <w:vAlign w:val="bottom"/>
          </w:tcPr>
          <w:p>
            <w:pPr>
              <w:pStyle w:val="TableContents"/>
              <w:spacing w:before="0" w:after="283"/>
              <w:rPr/>
            </w:pPr>
            <w:r>
              <w:rPr/>
              <w:t> </w:t>
            </w:r>
          </w:p>
        </w:tc>
        <w:tc>
          <w:tcPr>
            <w:tcW w:w="788" w:type="dxa"/>
            <w:tcBorders>
              <w:right w:val="single" w:sz="2" w:space="0" w:color="E5E5E5"/>
            </w:tcBorders>
            <w:shd w:fill="E5E5E5" w:val="clear"/>
            <w:tcMar>
              <w:right w:w="28" w:type="dxa"/>
            </w:tcMar>
            <w:vAlign w:val="center"/>
          </w:tcPr>
          <w:p>
            <w:pPr>
              <w:pStyle w:val="TableContents"/>
              <w:spacing w:before="0" w:after="283"/>
              <w:rPr/>
            </w:pPr>
            <w:r>
              <w:rPr/>
              <w:t> </w:t>
            </w:r>
          </w:p>
        </w:tc>
        <w:tc>
          <w:tcPr>
            <w:tcW w:w="109" w:type="dxa"/>
            <w:tcBorders/>
            <w:shd w:fill="E5E5E5" w:val="clear"/>
            <w:vAlign w:val="bottom"/>
          </w:tcPr>
          <w:p>
            <w:pPr>
              <w:pStyle w:val="TableContents"/>
              <w:spacing w:before="0" w:after="283"/>
              <w:rPr/>
            </w:pPr>
            <w:r>
              <w:rPr/>
              <w:t> </w:t>
            </w:r>
          </w:p>
        </w:tc>
        <w:tc>
          <w:tcPr>
            <w:tcW w:w="428"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505"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16"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83" w:type="dxa"/>
            <w:tcBorders/>
            <w:shd w:fill="E5E5E5" w:val="clear"/>
            <w:vAlign w:val="center"/>
          </w:tcPr>
          <w:p>
            <w:pPr>
              <w:pStyle w:val="TableContents"/>
              <w:spacing w:before="0" w:after="283"/>
              <w:jc w:val="center"/>
              <w:rPr>
                <w:color w:val="001C71"/>
              </w:rPr>
            </w:pPr>
            <w:r>
              <w:rPr>
                <w:color w:val="001C71"/>
              </w:rPr>
              <w:t>C</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278" w:type="dxa"/>
            <w:tcBorders/>
            <w:shd w:fill="E5E5E5" w:val="clear"/>
            <w:vAlign w:val="center"/>
          </w:tcPr>
          <w:p>
            <w:pPr>
              <w:pStyle w:val="TableContents"/>
              <w:spacing w:before="0" w:after="283"/>
              <w:jc w:val="center"/>
              <w:rPr/>
            </w:pPr>
            <w:r>
              <w:rPr/>
              <w:t>✓</w:t>
            </w:r>
          </w:p>
        </w:tc>
      </w:tr>
      <w:tr>
        <w:trPr>
          <w:trHeight w:val="30" w:hRule="atLeast"/>
        </w:trPr>
        <w:tc>
          <w:tcPr>
            <w:tcW w:w="5183" w:type="dxa"/>
            <w:tcBorders/>
            <w:shd w:fill="auto"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auto"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537" w:type="dxa"/>
            <w:gridSpan w:val="2"/>
            <w:tcBorders/>
            <w:shd w:fill="auto"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auto" w:val="clear"/>
            <w:tcMar>
              <w:left w:w="28" w:type="dxa"/>
            </w:tcMar>
            <w:vAlign w:val="center"/>
          </w:tcPr>
          <w:p>
            <w:pPr>
              <w:pStyle w:val="TableContents"/>
              <w:spacing w:before="0" w:after="283"/>
              <w:rPr/>
            </w:pPr>
            <w:r>
              <w:rPr/>
              <w:t> </w:t>
            </w:r>
          </w:p>
        </w:tc>
      </w:tr>
      <w:tr>
        <w:trPr/>
        <w:tc>
          <w:tcPr>
            <w:tcW w:w="5183" w:type="dxa"/>
            <w:tcBorders/>
            <w:shd w:fill="auto" w:val="clear"/>
          </w:tcPr>
          <w:p>
            <w:pPr>
              <w:pStyle w:val="TableContents"/>
              <w:spacing w:before="0" w:after="0"/>
              <w:rPr>
                <w:rFonts w:ascii="arial" w:hAnsi="arial"/>
                <w:b/>
                <w:color w:val="001C71"/>
                <w:sz w:val="14"/>
              </w:rPr>
            </w:pPr>
            <w:r>
              <w:rPr>
                <w:rFonts w:ascii="arial" w:hAnsi="arial"/>
                <w:b/>
                <w:color w:val="001C71"/>
                <w:sz w:val="14"/>
              </w:rPr>
              <w:t>Michael N. Mears</w:t>
            </w:r>
          </w:p>
          <w:p>
            <w:pPr>
              <w:pStyle w:val="TableContents"/>
              <w:spacing w:before="0" w:after="20"/>
              <w:rPr>
                <w:rFonts w:ascii="arial" w:hAnsi="arial"/>
                <w:sz w:val="14"/>
              </w:rPr>
            </w:pPr>
            <w:r>
              <w:rPr>
                <w:rFonts w:ascii="arial" w:hAnsi="arial"/>
                <w:sz w:val="14"/>
              </w:rPr>
              <w:t>Chairman, President and Chief Executive Officer, Magellan Midstream Partners L.P.</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391" w:type="dxa"/>
            <w:tcBorders>
              <w:right w:val="single" w:sz="2" w:space="0" w:color="E5E5E5"/>
            </w:tcBorders>
            <w:shd w:fill="auto" w:val="clear"/>
            <w:tcMar>
              <w:right w:w="28" w:type="dxa"/>
            </w:tcMar>
            <w:vAlign w:val="center"/>
          </w:tcPr>
          <w:p>
            <w:pPr>
              <w:pStyle w:val="TableContents"/>
              <w:spacing w:before="0" w:after="283"/>
              <w:jc w:val="center"/>
              <w:rPr/>
            </w:pPr>
            <w:r>
              <w:rPr/>
              <w:t>58</w:t>
            </w:r>
          </w:p>
        </w:tc>
        <w:tc>
          <w:tcPr>
            <w:tcW w:w="109" w:type="dxa"/>
            <w:tcBorders/>
            <w:shd w:fill="auto" w:val="clear"/>
            <w:vAlign w:val="bottom"/>
          </w:tcPr>
          <w:p>
            <w:pPr>
              <w:pStyle w:val="TableContents"/>
              <w:spacing w:before="0" w:after="283"/>
              <w:rPr/>
            </w:pPr>
            <w:r>
              <w:rPr/>
              <w:t> </w:t>
            </w:r>
          </w:p>
        </w:tc>
        <w:tc>
          <w:tcPr>
            <w:tcW w:w="861" w:type="dxa"/>
            <w:tcBorders>
              <w:right w:val="single" w:sz="2" w:space="0" w:color="E5E5E5"/>
            </w:tcBorders>
            <w:shd w:fill="auto" w:val="clear"/>
            <w:tcMar>
              <w:right w:w="28" w:type="dxa"/>
            </w:tcMar>
            <w:vAlign w:val="center"/>
          </w:tcPr>
          <w:p>
            <w:pPr>
              <w:pStyle w:val="TableContents"/>
              <w:spacing w:before="0" w:after="283"/>
              <w:jc w:val="center"/>
              <w:rPr/>
            </w:pPr>
            <w:r>
              <w:rPr/>
              <w:t>2018</w:t>
            </w:r>
          </w:p>
        </w:tc>
        <w:tc>
          <w:tcPr>
            <w:tcW w:w="109" w:type="dxa"/>
            <w:tcBorders/>
            <w:shd w:fill="auto" w:val="clear"/>
            <w:vAlign w:val="bottom"/>
          </w:tcPr>
          <w:p>
            <w:pPr>
              <w:pStyle w:val="TableContents"/>
              <w:spacing w:before="0" w:after="283"/>
              <w:rPr/>
            </w:pPr>
            <w:r>
              <w:rPr/>
              <w:t> </w:t>
            </w:r>
          </w:p>
        </w:tc>
        <w:tc>
          <w:tcPr>
            <w:tcW w:w="788" w:type="dxa"/>
            <w:tcBorders>
              <w:right w:val="single" w:sz="2" w:space="0" w:color="E5E5E5"/>
            </w:tcBorders>
            <w:shd w:fill="auto" w:val="clear"/>
            <w:tcMar>
              <w:right w:w="28" w:type="dxa"/>
            </w:tcMar>
            <w:vAlign w:val="center"/>
          </w:tcPr>
          <w:p>
            <w:pPr>
              <w:pStyle w:val="TableContents"/>
              <w:spacing w:before="0" w:after="283"/>
              <w:jc w:val="center"/>
              <w:rPr>
                <w:color w:val="001C71"/>
              </w:rPr>
            </w:pPr>
            <w:r>
              <w:rPr>
                <w:color w:val="001C71"/>
              </w:rPr>
              <w:t>✓</w:t>
            </w:r>
          </w:p>
        </w:tc>
        <w:tc>
          <w:tcPr>
            <w:tcW w:w="109" w:type="dxa"/>
            <w:tcBorders/>
            <w:shd w:fill="auto" w:val="clear"/>
            <w:vAlign w:val="bottom"/>
          </w:tcPr>
          <w:p>
            <w:pPr>
              <w:pStyle w:val="TableContents"/>
              <w:spacing w:before="0" w:after="283"/>
              <w:rPr/>
            </w:pPr>
            <w:r>
              <w:rPr/>
              <w:t> </w:t>
            </w:r>
          </w:p>
        </w:tc>
        <w:tc>
          <w:tcPr>
            <w:tcW w:w="428" w:type="dxa"/>
            <w:tcBorders/>
            <w:shd w:fill="auto"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83" w:type="dxa"/>
            <w:tcBorders/>
            <w:shd w:fill="auto"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278"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183" w:type="dxa"/>
            <w:tcBorders/>
            <w:shd w:fill="E5E5E5"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E5E5E5"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537" w:type="dxa"/>
            <w:gridSpan w:val="2"/>
            <w:tcBorders/>
            <w:shd w:fill="E5E5E5"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E5E5E5" w:val="clear"/>
            <w:tcMar>
              <w:left w:w="28" w:type="dxa"/>
            </w:tcMar>
            <w:vAlign w:val="center"/>
          </w:tcPr>
          <w:p>
            <w:pPr>
              <w:pStyle w:val="TableContents"/>
              <w:spacing w:before="0" w:after="283"/>
              <w:rPr/>
            </w:pPr>
            <w:r>
              <w:rPr/>
              <w:t> </w:t>
            </w:r>
          </w:p>
        </w:tc>
      </w:tr>
      <w:tr>
        <w:trPr/>
        <w:tc>
          <w:tcPr>
            <w:tcW w:w="5183" w:type="dxa"/>
            <w:tcBorders/>
            <w:shd w:fill="E5E5E5" w:val="clear"/>
          </w:tcPr>
          <w:p>
            <w:pPr>
              <w:pStyle w:val="TableContents"/>
              <w:spacing w:before="0" w:after="0"/>
              <w:rPr>
                <w:rFonts w:ascii="arial" w:hAnsi="arial"/>
                <w:b/>
                <w:color w:val="001C71"/>
                <w:sz w:val="14"/>
              </w:rPr>
            </w:pPr>
            <w:r>
              <w:rPr>
                <w:rFonts w:ascii="arial" w:hAnsi="arial"/>
                <w:b/>
                <w:color w:val="001C71"/>
                <w:sz w:val="14"/>
              </w:rPr>
              <w:t>Jack T. Taylor</w:t>
            </w:r>
          </w:p>
          <w:p>
            <w:pPr>
              <w:pStyle w:val="TableContents"/>
              <w:spacing w:before="0" w:after="20"/>
              <w:rPr>
                <w:rFonts w:ascii="arial" w:hAnsi="arial"/>
                <w:sz w:val="14"/>
              </w:rPr>
            </w:pPr>
            <w:r>
              <w:rPr>
                <w:rFonts w:ascii="arial" w:hAnsi="arial"/>
                <w:sz w:val="14"/>
              </w:rPr>
              <w:t>Former Chief Operating Officer-Americas and Executive Vice Chair of U.S. Operations, KPMG LLP (U.S.)</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391" w:type="dxa"/>
            <w:tcBorders>
              <w:right w:val="single" w:sz="2" w:space="0" w:color="E5E5E5"/>
            </w:tcBorders>
            <w:shd w:fill="E5E5E5" w:val="clear"/>
            <w:tcMar>
              <w:right w:w="28" w:type="dxa"/>
            </w:tcMar>
            <w:vAlign w:val="center"/>
          </w:tcPr>
          <w:p>
            <w:pPr>
              <w:pStyle w:val="TableContents"/>
              <w:spacing w:before="0" w:after="283"/>
              <w:jc w:val="center"/>
              <w:rPr/>
            </w:pPr>
            <w:r>
              <w:rPr/>
              <w:t>69</w:t>
            </w:r>
          </w:p>
        </w:tc>
        <w:tc>
          <w:tcPr>
            <w:tcW w:w="109" w:type="dxa"/>
            <w:tcBorders/>
            <w:shd w:fill="E5E5E5" w:val="clear"/>
            <w:vAlign w:val="bottom"/>
          </w:tcPr>
          <w:p>
            <w:pPr>
              <w:pStyle w:val="TableContents"/>
              <w:spacing w:before="0" w:after="283"/>
              <w:rPr/>
            </w:pPr>
            <w:r>
              <w:rPr/>
              <w:t> </w:t>
            </w:r>
          </w:p>
        </w:tc>
        <w:tc>
          <w:tcPr>
            <w:tcW w:w="861" w:type="dxa"/>
            <w:tcBorders>
              <w:right w:val="single" w:sz="2" w:space="0" w:color="E5E5E5"/>
            </w:tcBorders>
            <w:shd w:fill="E5E5E5" w:val="clear"/>
            <w:tcMar>
              <w:right w:w="28" w:type="dxa"/>
            </w:tcMar>
            <w:vAlign w:val="center"/>
          </w:tcPr>
          <w:p>
            <w:pPr>
              <w:pStyle w:val="TableContents"/>
              <w:spacing w:before="0" w:after="283"/>
              <w:jc w:val="center"/>
              <w:rPr/>
            </w:pPr>
            <w:r>
              <w:rPr/>
              <w:t>2013</w:t>
            </w:r>
          </w:p>
        </w:tc>
        <w:tc>
          <w:tcPr>
            <w:tcW w:w="109" w:type="dxa"/>
            <w:tcBorders/>
            <w:shd w:fill="E5E5E5" w:val="clear"/>
            <w:vAlign w:val="bottom"/>
          </w:tcPr>
          <w:p>
            <w:pPr>
              <w:pStyle w:val="TableContents"/>
              <w:spacing w:before="0" w:after="283"/>
              <w:rPr/>
            </w:pPr>
            <w:r>
              <w:rPr/>
              <w:t> </w:t>
            </w:r>
          </w:p>
        </w:tc>
        <w:tc>
          <w:tcPr>
            <w:tcW w:w="788" w:type="dxa"/>
            <w:tcBorders>
              <w:right w:val="single" w:sz="2" w:space="0" w:color="E5E5E5"/>
            </w:tcBorders>
            <w:shd w:fill="E5E5E5" w:val="clear"/>
            <w:tcMar>
              <w:right w:w="28" w:type="dxa"/>
            </w:tcMar>
            <w:vAlign w:val="center"/>
          </w:tcPr>
          <w:p>
            <w:pPr>
              <w:pStyle w:val="TableContents"/>
              <w:spacing w:before="0" w:after="283"/>
              <w:jc w:val="center"/>
              <w:rPr>
                <w:color w:val="001C71"/>
              </w:rPr>
            </w:pPr>
            <w:r>
              <w:rPr>
                <w:color w:val="001C71"/>
              </w:rPr>
              <w:t>✓</w:t>
            </w:r>
          </w:p>
        </w:tc>
        <w:tc>
          <w:tcPr>
            <w:tcW w:w="109" w:type="dxa"/>
            <w:tcBorders/>
            <w:shd w:fill="E5E5E5" w:val="clear"/>
            <w:vAlign w:val="bottom"/>
          </w:tcPr>
          <w:p>
            <w:pPr>
              <w:pStyle w:val="TableContents"/>
              <w:spacing w:before="0" w:after="283"/>
              <w:rPr/>
            </w:pPr>
            <w:r>
              <w:rPr/>
              <w:t> </w:t>
            </w:r>
          </w:p>
        </w:tc>
        <w:tc>
          <w:tcPr>
            <w:tcW w:w="428" w:type="dxa"/>
            <w:tcBorders/>
            <w:shd w:fill="E5E5E5" w:val="clear"/>
            <w:vAlign w:val="center"/>
          </w:tcPr>
          <w:p>
            <w:pPr>
              <w:pStyle w:val="TableContents"/>
              <w:spacing w:before="0" w:after="283"/>
              <w:jc w:val="center"/>
              <w:rPr>
                <w:color w:val="001C71"/>
              </w:rPr>
            </w:pPr>
            <w:r>
              <w:rPr>
                <w:color w:val="001C71"/>
              </w:rPr>
              <w:t>C F</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505" w:type="dxa"/>
            <w:tcBorders/>
            <w:shd w:fill="E5E5E5"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16"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83"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278" w:type="dxa"/>
            <w:tcBorders/>
            <w:shd w:fill="E5E5E5" w:val="clear"/>
            <w:vAlign w:val="center"/>
          </w:tcPr>
          <w:p>
            <w:pPr>
              <w:pStyle w:val="TableContents"/>
              <w:spacing w:before="0" w:after="283"/>
              <w:jc w:val="center"/>
              <w:rPr>
                <w:color w:val="001C71"/>
              </w:rPr>
            </w:pPr>
            <w:r>
              <w:rPr>
                <w:color w:val="001C71"/>
              </w:rPr>
              <w:t>✓</w:t>
            </w:r>
          </w:p>
        </w:tc>
      </w:tr>
      <w:tr>
        <w:trPr>
          <w:trHeight w:val="30" w:hRule="atLeast"/>
        </w:trPr>
        <w:tc>
          <w:tcPr>
            <w:tcW w:w="5183" w:type="dxa"/>
            <w:tcBorders/>
            <w:shd w:fill="auto"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auto"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537" w:type="dxa"/>
            <w:gridSpan w:val="2"/>
            <w:tcBorders/>
            <w:shd w:fill="auto"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auto" w:val="clear"/>
            <w:tcMar>
              <w:left w:w="28" w:type="dxa"/>
            </w:tcMar>
            <w:vAlign w:val="center"/>
          </w:tcPr>
          <w:p>
            <w:pPr>
              <w:pStyle w:val="TableContents"/>
              <w:spacing w:before="0" w:after="283"/>
              <w:rPr/>
            </w:pPr>
            <w:r>
              <w:rPr/>
              <w:t> </w:t>
            </w:r>
          </w:p>
        </w:tc>
      </w:tr>
      <w:tr>
        <w:trPr/>
        <w:tc>
          <w:tcPr>
            <w:tcW w:w="5183" w:type="dxa"/>
            <w:tcBorders/>
            <w:shd w:fill="auto" w:val="clear"/>
          </w:tcPr>
          <w:p>
            <w:pPr>
              <w:pStyle w:val="TableContents"/>
              <w:spacing w:before="0" w:after="0"/>
              <w:rPr>
                <w:rFonts w:ascii="arial" w:hAnsi="arial"/>
                <w:b/>
                <w:color w:val="001C71"/>
                <w:sz w:val="14"/>
              </w:rPr>
            </w:pPr>
            <w:r>
              <w:rPr>
                <w:rFonts w:ascii="arial" w:hAnsi="arial"/>
                <w:b/>
                <w:color w:val="001C71"/>
                <w:sz w:val="14"/>
              </w:rPr>
              <w:t>Cynthia L. Walker</w:t>
            </w:r>
          </w:p>
          <w:p>
            <w:pPr>
              <w:pStyle w:val="TableContents"/>
              <w:spacing w:before="0" w:after="0"/>
              <w:rPr>
                <w:rFonts w:ascii="arial" w:hAnsi="arial"/>
                <w:sz w:val="14"/>
              </w:rPr>
            </w:pPr>
            <w:r>
              <w:rPr>
                <w:rFonts w:ascii="arial" w:hAnsi="arial"/>
                <w:sz w:val="14"/>
              </w:rPr>
              <w:t>Former Senior Vice President, Midstream &amp; Marketing,</w:t>
            </w:r>
          </w:p>
          <w:p>
            <w:pPr>
              <w:pStyle w:val="TableContents"/>
              <w:spacing w:before="0" w:after="20"/>
              <w:rPr>
                <w:rFonts w:ascii="arial" w:hAnsi="arial"/>
                <w:sz w:val="14"/>
              </w:rPr>
            </w:pPr>
            <w:r>
              <w:rPr>
                <w:rFonts w:ascii="arial" w:hAnsi="arial"/>
                <w:sz w:val="14"/>
              </w:rPr>
              <w:t>Occidental Petroleum Corporation</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391" w:type="dxa"/>
            <w:tcBorders>
              <w:right w:val="single" w:sz="2" w:space="0" w:color="E5E5E5"/>
            </w:tcBorders>
            <w:shd w:fill="auto" w:val="clear"/>
            <w:tcMar>
              <w:right w:w="28" w:type="dxa"/>
            </w:tcMar>
            <w:vAlign w:val="center"/>
          </w:tcPr>
          <w:p>
            <w:pPr>
              <w:pStyle w:val="TableContents"/>
              <w:spacing w:before="0" w:after="283"/>
              <w:jc w:val="center"/>
              <w:rPr/>
            </w:pPr>
            <w:r>
              <w:rPr/>
              <w:t>44</w:t>
            </w:r>
          </w:p>
        </w:tc>
        <w:tc>
          <w:tcPr>
            <w:tcW w:w="109" w:type="dxa"/>
            <w:tcBorders/>
            <w:shd w:fill="auto" w:val="clear"/>
            <w:vAlign w:val="bottom"/>
          </w:tcPr>
          <w:p>
            <w:pPr>
              <w:pStyle w:val="TableContents"/>
              <w:spacing w:before="0" w:after="283"/>
              <w:rPr/>
            </w:pPr>
            <w:r>
              <w:rPr/>
              <w:t> </w:t>
            </w:r>
          </w:p>
        </w:tc>
        <w:tc>
          <w:tcPr>
            <w:tcW w:w="861" w:type="dxa"/>
            <w:tcBorders>
              <w:right w:val="single" w:sz="2" w:space="0" w:color="E5E5E5"/>
            </w:tcBorders>
            <w:shd w:fill="auto" w:val="clear"/>
            <w:tcMar>
              <w:right w:w="28" w:type="dxa"/>
            </w:tcMar>
            <w:vAlign w:val="center"/>
          </w:tcPr>
          <w:p>
            <w:pPr>
              <w:pStyle w:val="TableContents"/>
              <w:spacing w:before="0" w:after="283"/>
              <w:jc w:val="center"/>
              <w:rPr/>
            </w:pPr>
            <w:r>
              <w:rPr/>
              <w:t>2018</w:t>
            </w:r>
          </w:p>
        </w:tc>
        <w:tc>
          <w:tcPr>
            <w:tcW w:w="109" w:type="dxa"/>
            <w:tcBorders/>
            <w:shd w:fill="auto" w:val="clear"/>
            <w:vAlign w:val="bottom"/>
          </w:tcPr>
          <w:p>
            <w:pPr>
              <w:pStyle w:val="TableContents"/>
              <w:spacing w:before="0" w:after="283"/>
              <w:rPr/>
            </w:pPr>
            <w:r>
              <w:rPr/>
              <w:t> </w:t>
            </w:r>
          </w:p>
        </w:tc>
        <w:tc>
          <w:tcPr>
            <w:tcW w:w="788" w:type="dxa"/>
            <w:tcBorders>
              <w:right w:val="single" w:sz="2" w:space="0" w:color="E5E5E5"/>
            </w:tcBorders>
            <w:shd w:fill="auto" w:val="clear"/>
            <w:tcMar>
              <w:right w:w="28" w:type="dxa"/>
            </w:tcMar>
            <w:vAlign w:val="center"/>
          </w:tcPr>
          <w:p>
            <w:pPr>
              <w:pStyle w:val="TableContents"/>
              <w:spacing w:before="0" w:after="283"/>
              <w:jc w:val="center"/>
              <w:rPr>
                <w:color w:val="001C71"/>
              </w:rPr>
            </w:pPr>
            <w:r>
              <w:rPr>
                <w:color w:val="001C71"/>
              </w:rPr>
              <w:t>✓</w:t>
            </w:r>
          </w:p>
        </w:tc>
        <w:tc>
          <w:tcPr>
            <w:tcW w:w="109" w:type="dxa"/>
            <w:tcBorders/>
            <w:shd w:fill="auto" w:val="clear"/>
            <w:vAlign w:val="bottom"/>
          </w:tcPr>
          <w:p>
            <w:pPr>
              <w:pStyle w:val="TableContents"/>
              <w:spacing w:before="0" w:after="283"/>
              <w:rPr/>
            </w:pPr>
            <w:r>
              <w:rPr/>
              <w:t> </w:t>
            </w:r>
          </w:p>
        </w:tc>
        <w:tc>
          <w:tcPr>
            <w:tcW w:w="428" w:type="dxa"/>
            <w:tcBorders/>
            <w:shd w:fill="auto" w:val="clear"/>
            <w:vAlign w:val="center"/>
          </w:tcPr>
          <w:p>
            <w:pPr>
              <w:pStyle w:val="TableContents"/>
              <w:spacing w:before="0" w:after="283"/>
              <w:jc w:val="center"/>
              <w:rPr>
                <w:color w:val="001C71"/>
              </w:rPr>
            </w:pPr>
            <w:r>
              <w:rPr>
                <w:color w:val="001C71"/>
              </w:rPr>
              <w:t>✓ </w:t>
            </w:r>
            <w:r>
              <w:rPr>
                <w:color w:val="001C71"/>
              </w:rPr>
              <w:t>F</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83" w:type="dxa"/>
            <w:tcBorders/>
            <w:shd w:fill="auto"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278"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183" w:type="dxa"/>
            <w:tcBorders/>
            <w:shd w:fill="E5E5E5"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E5E5E5"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E5E5E5" w:val="clear"/>
            <w:tcMar>
              <w:right w:w="28" w:type="dxa"/>
            </w:tcMar>
            <w:vAlign w:val="center"/>
          </w:tcPr>
          <w:p>
            <w:pPr>
              <w:pStyle w:val="TableContents"/>
              <w:spacing w:before="0" w:after="283"/>
              <w:rPr/>
            </w:pPr>
            <w:r>
              <w:rPr/>
              <w:t> </w:t>
            </w:r>
          </w:p>
        </w:tc>
        <w:tc>
          <w:tcPr>
            <w:tcW w:w="537" w:type="dxa"/>
            <w:gridSpan w:val="2"/>
            <w:tcBorders/>
            <w:shd w:fill="E5E5E5"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E5E5E5"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E5E5E5" w:val="clear"/>
            <w:tcMar>
              <w:left w:w="28" w:type="dxa"/>
            </w:tcMar>
            <w:vAlign w:val="center"/>
          </w:tcPr>
          <w:p>
            <w:pPr>
              <w:pStyle w:val="TableContents"/>
              <w:spacing w:before="0" w:after="283"/>
              <w:rPr/>
            </w:pPr>
            <w:r>
              <w:rPr/>
              <w:t> </w:t>
            </w:r>
          </w:p>
        </w:tc>
      </w:tr>
      <w:tr>
        <w:trPr/>
        <w:tc>
          <w:tcPr>
            <w:tcW w:w="5183" w:type="dxa"/>
            <w:tcBorders/>
            <w:shd w:fill="E5E5E5" w:val="clear"/>
          </w:tcPr>
          <w:p>
            <w:pPr>
              <w:pStyle w:val="TableContents"/>
              <w:spacing w:before="0" w:after="0"/>
              <w:rPr>
                <w:rFonts w:ascii="arial" w:hAnsi="arial"/>
                <w:b/>
                <w:color w:val="001C71"/>
                <w:sz w:val="14"/>
              </w:rPr>
            </w:pPr>
            <w:r>
              <w:rPr>
                <w:rFonts w:ascii="arial" w:hAnsi="arial"/>
                <w:b/>
                <w:color w:val="001C71"/>
                <w:sz w:val="14"/>
              </w:rPr>
              <w:t>Cynthia J. Warner</w:t>
            </w:r>
          </w:p>
          <w:p>
            <w:pPr>
              <w:pStyle w:val="TableContents"/>
              <w:spacing w:before="0" w:after="20"/>
              <w:rPr>
                <w:rFonts w:ascii="arial" w:hAnsi="arial"/>
                <w:sz w:val="14"/>
              </w:rPr>
            </w:pPr>
            <w:r>
              <w:rPr>
                <w:rFonts w:ascii="arial" w:hAnsi="arial"/>
                <w:sz w:val="14"/>
              </w:rPr>
              <w:t>President and Chief Executive Officer, Renewable Energy Group, Inc.</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391" w:type="dxa"/>
            <w:tcBorders>
              <w:right w:val="single" w:sz="2" w:space="0" w:color="E5E5E5"/>
            </w:tcBorders>
            <w:shd w:fill="E5E5E5" w:val="clear"/>
            <w:tcMar>
              <w:right w:w="28" w:type="dxa"/>
            </w:tcMar>
            <w:vAlign w:val="center"/>
          </w:tcPr>
          <w:p>
            <w:pPr>
              <w:pStyle w:val="TableContents"/>
              <w:spacing w:before="0" w:after="283"/>
              <w:jc w:val="center"/>
              <w:rPr/>
            </w:pPr>
            <w:r>
              <w:rPr/>
              <w:t>62</w:t>
            </w:r>
          </w:p>
        </w:tc>
        <w:tc>
          <w:tcPr>
            <w:tcW w:w="109" w:type="dxa"/>
            <w:tcBorders/>
            <w:shd w:fill="E5E5E5" w:val="clear"/>
            <w:vAlign w:val="bottom"/>
          </w:tcPr>
          <w:p>
            <w:pPr>
              <w:pStyle w:val="TableContents"/>
              <w:spacing w:before="0" w:after="283"/>
              <w:rPr/>
            </w:pPr>
            <w:r>
              <w:rPr/>
              <w:t> </w:t>
            </w:r>
          </w:p>
        </w:tc>
        <w:tc>
          <w:tcPr>
            <w:tcW w:w="861" w:type="dxa"/>
            <w:tcBorders>
              <w:right w:val="single" w:sz="2" w:space="0" w:color="E5E5E5"/>
            </w:tcBorders>
            <w:shd w:fill="E5E5E5" w:val="clear"/>
            <w:tcMar>
              <w:right w:w="28" w:type="dxa"/>
            </w:tcMar>
            <w:vAlign w:val="center"/>
          </w:tcPr>
          <w:p>
            <w:pPr>
              <w:pStyle w:val="TableContents"/>
              <w:spacing w:before="0" w:after="283"/>
              <w:jc w:val="center"/>
              <w:rPr/>
            </w:pPr>
            <w:r>
              <w:rPr/>
              <w:t>2019</w:t>
            </w:r>
          </w:p>
        </w:tc>
        <w:tc>
          <w:tcPr>
            <w:tcW w:w="109" w:type="dxa"/>
            <w:tcBorders/>
            <w:shd w:fill="E5E5E5" w:val="clear"/>
            <w:vAlign w:val="bottom"/>
          </w:tcPr>
          <w:p>
            <w:pPr>
              <w:pStyle w:val="TableContents"/>
              <w:spacing w:before="0" w:after="283"/>
              <w:rPr/>
            </w:pPr>
            <w:r>
              <w:rPr/>
              <w:t> </w:t>
            </w:r>
          </w:p>
        </w:tc>
        <w:tc>
          <w:tcPr>
            <w:tcW w:w="788" w:type="dxa"/>
            <w:tcBorders>
              <w:right w:val="single" w:sz="2" w:space="0" w:color="E5E5E5"/>
            </w:tcBorders>
            <w:shd w:fill="E5E5E5" w:val="clear"/>
            <w:tcMar>
              <w:right w:w="28" w:type="dxa"/>
            </w:tcMar>
            <w:vAlign w:val="center"/>
          </w:tcPr>
          <w:p>
            <w:pPr>
              <w:pStyle w:val="TableContents"/>
              <w:spacing w:before="0" w:after="283"/>
              <w:jc w:val="center"/>
              <w:rPr>
                <w:color w:val="001C71"/>
              </w:rPr>
            </w:pPr>
            <w:r>
              <w:rPr>
                <w:color w:val="001C71"/>
              </w:rPr>
              <w:t>✓</w:t>
            </w:r>
          </w:p>
        </w:tc>
        <w:tc>
          <w:tcPr>
            <w:tcW w:w="109" w:type="dxa"/>
            <w:tcBorders/>
            <w:shd w:fill="E5E5E5" w:val="clear"/>
            <w:vAlign w:val="bottom"/>
          </w:tcPr>
          <w:p>
            <w:pPr>
              <w:pStyle w:val="TableContents"/>
              <w:spacing w:before="0" w:after="283"/>
              <w:rPr/>
            </w:pPr>
            <w:r>
              <w:rPr/>
              <w:t> </w:t>
            </w:r>
          </w:p>
        </w:tc>
        <w:tc>
          <w:tcPr>
            <w:tcW w:w="428"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505" w:type="dxa"/>
            <w:tcBorders/>
            <w:shd w:fill="E5E5E5"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16" w:type="dxa"/>
            <w:tcBorders/>
            <w:shd w:fill="E5E5E5"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483" w:type="dxa"/>
            <w:tcBorders/>
            <w:shd w:fill="E5E5E5"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E5E5E5" w:val="clear"/>
            <w:tcMar>
              <w:left w:w="28" w:type="dxa"/>
            </w:tcMar>
            <w:vAlign w:val="bottom"/>
          </w:tcPr>
          <w:p>
            <w:pPr>
              <w:pStyle w:val="TableContents"/>
              <w:spacing w:before="0" w:after="283"/>
              <w:rPr/>
            </w:pPr>
            <w:r>
              <w:rPr/>
              <w:t> </w:t>
            </w:r>
          </w:p>
        </w:tc>
        <w:tc>
          <w:tcPr>
            <w:tcW w:w="278" w:type="dxa"/>
            <w:tcBorders/>
            <w:shd w:fill="E5E5E5" w:val="clear"/>
            <w:vAlign w:val="center"/>
          </w:tcPr>
          <w:p>
            <w:pPr>
              <w:pStyle w:val="TableContents"/>
              <w:spacing w:before="0" w:after="283"/>
              <w:rPr>
                <w:sz w:val="4"/>
                <w:szCs w:val="4"/>
              </w:rPr>
            </w:pPr>
            <w:r>
              <w:rPr>
                <w:sz w:val="4"/>
                <w:szCs w:val="4"/>
              </w:rPr>
            </w:r>
          </w:p>
        </w:tc>
      </w:tr>
      <w:tr>
        <w:trPr>
          <w:trHeight w:val="30" w:hRule="atLeast"/>
        </w:trPr>
        <w:tc>
          <w:tcPr>
            <w:tcW w:w="5183" w:type="dxa"/>
            <w:tcBorders/>
            <w:shd w:fill="auto" w:val="clear"/>
            <w:vAlign w:val="center"/>
          </w:tcPr>
          <w:p>
            <w:pPr>
              <w:pStyle w:val="TableContents"/>
              <w:spacing w:before="0" w:after="283"/>
              <w:rPr>
                <w:sz w:val="4"/>
                <w:szCs w:val="4"/>
              </w:rPr>
            </w:pPr>
            <w:r>
              <w:rPr>
                <w:sz w:val="4"/>
                <w:szCs w:val="4"/>
              </w:rPr>
            </w:r>
          </w:p>
        </w:tc>
        <w:tc>
          <w:tcPr>
            <w:tcW w:w="500" w:type="dxa"/>
            <w:gridSpan w:val="2"/>
            <w:tcBorders>
              <w:left w:val="single" w:sz="2" w:space="0" w:color="E5E5E5"/>
              <w:right w:val="single" w:sz="2" w:space="0" w:color="E5E5E5"/>
            </w:tcBorders>
            <w:shd w:fill="auto" w:val="clear"/>
            <w:tcMar>
              <w:left w:w="28" w:type="dxa"/>
              <w:right w:w="28" w:type="dxa"/>
            </w:tcMar>
            <w:vAlign w:val="center"/>
          </w:tcPr>
          <w:p>
            <w:pPr>
              <w:pStyle w:val="TableContents"/>
              <w:spacing w:before="0" w:after="283"/>
              <w:rPr/>
            </w:pPr>
            <w:r>
              <w:rPr/>
              <w:t> </w:t>
            </w:r>
          </w:p>
        </w:tc>
        <w:tc>
          <w:tcPr>
            <w:tcW w:w="970"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897" w:type="dxa"/>
            <w:gridSpan w:val="2"/>
            <w:tcBorders>
              <w:right w:val="single" w:sz="2" w:space="0" w:color="E5E5E5"/>
            </w:tcBorders>
            <w:shd w:fill="auto" w:val="clear"/>
            <w:tcMar>
              <w:right w:w="28" w:type="dxa"/>
            </w:tcMar>
            <w:vAlign w:val="center"/>
          </w:tcPr>
          <w:p>
            <w:pPr>
              <w:pStyle w:val="TableContents"/>
              <w:spacing w:before="0" w:after="283"/>
              <w:rPr/>
            </w:pPr>
            <w:r>
              <w:rPr/>
              <w:t> </w:t>
            </w:r>
          </w:p>
        </w:tc>
        <w:tc>
          <w:tcPr>
            <w:tcW w:w="537" w:type="dxa"/>
            <w:gridSpan w:val="2"/>
            <w:tcBorders/>
            <w:shd w:fill="auto" w:val="clear"/>
            <w:vAlign w:val="center"/>
          </w:tcPr>
          <w:p>
            <w:pPr>
              <w:pStyle w:val="TableContents"/>
              <w:spacing w:before="0" w:after="283"/>
              <w:rPr>
                <w:sz w:val="4"/>
                <w:szCs w:val="4"/>
              </w:rPr>
            </w:pPr>
            <w:r>
              <w:rPr>
                <w:sz w:val="4"/>
                <w:szCs w:val="4"/>
              </w:rPr>
            </w:r>
          </w:p>
        </w:tc>
        <w:tc>
          <w:tcPr>
            <w:tcW w:w="614"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25"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592" w:type="dxa"/>
            <w:gridSpan w:val="2"/>
            <w:tcBorders>
              <w:left w:val="single" w:sz="2" w:space="0" w:color="E5E5E5"/>
            </w:tcBorders>
            <w:shd w:fill="auto" w:val="clear"/>
            <w:tcMar>
              <w:left w:w="28" w:type="dxa"/>
            </w:tcMar>
            <w:vAlign w:val="center"/>
          </w:tcPr>
          <w:p>
            <w:pPr>
              <w:pStyle w:val="TableContents"/>
              <w:spacing w:before="0" w:after="283"/>
              <w:rPr/>
            </w:pPr>
            <w:r>
              <w:rPr/>
              <w:t> </w:t>
            </w:r>
          </w:p>
        </w:tc>
        <w:tc>
          <w:tcPr>
            <w:tcW w:w="387" w:type="dxa"/>
            <w:gridSpan w:val="2"/>
            <w:tcBorders>
              <w:left w:val="single" w:sz="2" w:space="0" w:color="E5E5E5"/>
            </w:tcBorders>
            <w:shd w:fill="auto" w:val="clear"/>
            <w:tcMar>
              <w:left w:w="28" w:type="dxa"/>
            </w:tcMar>
            <w:vAlign w:val="center"/>
          </w:tcPr>
          <w:p>
            <w:pPr>
              <w:pStyle w:val="TableContents"/>
              <w:spacing w:before="0" w:after="283"/>
              <w:rPr/>
            </w:pPr>
            <w:r>
              <w:rPr/>
              <w:t> </w:t>
            </w:r>
          </w:p>
        </w:tc>
      </w:tr>
      <w:tr>
        <w:trPr/>
        <w:tc>
          <w:tcPr>
            <w:tcW w:w="5183" w:type="dxa"/>
            <w:tcBorders/>
            <w:shd w:fill="auto" w:val="clear"/>
          </w:tcPr>
          <w:p>
            <w:pPr>
              <w:pStyle w:val="TableContents"/>
              <w:spacing w:before="0" w:after="0"/>
              <w:rPr>
                <w:rFonts w:ascii="arial" w:hAnsi="arial"/>
                <w:b/>
                <w:color w:val="001C71"/>
                <w:sz w:val="14"/>
              </w:rPr>
            </w:pPr>
            <w:r>
              <w:rPr>
                <w:rFonts w:ascii="arial" w:hAnsi="arial"/>
                <w:b/>
                <w:color w:val="001C71"/>
                <w:sz w:val="14"/>
              </w:rPr>
              <w:t>James C. Yardley</w:t>
            </w:r>
          </w:p>
          <w:p>
            <w:pPr>
              <w:pStyle w:val="TableContents"/>
              <w:spacing w:before="0" w:after="20"/>
              <w:rPr>
                <w:rFonts w:ascii="arial" w:hAnsi="arial"/>
                <w:sz w:val="14"/>
              </w:rPr>
            </w:pPr>
            <w:r>
              <w:rPr>
                <w:rFonts w:ascii="arial" w:hAnsi="arial"/>
                <w:sz w:val="14"/>
              </w:rPr>
              <w:t>Former Executive Vice President, El Paso Corp.</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391" w:type="dxa"/>
            <w:tcBorders>
              <w:right w:val="single" w:sz="2" w:space="0" w:color="E5E5E5"/>
            </w:tcBorders>
            <w:shd w:fill="auto" w:val="clear"/>
            <w:tcMar>
              <w:right w:w="28" w:type="dxa"/>
            </w:tcMar>
            <w:vAlign w:val="center"/>
          </w:tcPr>
          <w:p>
            <w:pPr>
              <w:pStyle w:val="TableContents"/>
              <w:spacing w:before="0" w:after="283"/>
              <w:jc w:val="center"/>
              <w:rPr/>
            </w:pPr>
            <w:r>
              <w:rPr/>
              <w:t>69</w:t>
            </w:r>
          </w:p>
        </w:tc>
        <w:tc>
          <w:tcPr>
            <w:tcW w:w="109" w:type="dxa"/>
            <w:tcBorders/>
            <w:shd w:fill="auto" w:val="clear"/>
            <w:vAlign w:val="bottom"/>
          </w:tcPr>
          <w:p>
            <w:pPr>
              <w:pStyle w:val="TableContents"/>
              <w:spacing w:before="0" w:after="283"/>
              <w:rPr/>
            </w:pPr>
            <w:r>
              <w:rPr/>
              <w:t> </w:t>
            </w:r>
          </w:p>
        </w:tc>
        <w:tc>
          <w:tcPr>
            <w:tcW w:w="861" w:type="dxa"/>
            <w:tcBorders>
              <w:right w:val="single" w:sz="2" w:space="0" w:color="E5E5E5"/>
            </w:tcBorders>
            <w:shd w:fill="auto" w:val="clear"/>
            <w:tcMar>
              <w:right w:w="28" w:type="dxa"/>
            </w:tcMar>
            <w:vAlign w:val="center"/>
          </w:tcPr>
          <w:p>
            <w:pPr>
              <w:pStyle w:val="TableContents"/>
              <w:spacing w:before="0" w:after="283"/>
              <w:jc w:val="center"/>
              <w:rPr/>
            </w:pPr>
            <w:r>
              <w:rPr/>
              <w:t>2013</w:t>
            </w:r>
          </w:p>
        </w:tc>
        <w:tc>
          <w:tcPr>
            <w:tcW w:w="109" w:type="dxa"/>
            <w:tcBorders/>
            <w:shd w:fill="auto" w:val="clear"/>
            <w:vAlign w:val="bottom"/>
          </w:tcPr>
          <w:p>
            <w:pPr>
              <w:pStyle w:val="TableContents"/>
              <w:spacing w:before="0" w:after="283"/>
              <w:rPr/>
            </w:pPr>
            <w:r>
              <w:rPr/>
              <w:t> </w:t>
            </w:r>
          </w:p>
        </w:tc>
        <w:tc>
          <w:tcPr>
            <w:tcW w:w="788" w:type="dxa"/>
            <w:tcBorders>
              <w:right w:val="single" w:sz="2" w:space="0" w:color="E5E5E5"/>
            </w:tcBorders>
            <w:shd w:fill="auto" w:val="clear"/>
            <w:tcMar>
              <w:right w:w="28" w:type="dxa"/>
            </w:tcMar>
            <w:vAlign w:val="center"/>
          </w:tcPr>
          <w:p>
            <w:pPr>
              <w:pStyle w:val="TableContents"/>
              <w:spacing w:before="0" w:after="283"/>
              <w:jc w:val="center"/>
              <w:rPr>
                <w:color w:val="001C71"/>
              </w:rPr>
            </w:pPr>
            <w:r>
              <w:rPr>
                <w:color w:val="001C71"/>
              </w:rPr>
              <w:t>✓</w:t>
            </w:r>
          </w:p>
        </w:tc>
        <w:tc>
          <w:tcPr>
            <w:tcW w:w="109" w:type="dxa"/>
            <w:tcBorders/>
            <w:shd w:fill="auto" w:val="clear"/>
            <w:vAlign w:val="bottom"/>
          </w:tcPr>
          <w:p>
            <w:pPr>
              <w:pStyle w:val="TableContents"/>
              <w:spacing w:before="0" w:after="283"/>
              <w:rPr/>
            </w:pPr>
            <w:r>
              <w:rPr/>
              <w:t> </w:t>
            </w:r>
          </w:p>
        </w:tc>
        <w:tc>
          <w:tcPr>
            <w:tcW w:w="428" w:type="dxa"/>
            <w:tcBorders/>
            <w:shd w:fill="auto"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483" w:type="dxa"/>
            <w:tcBorders/>
            <w:shd w:fill="auto" w:val="clear"/>
            <w:vAlign w:val="center"/>
          </w:tcPr>
          <w:p>
            <w:pPr>
              <w:pStyle w:val="TableContents"/>
              <w:spacing w:before="0" w:after="283"/>
              <w:jc w:val="center"/>
              <w:rPr>
                <w:color w:val="001C71"/>
              </w:rPr>
            </w:pPr>
            <w:r>
              <w:rPr>
                <w:color w:val="001C71"/>
              </w:rPr>
              <w:t>✓</w:t>
            </w:r>
          </w:p>
        </w:tc>
        <w:tc>
          <w:tcPr>
            <w:tcW w:w="109" w:type="dxa"/>
            <w:tcBorders>
              <w:left w:val="single" w:sz="2" w:space="0" w:color="E5E5E5"/>
            </w:tcBorders>
            <w:shd w:fill="auto" w:val="clear"/>
            <w:tcMar>
              <w:left w:w="28" w:type="dxa"/>
            </w:tcMar>
            <w:vAlign w:val="bottom"/>
          </w:tcPr>
          <w:p>
            <w:pPr>
              <w:pStyle w:val="TableContents"/>
              <w:spacing w:before="0" w:after="283"/>
              <w:rPr/>
            </w:pPr>
            <w:r>
              <w:rPr/>
              <w:t> </w:t>
            </w:r>
          </w:p>
        </w:tc>
        <w:tc>
          <w:tcPr>
            <w:tcW w:w="278" w:type="dxa"/>
            <w:tcBorders/>
            <w:shd w:fill="auto" w:val="clear"/>
            <w:vAlign w:val="center"/>
          </w:tcPr>
          <w:p>
            <w:pPr>
              <w:pStyle w:val="TableContents"/>
              <w:spacing w:before="0" w:after="283"/>
              <w:rPr>
                <w:sz w:val="4"/>
                <w:szCs w:val="4"/>
              </w:rPr>
            </w:pPr>
            <w:r>
              <w:rPr>
                <w:sz w:val="4"/>
                <w:szCs w:val="4"/>
              </w:rPr>
            </w:r>
          </w:p>
        </w:tc>
      </w:tr>
    </w:tbl>
    <w:p>
      <w:pPr>
        <w:pStyle w:val="TextBody"/>
        <w:pBdr>
          <w:bottom w:val="single" w:sz="8" w:space="1" w:color="001C71"/>
        </w:pBdr>
        <w:spacing w:lineRule="atLeast" w:line="141" w:before="0" w:after="4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5179"/>
        <w:gridCol w:w="603"/>
        <w:gridCol w:w="346"/>
        <w:gridCol w:w="172"/>
        <w:gridCol w:w="172"/>
        <w:gridCol w:w="172"/>
        <w:gridCol w:w="172"/>
        <w:gridCol w:w="172"/>
        <w:gridCol w:w="172"/>
        <w:gridCol w:w="306"/>
        <w:gridCol w:w="538"/>
        <w:gridCol w:w="537"/>
        <w:gridCol w:w="538"/>
        <w:gridCol w:w="538"/>
        <w:gridCol w:w="351"/>
        <w:gridCol w:w="107"/>
        <w:gridCol w:w="130"/>
      </w:tblGrid>
      <w:tr>
        <w:trPr/>
        <w:tc>
          <w:tcPr>
            <w:tcW w:w="517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10205" w:type="dxa"/>
            <w:gridSpan w:val="17"/>
            <w:tcBorders/>
            <w:shd w:fill="auto" w:val="clear"/>
          </w:tcPr>
          <w:p>
            <w:pPr>
              <w:pStyle w:val="TableContents"/>
              <w:spacing w:before="0" w:after="0"/>
              <w:rPr>
                <w:rFonts w:ascii="arial" w:hAnsi="arial"/>
                <w:i/>
                <w:sz w:val="15"/>
              </w:rPr>
            </w:pPr>
            <w:r>
              <w:rPr>
                <w:rFonts w:ascii="arial" w:hAnsi="arial"/>
                <w:i/>
                <w:sz w:val="15"/>
              </w:rPr>
              <w:t>(A) Director nominee membership in the following standing board committees and other designations as of the date of mailing this proxy statement:</w:t>
            </w:r>
          </w:p>
          <w:p>
            <w:pPr>
              <w:pStyle w:val="TableContents"/>
              <w:spacing w:before="0" w:after="20"/>
              <w:rPr/>
            </w:pPr>
            <w:r>
              <w:rPr/>
              <w:t> </w:t>
            </w:r>
          </w:p>
        </w:tc>
      </w:tr>
      <w:tr>
        <w:trPr/>
        <w:tc>
          <w:tcPr>
            <w:tcW w:w="7160" w:type="dxa"/>
            <w:gridSpan w:val="9"/>
            <w:tcBorders/>
            <w:shd w:fill="auto" w:val="clear"/>
          </w:tcPr>
          <w:p>
            <w:pPr>
              <w:pStyle w:val="TableContents"/>
              <w:spacing w:before="0" w:after="0"/>
              <w:rPr>
                <w:rFonts w:ascii="arial" w:hAnsi="arial"/>
                <w:sz w:val="15"/>
              </w:rPr>
            </w:pPr>
            <w:r>
              <w:rPr>
                <w:rFonts w:ascii="arial" w:hAnsi="arial"/>
                <w:b/>
                <w:sz w:val="15"/>
              </w:rPr>
              <w:t>AC</w:t>
            </w:r>
            <w:r>
              <w:rPr>
                <w:rFonts w:ascii="arial" w:hAnsi="arial"/>
                <w:sz w:val="15"/>
              </w:rPr>
              <w:t xml:space="preserve"> = Audit Committee</w:t>
            </w:r>
          </w:p>
          <w:p>
            <w:pPr>
              <w:pStyle w:val="TableContents"/>
              <w:spacing w:before="0" w:after="0"/>
              <w:rPr>
                <w:rFonts w:ascii="arial" w:hAnsi="arial"/>
                <w:sz w:val="15"/>
              </w:rPr>
            </w:pPr>
            <w:r>
              <w:rPr>
                <w:rFonts w:ascii="arial" w:hAnsi="arial"/>
                <w:b/>
                <w:sz w:val="15"/>
              </w:rPr>
              <w:t>C&amp;TD</w:t>
            </w:r>
            <w:r>
              <w:rPr>
                <w:rFonts w:ascii="arial" w:hAnsi="arial"/>
                <w:sz w:val="15"/>
              </w:rPr>
              <w:t xml:space="preserve"> = Compensation and Talent Development Committee (formerly Compensation Committee)</w:t>
            </w:r>
          </w:p>
          <w:p>
            <w:pPr>
              <w:pStyle w:val="TableContents"/>
              <w:spacing w:before="0" w:after="0"/>
              <w:rPr>
                <w:rFonts w:ascii="arial" w:hAnsi="arial"/>
                <w:sz w:val="15"/>
              </w:rPr>
            </w:pPr>
            <w:r>
              <w:rPr>
                <w:rFonts w:ascii="arial" w:hAnsi="arial"/>
                <w:b/>
                <w:sz w:val="15"/>
              </w:rPr>
              <w:t>CGC</w:t>
            </w:r>
            <w:r>
              <w:rPr>
                <w:rFonts w:ascii="arial" w:hAnsi="arial"/>
                <w:sz w:val="15"/>
              </w:rPr>
              <w:t xml:space="preserve"> = Corporate Governance Committee</w:t>
            </w:r>
          </w:p>
          <w:p>
            <w:pPr>
              <w:pStyle w:val="TableContents"/>
              <w:spacing w:before="0" w:after="0"/>
              <w:rPr>
                <w:rFonts w:ascii="arial" w:hAnsi="arial"/>
                <w:sz w:val="15"/>
              </w:rPr>
            </w:pPr>
            <w:r>
              <w:rPr>
                <w:rFonts w:ascii="arial" w:hAnsi="arial"/>
                <w:b/>
                <w:sz w:val="15"/>
              </w:rPr>
              <w:t>SS&amp;T</w:t>
            </w:r>
            <w:r>
              <w:rPr>
                <w:rFonts w:ascii="arial" w:hAnsi="arial"/>
                <w:sz w:val="15"/>
              </w:rPr>
              <w:t> = Safety, Sustainability and Technology Committee (formerly Environmental, Health, Safety and Technology Committee)</w:t>
            </w:r>
          </w:p>
          <w:p>
            <w:pPr>
              <w:pStyle w:val="TableContents"/>
              <w:spacing w:before="0" w:after="20"/>
              <w:rPr>
                <w:rFonts w:ascii="arial" w:hAnsi="arial"/>
                <w:sz w:val="15"/>
              </w:rPr>
            </w:pPr>
            <w:r>
              <w:rPr>
                <w:rFonts w:ascii="arial" w:hAnsi="arial"/>
                <w:b/>
                <w:sz w:val="15"/>
              </w:rPr>
              <w:t>EC</w:t>
            </w:r>
            <w:r>
              <w:rPr>
                <w:rFonts w:ascii="arial" w:hAnsi="arial"/>
                <w:sz w:val="15"/>
              </w:rPr>
              <w:t xml:space="preserve"> = Executive Committee</w:t>
            </w:r>
          </w:p>
        </w:tc>
        <w:tc>
          <w:tcPr>
            <w:tcW w:w="306" w:type="dxa"/>
            <w:tcBorders/>
            <w:shd w:fill="auto" w:val="clear"/>
            <w:vAlign w:val="bottom"/>
          </w:tcPr>
          <w:p>
            <w:pPr>
              <w:pStyle w:val="TableContents"/>
              <w:spacing w:before="0" w:after="283"/>
              <w:rPr/>
            </w:pPr>
            <w:r>
              <w:rPr/>
              <w:t> </w:t>
            </w:r>
          </w:p>
        </w:tc>
        <w:tc>
          <w:tcPr>
            <w:tcW w:w="2739" w:type="dxa"/>
            <w:gridSpan w:val="7"/>
            <w:tcBorders/>
            <w:shd w:fill="auto" w:val="clear"/>
          </w:tcPr>
          <w:p>
            <w:pPr>
              <w:pStyle w:val="TableContents"/>
              <w:rPr/>
            </w:pPr>
            <w:r>
              <w:rPr>
                <w:b/>
              </w:rPr>
              <w:t>C</w:t>
            </w:r>
            <w:r>
              <w:rPr/>
              <w:t> = Committee Chair</w:t>
            </w:r>
          </w:p>
          <w:p>
            <w:pPr>
              <w:pStyle w:val="TableContents"/>
              <w:spacing w:before="0" w:after="20"/>
              <w:rPr>
                <w:rFonts w:ascii="arial" w:hAnsi="arial"/>
                <w:sz w:val="15"/>
              </w:rPr>
            </w:pPr>
            <w:r>
              <w:rPr>
                <w:rFonts w:ascii="arial" w:hAnsi="arial"/>
                <w:b/>
                <w:sz w:val="15"/>
              </w:rPr>
              <w:t>F</w:t>
            </w:r>
            <w:r>
              <w:rPr>
                <w:rFonts w:ascii="arial" w:hAnsi="arial"/>
                <w:sz w:val="15"/>
              </w:rPr>
              <w:t> = Audit Committee Financial Expert</w:t>
            </w:r>
          </w:p>
        </w:tc>
      </w:tr>
    </w:tbl>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bottom"/>
          </w:tcPr>
          <w:p>
            <w:pPr>
              <w:pStyle w:val="TableContents"/>
              <w:spacing w:before="0" w:after="0"/>
              <w:rPr/>
            </w:pPr>
            <w:r>
              <w:rPr/>
              <w:t> </w:t>
            </w:r>
          </w:p>
          <w:p>
            <w:pPr>
              <w:pStyle w:val="TableContents"/>
              <w:spacing w:before="0" w:after="20"/>
              <w:rPr>
                <w:rFonts w:ascii="arial" w:hAnsi="arial"/>
                <w:i/>
                <w:sz w:val="15"/>
              </w:rPr>
            </w:pPr>
            <w:r>
              <w:rPr>
                <w:rFonts w:ascii="arial" w:hAnsi="arial"/>
                <w:i/>
                <w:sz w:val="15"/>
              </w:rPr>
              <w:t>(B) Ms. Mayer previously served as a director from February 2017 through November 2018.</w:t>
            </w:r>
          </w:p>
        </w:tc>
      </w:tr>
    </w:tbl>
    <w:p>
      <w:pPr>
        <w:pStyle w:val="TextBody"/>
        <w:jc w:val="left"/>
        <w:rPr>
          <w:highlight w:val="white"/>
        </w:rPr>
      </w:pPr>
      <w:r>
        <w:rPr>
          <w:highlight w:val="white"/>
        </w:rPr>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2</w:t>
            </w:r>
          </w:p>
        </w:tc>
        <w:tc>
          <w:tcPr>
            <w:tcW w:w="101" w:type="dxa"/>
            <w:tcBorders/>
            <w:shd w:fill="auto" w:val="clear"/>
            <w:vAlign w:val="bottom"/>
          </w:tcPr>
          <w:p>
            <w:pPr>
              <w:pStyle w:val="TableContents"/>
              <w:spacing w:before="0" w:after="283"/>
              <w:rPr/>
            </w:pPr>
            <w:r>
              <w:rPr/>
              <w:t> </w:t>
            </w:r>
          </w:p>
        </w:tc>
        <w:tc>
          <w:tcPr>
            <w:tcW w:w="9799"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TextBody"/>
        <w:spacing w:before="0" w:after="0"/>
        <w:jc w:val="left"/>
        <w:rPr>
          <w:highlight w:val="white"/>
        </w:rPr>
      </w:pPr>
      <w:r>
        <w:rPr>
          <w:highlight w:val="white"/>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highlight w:val="white"/>
        </w:rPr>
      </w:pPr>
      <w:r>
        <w:rPr>
          <w:rFonts w:ascii="arial" w:hAnsi="arial"/>
          <w:color w:val="3F3F3F"/>
          <w:sz w:val="18"/>
          <w:highlight w:val="white"/>
        </w:rPr>
        <w:t xml:space="preserve">Proxy Statement Summary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xml:space="preserve">     </w:t>
      </w:r>
    </w:p>
    <w:p>
      <w:pPr>
        <w:pStyle w:val="TextBody"/>
        <w:spacing w:before="0" w:after="0"/>
        <w:jc w:val="left"/>
        <w:rPr>
          <w:rFonts w:ascii="arial" w:hAnsi="arial"/>
          <w:b/>
          <w:sz w:val="32"/>
          <w:highlight w:val="white"/>
        </w:rPr>
      </w:pPr>
      <w:r>
        <w:rPr>
          <w:rFonts w:ascii="arial" w:hAnsi="arial"/>
          <w:b/>
          <w:sz w:val="32"/>
          <w:highlight w:val="white"/>
        </w:rPr>
        <w:t xml:space="preserve">Director Nominee Composition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95630" cy="14668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5630" cy="146685"/>
                    </a:xfrm>
                    <a:prstGeom prst="rect">
                      <a:avLst/>
                    </a:prstGeom>
                  </pic:spPr>
                </pic:pic>
              </a:graphicData>
            </a:graphic>
          </wp:inline>
        </w:drawing>
      </w:r>
      <w:r>
        <w:rPr>
          <w:highlight w:val="white"/>
        </w:rPr>
        <w:t xml:space="preserve"> </w:t>
      </w:r>
    </w:p>
    <w:p>
      <w:pPr>
        <w:pStyle w:val="TextBody"/>
        <w:jc w:val="right"/>
        <w:rPr>
          <w:rFonts w:ascii="arial" w:hAnsi="arial"/>
          <w:color w:val="FFFFFF"/>
          <w:sz w:val="2"/>
          <w:highlight w:val="white"/>
        </w:rPr>
      </w:pPr>
      <w:r>
        <w:rPr>
          <w:rFonts w:ascii="arial" w:hAnsi="arial"/>
          <w:color w:val="FFFFFF"/>
          <w:sz w:val="2"/>
          <w:highlight w:val="white"/>
        </w:rPr>
        <w:t xml:space="preserve">58% of our board nominees are diverse: African American Latino * Women * Tenure (Years) Average: 6.5 / Median: 4.1 &lt; 5 Years 5-10 Years &gt; 10 Years 83% Independent *One director is a woman of color. </w:t>
      </w:r>
    </w:p>
    <w:p>
      <w:pPr>
        <w:pStyle w:val="TextBody"/>
        <w:spacing w:before="0" w:after="0"/>
        <w:jc w:val="left"/>
        <w:rPr>
          <w:highlight w:val="white"/>
        </w:rPr>
      </w:pPr>
      <w:r>
        <w:rPr>
          <w:highlight w:val="white"/>
        </w:rPr>
        <w:t> </w:t>
      </w:r>
    </w:p>
    <w:p>
      <w:pPr>
        <w:pStyle w:val="TextBody"/>
        <w:spacing w:before="120" w:after="0"/>
        <w:jc w:val="left"/>
        <w:rPr>
          <w:rFonts w:ascii="arial" w:hAnsi="arial"/>
          <w:sz w:val="16"/>
          <w:highlight w:val="white"/>
        </w:rPr>
      </w:pPr>
      <w:r>
        <w:rPr>
          <w:rFonts w:ascii="arial" w:hAnsi="arial"/>
          <w:sz w:val="16"/>
          <w:highlight w:val="white"/>
        </w:rPr>
        <w:t xml:space="preserve">Our board has made it a priority to develop and support a high-performance culture, with respect to our board, our management and our workforce. At the board level, the board seeks directors with diversity of skills and experience and of gender and ethnicity. To assist our board in maintaining its focus on board diversity, we conduct an annual skills assessment and board evaluation that are fundamental to the process the board uses to help it assemble a board that is composed of members with a diverse and appropriate mix of experience, competencies and backgrounds. The board uses the results of the assessment and evaluation to critically analyze its effectiveness and skill set, which helps ensure that it is well-positioned to oversee Sempra Energys current and future strategies and operations. </w:t>
      </w:r>
    </w:p>
    <w:p>
      <w:pPr>
        <w:pStyle w:val="TextBody"/>
        <w:spacing w:before="240" w:after="0"/>
        <w:jc w:val="left"/>
        <w:rPr>
          <w:rFonts w:ascii="arial" w:hAnsi="arial"/>
          <w:sz w:val="16"/>
          <w:highlight w:val="white"/>
        </w:rPr>
      </w:pPr>
      <w:r>
        <w:rPr>
          <w:rFonts w:ascii="arial" w:hAnsi="arial"/>
          <w:sz w:val="16"/>
          <w:highlight w:val="white"/>
        </w:rPr>
        <w:t xml:space="preserve">We have a strong track record of board refreshment. Five of our independent directors have been added since the beginning of 2017: two in 2017, two in 2018 and one in 2019. Under the standards established by the New York Stock Exchange (NYSE), Bethany J. Mayer is not an independent director due to her recent service as an executive officer, and Jeffrey W. Martin is not an independent director due to his ongoing service as our Chief Executive Officer and President. </w:t>
      </w:r>
    </w:p>
    <w:p>
      <w:pPr>
        <w:pStyle w:val="TextBody"/>
        <w:spacing w:before="320" w:after="0"/>
        <w:jc w:val="left"/>
        <w:rPr>
          <w:rFonts w:ascii="arial" w:hAnsi="arial"/>
          <w:b/>
          <w:sz w:val="32"/>
          <w:highlight w:val="white"/>
        </w:rPr>
      </w:pPr>
      <w:r>
        <w:rPr>
          <w:rFonts w:ascii="arial" w:hAnsi="arial"/>
          <w:b/>
          <w:sz w:val="32"/>
          <w:highlight w:val="white"/>
        </w:rPr>
        <w:t xml:space="preserve">Shareholder Engagement and Governance Practices </w:t>
      </w:r>
    </w:p>
    <w:p>
      <w:pPr>
        <w:pStyle w:val="TextBody"/>
        <w:spacing w:before="320" w:after="0"/>
        <w:jc w:val="left"/>
        <w:rPr>
          <w:rFonts w:ascii="arial" w:hAnsi="arial"/>
          <w:sz w:val="16"/>
          <w:highlight w:val="white"/>
        </w:rPr>
      </w:pPr>
      <w:r>
        <w:rPr>
          <w:rFonts w:ascii="arial" w:hAnsi="arial"/>
          <w:sz w:val="16"/>
          <w:highlight w:val="white"/>
        </w:rPr>
        <w:t xml:space="preserve">In 2020, we reached out to shareholders representing approximately 63% of our total outstanding shares of common stock and we engaged with holders of approximately 46% of our outstanding shares of common stock (approximately half of our institutional share ownership) by holding telephonic or videoconference meetings to discuss corporate governance, board composition, executive compensation, business strategy and other environmental, social and governance (ESG) matters. Our Lead Independent Director participated in many of these meetings. Supported by feedback from our shareholders, we believe the following corporate governance policies reflect best practices: </w:t>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5210"/>
        <w:gridCol w:w="123"/>
        <w:gridCol w:w="4872"/>
      </w:tblGrid>
      <w:tr>
        <w:trPr/>
        <w:tc>
          <w:tcPr>
            <w:tcW w:w="521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872" w:type="dxa"/>
            <w:tcBorders/>
            <w:shd w:fill="auto" w:val="clear"/>
            <w:vAlign w:val="center"/>
          </w:tcPr>
          <w:p>
            <w:pPr>
              <w:pStyle w:val="TableContents"/>
              <w:spacing w:before="0" w:after="283"/>
              <w:rPr>
                <w:sz w:val="4"/>
                <w:szCs w:val="4"/>
              </w:rPr>
            </w:pPr>
            <w:r>
              <w:rPr>
                <w:sz w:val="4"/>
                <w:szCs w:val="4"/>
              </w:rPr>
            </w:r>
          </w:p>
        </w:tc>
      </w:tr>
      <w:tr>
        <w:trPr/>
        <w:tc>
          <w:tcPr>
            <w:tcW w:w="5210" w:type="dxa"/>
            <w:tcBorders/>
            <w:shd w:fill="auto" w:val="clear"/>
          </w:tcPr>
          <w:p>
            <w:pPr>
              <w:pStyle w:val="TableContents"/>
              <w:spacing w:before="0" w:after="0"/>
              <w:rPr>
                <w:rFonts w:ascii="arial" w:hAnsi="arial"/>
                <w:sz w:val="16"/>
              </w:rPr>
            </w:pPr>
            <w:r>
              <w:rPr>
                <w:rFonts w:ascii="arial" w:hAnsi="arial"/>
                <w:color w:val="001C71"/>
                <w:sz w:val="16"/>
              </w:rPr>
              <w:t></w:t>
            </w:r>
            <w:r>
              <w:rPr>
                <w:rFonts w:ascii="arial" w:hAnsi="arial"/>
                <w:sz w:val="16"/>
              </w:rPr>
              <w:t>  Lead Independent Director with clearly defined responsibilities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  Annual election of all directors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  Proxy access right for shareholder nominations of director candidates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  Majority-vote and director resignation policy for directors in uncontested elections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  Shareholders representing in the aggregate 10% or more of our outstanding shares may call a special meeting of shareholders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  Comprehensive, ongoing succession planning for key executives by the board</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  Comprehensive board refreshment designed to maintain balanced and diverse board composition and tenure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  Board oversight of sustainability, including enhanced ESG focus of Safety, Sustainability and Technology Committee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  Annual board, director and committee self-evaluations for our standing committees (except for Executive Committee)</w:t>
            </w:r>
          </w:p>
          <w:p>
            <w:pPr>
              <w:pStyle w:val="TableContents"/>
              <w:spacing w:before="0" w:after="20"/>
              <w:rPr/>
            </w:pPr>
            <w:r>
              <w:rPr/>
              <w:t> </w:t>
            </w:r>
          </w:p>
        </w:tc>
        <w:tc>
          <w:tcPr>
            <w:tcW w:w="123" w:type="dxa"/>
            <w:tcBorders/>
            <w:shd w:fill="auto" w:val="clear"/>
            <w:vAlign w:val="bottom"/>
          </w:tcPr>
          <w:p>
            <w:pPr>
              <w:pStyle w:val="TableContents"/>
              <w:spacing w:before="0" w:after="283"/>
              <w:rPr/>
            </w:pPr>
            <w:r>
              <w:rPr/>
              <w:t>  </w:t>
            </w:r>
          </w:p>
        </w:tc>
        <w:tc>
          <w:tcPr>
            <w:tcW w:w="4872" w:type="dxa"/>
            <w:tcBorders/>
            <w:shd w:fill="auto" w:val="clear"/>
          </w:tcPr>
          <w:p>
            <w:pPr>
              <w:pStyle w:val="TableContents"/>
              <w:spacing w:before="0" w:after="0"/>
              <w:rPr>
                <w:rFonts w:ascii="arial" w:hAnsi="arial"/>
                <w:sz w:val="16"/>
              </w:rPr>
            </w:pPr>
            <w:r>
              <w:rPr>
                <w:rFonts w:ascii="arial" w:hAnsi="arial"/>
                <w:color w:val="001C71"/>
                <w:sz w:val="16"/>
              </w:rPr>
              <w:t></w:t>
            </w:r>
            <w:r>
              <w:rPr>
                <w:rFonts w:ascii="arial" w:hAnsi="arial"/>
                <w:sz w:val="16"/>
              </w:rPr>
              <w:t>  10 of our 12 director nominees are independent</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  NYSE-required board committees are 100% independent</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  Director overboarding policy recently revised to align with the preferences and policies of many of our shareholders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  Executive sessions of non-management directors at all regular board meetings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  Prohibition on hedging or pledging company stock</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  Robust share ownership guidelines for directors and officers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  96% attendance of directors at board and committee meetings in the aggregate in 2020</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  Active shareholder engagement, including with our Lead Independent Director</w:t>
            </w:r>
          </w:p>
          <w:p>
            <w:pPr>
              <w:pStyle w:val="TableContents"/>
              <w:spacing w:before="0" w:after="0"/>
              <w:rPr/>
            </w:pPr>
            <w:r>
              <w:rPr/>
              <w:t> </w:t>
            </w:r>
          </w:p>
          <w:p>
            <w:pPr>
              <w:pStyle w:val="TableContents"/>
              <w:spacing w:before="0" w:after="20"/>
              <w:rPr>
                <w:rFonts w:ascii="arial" w:hAnsi="arial"/>
                <w:sz w:val="16"/>
              </w:rPr>
            </w:pPr>
            <w:r>
              <w:rPr>
                <w:rFonts w:ascii="arial" w:hAnsi="arial"/>
                <w:color w:val="001C71"/>
                <w:sz w:val="16"/>
              </w:rPr>
              <w:t></w:t>
            </w:r>
            <w:r>
              <w:rPr>
                <w:rFonts w:ascii="arial" w:hAnsi="arial"/>
                <w:sz w:val="16"/>
              </w:rPr>
              <w:t>  Code of conduct applicable to directors and officers, as well as separate code of conduct applicable to all employees</w:t>
            </w:r>
          </w:p>
        </w:tc>
      </w:tr>
    </w:tbl>
    <w:p>
      <w:pPr>
        <w:pStyle w:val="TextBody"/>
        <w:jc w:val="left"/>
        <w:rPr>
          <w:highlight w:val="white"/>
        </w:rPr>
      </w:pPr>
      <w:r>
        <w:rPr>
          <w:highlight w:val="white"/>
        </w:rPr>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9798"/>
        <w:gridCol w:w="101"/>
        <w:gridCol w:w="306"/>
      </w:tblGrid>
      <w:tr>
        <w:trPr/>
        <w:tc>
          <w:tcPr>
            <w:tcW w:w="979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8"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3</w:t>
            </w:r>
          </w:p>
        </w:tc>
      </w:tr>
    </w:tbl>
    <w:p>
      <w:pPr>
        <w:pStyle w:val="TextBody"/>
        <w:spacing w:before="0" w:after="0"/>
        <w:jc w:val="left"/>
        <w:rPr>
          <w:highlight w:val="white"/>
        </w:rPr>
      </w:pPr>
      <w:r>
        <w:rPr>
          <w:highlight w:val="white"/>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highlight w:val="white"/>
        </w:rPr>
      </w:pPr>
      <w:r>
        <w:rPr>
          <w:rFonts w:ascii="arial" w:hAnsi="arial"/>
          <w:color w:val="3F3F3F"/>
          <w:sz w:val="18"/>
          <w:highlight w:val="white"/>
        </w:rPr>
        <w:t xml:space="preserve">Proxy Statement Summary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xml:space="preserve">     </w:t>
      </w:r>
    </w:p>
    <w:p>
      <w:pPr>
        <w:pStyle w:val="TextBody"/>
        <w:spacing w:before="0" w:after="0"/>
        <w:jc w:val="left"/>
        <w:rPr>
          <w:rFonts w:ascii="arial" w:hAnsi="arial"/>
          <w:b/>
          <w:sz w:val="32"/>
          <w:highlight w:val="white"/>
        </w:rPr>
      </w:pPr>
      <w:r>
        <w:rPr>
          <w:rFonts w:ascii="arial" w:hAnsi="arial"/>
          <w:b/>
          <w:sz w:val="32"/>
          <w:highlight w:val="white"/>
        </w:rPr>
        <w:t xml:space="preserve">Business and Performance </w:t>
      </w:r>
    </w:p>
    <w:p>
      <w:pPr>
        <w:pStyle w:val="TextBody"/>
        <w:spacing w:before="240" w:after="0"/>
        <w:jc w:val="left"/>
        <w:rPr>
          <w:rFonts w:ascii="arial" w:hAnsi="arial"/>
          <w:sz w:val="28"/>
          <w:highlight w:val="white"/>
        </w:rPr>
      </w:pPr>
      <w:r>
        <w:rPr>
          <w:rFonts w:ascii="arial" w:hAnsi="arial"/>
          <w:sz w:val="28"/>
          <w:highlight w:val="white"/>
        </w:rPr>
        <w:t xml:space="preserve">Company Overview </w:t>
      </w:r>
    </w:p>
    <w:p>
      <w:pPr>
        <w:pStyle w:val="TextBody"/>
        <w:pBdr>
          <w:bottom w:val="single" w:sz="2" w:space="1" w:color="001C71"/>
        </w:pBdr>
        <w:spacing w:lineRule="atLeast" w:line="180" w:before="0" w:after="40"/>
        <w:jc w:val="left"/>
        <w:rPr>
          <w:highlight w:val="white"/>
        </w:rPr>
      </w:pPr>
      <w:r>
        <w:rPr>
          <w:highlight w:val="white"/>
        </w:rPr>
        <w:t> </w:t>
      </w:r>
    </w:p>
    <w:p>
      <w:pPr>
        <w:pStyle w:val="TextBody"/>
        <w:spacing w:before="80" w:after="0"/>
        <w:jc w:val="left"/>
        <w:rPr>
          <w:rFonts w:ascii="arial" w:hAnsi="arial"/>
          <w:sz w:val="16"/>
          <w:highlight w:val="white"/>
        </w:rPr>
      </w:pPr>
      <w:r>
        <w:rPr>
          <w:rFonts w:ascii="arial" w:hAnsi="arial"/>
          <w:sz w:val="16"/>
          <w:highlight w:val="white"/>
        </w:rPr>
        <w:t xml:space="preserve">Sempra Energys businesses invest in, develop and operate energy infrastructure and provide electric and gas services to customers through regulated utilities, all in North America. Our mission is to be North Americas premier energy infrastructure company, and we are primarily focused on transmission and distribution investments among other areas that we believe are capable of producing stable cash flows and improved earnings visibility, with the goal of delivering safe and reliable energy to our customers and increasing shareholder value. </w:t>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5193"/>
        <w:gridCol w:w="120"/>
        <w:gridCol w:w="4892"/>
      </w:tblGrid>
      <w:tr>
        <w:trPr/>
        <w:tc>
          <w:tcPr>
            <w:tcW w:w="51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92"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5193" w:type="dxa"/>
            <w:tcBorders/>
            <w:shd w:fill="001C71" w:val="clear"/>
            <w:vAlign w:val="center"/>
          </w:tcPr>
          <w:p>
            <w:pPr>
              <w:pStyle w:val="TableContents"/>
              <w:spacing w:before="0" w:after="283"/>
              <w:rPr>
                <w:sz w:val="4"/>
                <w:szCs w:val="4"/>
              </w:rPr>
            </w:pPr>
            <w:r>
              <w:rPr>
                <w:sz w:val="4"/>
                <w:szCs w:val="4"/>
              </w:rPr>
            </w:r>
          </w:p>
        </w:tc>
        <w:tc>
          <w:tcPr>
            <w:tcW w:w="5012" w:type="dxa"/>
            <w:gridSpan w:val="2"/>
            <w:tcBorders>
              <w:left w:val="single" w:sz="2" w:space="0" w:color="001C71"/>
            </w:tcBorders>
            <w:shd w:fill="001C71" w:val="clear"/>
            <w:tcMar>
              <w:left w:w="28" w:type="dxa"/>
            </w:tcMar>
            <w:vAlign w:val="center"/>
          </w:tcPr>
          <w:p>
            <w:pPr>
              <w:pStyle w:val="TableContents"/>
              <w:spacing w:before="0" w:after="283"/>
              <w:rPr/>
            </w:pPr>
            <w:r>
              <w:rPr/>
              <w:t> </w:t>
            </w:r>
          </w:p>
        </w:tc>
      </w:tr>
      <w:tr>
        <w:trPr/>
        <w:tc>
          <w:tcPr>
            <w:tcW w:w="5193" w:type="dxa"/>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Utilities</w:t>
            </w:r>
          </w:p>
        </w:tc>
        <w:tc>
          <w:tcPr>
            <w:tcW w:w="120" w:type="dxa"/>
            <w:tcBorders>
              <w:left w:val="single" w:sz="2" w:space="0" w:color="001C71"/>
            </w:tcBorders>
            <w:shd w:fill="001C71" w:val="clear"/>
            <w:tcMar>
              <w:left w:w="28" w:type="dxa"/>
            </w:tcMar>
            <w:vAlign w:val="bottom"/>
          </w:tcPr>
          <w:p>
            <w:pPr>
              <w:pStyle w:val="TableContents"/>
              <w:spacing w:before="0" w:after="283"/>
              <w:rPr/>
            </w:pPr>
            <w:r>
              <w:rPr/>
              <w:t>  </w:t>
            </w:r>
          </w:p>
        </w:tc>
        <w:tc>
          <w:tcPr>
            <w:tcW w:w="4892" w:type="dxa"/>
            <w:tcBorders/>
            <w:shd w:fill="001C71" w:val="clear"/>
            <w:vAlign w:val="bottom"/>
          </w:tcPr>
          <w:p>
            <w:pPr>
              <w:pStyle w:val="TableContents"/>
              <w:spacing w:before="0" w:after="283"/>
              <w:jc w:val="center"/>
              <w:rPr>
                <w:b/>
                <w:color w:val="FFFFFF"/>
              </w:rPr>
            </w:pPr>
            <w:r>
              <w:rPr>
                <w:b/>
                <w:color w:val="FFFFFF"/>
              </w:rPr>
              <w:t>Energy Infrastructure</w:t>
            </w:r>
          </w:p>
        </w:tc>
      </w:tr>
      <w:tr>
        <w:trPr/>
        <w:tc>
          <w:tcPr>
            <w:tcW w:w="5193" w:type="dxa"/>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  We own or hold interests in regulated electric and gas utilities in California and Texas.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  Our utility businesses will continue to require investments in grid infrastructure, transmission, distribution, storage and other types of assets to help support safety and reliability of service and incorporate additional sources of renewable energy.</w:t>
            </w:r>
          </w:p>
          <w:p>
            <w:pPr>
              <w:pStyle w:val="TableContents"/>
              <w:spacing w:before="0" w:after="20"/>
              <w:rPr/>
            </w:pPr>
            <w:r>
              <w:rPr/>
              <w:t> </w:t>
            </w:r>
          </w:p>
        </w:tc>
        <w:tc>
          <w:tcPr>
            <w:tcW w:w="120" w:type="dxa"/>
            <w:tcBorders>
              <w:left w:val="single" w:sz="2" w:space="0" w:color="001C71"/>
              <w:bottom w:val="single" w:sz="8" w:space="0" w:color="001C71"/>
            </w:tcBorders>
            <w:shd w:fill="auto" w:val="clear"/>
            <w:tcMar>
              <w:left w:w="28" w:type="dxa"/>
              <w:bottom w:w="28" w:type="dxa"/>
            </w:tcMar>
            <w:vAlign w:val="bottom"/>
          </w:tcPr>
          <w:p>
            <w:pPr>
              <w:pStyle w:val="TableContents"/>
              <w:spacing w:before="0" w:after="283"/>
              <w:rPr/>
            </w:pPr>
            <w:r>
              <w:rPr/>
              <w:t>  </w:t>
            </w:r>
          </w:p>
        </w:tc>
        <w:tc>
          <w:tcPr>
            <w:tcW w:w="4892" w:type="dxa"/>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  Our energy infrastructure businesses are primarily focused on supporting the clean energy transition by investing in renewables and energy networks in North America, together with natural gas infrastructure to support exports to foreign markets. We believe diverse sources of energy will continue to be important domestically and internationally.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  Our revenues for these businesses generally are tied to long-term contracts with counterparties we believe are creditworthy.</w:t>
            </w:r>
          </w:p>
          <w:p>
            <w:pPr>
              <w:pStyle w:val="TableContents"/>
              <w:spacing w:before="0" w:after="20"/>
              <w:rPr/>
            </w:pPr>
            <w:r>
              <w:rPr/>
              <w:t> </w:t>
            </w:r>
          </w:p>
        </w:tc>
      </w:tr>
    </w:tbl>
    <w:p>
      <w:pPr>
        <w:pStyle w:val="TextBody"/>
        <w:spacing w:before="120" w:after="0"/>
        <w:jc w:val="left"/>
        <w:rPr>
          <w:rFonts w:ascii="arial" w:hAnsi="arial"/>
          <w:sz w:val="16"/>
          <w:highlight w:val="white"/>
        </w:rPr>
      </w:pPr>
      <w:r>
        <w:rPr>
          <w:rFonts w:ascii="arial" w:hAnsi="arial"/>
          <w:sz w:val="16"/>
          <w:highlight w:val="white"/>
        </w:rPr>
        <w:t xml:space="preserve">In addition to focusing primarily on the North American markets we believe are most attractive, we are investing primarily in the transmission and distribution portion of the energy value chain, which we believe will provide attractive risk-adjusted returns: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95630" cy="2463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5630" cy="246380"/>
                    </a:xfrm>
                    <a:prstGeom prst="rect">
                      <a:avLst/>
                    </a:prstGeom>
                  </pic:spPr>
                </pic:pic>
              </a:graphicData>
            </a:graphic>
          </wp:inline>
        </w:drawing>
      </w:r>
      <w:r>
        <w:rPr>
          <w:highlight w:val="white"/>
        </w:rPr>
        <w:t xml:space="preserve"> </w:t>
      </w:r>
    </w:p>
    <w:p>
      <w:pPr>
        <w:pStyle w:val="TextBody"/>
        <w:jc w:val="right"/>
        <w:rPr>
          <w:rFonts w:ascii="arial" w:hAnsi="arial"/>
          <w:color w:val="FFFFFF"/>
          <w:sz w:val="2"/>
          <w:highlight w:val="white"/>
        </w:rPr>
      </w:pPr>
      <w:r>
        <w:rPr>
          <w:rFonts w:ascii="arial" w:hAnsi="arial"/>
          <w:color w:val="FFFFFF"/>
          <w:sz w:val="2"/>
          <w:highlight w:val="white"/>
        </w:rPr>
        <w:t xml:space="preserve">Sempra Business Model Exploration Generation Transmission Distribution End Market and Production or Processing Smart, New Energy Infrastructure Higher Commodity Risk Higher Value + Lower Risk Higher Consumer Risk </w:t>
      </w:r>
    </w:p>
    <w:p>
      <w:pPr>
        <w:pStyle w:val="TextBody"/>
        <w:jc w:val="left"/>
        <w:rPr>
          <w:highlight w:val="white"/>
        </w:rPr>
      </w:pPr>
      <w:r>
        <w:rPr>
          <w:highlight w:val="white"/>
        </w:rPr>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4</w:t>
            </w:r>
          </w:p>
        </w:tc>
        <w:tc>
          <w:tcPr>
            <w:tcW w:w="101" w:type="dxa"/>
            <w:tcBorders/>
            <w:shd w:fill="auto" w:val="clear"/>
            <w:vAlign w:val="bottom"/>
          </w:tcPr>
          <w:p>
            <w:pPr>
              <w:pStyle w:val="TableContents"/>
              <w:spacing w:before="0" w:after="283"/>
              <w:rPr/>
            </w:pPr>
            <w:r>
              <w:rPr/>
              <w:t> </w:t>
            </w:r>
          </w:p>
        </w:tc>
        <w:tc>
          <w:tcPr>
            <w:tcW w:w="9799"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TextBody"/>
        <w:spacing w:before="0" w:after="0"/>
        <w:jc w:val="left"/>
        <w:rPr>
          <w:highlight w:val="white"/>
        </w:rPr>
      </w:pPr>
      <w:r>
        <w:rPr>
          <w:highlight w:val="white"/>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highlight w:val="white"/>
        </w:rPr>
      </w:pPr>
      <w:r>
        <w:rPr>
          <w:rFonts w:ascii="arial" w:hAnsi="arial"/>
          <w:color w:val="3F3F3F"/>
          <w:sz w:val="18"/>
          <w:highlight w:val="white"/>
        </w:rPr>
        <w:t xml:space="preserve">Proxy Statement Summary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xml:space="preserve">     </w:t>
      </w:r>
    </w:p>
    <w:p>
      <w:pPr>
        <w:pStyle w:val="TextBody"/>
        <w:spacing w:before="0" w:after="0"/>
        <w:jc w:val="left"/>
        <w:rPr>
          <w:rFonts w:ascii="arial" w:hAnsi="arial"/>
          <w:sz w:val="28"/>
          <w:highlight w:val="white"/>
        </w:rPr>
      </w:pPr>
      <w:r>
        <w:rPr>
          <w:rFonts w:ascii="arial" w:hAnsi="arial"/>
          <w:sz w:val="28"/>
          <w:highlight w:val="white"/>
        </w:rPr>
        <w:t xml:space="preserve">Performance Highlights </w:t>
      </w:r>
    </w:p>
    <w:p>
      <w:pPr>
        <w:pStyle w:val="TextBody"/>
        <w:pBdr>
          <w:bottom w:val="single" w:sz="2" w:space="1" w:color="001C71"/>
        </w:pBdr>
        <w:spacing w:lineRule="atLeast" w:line="180" w:before="0" w:after="40"/>
        <w:jc w:val="left"/>
        <w:rPr>
          <w:highlight w:val="white"/>
        </w:rPr>
      </w:pPr>
      <w:r>
        <w:rPr>
          <w:highlight w:val="white"/>
        </w:rPr>
        <w:t> </w:t>
      </w:r>
    </w:p>
    <w:p>
      <w:pPr>
        <w:pStyle w:val="TextBody"/>
        <w:spacing w:before="120" w:after="0"/>
        <w:jc w:val="left"/>
        <w:rPr>
          <w:rFonts w:ascii="arial" w:hAnsi="arial"/>
          <w:b/>
          <w:sz w:val="16"/>
          <w:highlight w:val="white"/>
        </w:rPr>
      </w:pPr>
      <w:r>
        <w:rPr>
          <w:rFonts w:ascii="arial" w:hAnsi="arial"/>
          <w:b/>
          <w:sz w:val="16"/>
          <w:highlight w:val="white"/>
        </w:rPr>
        <w:t xml:space="preserve">Financial Performance </w:t>
      </w:r>
    </w:p>
    <w:p>
      <w:pPr>
        <w:pStyle w:val="TextBody"/>
        <w:spacing w:before="120" w:after="0"/>
        <w:jc w:val="left"/>
        <w:rPr>
          <w:rFonts w:ascii="arial" w:hAnsi="arial"/>
          <w:sz w:val="16"/>
          <w:highlight w:val="white"/>
        </w:rPr>
      </w:pPr>
      <w:r>
        <w:rPr>
          <w:rFonts w:ascii="arial" w:hAnsi="arial"/>
          <w:sz w:val="16"/>
          <w:highlight w:val="white"/>
        </w:rPr>
        <w:t xml:space="preserve">In 2020, we achieved strong financial performance across key metrics. We grew our GAAP earnings per common share (EPS) by 76.7% year over year, to $12.88 in 2020 compared to $7.29 in 2019.(1) Our adjusted EPS grew 18.4% year over year, to $8.03 in 2020 compared to $6.78 in 2019.(2) </w:t>
      </w:r>
    </w:p>
    <w:p>
      <w:pPr>
        <w:pStyle w:val="TextBody"/>
        <w:spacing w:before="120" w:after="0"/>
        <w:jc w:val="left"/>
        <w:rPr>
          <w:rFonts w:ascii="arial" w:hAnsi="arial"/>
          <w:sz w:val="16"/>
          <w:highlight w:val="white"/>
        </w:rPr>
      </w:pPr>
      <w:r>
        <w:rPr>
          <w:rFonts w:ascii="arial" w:hAnsi="arial"/>
          <w:sz w:val="16"/>
          <w:highlight w:val="white"/>
        </w:rPr>
        <w:t xml:space="preserve">Our 2020 achievements build on our strong long-term financial performance. Since 2010, we have delivered consistent strong earnings growth: our GAAP EPS was $2.86 in 2010, $5.37 in 2015 and $12.88 in 2020. On an adjusted basis, EPS increased from $3.80 in 2010 to $5.17 in 2015 and to $8.03 in 2020.(2) This performance has contributed to our robust long-term growth and shareholder value creation. We have had total shareholder return of 232% since 2010 and our market capitalization almost tripled over the past 10 years. </w:t>
      </w:r>
    </w:p>
    <w:p>
      <w:pPr>
        <w:pStyle w:val="TextBody"/>
        <w:spacing w:before="120" w:after="0"/>
        <w:jc w:val="left"/>
        <w:rPr>
          <w:rFonts w:ascii="arial" w:hAnsi="arial"/>
          <w:sz w:val="16"/>
          <w:highlight w:val="white"/>
        </w:rPr>
      </w:pPr>
      <w:r>
        <w:rPr>
          <w:rFonts w:ascii="arial" w:hAnsi="arial"/>
          <w:sz w:val="16"/>
          <w:highlight w:val="white"/>
        </w:rPr>
        <w:t xml:space="preserve">We also have continued to provide returns to shareholders by growing our common stock dividend. The compound annual growth rate (CAGR) of our common stock dividend exceeded the median CAGR for companies in the S&amp;P 500 Utilities Index over the past one, three, five and ten years. From 2010 to 2020, we increased our annual dividend from $1.56 to $4.18 per common share. On February 23, 2021, the Board of Directors approved an additional increase of approximately 5% in our dividend to $4.40 per common share on an annualized basis.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95630" cy="23304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5630" cy="233045"/>
                    </a:xfrm>
                    <a:prstGeom prst="rect">
                      <a:avLst/>
                    </a:prstGeom>
                  </pic:spPr>
                </pic:pic>
              </a:graphicData>
            </a:graphic>
          </wp:inline>
        </w:drawing>
      </w:r>
      <w:r>
        <w:rPr>
          <w:highlight w:val="white"/>
        </w:rPr>
        <w:t xml:space="preserve"> </w:t>
      </w:r>
    </w:p>
    <w:p>
      <w:pPr>
        <w:pStyle w:val="TextBody"/>
        <w:jc w:val="center"/>
        <w:rPr>
          <w:rFonts w:ascii="arial" w:hAnsi="arial"/>
          <w:color w:val="FFFFFF"/>
          <w:sz w:val="2"/>
          <w:highlight w:val="white"/>
        </w:rPr>
      </w:pPr>
      <w:r>
        <w:rPr>
          <w:rFonts w:ascii="arial" w:hAnsi="arial"/>
          <w:color w:val="FFFFFF"/>
          <w:sz w:val="2"/>
          <w:highlight w:val="white"/>
        </w:rPr>
        <w:t xml:space="preserve">Long-Term Growth(3) Adjusted EPS(2) Dividends Market Capitalization(4) </w:t>
      </w:r>
    </w:p>
    <w:p>
      <w:pPr>
        <w:pStyle w:val="TextBody"/>
        <w:spacing w:before="200" w:after="0"/>
        <w:jc w:val="left"/>
        <w:rPr>
          <w:rFonts w:ascii="arial" w:hAnsi="arial"/>
          <w:i/>
          <w:sz w:val="14"/>
          <w:highlight w:val="white"/>
        </w:rPr>
      </w:pPr>
      <w:r>
        <w:rPr>
          <w:rFonts w:ascii="arial" w:hAnsi="arial"/>
          <w:i/>
          <w:sz w:val="14"/>
          <w:highlight w:val="white"/>
        </w:rPr>
        <w:t xml:space="preserve">Figure 1 </w:t>
      </w:r>
    </w:p>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GAAP means accounting principles generally accepted in the United States of America. </w:t>
            </w:r>
          </w:p>
        </w:tc>
      </w:tr>
    </w:tbl>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i/>
              </w:rPr>
            </w:pPr>
            <w:r>
              <w:rPr>
                <w:i/>
              </w:rPr>
              <w:t>(2)</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Adjusted EPS is a non-GAAP financial measure. For a reconciliation of GAAP earnings and EPS to adjusted earnings and EPS, please see Appendix A to this proxy statement. </w:t>
            </w:r>
          </w:p>
        </w:tc>
      </w:tr>
    </w:tbl>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(3)</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As of or for the years ended December 31, 2010, 2015 and 2020. </w:t>
            </w:r>
          </w:p>
        </w:tc>
      </w:tr>
    </w:tbl>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(4)</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Dollars in billions. </w:t>
            </w:r>
          </w:p>
        </w:tc>
      </w:tr>
    </w:tbl>
    <w:p>
      <w:pPr>
        <w:pStyle w:val="TextBody"/>
        <w:jc w:val="left"/>
        <w:rPr>
          <w:highlight w:val="white"/>
        </w:rPr>
      </w:pPr>
      <w:r>
        <w:rPr>
          <w:highlight w:val="white"/>
        </w:rPr>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9798"/>
        <w:gridCol w:w="101"/>
        <w:gridCol w:w="306"/>
      </w:tblGrid>
      <w:tr>
        <w:trPr/>
        <w:tc>
          <w:tcPr>
            <w:tcW w:w="979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8"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5</w:t>
            </w:r>
          </w:p>
        </w:tc>
      </w:tr>
    </w:tbl>
    <w:p>
      <w:pPr>
        <w:pStyle w:val="TextBody"/>
        <w:spacing w:before="0" w:after="0"/>
        <w:jc w:val="left"/>
        <w:rPr>
          <w:highlight w:val="white"/>
        </w:rPr>
      </w:pPr>
      <w:r>
        <w:rPr>
          <w:highlight w:val="white"/>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highlight w:val="white"/>
        </w:rPr>
      </w:pPr>
      <w:r>
        <w:rPr>
          <w:rFonts w:ascii="arial" w:hAnsi="arial"/>
          <w:color w:val="3F3F3F"/>
          <w:sz w:val="18"/>
          <w:highlight w:val="white"/>
        </w:rPr>
        <w:t xml:space="preserve">Proxy Statement Summary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xml:space="preserve">     </w:t>
      </w:r>
    </w:p>
    <w:p>
      <w:pPr>
        <w:pStyle w:val="TextBody"/>
        <w:spacing w:before="0" w:after="0"/>
        <w:jc w:val="left"/>
        <w:rPr>
          <w:rFonts w:ascii="arial" w:hAnsi="arial"/>
          <w:b/>
          <w:sz w:val="16"/>
          <w:highlight w:val="white"/>
        </w:rPr>
      </w:pPr>
      <w:r>
        <w:rPr>
          <w:rFonts w:ascii="arial" w:hAnsi="arial"/>
          <w:b/>
          <w:sz w:val="16"/>
          <w:highlight w:val="white"/>
        </w:rPr>
        <w:t xml:space="preserve">Strategic Performance </w:t>
      </w:r>
    </w:p>
    <w:p>
      <w:pPr>
        <w:pStyle w:val="TextBody"/>
        <w:spacing w:before="120" w:after="0"/>
        <w:jc w:val="left"/>
        <w:rPr>
          <w:rFonts w:ascii="arial" w:hAnsi="arial"/>
          <w:sz w:val="16"/>
          <w:highlight w:val="white"/>
        </w:rPr>
      </w:pPr>
      <w:r>
        <w:rPr>
          <w:rFonts w:ascii="arial" w:hAnsi="arial"/>
          <w:sz w:val="16"/>
          <w:highlight w:val="white"/>
        </w:rPr>
        <w:t xml:space="preserve">Key strategic and operational accomplishments are highlighted below: </w:t>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3605"/>
        <w:gridCol w:w="122"/>
        <w:gridCol w:w="3319"/>
        <w:gridCol w:w="122"/>
        <w:gridCol w:w="3037"/>
      </w:tblGrid>
      <w:tr>
        <w:trPr/>
        <w:tc>
          <w:tcPr>
            <w:tcW w:w="360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31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037"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001C71" w:val="clear"/>
            <w:vAlign w:val="bottom"/>
          </w:tcPr>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2020 Strategic Performance Highlights</w:t>
            </w:r>
          </w:p>
        </w:tc>
      </w:tr>
      <w:tr>
        <w:trPr/>
        <w:tc>
          <w:tcPr>
            <w:tcW w:w="3605" w:type="dxa"/>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color w:val="001C71"/>
              </w:rPr>
            </w:pPr>
            <w:r>
              <w:rPr>
                <w:color w:val="001C71"/>
              </w:rPr>
              <w:t>  </w:t>
            </w:r>
            <w:r>
              <w:rPr>
                <w:rFonts w:ascii="arial" w:hAnsi="arial"/>
                <w:b/>
                <w:color w:val="001C71"/>
                <w:sz w:val="16"/>
              </w:rPr>
              <w:t>Business Achievements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executed on its disciplined strategy with the goal of becoming North Americas premier energy infrastructure company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completed a multi-year capital rotation program that included the divestiture of its U.S. renewables businesses, U.S. non-utility natural gas storage assets and South American businesses, which generated total gross cash proceeds of approximately $8.3 billion</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executed a $500 million share buyback and received board authorization for the lesser of $2.0 billion or 25 million shares of common stock in potential future share repurchases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announced proposed integrated transactions to simplify its energy infrastructure investments under one platform, Sempra Infrastructure Partners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was named to Fortune Magazines Worlds Most Admired Companies List for 2020</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was recognized by the National Organization on Disability as a 2020 Leading Disability Employer</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was named to Forbes Just 100 list, which is intended to recognize companies that are doing right by all their stakeholders</w:t>
            </w:r>
          </w:p>
          <w:p>
            <w:pPr>
              <w:pStyle w:val="TableContents"/>
              <w:spacing w:before="0" w:after="0"/>
              <w:rPr/>
            </w:pPr>
            <w:r>
              <w:rPr/>
              <w:t> </w:t>
            </w:r>
          </w:p>
          <w:p>
            <w:pPr>
              <w:pStyle w:val="TableContents"/>
              <w:spacing w:before="0" w:after="20"/>
              <w:rPr>
                <w:rFonts w:ascii="arial" w:hAnsi="arial"/>
                <w:sz w:val="16"/>
              </w:rPr>
            </w:pPr>
            <w:r>
              <w:rPr>
                <w:rFonts w:ascii="arial" w:hAnsi="arial"/>
                <w:color w:val="001C71"/>
                <w:sz w:val="22"/>
              </w:rPr>
              <w:t></w:t>
            </w:r>
            <w:r>
              <w:rPr>
                <w:rFonts w:ascii="arial" w:hAnsi="arial"/>
                <w:sz w:val="16"/>
              </w:rPr>
              <w:t>  Sempra Energy received the National Association of Corporate Directors NXT Award for diversity and inclusion</w:t>
            </w:r>
          </w:p>
        </w:tc>
        <w:tc>
          <w:tcPr>
            <w:tcW w:w="122" w:type="dxa"/>
            <w:tcBorders>
              <w:left w:val="single" w:sz="2" w:space="0" w:color="001C71"/>
              <w:bottom w:val="single" w:sz="8" w:space="0" w:color="001C71"/>
            </w:tcBorders>
            <w:shd w:fill="auto" w:val="clear"/>
            <w:tcMar>
              <w:left w:w="28" w:type="dxa"/>
              <w:bottom w:w="28" w:type="dxa"/>
            </w:tcMar>
            <w:vAlign w:val="bottom"/>
          </w:tcPr>
          <w:p>
            <w:pPr>
              <w:pStyle w:val="TableContents"/>
              <w:spacing w:before="0" w:after="283"/>
              <w:rPr/>
            </w:pPr>
            <w:r>
              <w:rPr/>
              <w:t>  </w:t>
            </w:r>
          </w:p>
        </w:tc>
        <w:tc>
          <w:tcPr>
            <w:tcW w:w="3319" w:type="dxa"/>
            <w:tcBorders>
              <w:bottom w:val="single" w:sz="8" w:space="0" w:color="001C71"/>
              <w:right w:val="single" w:sz="2" w:space="0" w:color="001C71"/>
            </w:tcBorders>
            <w:shd w:fill="auto" w:val="clear"/>
            <w:tcMar>
              <w:bottom w:w="28" w:type="dxa"/>
              <w:right w:w="28" w:type="dxa"/>
            </w:tcMar>
          </w:tcPr>
          <w:p>
            <w:pPr>
              <w:pStyle w:val="TableContents"/>
              <w:spacing w:before="0" w:after="0"/>
              <w:rPr/>
            </w:pPr>
            <w:r>
              <w:rPr/>
              <w:t> </w:t>
            </w:r>
          </w:p>
          <w:p>
            <w:pPr>
              <w:pStyle w:val="TableContents"/>
              <w:spacing w:before="0" w:after="0"/>
              <w:rPr>
                <w:rFonts w:ascii="arial" w:hAnsi="arial"/>
                <w:b/>
                <w:color w:val="001C71"/>
                <w:sz w:val="16"/>
              </w:rPr>
            </w:pPr>
            <w:r>
              <w:rPr>
                <w:rFonts w:ascii="arial" w:hAnsi="arial"/>
                <w:b/>
                <w:color w:val="001C71"/>
                <w:sz w:val="16"/>
              </w:rPr>
              <w:t>Sempra Utilities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San Diego Gas &amp; Electric Company (SDG&amp;E) received approval from the Federal Energy Regulatory Commission (FERC) of a settlement with return on equity (ROE) of 10.6%, effective June 1, 2019(1)</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SDG&amp;E and Southern California Gas Company (SoCalGas) filed a petition for modification of the 2019 General Rate Case, requesting attrition rates for 2022 and 2023</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SDG&amp;E continued its commitment to wildfire safety and received its 2020 safety certification from the Wildfire Safety Division of the California Public Utilities Commission (CPUC)</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SDG&amp;E and SoCalGas received a final decision for cost recovery of approximately $935 million related to the Pipeline Safety Enhancement Plan</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SDG&amp;E launched a comprehensive sustainability strategy to advance carbon neutrality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SoCalGas and SDG&amp;E announced a hydrogen blending demonstration program designed to help reduce carbon emissions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Oncor Electric Delivery Company LLC (Oncor) announced a new five-year (2021-2025) capital plan of approximately $12.2 billion, largely driven by transmission and distribution growth needs in and around its service territory(2)</w:t>
            </w:r>
          </w:p>
          <w:p>
            <w:pPr>
              <w:pStyle w:val="TableContents"/>
              <w:spacing w:before="0" w:after="20"/>
              <w:rPr/>
            </w:pPr>
            <w:r>
              <w:rPr/>
              <w:t> </w:t>
            </w:r>
          </w:p>
        </w:tc>
        <w:tc>
          <w:tcPr>
            <w:tcW w:w="122" w:type="dxa"/>
            <w:tcBorders>
              <w:bottom w:val="single" w:sz="8" w:space="0" w:color="001C71"/>
            </w:tcBorders>
            <w:shd w:fill="auto" w:val="clear"/>
            <w:tcMar>
              <w:bottom w:w="28" w:type="dxa"/>
            </w:tcMar>
            <w:vAlign w:val="bottom"/>
          </w:tcPr>
          <w:p>
            <w:pPr>
              <w:pStyle w:val="TableContents"/>
              <w:spacing w:before="0" w:after="283"/>
              <w:rPr/>
            </w:pPr>
            <w:r>
              <w:rPr/>
              <w:t>  </w:t>
            </w:r>
          </w:p>
        </w:tc>
        <w:tc>
          <w:tcPr>
            <w:tcW w:w="3037" w:type="dxa"/>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color w:val="001C71"/>
                <w:sz w:val="16"/>
              </w:rPr>
            </w:pPr>
            <w:r>
              <w:rPr>
                <w:rFonts w:ascii="arial" w:hAnsi="arial"/>
                <w:b/>
                <w:color w:val="001C71"/>
                <w:sz w:val="16"/>
              </w:rPr>
              <w:t>Sempra North American Infrastructure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Continued progress on development projects with the goal of building up to 45 million tonnes per annum (Mtpa) of liquefied natural gas (LNG) export capacity to serve global markets: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Cameron LNG JV Phase 1:</w:t>
            </w:r>
            <w:r>
              <w:rPr>
                <w:rFonts w:ascii="arial" w:hAnsi="arial"/>
                <w:sz w:val="16"/>
              </w:rPr>
              <w:t xml:space="preserve"> Cameron LNG joint venture (JV) achieved full commercial operations under the tolling agreements; completed financing at Cameron LNG JV for return of capital of $753 million to Sempra Energy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Cameron LNG JV Phase 2</w:t>
            </w:r>
            <w:r>
              <w:rPr>
                <w:rFonts w:ascii="arial" w:hAnsi="arial"/>
                <w:sz w:val="16"/>
              </w:rPr>
              <w:t>:(3)(4) Sempra LNG signed a memorandum of understanding (MOU) with Mitsubishi Corporation in May 2020 for potential offtake from the proposed project</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ECA LNG JV Phase 1</w:t>
            </w:r>
            <w:r>
              <w:rPr>
                <w:rFonts w:ascii="arial" w:hAnsi="arial"/>
                <w:sz w:val="16"/>
              </w:rPr>
              <w:t>:(3) Reached a final investment decision for the development, construction and operation of the project; sold a 16.6% ownership interest in the project to an affiliate of TOTAL SE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Port Arthur</w:t>
            </w:r>
            <w:r>
              <w:rPr>
                <w:rFonts w:ascii="arial" w:hAnsi="arial"/>
                <w:sz w:val="16"/>
              </w:rPr>
              <w:t>:(3) Announced fixed-price, turnkey engineering, procurement and construction agreement with Bechtel Oil, Gas and Chemicals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Infraestructura Energética Nova, S.A.B. de C.V. (IEnova) advanced construction of Gulf of Mexico fuel terminal network and placed into service its marine terminal in the New Port of Veracruz</w:t>
            </w:r>
          </w:p>
          <w:p>
            <w:pPr>
              <w:pStyle w:val="TableContents"/>
              <w:spacing w:before="0" w:after="20"/>
              <w:rPr/>
            </w:pPr>
            <w:r>
              <w:rPr/>
              <w:t> </w:t>
            </w:r>
          </w:p>
        </w:tc>
      </w:tr>
    </w:tbl>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Consists of a base ROE of 10.1% plus an additional 50 basis points for participation in the California Independent System Operator (CA-ISO). If the FERC issues an order ruling that California investor-owned utilities are no longer eligible for the additional CA-ISO ROE, then SDG&amp;E would refund the additional 50 basis points of ROE associated with the CA-ISO. These rates were effective as of June 1, 2019 and remain in effect indefinitely, with parties having the annual right to terminate the applicable settlement agreement beginning in 2022. </w:t>
            </w:r>
          </w:p>
        </w:tc>
      </w:tr>
    </w:tbl>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Represents 100% of Oncors forecasted capital expenditures for 2021-2025. Actual amounts expended will depend on a number of factors and may differ materially from the amounts reflected in the capital plan. </w:t>
            </w:r>
          </w:p>
        </w:tc>
      </w:tr>
    </w:tbl>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(3)</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successful development and ultimate construction of Sempra Energys LNG projects are subject to a number of risks and uncertainties and there can be no assurance that any of the projects will be completed. </w:t>
            </w:r>
          </w:p>
        </w:tc>
      </w:tr>
    </w:tbl>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(4)</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This arrangement provides a framework for cooperation, but does not obligate the parties to enter into a definitive agreement or participate in the applicable project. </w:t>
            </w:r>
          </w:p>
        </w:tc>
      </w:tr>
    </w:tbl>
    <w:p>
      <w:pPr>
        <w:pStyle w:val="TextBody"/>
        <w:jc w:val="left"/>
        <w:rPr>
          <w:highlight w:val="white"/>
        </w:rPr>
      </w:pPr>
      <w:r>
        <w:rPr>
          <w:highlight w:val="white"/>
        </w:rPr>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6</w:t>
            </w:r>
          </w:p>
        </w:tc>
        <w:tc>
          <w:tcPr>
            <w:tcW w:w="101" w:type="dxa"/>
            <w:tcBorders/>
            <w:shd w:fill="auto" w:val="clear"/>
            <w:vAlign w:val="bottom"/>
          </w:tcPr>
          <w:p>
            <w:pPr>
              <w:pStyle w:val="TableContents"/>
              <w:spacing w:before="0" w:after="283"/>
              <w:rPr/>
            </w:pPr>
            <w:r>
              <w:rPr/>
              <w:t> </w:t>
            </w:r>
          </w:p>
        </w:tc>
        <w:tc>
          <w:tcPr>
            <w:tcW w:w="9799"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TextBody"/>
        <w:spacing w:before="0" w:after="0"/>
        <w:jc w:val="left"/>
        <w:rPr>
          <w:highlight w:val="white"/>
        </w:rPr>
      </w:pPr>
      <w:r>
        <w:rPr>
          <w:highlight w:val="white"/>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highlight w:val="white"/>
        </w:rPr>
      </w:pPr>
      <w:r>
        <w:rPr>
          <w:rFonts w:ascii="arial" w:hAnsi="arial"/>
          <w:color w:val="3F3F3F"/>
          <w:sz w:val="18"/>
          <w:highlight w:val="white"/>
        </w:rPr>
        <w:t xml:space="preserve">Proxy Statement Summary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xml:space="preserve">     </w:t>
      </w:r>
    </w:p>
    <w:p>
      <w:pPr>
        <w:pStyle w:val="TextBody"/>
        <w:spacing w:before="0" w:after="0"/>
        <w:jc w:val="left"/>
        <w:rPr>
          <w:rFonts w:ascii="arial" w:hAnsi="arial"/>
          <w:b/>
          <w:sz w:val="32"/>
          <w:highlight w:val="white"/>
        </w:rPr>
      </w:pPr>
      <w:r>
        <w:rPr>
          <w:rFonts w:ascii="arial" w:hAnsi="arial"/>
          <w:b/>
          <w:sz w:val="32"/>
          <w:highlight w:val="white"/>
        </w:rPr>
        <w:t xml:space="preserve">Executive Compensation </w:t>
      </w:r>
    </w:p>
    <w:p>
      <w:pPr>
        <w:pStyle w:val="TextBody"/>
        <w:spacing w:before="360" w:after="0"/>
        <w:jc w:val="left"/>
        <w:rPr>
          <w:rFonts w:ascii="arial" w:hAnsi="arial"/>
          <w:sz w:val="28"/>
          <w:highlight w:val="white"/>
        </w:rPr>
      </w:pPr>
      <w:r>
        <w:rPr>
          <w:rFonts w:ascii="arial" w:hAnsi="arial"/>
          <w:sz w:val="28"/>
          <w:highlight w:val="white"/>
        </w:rPr>
        <w:t xml:space="preserve">2020 Compensation Overview </w:t>
      </w:r>
    </w:p>
    <w:p>
      <w:pPr>
        <w:pStyle w:val="TextBody"/>
        <w:pBdr>
          <w:bottom w:val="single" w:sz="2" w:space="1" w:color="001C71"/>
        </w:pBdr>
        <w:spacing w:lineRule="atLeast" w:line="180" w:before="0" w:after="40"/>
        <w:jc w:val="left"/>
        <w:rPr>
          <w:highlight w:val="white"/>
        </w:rPr>
      </w:pPr>
      <w:r>
        <w:rPr>
          <w:highlight w:val="white"/>
        </w:rPr>
        <w:t> </w:t>
      </w:r>
    </w:p>
    <w:p>
      <w:pPr>
        <w:pStyle w:val="TextBody"/>
        <w:spacing w:before="80" w:after="0"/>
        <w:jc w:val="left"/>
        <w:rPr>
          <w:rFonts w:ascii="arial" w:hAnsi="arial"/>
          <w:sz w:val="16"/>
          <w:highlight w:val="white"/>
        </w:rPr>
      </w:pPr>
      <w:r>
        <w:rPr>
          <w:rFonts w:ascii="arial" w:hAnsi="arial"/>
          <w:sz w:val="16"/>
          <w:highlight w:val="white"/>
        </w:rPr>
        <w:t xml:space="preserve">Our executive compensation program is designed to attract, motivate and retain key executive talent and promote strong, sustainable long-term performance. We place an emphasis on variable performance-based pay, with each component designed to promote value creation and alignment of our management teams compensation with our long-term strategic objectives. </w:t>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3599"/>
        <w:gridCol w:w="157"/>
        <w:gridCol w:w="3297"/>
        <w:gridCol w:w="157"/>
        <w:gridCol w:w="2995"/>
      </w:tblGrid>
      <w:tr>
        <w:trPr/>
        <w:tc>
          <w:tcPr>
            <w:tcW w:w="359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329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2995"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001C71" w:val="clear"/>
            <w:vAlign w:val="bottom"/>
          </w:tcPr>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Chief Executive Officer Pay Mix at Target</w:t>
            </w:r>
          </w:p>
        </w:tc>
      </w:tr>
    </w:tbl>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3470"/>
        <w:gridCol w:w="101"/>
        <w:gridCol w:w="6634"/>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634"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470" w:type="dxa"/>
            <w:tcBorders/>
            <w:shd w:fill="auto" w:val="clear"/>
            <w:vAlign w:val="center"/>
          </w:tcPr>
          <w:p>
            <w:pPr>
              <w:pStyle w:val="TableContents"/>
              <w:spacing w:before="0" w:after="283"/>
              <w:rPr>
                <w:sz w:val="4"/>
                <w:szCs w:val="4"/>
              </w:rPr>
            </w:pPr>
            <w:r>
              <w:rPr>
                <w:sz w:val="4"/>
                <w:szCs w:val="4"/>
              </w:rPr>
            </w:r>
          </w:p>
        </w:tc>
        <w:tc>
          <w:tcPr>
            <w:tcW w:w="6735" w:type="dxa"/>
            <w:gridSpan w:val="2"/>
            <w:tcBorders/>
            <w:shd w:fill="9BA6C7" w:val="clear"/>
            <w:vAlign w:val="center"/>
          </w:tcPr>
          <w:p>
            <w:pPr>
              <w:pStyle w:val="TableContents"/>
              <w:spacing w:before="0" w:after="283"/>
              <w:rPr>
                <w:sz w:val="4"/>
                <w:szCs w:val="4"/>
              </w:rPr>
            </w:pPr>
            <w:r>
              <w:rPr>
                <w:sz w:val="4"/>
                <w:szCs w:val="4"/>
              </w:rPr>
            </w:r>
          </w:p>
        </w:tc>
      </w:tr>
      <w:tr>
        <w:trPr/>
        <w:tc>
          <w:tcPr>
            <w:tcW w:w="3470" w:type="dxa"/>
            <w:vMerge w:val="restart"/>
            <w:tcBorders/>
            <w:shd w:fill="auto" w:val="clear"/>
            <w:vAlign w:val="center"/>
          </w:tcPr>
          <w:p>
            <w:pPr>
              <w:pStyle w:val="TableContents"/>
              <w:spacing w:before="0" w:after="0"/>
              <w:rPr/>
            </w:pPr>
            <w:r>
              <w:rPr/>
              <w:t xml:space="preserve">     </w:t>
            </w:r>
            <w:r>
              <w:rPr/>
              <w:drawing>
                <wp:inline distT="0" distB="0" distL="0" distR="0">
                  <wp:extent cx="212090" cy="21018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12090" cy="210185"/>
                          </a:xfrm>
                          <a:prstGeom prst="rect">
                            <a:avLst/>
                          </a:prstGeom>
                        </pic:spPr>
                      </pic:pic>
                    </a:graphicData>
                  </a:graphic>
                </wp:inline>
              </w:drawing>
            </w:r>
            <w:r>
              <w:rPr/>
              <w:t xml:space="preserve"> </w:t>
            </w:r>
          </w:p>
          <w:p>
            <w:pPr>
              <w:pStyle w:val="TableContents"/>
              <w:spacing w:before="0" w:after="0"/>
              <w:jc w:val="right"/>
              <w:rPr>
                <w:rFonts w:ascii="arial" w:hAnsi="arial"/>
                <w:color w:val="FFFFFF"/>
                <w:sz w:val="2"/>
              </w:rPr>
            </w:pPr>
            <w:r>
              <w:rPr>
                <w:rFonts w:ascii="arial" w:hAnsi="arial"/>
                <w:color w:val="FFFFFF"/>
                <w:sz w:val="2"/>
              </w:rPr>
              <w:t>Base Salary 13% Performance-Based Annual Bonus Long-Term 19% Equity-Based Incentives 68% 87% At-Risk Compensation</w:t>
            </w:r>
          </w:p>
        </w:tc>
        <w:tc>
          <w:tcPr>
            <w:tcW w:w="101" w:type="dxa"/>
            <w:tcBorders/>
            <w:shd w:fill="9BA6C7" w:val="clear"/>
            <w:vAlign w:val="bottom"/>
          </w:tcPr>
          <w:p>
            <w:pPr>
              <w:pStyle w:val="TableContents"/>
              <w:spacing w:before="0" w:after="283"/>
              <w:rPr/>
            </w:pPr>
            <w:r>
              <w:rPr/>
              <w:t> </w:t>
            </w:r>
          </w:p>
        </w:tc>
        <w:tc>
          <w:tcPr>
            <w:tcW w:w="6634" w:type="dxa"/>
            <w:tcBorders/>
            <w:shd w:fill="9BA6C7"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Performance-Based Annual Bonus</w:t>
            </w:r>
          </w:p>
          <w:p>
            <w:pPr>
              <w:pStyle w:val="TableContents"/>
              <w:spacing w:before="0" w:after="20"/>
              <w:jc w:val="left"/>
              <w:rPr/>
            </w:pPr>
            <w:r>
              <w:rPr/>
              <w:t> </w:t>
            </w:r>
          </w:p>
        </w:tc>
      </w:tr>
      <w:tr>
        <w:trPr/>
        <w:tc>
          <w:tcPr>
            <w:tcW w:w="3470" w:type="dxa"/>
            <w:vMerge w:val="continue"/>
            <w:tcBorders/>
            <w:shd w:fill="auto" w:val="clear"/>
            <w:vAlign w:val="center"/>
          </w:tcPr>
          <w:p>
            <w:pPr>
              <w:pStyle w:val="Normal"/>
              <w:rPr/>
            </w:pPr>
            <w:r>
              <w:rPr/>
            </w:r>
          </w:p>
        </w:tc>
        <w:tc>
          <w:tcPr>
            <w:tcW w:w="101" w:type="dxa"/>
            <w:tcBorders/>
            <w:shd w:fill="auto" w:val="clear"/>
            <w:vAlign w:val="bottom"/>
          </w:tcPr>
          <w:p>
            <w:pPr>
              <w:pStyle w:val="TableContents"/>
              <w:spacing w:before="0" w:after="283"/>
              <w:rPr/>
            </w:pPr>
            <w:r>
              <w:rPr/>
              <w:t> </w:t>
            </w:r>
          </w:p>
        </w:tc>
        <w:tc>
          <w:tcPr>
            <w:tcW w:w="6634" w:type="dxa"/>
            <w:tcBorders/>
            <w:shd w:fill="auto" w:val="clear"/>
            <w:vAlign w:val="bottom"/>
          </w:tcPr>
          <w:p>
            <w:pPr>
              <w:pStyle w:val="TableContents"/>
              <w:spacing w:before="0" w:after="0"/>
              <w:rPr/>
            </w:pPr>
            <w:r>
              <w:rPr/>
              <w:t> </w:t>
            </w:r>
          </w:p>
          <w:p>
            <w:pPr>
              <w:pStyle w:val="TableContents"/>
              <w:spacing w:before="0" w:after="0"/>
              <w:rPr>
                <w:rFonts w:ascii="arial" w:hAnsi="arial"/>
                <w:b/>
                <w:sz w:val="16"/>
              </w:rPr>
            </w:pPr>
            <w:r>
              <w:rPr>
                <w:rFonts w:ascii="arial" w:hAnsi="arial"/>
                <w:b/>
                <w:color w:val="001C71"/>
                <w:sz w:val="16"/>
              </w:rPr>
              <w:t></w:t>
            </w:r>
            <w:r>
              <w:rPr>
                <w:rFonts w:ascii="arial" w:hAnsi="arial"/>
                <w:b/>
                <w:sz w:val="16"/>
              </w:rPr>
              <w:t> 85% ABP Earnings (as defined below)</w:t>
            </w:r>
          </w:p>
          <w:p>
            <w:pPr>
              <w:pStyle w:val="TableContents"/>
              <w:spacing w:before="0" w:after="0"/>
              <w:rPr>
                <w:rFonts w:ascii="arial" w:hAnsi="arial"/>
                <w:sz w:val="16"/>
              </w:rPr>
            </w:pPr>
            <w:r>
              <w:rPr>
                <w:rFonts w:ascii="arial" w:hAnsi="arial"/>
                <w:color w:val="001C71"/>
                <w:sz w:val="16"/>
              </w:rPr>
              <w:t></w:t>
            </w:r>
            <w:r>
              <w:rPr>
                <w:rFonts w:ascii="arial" w:hAnsi="arial"/>
                <w:sz w:val="16"/>
              </w:rPr>
              <w:t>  Provides accurate, comprehensive, and understandable picture of annual financial performance</w:t>
            </w:r>
          </w:p>
          <w:p>
            <w:pPr>
              <w:pStyle w:val="TableContents"/>
              <w:spacing w:before="0" w:after="0"/>
              <w:rPr>
                <w:rFonts w:ascii="arial" w:hAnsi="arial"/>
                <w:sz w:val="16"/>
              </w:rPr>
            </w:pPr>
            <w:r>
              <w:rPr>
                <w:rFonts w:ascii="arial" w:hAnsi="arial"/>
                <w:color w:val="001C71"/>
                <w:sz w:val="16"/>
              </w:rPr>
              <w:t></w:t>
            </w:r>
            <w:r>
              <w:rPr>
                <w:rFonts w:ascii="arial" w:hAnsi="arial"/>
                <w:sz w:val="16"/>
              </w:rPr>
              <w:t>  Adjusted to exclude the impact of non-contemplated acquisitions or divestitures, among other predefined adjustments</w:t>
            </w:r>
          </w:p>
          <w:p>
            <w:pPr>
              <w:pStyle w:val="TableContents"/>
              <w:spacing w:before="0" w:after="0"/>
              <w:rPr>
                <w:rFonts w:ascii="arial" w:hAnsi="arial"/>
                <w:b/>
                <w:sz w:val="16"/>
              </w:rPr>
            </w:pPr>
            <w:r>
              <w:rPr>
                <w:rFonts w:ascii="arial" w:hAnsi="arial"/>
                <w:b/>
                <w:color w:val="001C71"/>
                <w:sz w:val="16"/>
              </w:rPr>
              <w:t></w:t>
            </w:r>
            <w:r>
              <w:rPr>
                <w:rFonts w:ascii="arial" w:hAnsi="arial"/>
                <w:b/>
                <w:sz w:val="16"/>
              </w:rPr>
              <w:t> 15% Safety and Stakeholder Measures (as defined below)</w:t>
            </w:r>
          </w:p>
          <w:p>
            <w:pPr>
              <w:pStyle w:val="TableContents"/>
              <w:spacing w:before="0" w:after="0"/>
              <w:rPr>
                <w:rFonts w:ascii="arial" w:hAnsi="arial"/>
                <w:sz w:val="16"/>
              </w:rPr>
            </w:pPr>
            <w:r>
              <w:rPr>
                <w:rFonts w:ascii="arial" w:hAnsi="arial"/>
                <w:color w:val="001C71"/>
                <w:sz w:val="16"/>
              </w:rPr>
              <w:t></w:t>
            </w:r>
            <w:r>
              <w:rPr>
                <w:rFonts w:ascii="arial" w:hAnsi="arial"/>
                <w:sz w:val="16"/>
              </w:rPr>
              <w:t>  Promotes responsible and sustainable operations, and the safety of our customers and employees</w:t>
            </w:r>
          </w:p>
          <w:p>
            <w:pPr>
              <w:pStyle w:val="TableContents"/>
              <w:spacing w:before="0" w:after="20"/>
              <w:rPr/>
            </w:pPr>
            <w:r>
              <w:rPr/>
              <w:t> </w:t>
            </w:r>
          </w:p>
        </w:tc>
      </w:tr>
      <w:tr>
        <w:trPr/>
        <w:tc>
          <w:tcPr>
            <w:tcW w:w="3470" w:type="dxa"/>
            <w:vMerge w:val="continue"/>
            <w:tcBorders/>
            <w:shd w:fill="auto" w:val="clear"/>
            <w:vAlign w:val="center"/>
          </w:tcPr>
          <w:p>
            <w:pPr>
              <w:pStyle w:val="Normal"/>
              <w:rPr/>
            </w:pPr>
            <w:r>
              <w:rPr/>
            </w:r>
          </w:p>
        </w:tc>
        <w:tc>
          <w:tcPr>
            <w:tcW w:w="101" w:type="dxa"/>
            <w:tcBorders/>
            <w:shd w:fill="3F5494" w:val="clear"/>
            <w:vAlign w:val="bottom"/>
          </w:tcPr>
          <w:p>
            <w:pPr>
              <w:pStyle w:val="TableContents"/>
              <w:spacing w:before="0" w:after="283"/>
              <w:rPr/>
            </w:pPr>
            <w:r>
              <w:rPr/>
              <w:t> </w:t>
            </w:r>
          </w:p>
        </w:tc>
        <w:tc>
          <w:tcPr>
            <w:tcW w:w="6634" w:type="dxa"/>
            <w:tcBorders/>
            <w:shd w:fill="3F5494"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Long-Term Equity-Based Incentives(1)</w:t>
            </w:r>
          </w:p>
          <w:p>
            <w:pPr>
              <w:pStyle w:val="TableContents"/>
              <w:spacing w:before="0" w:after="20"/>
              <w:jc w:val="left"/>
              <w:rPr/>
            </w:pPr>
            <w:r>
              <w:rPr/>
              <w:t> </w:t>
            </w:r>
          </w:p>
        </w:tc>
      </w:tr>
      <w:tr>
        <w:trPr/>
        <w:tc>
          <w:tcPr>
            <w:tcW w:w="3470" w:type="dxa"/>
            <w:vMerge w:val="continue"/>
            <w:tcBorders/>
            <w:shd w:fill="auto" w:val="clear"/>
            <w:vAlign w:val="center"/>
          </w:tcPr>
          <w:p>
            <w:pPr>
              <w:pStyle w:val="Normal"/>
              <w:rPr/>
            </w:pPr>
            <w:r>
              <w:rPr/>
            </w:r>
          </w:p>
        </w:tc>
        <w:tc>
          <w:tcPr>
            <w:tcW w:w="101" w:type="dxa"/>
            <w:tcBorders/>
            <w:shd w:fill="auto" w:val="clear"/>
            <w:vAlign w:val="bottom"/>
          </w:tcPr>
          <w:p>
            <w:pPr>
              <w:pStyle w:val="TableContents"/>
              <w:spacing w:before="0" w:after="283"/>
              <w:rPr/>
            </w:pPr>
            <w:r>
              <w:rPr/>
              <w:t> </w:t>
            </w:r>
          </w:p>
        </w:tc>
        <w:tc>
          <w:tcPr>
            <w:tcW w:w="6634" w:type="dxa"/>
            <w:tcBorders/>
            <w:shd w:fill="auto" w:val="clear"/>
            <w:vAlign w:val="bottom"/>
          </w:tcPr>
          <w:p>
            <w:pPr>
              <w:pStyle w:val="TableContents"/>
              <w:spacing w:before="0" w:after="0"/>
              <w:rPr/>
            </w:pPr>
            <w:r>
              <w:rPr/>
              <w:t> </w:t>
            </w:r>
          </w:p>
          <w:p>
            <w:pPr>
              <w:pStyle w:val="TableContents"/>
              <w:spacing w:before="0" w:after="0"/>
              <w:rPr>
                <w:rFonts w:ascii="arial" w:hAnsi="arial"/>
                <w:b/>
                <w:sz w:val="16"/>
              </w:rPr>
            </w:pPr>
            <w:r>
              <w:rPr>
                <w:rFonts w:ascii="arial" w:hAnsi="arial"/>
                <w:b/>
                <w:color w:val="001C71"/>
                <w:sz w:val="16"/>
              </w:rPr>
              <w:t></w:t>
            </w:r>
            <w:r>
              <w:rPr>
                <w:rFonts w:ascii="arial" w:hAnsi="arial"/>
                <w:b/>
                <w:sz w:val="16"/>
              </w:rPr>
              <w:t> Performance-Based Restricted Stock Units (weighted at 70% collectively)</w:t>
            </w:r>
          </w:p>
          <w:p>
            <w:pPr>
              <w:pStyle w:val="TableContents"/>
              <w:spacing w:before="0" w:after="0"/>
              <w:rPr>
                <w:rFonts w:ascii="arial" w:hAnsi="arial"/>
                <w:sz w:val="16"/>
              </w:rPr>
            </w:pPr>
            <w:r>
              <w:rPr>
                <w:rFonts w:ascii="arial" w:hAnsi="arial"/>
                <w:color w:val="001C71"/>
                <w:sz w:val="16"/>
              </w:rPr>
              <w:t></w:t>
            </w:r>
            <w:r>
              <w:rPr>
                <w:rFonts w:ascii="arial" w:hAnsi="arial"/>
                <w:sz w:val="16"/>
              </w:rPr>
              <w:t>  50% based on 3-year relative total shareholder return (TSR)</w:t>
            </w:r>
          </w:p>
          <w:p>
            <w:pPr>
              <w:pStyle w:val="TableContents"/>
              <w:spacing w:before="0" w:after="0"/>
              <w:rPr>
                <w:rFonts w:ascii="arial" w:hAnsi="arial"/>
                <w:sz w:val="16"/>
              </w:rPr>
            </w:pPr>
            <w:r>
              <w:rPr>
                <w:rFonts w:ascii="arial" w:hAnsi="arial"/>
                <w:color w:val="001C71"/>
                <w:sz w:val="16"/>
              </w:rPr>
              <w:t></w:t>
            </w:r>
            <w:r>
              <w:rPr>
                <w:rFonts w:ascii="arial" w:hAnsi="arial"/>
                <w:sz w:val="16"/>
              </w:rPr>
              <w:t> 35% based on 3-year relative TSR vs. S&amp;P 500 Utilities Index(2)</w:t>
            </w:r>
          </w:p>
          <w:p>
            <w:pPr>
              <w:pStyle w:val="TableContents"/>
              <w:spacing w:before="0" w:after="0"/>
              <w:rPr>
                <w:rFonts w:ascii="arial" w:hAnsi="arial"/>
                <w:sz w:val="16"/>
              </w:rPr>
            </w:pPr>
            <w:r>
              <w:rPr>
                <w:rFonts w:ascii="arial" w:hAnsi="arial"/>
                <w:color w:val="001C71"/>
                <w:sz w:val="16"/>
              </w:rPr>
              <w:t></w:t>
            </w:r>
            <w:r>
              <w:rPr>
                <w:rFonts w:ascii="arial" w:hAnsi="arial"/>
                <w:sz w:val="16"/>
              </w:rPr>
              <w:t> 15% based on 3-year relative TSR vs. S&amp;P 500 Index</w:t>
            </w:r>
          </w:p>
          <w:p>
            <w:pPr>
              <w:pStyle w:val="TableContents"/>
              <w:spacing w:before="0" w:after="0"/>
              <w:rPr>
                <w:rFonts w:ascii="arial" w:hAnsi="arial"/>
                <w:sz w:val="16"/>
              </w:rPr>
            </w:pPr>
            <w:r>
              <w:rPr>
                <w:rFonts w:ascii="arial" w:hAnsi="arial"/>
                <w:color w:val="001C71"/>
                <w:sz w:val="16"/>
              </w:rPr>
              <w:t></w:t>
            </w:r>
            <w:r>
              <w:rPr>
                <w:rFonts w:ascii="arial" w:hAnsi="arial"/>
                <w:sz w:val="16"/>
              </w:rPr>
              <w:t>  20% based on 3-year EPS CAGR with payout scale set based on forward consensus estimates of S&amp;P 500 Utilities peers(2)</w:t>
            </w:r>
          </w:p>
          <w:p>
            <w:pPr>
              <w:pStyle w:val="TableContents"/>
              <w:spacing w:before="0" w:after="0"/>
              <w:rPr>
                <w:rFonts w:ascii="arial" w:hAnsi="arial"/>
                <w:b/>
                <w:sz w:val="16"/>
              </w:rPr>
            </w:pPr>
            <w:r>
              <w:rPr>
                <w:rFonts w:ascii="arial" w:hAnsi="arial"/>
                <w:b/>
                <w:color w:val="001C71"/>
                <w:sz w:val="16"/>
              </w:rPr>
              <w:t></w:t>
            </w:r>
            <w:r>
              <w:rPr>
                <w:rFonts w:ascii="arial" w:hAnsi="arial"/>
                <w:b/>
                <w:sz w:val="16"/>
              </w:rPr>
              <w:t> Stock Options (weighted at 30%)</w:t>
            </w:r>
          </w:p>
          <w:p>
            <w:pPr>
              <w:pStyle w:val="TableContents"/>
              <w:spacing w:before="0" w:after="0"/>
              <w:rPr>
                <w:rFonts w:ascii="arial" w:hAnsi="arial"/>
                <w:sz w:val="16"/>
              </w:rPr>
            </w:pPr>
            <w:r>
              <w:rPr>
                <w:rFonts w:ascii="arial" w:hAnsi="arial"/>
                <w:color w:val="001C71"/>
                <w:sz w:val="16"/>
              </w:rPr>
              <w:t></w:t>
            </w:r>
            <w:r>
              <w:rPr>
                <w:rFonts w:ascii="arial" w:hAnsi="arial"/>
                <w:sz w:val="16"/>
              </w:rPr>
              <w:t>  Focus on growth and shareholder alignment</w:t>
            </w:r>
          </w:p>
          <w:p>
            <w:pPr>
              <w:pStyle w:val="TableContents"/>
              <w:spacing w:before="0" w:after="20"/>
              <w:rPr/>
            </w:pPr>
            <w:r>
              <w:rPr/>
              <w:t> </w:t>
            </w:r>
          </w:p>
        </w:tc>
      </w:tr>
    </w:tbl>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As used in this proxy statement, the term long-term equity-based incentives refers to the annual long-term incentive plan (LTIP) awards granted on January 2, 2020 and, unless stated or the context indicates otherwise, does not include any special awards. </w:t>
            </w:r>
          </w:p>
        </w:tc>
      </w:tr>
    </w:tbl>
    <w:p>
      <w:pPr>
        <w:pStyle w:val="TextBody"/>
        <w:spacing w:before="0" w:after="0"/>
        <w:jc w:val="left"/>
        <w:rPr>
          <w:highlight w:val="white"/>
        </w:rPr>
      </w:pPr>
      <w:r>
        <w:rPr>
          <w:highlight w:val="white"/>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(2)</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For purposes of long-term equity-based incentives and labor market benchmarking, all references to the S&amp;P 500 Utilities Index or our S&amp;P 500 Utilities Index peers refers to the companies constituting the S&amp;P 500 Utilities Index, excluding water companies. </w:t>
            </w:r>
          </w:p>
        </w:tc>
      </w:tr>
    </w:tbl>
    <w:p>
      <w:pPr>
        <w:pStyle w:val="TextBody"/>
        <w:spacing w:before="80" w:after="0"/>
        <w:jc w:val="left"/>
        <w:rPr>
          <w:rFonts w:ascii="arial" w:hAnsi="arial"/>
          <w:i/>
          <w:sz w:val="14"/>
          <w:highlight w:val="white"/>
        </w:rPr>
      </w:pPr>
      <w:r>
        <w:rPr>
          <w:rFonts w:ascii="arial" w:hAnsi="arial"/>
          <w:i/>
          <w:sz w:val="14"/>
          <w:highlight w:val="white"/>
        </w:rPr>
        <w:t xml:space="preserve">Note: The Chief Executive Officers pay mix at target is based on 2020 annual base salary, 2020 target performance-based annual bonus and the target grant date value of the Chief Executive Officers 2020 long-term equity-based incentives. </w:t>
      </w:r>
    </w:p>
    <w:p>
      <w:pPr>
        <w:pStyle w:val="TextBody"/>
        <w:spacing w:before="120" w:after="0"/>
        <w:jc w:val="left"/>
        <w:rPr>
          <w:rFonts w:ascii="arial" w:hAnsi="arial"/>
          <w:b/>
          <w:sz w:val="16"/>
          <w:highlight w:val="white"/>
        </w:rPr>
      </w:pPr>
      <w:r>
        <w:rPr>
          <w:rFonts w:ascii="arial" w:hAnsi="arial"/>
          <w:b/>
          <w:sz w:val="16"/>
          <w:highlight w:val="white"/>
        </w:rPr>
        <w:t xml:space="preserve">2020 Compensation Decisions and Outcomes </w:t>
      </w:r>
    </w:p>
    <w:p>
      <w:pPr>
        <w:pStyle w:val="TextBody"/>
        <w:spacing w:before="120" w:after="0"/>
        <w:jc w:val="left"/>
        <w:rPr>
          <w:rFonts w:ascii="arial" w:hAnsi="arial"/>
          <w:sz w:val="16"/>
          <w:highlight w:val="white"/>
        </w:rPr>
      </w:pPr>
      <w:r>
        <w:rPr>
          <w:rFonts w:ascii="arial" w:hAnsi="arial"/>
          <w:b/>
          <w:i/>
          <w:sz w:val="16"/>
          <w:highlight w:val="white"/>
        </w:rPr>
        <w:t>Base Salary.</w:t>
      </w:r>
      <w:r>
        <w:rPr>
          <w:rFonts w:ascii="arial" w:hAnsi="arial"/>
          <w:sz w:val="16"/>
          <w:highlight w:val="white"/>
        </w:rPr>
        <w:t xml:space="preserve"> Messrs. Martin and Mihalik received 2020 annual salary planning increases of 8.3% and 12.3%, respectively, in order to bring their salaries closer to the median salary of our general industry peer group. Mr. Wall received a salary increase of 13.7% in 2020, which reflects his promotion to Senior Vice President, Controller and Chief Accounting Officer effective April 4, 2020. Mr. Sagara received a 2020 salary planning increase of 4.0% in his prior role with SDG&amp;E and an additional salary increase of 28.1% when he was promoted to Executive Vice President and Group President of Sempra Energy effective June 27, 2020. </w:t>
      </w:r>
    </w:p>
    <w:p>
      <w:pPr>
        <w:pStyle w:val="TextBody"/>
        <w:spacing w:before="120" w:after="0"/>
        <w:jc w:val="left"/>
        <w:rPr>
          <w:rFonts w:ascii="arial" w:hAnsi="arial"/>
          <w:sz w:val="16"/>
          <w:highlight w:val="white"/>
        </w:rPr>
      </w:pPr>
      <w:r>
        <w:rPr>
          <w:rFonts w:ascii="arial" w:hAnsi="arial"/>
          <w:b/>
          <w:i/>
          <w:sz w:val="16"/>
          <w:highlight w:val="white"/>
        </w:rPr>
        <w:t>Performance-Based Annual Bonus.</w:t>
      </w:r>
      <w:r>
        <w:rPr>
          <w:rFonts w:ascii="arial" w:hAnsi="arial"/>
          <w:sz w:val="16"/>
          <w:highlight w:val="white"/>
        </w:rPr>
        <w:t xml:space="preserve"> Our 2020 target earnings for annual bonus plan purposes (ABP Earnings) were $2,032 million, an increase of $332 million, or 20%, over our 2019 target ABP Earnings of $1,700 million, and an increase of $52 million, or 3%, over our actual ABP Earnings for 2019. Actual ABP Earnings for 2020 were $2,339 million, which exceeded our maximum goal of $2,113 million. In determining ABP Earnings for 2020, the Compensation and Talent Development Committee made certain predefined adjustments to GAAP earnings. See Reconciliation of GAAP Earnings to ABP Earnings on page 56 and Appendix D to this proxy statement for additional information. After accounting for performance on employee and public safety measures (Safety Measures) and customer service and other stakeholder measures (Stakeholder Measures, and together with Safety Measures, Safety and Stakeholder Measures), 2020 annual bonuses were achieved at 198% of target. </w:t>
      </w:r>
    </w:p>
    <w:p>
      <w:pPr>
        <w:pStyle w:val="TextBody"/>
        <w:spacing w:before="120" w:after="0"/>
        <w:jc w:val="left"/>
        <w:rPr>
          <w:rFonts w:ascii="arial" w:hAnsi="arial"/>
          <w:sz w:val="16"/>
          <w:highlight w:val="white"/>
        </w:rPr>
      </w:pPr>
      <w:r>
        <w:rPr>
          <w:rFonts w:ascii="arial" w:hAnsi="arial"/>
          <w:b/>
          <w:i/>
          <w:sz w:val="16"/>
          <w:highlight w:val="white"/>
        </w:rPr>
        <w:t>Long-Term Equity-Based Incentives.</w:t>
      </w:r>
      <w:r>
        <w:rPr>
          <w:rFonts w:ascii="arial" w:hAnsi="arial"/>
          <w:sz w:val="16"/>
          <w:highlight w:val="white"/>
        </w:rPr>
        <w:t xml:space="preserve"> Long-term equity-based incentives are the largest single component of the total 2020 target compensation package for each named executive officer who is still in service with our company. In accordance with our pay-for-performance philosophy, 100% of our Chief Executive Officers 2020 annual LTIP award was performance-based, with 50% of the awards grant date value tied to relative TSR performance, 20% tied to EPS growth and 30% in nonqualified stock options, which the Compensation and Talent Development Committee views as performance-based because their value depends on our stock price increasing over time. </w:t>
      </w:r>
    </w:p>
    <w:p>
      <w:pPr>
        <w:pStyle w:val="TextBody"/>
        <w:jc w:val="left"/>
        <w:rPr>
          <w:highlight w:val="white"/>
        </w:rPr>
      </w:pPr>
      <w:r>
        <w:rPr>
          <w:highlight w:val="white"/>
        </w:rPr>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9798"/>
        <w:gridCol w:w="101"/>
        <w:gridCol w:w="306"/>
      </w:tblGrid>
      <w:tr>
        <w:trPr/>
        <w:tc>
          <w:tcPr>
            <w:tcW w:w="979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8"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7</w:t>
            </w:r>
          </w:p>
        </w:tc>
      </w:tr>
    </w:tbl>
    <w:p>
      <w:pPr>
        <w:pStyle w:val="TextBody"/>
        <w:spacing w:before="0" w:after="0"/>
        <w:jc w:val="left"/>
        <w:rPr>
          <w:highlight w:val="white"/>
        </w:rPr>
      </w:pPr>
      <w:r>
        <w:rPr>
          <w:highlight w:val="white"/>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highlight w:val="white"/>
        </w:rPr>
      </w:pPr>
      <w:r>
        <w:rPr>
          <w:rFonts w:ascii="arial" w:hAnsi="arial"/>
          <w:color w:val="3F3F3F"/>
          <w:sz w:val="18"/>
          <w:highlight w:val="white"/>
        </w:rPr>
        <w:t xml:space="preserve">Proxy Statement Summary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xml:space="preserve">     </w:t>
      </w:r>
    </w:p>
    <w:p>
      <w:pPr>
        <w:pStyle w:val="TextBody"/>
        <w:spacing w:before="0" w:after="0"/>
        <w:jc w:val="left"/>
        <w:rPr>
          <w:rFonts w:ascii="arial" w:hAnsi="arial"/>
          <w:b/>
          <w:sz w:val="32"/>
          <w:highlight w:val="white"/>
        </w:rPr>
      </w:pPr>
      <w:r>
        <w:rPr>
          <w:rFonts w:ascii="arial" w:hAnsi="arial"/>
          <w:b/>
          <w:sz w:val="32"/>
          <w:highlight w:val="white"/>
        </w:rPr>
        <w:t xml:space="preserve">Voting Information </w:t>
      </w:r>
    </w:p>
    <w:p>
      <w:pPr>
        <w:pStyle w:val="TextBody"/>
        <w:spacing w:before="360" w:after="0"/>
        <w:jc w:val="left"/>
        <w:rPr>
          <w:rFonts w:ascii="arial" w:hAnsi="arial"/>
          <w:sz w:val="16"/>
          <w:highlight w:val="white"/>
        </w:rPr>
      </w:pPr>
      <w:r>
        <w:rPr>
          <w:rFonts w:ascii="arial" w:hAnsi="arial"/>
          <w:b/>
          <w:sz w:val="16"/>
          <w:highlight w:val="white"/>
        </w:rPr>
        <w:t>Eligibility:</w:t>
      </w:r>
      <w:r>
        <w:rPr>
          <w:rFonts w:ascii="arial" w:hAnsi="arial"/>
          <w:sz w:val="16"/>
          <w:highlight w:val="white"/>
        </w:rPr>
        <w:t xml:space="preserve"> Shareholders of our common stock at the close of business on the record date, March 19, 2021, are entitled to notice of the Annual Shareholders Meeting and to vote their shares as described below on each of the proposals to be voted on at the meeting. Each share of common stock is entitled to one vote on each director nominee and one vote on each of the other proposals to be voted on at the meeting. </w:t>
      </w:r>
    </w:p>
    <w:p>
      <w:pPr>
        <w:pStyle w:val="TextBody"/>
        <w:spacing w:before="160" w:after="0"/>
        <w:jc w:val="left"/>
        <w:rPr>
          <w:rFonts w:ascii="arial" w:hAnsi="arial"/>
          <w:b/>
          <w:sz w:val="18"/>
          <w:highlight w:val="white"/>
        </w:rPr>
      </w:pPr>
      <w:r>
        <w:rPr>
          <w:rFonts w:ascii="arial" w:hAnsi="arial"/>
          <w:b/>
          <w:sz w:val="18"/>
          <w:highlight w:val="white"/>
        </w:rPr>
        <w:t xml:space="preserve">Record Shareholders May Vote in the Following Ways: </w:t>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1735"/>
        <w:gridCol w:w="101"/>
        <w:gridCol w:w="1837"/>
        <w:gridCol w:w="101"/>
        <w:gridCol w:w="1736"/>
        <w:gridCol w:w="101"/>
        <w:gridCol w:w="1736"/>
        <w:gridCol w:w="101"/>
        <w:gridCol w:w="2757"/>
      </w:tblGrid>
      <w:tr>
        <w:trPr/>
        <w:tc>
          <w:tcPr>
            <w:tcW w:w="173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757" w:type="dxa"/>
            <w:tcBorders/>
            <w:shd w:fill="auto" w:val="clear"/>
            <w:vAlign w:val="center"/>
          </w:tcPr>
          <w:p>
            <w:pPr>
              <w:pStyle w:val="TableContents"/>
              <w:spacing w:before="0" w:after="283"/>
              <w:rPr>
                <w:sz w:val="4"/>
                <w:szCs w:val="4"/>
              </w:rPr>
            </w:pPr>
            <w:r>
              <w:rPr>
                <w:sz w:val="4"/>
                <w:szCs w:val="4"/>
              </w:rPr>
            </w:r>
          </w:p>
        </w:tc>
      </w:tr>
      <w:tr>
        <w:trPr/>
        <w:tc>
          <w:tcPr>
            <w:tcW w:w="1735"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47625" cy="476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7625" cy="47625"/>
                          </a:xfrm>
                          <a:prstGeom prst="rect">
                            <a:avLst/>
                          </a:prstGeom>
                        </pic:spPr>
                      </pic:pic>
                    </a:graphicData>
                  </a:graphic>
                </wp:inline>
              </w:drawing>
            </w:r>
            <w:r>
              <w:rPr/>
              <w:t xml:space="preserve"> </w:t>
            </w:r>
          </w:p>
        </w:tc>
        <w:tc>
          <w:tcPr>
            <w:tcW w:w="101"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34290" cy="4191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4290" cy="41910"/>
                          </a:xfrm>
                          <a:prstGeom prst="rect">
                            <a:avLst/>
                          </a:prstGeom>
                        </pic:spPr>
                      </pic:pic>
                    </a:graphicData>
                  </a:graphic>
                </wp:inline>
              </w:drawing>
            </w:r>
            <w:r>
              <w:rPr/>
              <w:t xml:space="preserve"> </w:t>
            </w:r>
          </w:p>
        </w:tc>
        <w:tc>
          <w:tcPr>
            <w:tcW w:w="101" w:type="dxa"/>
            <w:tcBorders/>
            <w:shd w:fill="auto" w:val="clear"/>
            <w:vAlign w:val="bottom"/>
          </w:tcPr>
          <w:p>
            <w:pPr>
              <w:pStyle w:val="TableContents"/>
              <w:spacing w:before="0" w:after="283"/>
              <w:rPr/>
            </w:pPr>
            <w:r>
              <w:rPr/>
              <w:t> </w:t>
            </w:r>
          </w:p>
        </w:tc>
        <w:tc>
          <w:tcPr>
            <w:tcW w:w="1736"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40005" cy="2921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0005" cy="29210"/>
                          </a:xfrm>
                          <a:prstGeom prst="rect">
                            <a:avLst/>
                          </a:prstGeom>
                        </pic:spPr>
                      </pic:pic>
                    </a:graphicData>
                  </a:graphic>
                </wp:inline>
              </w:drawing>
            </w:r>
            <w:r>
              <w:rPr/>
              <w:t xml:space="preserve"> </w:t>
            </w:r>
          </w:p>
        </w:tc>
        <w:tc>
          <w:tcPr>
            <w:tcW w:w="101" w:type="dxa"/>
            <w:tcBorders/>
            <w:shd w:fill="auto" w:val="clear"/>
            <w:vAlign w:val="bottom"/>
          </w:tcPr>
          <w:p>
            <w:pPr>
              <w:pStyle w:val="TableContents"/>
              <w:spacing w:before="0" w:after="283"/>
              <w:rPr/>
            </w:pPr>
            <w:r>
              <w:rPr/>
              <w:t> </w:t>
            </w:r>
          </w:p>
        </w:tc>
        <w:tc>
          <w:tcPr>
            <w:tcW w:w="1736" w:type="dxa"/>
            <w:tcBorders/>
            <w:shd w:fill="auto" w:val="clear"/>
            <w:vAlign w:val="bottom"/>
          </w:tcPr>
          <w:p>
            <w:pPr>
              <w:pStyle w:val="TableContents"/>
              <w:spacing w:before="0" w:after="283"/>
              <w:jc w:val="center"/>
              <w:rPr/>
            </w:pPr>
            <w:r>
              <w:rPr/>
              <w:drawing>
                <wp:inline distT="0" distB="0" distL="0" distR="0">
                  <wp:extent cx="28575" cy="4953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8575" cy="49530"/>
                          </a:xfrm>
                          <a:prstGeom prst="rect">
                            <a:avLst/>
                          </a:prstGeom>
                        </pic:spPr>
                      </pic:pic>
                    </a:graphicData>
                  </a:graphic>
                </wp:inline>
              </w:drawing>
            </w:r>
            <w:r>
              <w:rPr/>
              <w:t xml:space="preserve"> </w:t>
            </w:r>
          </w:p>
        </w:tc>
        <w:tc>
          <w:tcPr>
            <w:tcW w:w="101" w:type="dxa"/>
            <w:tcBorders/>
            <w:shd w:fill="auto" w:val="clear"/>
            <w:vAlign w:val="bottom"/>
          </w:tcPr>
          <w:p>
            <w:pPr>
              <w:pStyle w:val="TableContents"/>
              <w:spacing w:before="0" w:after="283"/>
              <w:rPr/>
            </w:pPr>
            <w:r>
              <w:rPr/>
              <w:t> </w:t>
            </w:r>
          </w:p>
        </w:tc>
        <w:tc>
          <w:tcPr>
            <w:tcW w:w="2757" w:type="dxa"/>
            <w:tcBorders/>
            <w:shd w:fill="auto" w:val="clear"/>
            <w:vAlign w:val="bottom"/>
          </w:tcPr>
          <w:p>
            <w:pPr>
              <w:pStyle w:val="TableContents"/>
              <w:spacing w:before="0" w:after="283"/>
              <w:jc w:val="center"/>
              <w:rPr/>
            </w:pPr>
            <w:r>
              <w:rPr/>
              <w:drawing>
                <wp:inline distT="0" distB="0" distL="0" distR="0">
                  <wp:extent cx="47625" cy="400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7625" cy="40005"/>
                          </a:xfrm>
                          <a:prstGeom prst="rect">
                            <a:avLst/>
                          </a:prstGeom>
                        </pic:spPr>
                      </pic:pic>
                    </a:graphicData>
                  </a:graphic>
                </wp:inline>
              </w:drawing>
            </w:r>
            <w:r>
              <w:rPr/>
              <w:t xml:space="preserve"> </w:t>
            </w:r>
          </w:p>
        </w:tc>
      </w:tr>
      <w:tr>
        <w:trPr/>
        <w:tc>
          <w:tcPr>
            <w:tcW w:w="1735" w:type="dxa"/>
            <w:tcBorders/>
            <w:shd w:fill="auto" w:val="clea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Using the</w:t>
            </w:r>
          </w:p>
          <w:p>
            <w:pPr>
              <w:pStyle w:val="TableContents"/>
              <w:spacing w:before="0" w:after="0"/>
              <w:jc w:val="center"/>
              <w:rPr>
                <w:rFonts w:ascii="arial" w:hAnsi="arial"/>
                <w:sz w:val="16"/>
              </w:rPr>
            </w:pPr>
            <w:r>
              <w:rPr>
                <w:rFonts w:ascii="arial" w:hAnsi="arial"/>
                <w:sz w:val="16"/>
              </w:rPr>
              <w:t>Internet at</w:t>
            </w:r>
          </w:p>
          <w:p>
            <w:pPr>
              <w:pStyle w:val="TableContents"/>
              <w:spacing w:before="0" w:after="20"/>
              <w:jc w:val="center"/>
              <w:rPr>
                <w:rFonts w:ascii="arial" w:hAnsi="arial"/>
                <w:sz w:val="16"/>
              </w:rPr>
            </w:pPr>
            <w:r>
              <w:rPr>
                <w:rFonts w:ascii="arial" w:hAnsi="arial"/>
                <w:sz w:val="16"/>
              </w:rPr>
              <w:t>www.proxyvote.com</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Calling</w:t>
              <w:br/>
              <w:t>1-800-690-6903</w:t>
              <w:br/>
              <w:t>in the U.S.</w:t>
            </w:r>
          </w:p>
          <w:p>
            <w:pPr>
              <w:pStyle w:val="TableContents"/>
              <w:spacing w:before="0" w:after="20"/>
              <w:jc w:val="center"/>
              <w:rPr>
                <w:rFonts w:ascii="arial" w:hAnsi="arial"/>
                <w:sz w:val="16"/>
              </w:rPr>
            </w:pPr>
            <w:r>
              <w:rPr>
                <w:rFonts w:ascii="arial" w:hAnsi="arial"/>
                <w:sz w:val="16"/>
              </w:rPr>
              <w:t>and Canada</w:t>
            </w:r>
          </w:p>
        </w:tc>
        <w:tc>
          <w:tcPr>
            <w:tcW w:w="101" w:type="dxa"/>
            <w:tcBorders/>
            <w:shd w:fill="auto" w:val="clear"/>
            <w:vAlign w:val="bottom"/>
          </w:tcPr>
          <w:p>
            <w:pPr>
              <w:pStyle w:val="TableContents"/>
              <w:spacing w:before="0" w:after="283"/>
              <w:rPr/>
            </w:pPr>
            <w:r>
              <w:rPr/>
              <w:t> </w:t>
            </w:r>
          </w:p>
        </w:tc>
        <w:tc>
          <w:tcPr>
            <w:tcW w:w="1736" w:type="dxa"/>
            <w:tcBorders/>
            <w:shd w:fill="auto" w:val="clea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Mailing your marked,</w:t>
            </w:r>
          </w:p>
          <w:p>
            <w:pPr>
              <w:pStyle w:val="TableContents"/>
              <w:spacing w:before="0" w:after="0"/>
              <w:jc w:val="center"/>
              <w:rPr>
                <w:rFonts w:ascii="arial" w:hAnsi="arial"/>
                <w:sz w:val="16"/>
              </w:rPr>
            </w:pPr>
            <w:r>
              <w:rPr>
                <w:rFonts w:ascii="arial" w:hAnsi="arial"/>
                <w:sz w:val="16"/>
              </w:rPr>
              <w:t>dated and signed</w:t>
            </w:r>
          </w:p>
          <w:p>
            <w:pPr>
              <w:pStyle w:val="TableContents"/>
              <w:spacing w:before="0" w:after="20"/>
              <w:jc w:val="center"/>
              <w:rPr>
                <w:rFonts w:ascii="arial" w:hAnsi="arial"/>
                <w:sz w:val="16"/>
              </w:rPr>
            </w:pPr>
            <w:r>
              <w:rPr>
                <w:rFonts w:ascii="arial" w:hAnsi="arial"/>
                <w:sz w:val="16"/>
              </w:rPr>
              <w:t>proxy card</w:t>
            </w:r>
          </w:p>
        </w:tc>
        <w:tc>
          <w:tcPr>
            <w:tcW w:w="101" w:type="dxa"/>
            <w:tcBorders/>
            <w:shd w:fill="auto" w:val="clear"/>
            <w:vAlign w:val="bottom"/>
          </w:tcPr>
          <w:p>
            <w:pPr>
              <w:pStyle w:val="TableContents"/>
              <w:spacing w:before="0" w:after="283"/>
              <w:rPr/>
            </w:pPr>
            <w:r>
              <w:rPr/>
              <w:t> </w:t>
            </w:r>
          </w:p>
        </w:tc>
        <w:tc>
          <w:tcPr>
            <w:tcW w:w="1736"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Scanning the QR code</w:t>
              <w:br/>
              <w:t>included in your</w:t>
              <w:br/>
              <w:t>proxy materials</w:t>
            </w:r>
          </w:p>
        </w:tc>
        <w:tc>
          <w:tcPr>
            <w:tcW w:w="101" w:type="dxa"/>
            <w:tcBorders/>
            <w:shd w:fill="auto" w:val="clear"/>
            <w:vAlign w:val="bottom"/>
          </w:tcPr>
          <w:p>
            <w:pPr>
              <w:pStyle w:val="TableContents"/>
              <w:spacing w:before="0" w:after="283"/>
              <w:rPr/>
            </w:pPr>
            <w:r>
              <w:rPr/>
              <w:t> </w:t>
            </w:r>
          </w:p>
        </w:tc>
        <w:tc>
          <w:tcPr>
            <w:tcW w:w="2757" w:type="dxa"/>
            <w:tcBorders/>
            <w:shd w:fill="auto" w:val="clear"/>
            <w:vAlign w:val="bottom"/>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Attending the Annual Shareholders Meeting at</w:t>
            </w:r>
          </w:p>
          <w:p>
            <w:pPr>
              <w:pStyle w:val="TableContents"/>
              <w:spacing w:before="0" w:after="20"/>
              <w:jc w:val="center"/>
              <w:rPr>
                <w:rFonts w:ascii="arial" w:hAnsi="arial"/>
                <w:sz w:val="16"/>
              </w:rPr>
            </w:pPr>
            <w:r>
              <w:rPr>
                <w:rFonts w:ascii="arial" w:hAnsi="arial"/>
                <w:sz w:val="16"/>
              </w:rPr>
              <w:t>www.virtualshareholdermeeting.com</w:t>
              <w:br/>
              <w:t>/SRE2021</w:t>
            </w:r>
          </w:p>
        </w:tc>
      </w:tr>
    </w:tbl>
    <w:p>
      <w:pPr>
        <w:pStyle w:val="TextBody"/>
        <w:spacing w:before="240" w:after="0"/>
        <w:jc w:val="left"/>
        <w:rPr>
          <w:rFonts w:ascii="arial" w:hAnsi="arial"/>
          <w:sz w:val="16"/>
          <w:highlight w:val="white"/>
        </w:rPr>
      </w:pPr>
      <w:r>
        <w:rPr>
          <w:rFonts w:ascii="arial" w:hAnsi="arial"/>
          <w:sz w:val="16"/>
          <w:highlight w:val="white"/>
        </w:rPr>
        <w:t xml:space="preserve">For Internet and telephone voting, you will need to have your notice about the Internet availability of our proxy materials or proxy card available and use the company number and account number shown on the notice and card. Internet and telephone voting are available for shareholders of record until 11:59 p.m. Eastern Time on May 13, 2021. </w:t>
      </w:r>
    </w:p>
    <w:p>
      <w:pPr>
        <w:pStyle w:val="TextBody"/>
        <w:spacing w:before="160" w:after="0"/>
        <w:jc w:val="left"/>
        <w:rPr>
          <w:rFonts w:ascii="arial" w:hAnsi="arial"/>
          <w:sz w:val="16"/>
          <w:highlight w:val="white"/>
        </w:rPr>
      </w:pPr>
      <w:r>
        <w:rPr>
          <w:rFonts w:ascii="arial" w:hAnsi="arial"/>
          <w:b/>
          <w:sz w:val="16"/>
          <w:highlight w:val="white"/>
        </w:rPr>
        <w:t xml:space="preserve">Voting By Other Shareholders: </w:t>
      </w:r>
      <w:r>
        <w:rPr>
          <w:rFonts w:ascii="arial" w:hAnsi="arial"/>
          <w:sz w:val="16"/>
          <w:highlight w:val="white"/>
        </w:rPr>
        <w:t xml:space="preserve">Beneficial owners of shares should follow the voting instructions provided by their bank, broker or other nominee. If you hold shares in the Sempra Energy Employee Savings Plans, you are considered a beneficial owner of such shares and your voting instructions with respect to such shares must be received by 8 a.m. Eastern Time on May 11, 2021. </w:t>
      </w:r>
    </w:p>
    <w:p>
      <w:pPr>
        <w:pStyle w:val="TextBody"/>
        <w:jc w:val="left"/>
        <w:rPr>
          <w:highlight w:val="white"/>
        </w:rPr>
      </w:pPr>
      <w:r>
        <w:rPr>
          <w:highlight w:val="white"/>
        </w:rPr>
      </w:r>
    </w:p>
    <w:p>
      <w:pPr>
        <w:pStyle w:val="TextBody"/>
        <w:spacing w:before="0" w:after="0"/>
        <w:jc w:val="left"/>
        <w:rPr>
          <w:highlight w:val="white"/>
        </w:rPr>
      </w:pPr>
      <w:r>
        <w:rPr>
          <w:highlight w:val="white"/>
        </w:rPr>
        <w:t> </w:t>
      </w:r>
    </w:p>
    <w:tbl>
      <w:tblPr>
        <w:tblW w:w="5000" w:type="pct"/>
        <w:jc w:val="center"/>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8</w:t>
            </w:r>
          </w:p>
        </w:tc>
        <w:tc>
          <w:tcPr>
            <w:tcW w:w="101" w:type="dxa"/>
            <w:tcBorders/>
            <w:shd w:fill="auto" w:val="clear"/>
            <w:vAlign w:val="bottom"/>
          </w:tcPr>
          <w:p>
            <w:pPr>
              <w:pStyle w:val="TableContents"/>
              <w:spacing w:before="0" w:after="283"/>
              <w:rPr/>
            </w:pPr>
            <w:r>
              <w:rPr/>
              <w:t> </w:t>
            </w:r>
          </w:p>
        </w:tc>
        <w:tc>
          <w:tcPr>
            <w:tcW w:w="9799"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TextBody"/>
        <w:spacing w:before="0" w:after="0"/>
        <w:jc w:val="left"/>
        <w:rPr>
          <w:highlight w:val="white"/>
        </w:rPr>
      </w:pPr>
      <w:r>
        <w:rPr>
          <w:highlight w:val="white"/>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1C71"/>
          <w:sz w:val="44"/>
        </w:rPr>
      </w:pPr>
      <w:bookmarkStart w:id="5" w:name="toc108157_3"/>
      <w:bookmarkEnd w:id="5"/>
      <w:r>
        <w:rPr>
          <w:rFonts w:ascii="arial" w:hAnsi="arial"/>
          <w:b/>
          <w:color w:val="001C71"/>
          <w:sz w:val="44"/>
        </w:rPr>
        <w:t xml:space="preserve">Corporate Governance </w:t>
      </w:r>
    </w:p>
    <w:p>
      <w:pPr>
        <w:pStyle w:val="TextBody"/>
        <w:spacing w:before="360" w:after="0"/>
        <w:jc w:val="left"/>
        <w:rPr>
          <w:rFonts w:ascii="arial" w:hAnsi="arial"/>
          <w:sz w:val="16"/>
        </w:rPr>
      </w:pPr>
      <w:r>
        <w:rPr>
          <w:rFonts w:ascii="arial" w:hAnsi="arial"/>
          <w:sz w:val="16"/>
        </w:rPr>
        <w:t xml:space="preserve">Our business and affairs are managed and all corporate powers are exercised under the direction of our Board of Directors. The board establishes fundamental corporate policies and oversees the performance of the company as well as our Chairman and Chief Executive Officer and the other officers to whom the board has delegated authority to manage our day-to-day business operations. </w:t>
      </w:r>
    </w:p>
    <w:p>
      <w:pPr>
        <w:pStyle w:val="TextBody"/>
        <w:spacing w:before="160" w:after="0"/>
        <w:jc w:val="left"/>
        <w:rPr>
          <w:rFonts w:ascii="arial" w:hAnsi="arial"/>
          <w:sz w:val="16"/>
        </w:rPr>
      </w:pPr>
      <w:r>
        <w:rPr>
          <w:rFonts w:ascii="arial" w:hAnsi="arial"/>
          <w:sz w:val="16"/>
        </w:rPr>
        <w:t xml:space="preserve">The board has adopted Corporate Governance Guidelines that set forth expectations for directors, director independence standards, board committee structure and functions, and other policies for the companys governance. It also has adopted a Code of Business Conduct and Ethics for Directors and Senior Officers, which applies to each member of the Board of Directors of Sempra Energy and to each officer of Sempra Energy, SDG&amp;E and SoCalGas. Officers also are subject to our Code of Business Conduct, which applies to all employees of Sempra Energy and any subsidiary or other entity as to which Sempra Energy has majority ownership and control. Several standing and ad hoc committees assist the board in carrying out its responsibilities. Each standing committee operates under a written charter adopted by the board. </w:t>
      </w:r>
    </w:p>
    <w:p>
      <w:pPr>
        <w:pStyle w:val="TextBody"/>
        <w:spacing w:before="160" w:after="0"/>
        <w:jc w:val="left"/>
        <w:rPr>
          <w:rFonts w:ascii="arial" w:hAnsi="arial"/>
          <w:sz w:val="16"/>
        </w:rPr>
      </w:pPr>
      <w:r>
        <w:rPr>
          <w:rFonts w:ascii="arial" w:hAnsi="arial"/>
          <w:sz w:val="16"/>
        </w:rPr>
        <w:t xml:space="preserve">Our Corporate Governance Guidelines, standing committee charters, including our Audit, Compensation and Talent Development and Corporate Governance Committee charters, Code of Business Conduct and Ethics for Directors and Senior Officers and Code of Business Conduct that applies to all employees, are all posted on our website at www.sempra.com under the Investors and Governance tabs. Paper copies may be obtained upon request by writing to the attention of our Corporate Secretary at Sempra Energys principal executive offices at 488 8th Avenue, San Diego, California 92101. If we either (1) amend a provision of our Code of Business Conduct and Ethics for Directors and Senior Officers and the amendment relates to any element of the code of ethics definition set forth in Item 406(b) of Securities and Exchange Commission (SEC) Regulation S-K, or (2) grant to our principal executive officer, principal financial officer or principal accounting officer or controller a waiver, including an implicit waiver, from a provision of our Code of Business Conduct and Ethics for Directors and Senior Officers and the waiver relates to one or more of the elements of the code of ethics definition set forth in Item 406(b) of SEC Regulation S-K, then we intend to describe on our website under the Investors and Governance tabs the date and nature of any such amendment or waiver and, if applicable, the name of the person to whom the waiver was granted, or if we do not make such disclosure on our website, we will include it in a current report on Form 8-K filed with the SEC. </w:t>
      </w:r>
    </w:p>
    <w:p>
      <w:pPr>
        <w:pStyle w:val="TextBody"/>
        <w:spacing w:before="360" w:after="0"/>
        <w:jc w:val="left"/>
        <w:rPr>
          <w:rFonts w:ascii="arial" w:hAnsi="arial"/>
          <w:b/>
          <w:sz w:val="35"/>
        </w:rPr>
      </w:pPr>
      <w:bookmarkStart w:id="6" w:name="toc108157_4"/>
      <w:bookmarkEnd w:id="6"/>
      <w:r>
        <w:rPr>
          <w:rFonts w:ascii="arial" w:hAnsi="arial"/>
          <w:b/>
          <w:sz w:val="35"/>
        </w:rPr>
        <w:t xml:space="preserve">Board of Directors </w:t>
      </w:r>
    </w:p>
    <w:p>
      <w:pPr>
        <w:pStyle w:val="TextBody"/>
        <w:spacing w:before="360" w:after="0"/>
        <w:jc w:val="left"/>
        <w:rPr>
          <w:rFonts w:ascii="arial" w:hAnsi="arial"/>
          <w:sz w:val="28"/>
        </w:rPr>
      </w:pPr>
      <w:r>
        <w:rPr>
          <w:rFonts w:ascii="arial" w:hAnsi="arial"/>
          <w:sz w:val="28"/>
        </w:rPr>
        <w:t xml:space="preserve">Functions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In addition to its general oversight role, our Board of Directors performs a number of specific functions, including, among others: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3698240"/>
                <wp:effectExtent l="0" t="0" r="0" b="0"/>
                <wp:wrapSquare wrapText="largest"/>
                <wp:docPr id="29" name="Frame1"/>
                <a:graphic xmlns:a="http://schemas.openxmlformats.org/drawingml/2006/main">
                  <a:graphicData uri="http://schemas.microsoft.com/office/word/2010/wordprocessingShape">
                    <wps:wsp>
                      <wps:cNvSpPr txBox="1"/>
                      <wps:spPr>
                        <a:xfrm>
                          <a:off x="0" y="0"/>
                          <a:ext cx="3110230" cy="3698240"/>
                        </a:xfrm>
                        <a:prstGeom prst="rect"/>
                      </wps:spPr>
                      <wps:txbx>
                        <w:txbxContent>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Selecting our Chief Executive Officer and overseeing his or her performance and that of other senior management in the operation of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Reviewing and monitoring strategic, financial and operating plans and budgets and their development and implementation by management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Assessing and monitoring risks to the companys business and evaluating and overseeing risk management strategies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8"/>
                              <w:gridCol w:w="53"/>
                              <w:gridCol w:w="4667"/>
                            </w:tblGrid>
                            <w:tr>
                              <w:trPr/>
                              <w:tc>
                                <w:tcPr>
                                  <w:tcW w:w="178" w:type="dxa"/>
                                  <w:tcBorders/>
                                  <w:shd w:fill="auto" w:val="clear"/>
                                </w:tcPr>
                                <w:p>
                                  <w:pPr>
                                    <w:pStyle w:val="TableContents"/>
                                    <w:spacing w:before="0" w:after="283"/>
                                    <w:jc w:val="left"/>
                                    <w:rPr>
                                      <w:color w:val="001C71"/>
                                    </w:rPr>
                                  </w:pPr>
                                  <w:r>
                                    <w:rPr>
                                      <w:color w:val="001C71"/>
                                    </w:rPr>
                                    <w:t></w:t>
                                  </w:r>
                                </w:p>
                              </w:tc>
                              <w:tc>
                                <w:tcPr>
                                  <w:tcW w:w="53" w:type="dxa"/>
                                  <w:tcBorders/>
                                  <w:shd w:fill="auto" w:val="clear"/>
                                </w:tcPr>
                                <w:p>
                                  <w:pPr>
                                    <w:pStyle w:val="TableContents"/>
                                    <w:spacing w:before="0" w:after="283"/>
                                    <w:rPr/>
                                  </w:pPr>
                                  <w:r>
                                    <w:rPr/>
                                    <w:t> </w:t>
                                  </w:r>
                                </w:p>
                              </w:tc>
                              <w:tc>
                                <w:tcPr>
                                  <w:tcW w:w="4667" w:type="dxa"/>
                                  <w:tcBorders/>
                                  <w:shd w:fill="auto" w:val="clear"/>
                                </w:tcPr>
                                <w:p>
                                  <w:pPr>
                                    <w:pStyle w:val="TableContents"/>
                                    <w:spacing w:before="0" w:after="283"/>
                                    <w:jc w:val="left"/>
                                    <w:rPr/>
                                  </w:pPr>
                                  <w:r>
                                    <w:rPr/>
                                    <w:t xml:space="preserve">Reviewing and approving significant corporate actions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1.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Selecting our Chief Executive Officer and overseeing his or her performance and that of other senior management in the operation of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Reviewing and monitoring strategic, financial and operating plans and budgets and their development and implementation by management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Assessing and monitoring risks to the companys business and evaluating and overseeing risk management strategies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8"/>
                        <w:gridCol w:w="53"/>
                        <w:gridCol w:w="4667"/>
                      </w:tblGrid>
                      <w:tr>
                        <w:trPr/>
                        <w:tc>
                          <w:tcPr>
                            <w:tcW w:w="178" w:type="dxa"/>
                            <w:tcBorders/>
                            <w:shd w:fill="auto" w:val="clear"/>
                          </w:tcPr>
                          <w:p>
                            <w:pPr>
                              <w:pStyle w:val="TableContents"/>
                              <w:spacing w:before="0" w:after="283"/>
                              <w:jc w:val="left"/>
                              <w:rPr>
                                <w:color w:val="001C71"/>
                              </w:rPr>
                            </w:pPr>
                            <w:r>
                              <w:rPr>
                                <w:color w:val="001C71"/>
                              </w:rPr>
                              <w:t></w:t>
                            </w:r>
                          </w:p>
                        </w:tc>
                        <w:tc>
                          <w:tcPr>
                            <w:tcW w:w="53" w:type="dxa"/>
                            <w:tcBorders/>
                            <w:shd w:fill="auto" w:val="clear"/>
                          </w:tcPr>
                          <w:p>
                            <w:pPr>
                              <w:pStyle w:val="TableContents"/>
                              <w:spacing w:before="0" w:after="283"/>
                              <w:rPr/>
                            </w:pPr>
                            <w:r>
                              <w:rPr/>
                              <w:t> </w:t>
                            </w:r>
                          </w:p>
                        </w:tc>
                        <w:tc>
                          <w:tcPr>
                            <w:tcW w:w="4667" w:type="dxa"/>
                            <w:tcBorders/>
                            <w:shd w:fill="auto" w:val="clear"/>
                          </w:tcPr>
                          <w:p>
                            <w:pPr>
                              <w:pStyle w:val="TableContents"/>
                              <w:spacing w:before="0" w:after="283"/>
                              <w:jc w:val="left"/>
                              <w:rPr/>
                            </w:pPr>
                            <w:r>
                              <w:rPr/>
                              <w:t xml:space="preserve">Reviewing and approving significant corporate actions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3168015"/>
                <wp:effectExtent l="0" t="0" r="0" b="0"/>
                <wp:wrapSquare wrapText="largest"/>
                <wp:docPr id="30" name="Frame2"/>
                <a:graphic xmlns:a="http://schemas.openxmlformats.org/drawingml/2006/main">
                  <a:graphicData uri="http://schemas.microsoft.com/office/word/2010/wordprocessingShape">
                    <wps:wsp>
                      <wps:cNvSpPr txBox="1"/>
                      <wps:spPr>
                        <a:xfrm>
                          <a:off x="0" y="0"/>
                          <a:ext cx="3175000" cy="3168015"/>
                        </a:xfrm>
                        <a:prstGeom prst="rect"/>
                      </wps:spPr>
                      <wps:txbx>
                        <w:txbxContent>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Fostering the companys values-driven culture and reviewing and monitoring processes designed to maintain the companys integrity, including financial statements, compliance with law and ethics and relationships with shareholders, employees, customers, suppliers and other stakeholders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60"/>
                              <w:gridCol w:w="78"/>
                              <w:gridCol w:w="4662"/>
                            </w:tblGrid>
                            <w:tr>
                              <w:trPr/>
                              <w:tc>
                                <w:tcPr>
                                  <w:tcW w:w="260" w:type="dxa"/>
                                  <w:tcBorders/>
                                  <w:shd w:fill="auto" w:val="clear"/>
                                </w:tcPr>
                                <w:p>
                                  <w:pPr>
                                    <w:pStyle w:val="TableContents"/>
                                    <w:spacing w:before="0" w:after="283"/>
                                    <w:jc w:val="left"/>
                                    <w:rPr>
                                      <w:color w:val="001C71"/>
                                    </w:rPr>
                                  </w:pPr>
                                  <w:r>
                                    <w:rPr>
                                      <w:color w:val="001C71"/>
                                    </w:rPr>
                                    <w:t></w:t>
                                  </w:r>
                                </w:p>
                              </w:tc>
                              <w:tc>
                                <w:tcPr>
                                  <w:tcW w:w="78" w:type="dxa"/>
                                  <w:tcBorders/>
                                  <w:shd w:fill="auto" w:val="clear"/>
                                </w:tcPr>
                                <w:p>
                                  <w:pPr>
                                    <w:pStyle w:val="TableContents"/>
                                    <w:spacing w:before="0" w:after="283"/>
                                    <w:rPr/>
                                  </w:pPr>
                                  <w:r>
                                    <w:rPr/>
                                    <w:t> </w:t>
                                  </w:r>
                                </w:p>
                              </w:tc>
                              <w:tc>
                                <w:tcPr>
                                  <w:tcW w:w="4662" w:type="dxa"/>
                                  <w:tcBorders/>
                                  <w:shd w:fill="auto" w:val="clear"/>
                                </w:tcPr>
                                <w:p>
                                  <w:pPr>
                                    <w:pStyle w:val="TableContents"/>
                                    <w:spacing w:before="0" w:after="283"/>
                                    <w:jc w:val="left"/>
                                    <w:rPr/>
                                  </w:pPr>
                                  <w:r>
                                    <w:rPr/>
                                    <w:t xml:space="preserve">Planning for management succession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Nominating directors, evaluating board effectiveness, appointing board committee members and overseeing effective corporate governance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9.4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Fostering the companys values-driven culture and reviewing and monitoring processes designed to maintain the companys integrity, including financial statements, compliance with law and ethics and relationships with shareholders, employees, customers, suppliers and other stakeholders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60"/>
                        <w:gridCol w:w="78"/>
                        <w:gridCol w:w="4662"/>
                      </w:tblGrid>
                      <w:tr>
                        <w:trPr/>
                        <w:tc>
                          <w:tcPr>
                            <w:tcW w:w="260" w:type="dxa"/>
                            <w:tcBorders/>
                            <w:shd w:fill="auto" w:val="clear"/>
                          </w:tcPr>
                          <w:p>
                            <w:pPr>
                              <w:pStyle w:val="TableContents"/>
                              <w:spacing w:before="0" w:after="283"/>
                              <w:jc w:val="left"/>
                              <w:rPr>
                                <w:color w:val="001C71"/>
                              </w:rPr>
                            </w:pPr>
                            <w:r>
                              <w:rPr>
                                <w:color w:val="001C71"/>
                              </w:rPr>
                              <w:t></w:t>
                            </w:r>
                          </w:p>
                        </w:tc>
                        <w:tc>
                          <w:tcPr>
                            <w:tcW w:w="78" w:type="dxa"/>
                            <w:tcBorders/>
                            <w:shd w:fill="auto" w:val="clear"/>
                          </w:tcPr>
                          <w:p>
                            <w:pPr>
                              <w:pStyle w:val="TableContents"/>
                              <w:spacing w:before="0" w:after="283"/>
                              <w:rPr/>
                            </w:pPr>
                            <w:r>
                              <w:rPr/>
                              <w:t> </w:t>
                            </w:r>
                          </w:p>
                        </w:tc>
                        <w:tc>
                          <w:tcPr>
                            <w:tcW w:w="4662" w:type="dxa"/>
                            <w:tcBorders/>
                            <w:shd w:fill="auto" w:val="clear"/>
                          </w:tcPr>
                          <w:p>
                            <w:pPr>
                              <w:pStyle w:val="TableContents"/>
                              <w:spacing w:before="0" w:after="283"/>
                              <w:jc w:val="left"/>
                              <w:rPr/>
                            </w:pPr>
                            <w:r>
                              <w:rPr/>
                              <w:t xml:space="preserve">Planning for management succession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Nominating directors, evaluating board effectiveness, appointing board committee members and overseeing effective corporate governance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Leadership Structure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The Board of Directors retains the flexibility to determine, from time to time on an ongoing basis, whether the offices of Chief Executive Officer and Chairman of the Board should be combined or separated and whether an independent director should serve as Chairman of the Board. This flexibility permits the board to organize its functions and conduct its business in a manner it deems most effective in then-prevailing circumstances, and to select the individual it considers to be best-suited to serve as Chairman of the Board at any particular time. The non-management directors have historically evaluated the boards leadership structure on an annual basis and expect to continue to do so, and their board leadership decisions are made based on their determination of the leadership structure that is in the best interests of the company and our shareholders at the time. In each case, this determination is made after deliberations and evaluations of the current Chairman of the Boards performance and the boards leadership structure generally.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8"/>
        <w:gridCol w:w="101"/>
        <w:gridCol w:w="306"/>
      </w:tblGrid>
      <w:tr>
        <w:trPr/>
        <w:tc>
          <w:tcPr>
            <w:tcW w:w="979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8"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Jeffrey W. Martin, our current Chief Executive Officer and Chairman of the Board, was appointed as Chief Executive Officer and a director effective May 1, 2018 and was subsequently appointed as Chairman of the Board effective December 1, 2018, following the retirement of Debra Reed. In its annual evaluations of the boards leadership structure since Mr. Martins appointment to this role, the non-management directors have considered, among other factors, Mr. Martins leadership skills and qualifications and his contributions as a director and performance as Chairman of the Board since his appointment to each of those roles. Mr. Martin is a 16-year employee of the Sempra Energy family of companies with an outstanding career of achievement, as well as extensive industry experience. Mr. Martin also has significant experience working with and adhering to the rules established by the CPUC, the principal regulator of our California utilities. He has used his experience to contribute to the board additional and valuable perspectives on, among other topics, strategy, business development, mergers and acquisitions, investor relations, succession planning, capital market activities and regulated utilities. In addition, the board has considered feedback from our shareholders on the boards leadership structure obtained in our annual shareholder outreach program, the valuable experience Mr. Martin has accumulated serving in both the Chief Executive Officer and Chairman of the Board roles, and the companys performance throughout Mr. Martins tenure holding both roles. Further, the board believes that Mr. Martins service as Chairman of the Board allows him to lead the board while also acting as a bridge between the board and the operating organization and provide critical leadership for future strategic initiatives and challenges. His involvement in our day-to-day operations affords him with in-depth knowledge of the issues, opportunities and challenges facing our company, which enables him to help focus our directors time and attention on the companys most critical matters, while concurrently incorporating the boards goals, strategies and initiatives for our company directly into the management of our businesses. </w:t>
      </w:r>
    </w:p>
    <w:p>
      <w:pPr>
        <w:pStyle w:val="TextBody"/>
        <w:spacing w:before="160" w:after="0"/>
        <w:jc w:val="left"/>
        <w:rPr>
          <w:rFonts w:ascii="arial" w:hAnsi="arial"/>
          <w:sz w:val="16"/>
        </w:rPr>
      </w:pPr>
      <w:r>
        <w:rPr>
          <w:rFonts w:ascii="arial" w:hAnsi="arial"/>
          <w:sz w:val="16"/>
        </w:rPr>
        <w:t xml:space="preserve">During periods in which we do not have an independent Chairman of the Board, our Corporate Governance Guidelines require the independent directors to select annually an independent director to serve as the Lead Independent Director (which is referred to as the Lead Director in our bylaws). If a Lead Independent Director is appointed, the role has broad powers and responsibilities. The position and role of the Lead Independent Director is intended to provide board leadership where the roles of a combined Chairman of the Board and Chief Executive Officer may be in conflict. It is also intended to expand lines of communication between the board and members of management and it is not intended to reduce the free and open access and communications that each director has with other directors and members of management. William D. Jones has served as our Lead Independent Director since 2019. Our robust Lead Independent Director role includes the following functions and responsibilities: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8272780"/>
                <wp:effectExtent l="0" t="0" r="0" b="0"/>
                <wp:wrapSquare wrapText="largest"/>
                <wp:docPr id="31" name="Frame3"/>
                <a:graphic xmlns:a="http://schemas.openxmlformats.org/drawingml/2006/main">
                  <a:graphicData uri="http://schemas.microsoft.com/office/word/2010/wordprocessingShape">
                    <wps:wsp>
                      <wps:cNvSpPr txBox="1"/>
                      <wps:spPr>
                        <a:xfrm>
                          <a:off x="0" y="0"/>
                          <a:ext cx="3110230" cy="8272780"/>
                        </a:xfrm>
                        <a:prstGeom prst="rect"/>
                      </wps:spPr>
                      <wps:txbx>
                        <w:txbxContent>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Provide leadership to the Board of Directors if circumstances arise in which the role of the Chairman of the Board may be, or may be perceived by the Lead Independent Director or by the other independent directors to be, in conflict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9"/>
                              <w:gridCol w:w="4769"/>
                            </w:tblGrid>
                            <w:tr>
                              <w:trPr/>
                              <w:tc>
                                <w:tcPr>
                                  <w:tcW w:w="100"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69" w:type="dxa"/>
                                  <w:tcBorders/>
                                  <w:shd w:fill="auto" w:val="clear"/>
                                </w:tcPr>
                                <w:p>
                                  <w:pPr>
                                    <w:pStyle w:val="TableContents"/>
                                    <w:spacing w:before="0" w:after="283"/>
                                    <w:jc w:val="left"/>
                                    <w:rPr/>
                                  </w:pPr>
                                  <w:r>
                                    <w:rPr/>
                                    <w:t xml:space="preserve">Preside at all meetings of the Board of Directors at which the Chairman of the Board is not available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
                              <w:gridCol w:w="34"/>
                              <w:gridCol w:w="4752"/>
                            </w:tblGrid>
                            <w:tr>
                              <w:trPr/>
                              <w:tc>
                                <w:tcPr>
                                  <w:tcW w:w="112" w:type="dxa"/>
                                  <w:tcBorders/>
                                  <w:shd w:fill="auto" w:val="clear"/>
                                </w:tcPr>
                                <w:p>
                                  <w:pPr>
                                    <w:pStyle w:val="TableContents"/>
                                    <w:spacing w:before="0" w:after="283"/>
                                    <w:jc w:val="left"/>
                                    <w:rPr>
                                      <w:color w:val="001C71"/>
                                    </w:rPr>
                                  </w:pPr>
                                  <w:r>
                                    <w:rPr>
                                      <w:color w:val="001C71"/>
                                    </w:rPr>
                                    <w:t></w:t>
                                  </w:r>
                                </w:p>
                              </w:tc>
                              <w:tc>
                                <w:tcPr>
                                  <w:tcW w:w="34" w:type="dxa"/>
                                  <w:tcBorders/>
                                  <w:shd w:fill="auto" w:val="clear"/>
                                </w:tcPr>
                                <w:p>
                                  <w:pPr>
                                    <w:pStyle w:val="TableContents"/>
                                    <w:spacing w:before="0" w:after="283"/>
                                    <w:rPr/>
                                  </w:pPr>
                                  <w:r>
                                    <w:rPr/>
                                    <w:t> </w:t>
                                  </w:r>
                                </w:p>
                              </w:tc>
                              <w:tc>
                                <w:tcPr>
                                  <w:tcW w:w="4752" w:type="dxa"/>
                                  <w:tcBorders/>
                                  <w:shd w:fill="auto" w:val="clear"/>
                                </w:tcPr>
                                <w:p>
                                  <w:pPr>
                                    <w:pStyle w:val="TableContents"/>
                                    <w:spacing w:before="0" w:after="283"/>
                                    <w:jc w:val="left"/>
                                    <w:rPr/>
                                  </w:pPr>
                                  <w:r>
                                    <w:rPr/>
                                    <w:t xml:space="preserve">Organize, convene and preside over executive sessions of the non-management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Act as the principal liaison between the independent directors and the Chairman of the Board and Chief Executive Officer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Review and approve all board and committee agendas and approve information sent to the board, providing input to management on the scope and quality of such information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Consult with the Chairman of the Board, Chief Executive Officer and committee chairs regarding the topics and schedules of the meetings of the board and its committees and approve such schedules to assure that there is sufficient time for discussion of all agenda items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Call a special meeting of the Board of Directors or the independent directors at any time, at any place and for any purpose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In consultation with the Chief Executive Officer, assist the board, the Corporate Governance Committee and management in complying with the Corporate Governance Guidelines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51.4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Provide leadership to the Board of Directors if circumstances arise in which the role of the Chairman of the Board may be, or may be perceived by the Lead Independent Director or by the other independent directors to be, in conflict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9"/>
                        <w:gridCol w:w="4769"/>
                      </w:tblGrid>
                      <w:tr>
                        <w:trPr/>
                        <w:tc>
                          <w:tcPr>
                            <w:tcW w:w="100"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69" w:type="dxa"/>
                            <w:tcBorders/>
                            <w:shd w:fill="auto" w:val="clear"/>
                          </w:tcPr>
                          <w:p>
                            <w:pPr>
                              <w:pStyle w:val="TableContents"/>
                              <w:spacing w:before="0" w:after="283"/>
                              <w:jc w:val="left"/>
                              <w:rPr/>
                            </w:pPr>
                            <w:r>
                              <w:rPr/>
                              <w:t xml:space="preserve">Preside at all meetings of the Board of Directors at which the Chairman of the Board is not available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
                        <w:gridCol w:w="34"/>
                        <w:gridCol w:w="4752"/>
                      </w:tblGrid>
                      <w:tr>
                        <w:trPr/>
                        <w:tc>
                          <w:tcPr>
                            <w:tcW w:w="112" w:type="dxa"/>
                            <w:tcBorders/>
                            <w:shd w:fill="auto" w:val="clear"/>
                          </w:tcPr>
                          <w:p>
                            <w:pPr>
                              <w:pStyle w:val="TableContents"/>
                              <w:spacing w:before="0" w:after="283"/>
                              <w:jc w:val="left"/>
                              <w:rPr>
                                <w:color w:val="001C71"/>
                              </w:rPr>
                            </w:pPr>
                            <w:r>
                              <w:rPr>
                                <w:color w:val="001C71"/>
                              </w:rPr>
                              <w:t></w:t>
                            </w:r>
                          </w:p>
                        </w:tc>
                        <w:tc>
                          <w:tcPr>
                            <w:tcW w:w="34" w:type="dxa"/>
                            <w:tcBorders/>
                            <w:shd w:fill="auto" w:val="clear"/>
                          </w:tcPr>
                          <w:p>
                            <w:pPr>
                              <w:pStyle w:val="TableContents"/>
                              <w:spacing w:before="0" w:after="283"/>
                              <w:rPr/>
                            </w:pPr>
                            <w:r>
                              <w:rPr/>
                              <w:t> </w:t>
                            </w:r>
                          </w:p>
                        </w:tc>
                        <w:tc>
                          <w:tcPr>
                            <w:tcW w:w="4752" w:type="dxa"/>
                            <w:tcBorders/>
                            <w:shd w:fill="auto" w:val="clear"/>
                          </w:tcPr>
                          <w:p>
                            <w:pPr>
                              <w:pStyle w:val="TableContents"/>
                              <w:spacing w:before="0" w:after="283"/>
                              <w:jc w:val="left"/>
                              <w:rPr/>
                            </w:pPr>
                            <w:r>
                              <w:rPr/>
                              <w:t xml:space="preserve">Organize, convene and preside over executive sessions of the non-management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Act as the principal liaison between the independent directors and the Chairman of the Board and Chief Executive Officer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Review and approve all board and committee agendas and approve information sent to the board, providing input to management on the scope and quality of such information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Consult with the Chairman of the Board, Chief Executive Officer and committee chairs regarding the topics and schedules of the meetings of the board and its committees and approve such schedules to assure that there is sufficient time for discussion of all agenda items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Call a special meeting of the Board of Directors or the independent directors at any time, at any place and for any purpose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In consultation with the Chief Executive Officer, assist the board, the Corporate Governance Committee and management in complying with the Corporate Governance Guidelines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7567295"/>
                <wp:effectExtent l="0" t="0" r="0" b="0"/>
                <wp:wrapSquare wrapText="largest"/>
                <wp:docPr id="32" name="Frame4"/>
                <a:graphic xmlns:a="http://schemas.openxmlformats.org/drawingml/2006/main">
                  <a:graphicData uri="http://schemas.microsoft.com/office/word/2010/wordprocessingShape">
                    <wps:wsp>
                      <wps:cNvSpPr txBox="1"/>
                      <wps:spPr>
                        <a:xfrm>
                          <a:off x="0" y="0"/>
                          <a:ext cx="3175000" cy="7567295"/>
                        </a:xfrm>
                        <a:prstGeom prst="rect"/>
                      </wps:spPr>
                      <wps:txbx>
                        <w:txbxContent>
                          <w:tbl>
                            <w:tblPr>
                              <w:tblW w:w="5000" w:type="pct"/>
                              <w:jc w:val="left"/>
                              <w:tblInd w:w="0" w:type="dxa"/>
                              <w:tblCellMar>
                                <w:top w:w="0" w:type="dxa"/>
                                <w:left w:w="0" w:type="dxa"/>
                                <w:bottom w:w="0" w:type="dxa"/>
                                <w:right w:w="0" w:type="dxa"/>
                              </w:tblCellMar>
                            </w:tblPr>
                            <w:tblGrid>
                              <w:gridCol w:w="106"/>
                              <w:gridCol w:w="32"/>
                              <w:gridCol w:w="4862"/>
                            </w:tblGrid>
                            <w:tr>
                              <w:trPr/>
                              <w:tc>
                                <w:tcPr>
                                  <w:tcW w:w="106" w:type="dxa"/>
                                  <w:tcBorders/>
                                  <w:shd w:fill="auto" w:val="clear"/>
                                </w:tcPr>
                                <w:p>
                                  <w:pPr>
                                    <w:pStyle w:val="TableContents"/>
                                    <w:spacing w:before="0" w:after="283"/>
                                    <w:jc w:val="left"/>
                                    <w:rPr>
                                      <w:color w:val="001C71"/>
                                    </w:rPr>
                                  </w:pPr>
                                  <w:r>
                                    <w:rPr>
                                      <w:color w:val="001C71"/>
                                    </w:rPr>
                                    <w:t></w:t>
                                  </w:r>
                                </w:p>
                              </w:tc>
                              <w:tc>
                                <w:tcPr>
                                  <w:tcW w:w="32" w:type="dxa"/>
                                  <w:tcBorders/>
                                  <w:shd w:fill="auto" w:val="clear"/>
                                </w:tcPr>
                                <w:p>
                                  <w:pPr>
                                    <w:pStyle w:val="TableContents"/>
                                    <w:spacing w:before="0" w:after="283"/>
                                    <w:rPr/>
                                  </w:pPr>
                                  <w:r>
                                    <w:rPr/>
                                    <w:t> </w:t>
                                  </w:r>
                                </w:p>
                              </w:tc>
                              <w:tc>
                                <w:tcPr>
                                  <w:tcW w:w="4862" w:type="dxa"/>
                                  <w:tcBorders/>
                                  <w:shd w:fill="auto" w:val="clear"/>
                                </w:tcPr>
                                <w:p>
                                  <w:pPr>
                                    <w:pStyle w:val="TableContents"/>
                                    <w:spacing w:before="0" w:after="283"/>
                                    <w:jc w:val="left"/>
                                    <w:rPr/>
                                  </w:pPr>
                                  <w:r>
                                    <w:rPr/>
                                    <w:t xml:space="preserve">Be available for consultation and direct communication with the companys major shareholders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Collect and communicate to the Chairman of the Board and Chief Executive Officer the views and recommendations of the independent directors relating to his or her performance, other than with respect to the annual performance review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Consult with the Corporate Governance Committee as part of the committees review of director nominations and recommendations of director candidates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Together with the Chair of the Corporate Governance Committee and the Chairman of the Board, has the authority to extend the boards invitation to selected candidates to join or be nominated for election to the board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Consult with directors regarding acceptance of memberships on other boards to assure that multiple board service does not conflict or otherwise interfere with such directors service to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Led by the Compensation and Talent Development Committee and together with the Chairman of the Board, report annually to the board on succession planning, including policies and principles for executive officer selection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0"/>
                              <w:gridCol w:w="33"/>
                              <w:gridCol w:w="4857"/>
                            </w:tblGrid>
                            <w:tr>
                              <w:trPr/>
                              <w:tc>
                                <w:tcPr>
                                  <w:tcW w:w="110" w:type="dxa"/>
                                  <w:tcBorders/>
                                  <w:shd w:fill="auto" w:val="clear"/>
                                </w:tcPr>
                                <w:p>
                                  <w:pPr>
                                    <w:pStyle w:val="TableContents"/>
                                    <w:spacing w:before="0" w:after="283"/>
                                    <w:jc w:val="left"/>
                                    <w:rPr>
                                      <w:color w:val="001C71"/>
                                    </w:rPr>
                                  </w:pPr>
                                  <w:r>
                                    <w:rPr>
                                      <w:color w:val="001C71"/>
                                    </w:rPr>
                                    <w:t></w:t>
                                  </w:r>
                                </w:p>
                              </w:tc>
                              <w:tc>
                                <w:tcPr>
                                  <w:tcW w:w="33" w:type="dxa"/>
                                  <w:tcBorders/>
                                  <w:shd w:fill="auto" w:val="clear"/>
                                </w:tcPr>
                                <w:p>
                                  <w:pPr>
                                    <w:pStyle w:val="TableContents"/>
                                    <w:spacing w:before="0" w:after="283"/>
                                    <w:rPr/>
                                  </w:pPr>
                                  <w:r>
                                    <w:rPr/>
                                    <w:t> </w:t>
                                  </w:r>
                                </w:p>
                              </w:tc>
                              <w:tc>
                                <w:tcPr>
                                  <w:tcW w:w="4857" w:type="dxa"/>
                                  <w:tcBorders/>
                                  <w:shd w:fill="auto" w:val="clear"/>
                                </w:tcPr>
                                <w:p>
                                  <w:pPr>
                                    <w:pStyle w:val="TableContents"/>
                                    <w:spacing w:before="0" w:after="283"/>
                                    <w:jc w:val="left"/>
                                    <w:rPr/>
                                  </w:pPr>
                                  <w:r>
                                    <w:rPr/>
                                    <w:t xml:space="preserve">Perform such other duties as may be assigned from time to time by the independent directors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5.8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106"/>
                        <w:gridCol w:w="32"/>
                        <w:gridCol w:w="4862"/>
                      </w:tblGrid>
                      <w:tr>
                        <w:trPr/>
                        <w:tc>
                          <w:tcPr>
                            <w:tcW w:w="106" w:type="dxa"/>
                            <w:tcBorders/>
                            <w:shd w:fill="auto" w:val="clear"/>
                          </w:tcPr>
                          <w:p>
                            <w:pPr>
                              <w:pStyle w:val="TableContents"/>
                              <w:spacing w:before="0" w:after="283"/>
                              <w:jc w:val="left"/>
                              <w:rPr>
                                <w:color w:val="001C71"/>
                              </w:rPr>
                            </w:pPr>
                            <w:r>
                              <w:rPr>
                                <w:color w:val="001C71"/>
                              </w:rPr>
                              <w:t></w:t>
                            </w:r>
                          </w:p>
                        </w:tc>
                        <w:tc>
                          <w:tcPr>
                            <w:tcW w:w="32" w:type="dxa"/>
                            <w:tcBorders/>
                            <w:shd w:fill="auto" w:val="clear"/>
                          </w:tcPr>
                          <w:p>
                            <w:pPr>
                              <w:pStyle w:val="TableContents"/>
                              <w:spacing w:before="0" w:after="283"/>
                              <w:rPr/>
                            </w:pPr>
                            <w:r>
                              <w:rPr/>
                              <w:t> </w:t>
                            </w:r>
                          </w:p>
                        </w:tc>
                        <w:tc>
                          <w:tcPr>
                            <w:tcW w:w="4862" w:type="dxa"/>
                            <w:tcBorders/>
                            <w:shd w:fill="auto" w:val="clear"/>
                          </w:tcPr>
                          <w:p>
                            <w:pPr>
                              <w:pStyle w:val="TableContents"/>
                              <w:spacing w:before="0" w:after="283"/>
                              <w:jc w:val="left"/>
                              <w:rPr/>
                            </w:pPr>
                            <w:r>
                              <w:rPr/>
                              <w:t xml:space="preserve">Be available for consultation and direct communication with the companys major shareholders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Collect and communicate to the Chairman of the Board and Chief Executive Officer the views and recommendations of the independent directors relating to his or her performance, other than with respect to the annual performance review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Consult with the Corporate Governance Committee as part of the committees review of director nominations and recommendations of director candidates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Together with the Chair of the Corporate Governance Committee and the Chairman of the Board, has the authority to extend the boards invitation to selected candidates to join or be nominated for election to the board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Consult with directors regarding acceptance of memberships on other boards to assure that multiple board service does not conflict or otherwise interfere with such directors service to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Led by the Compensation and Talent Development Committee and together with the Chairman of the Board, report annually to the board on succession planning, including policies and principles for executive officer selection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0"/>
                        <w:gridCol w:w="33"/>
                        <w:gridCol w:w="4857"/>
                      </w:tblGrid>
                      <w:tr>
                        <w:trPr/>
                        <w:tc>
                          <w:tcPr>
                            <w:tcW w:w="110" w:type="dxa"/>
                            <w:tcBorders/>
                            <w:shd w:fill="auto" w:val="clear"/>
                          </w:tcPr>
                          <w:p>
                            <w:pPr>
                              <w:pStyle w:val="TableContents"/>
                              <w:spacing w:before="0" w:after="283"/>
                              <w:jc w:val="left"/>
                              <w:rPr>
                                <w:color w:val="001C71"/>
                              </w:rPr>
                            </w:pPr>
                            <w:r>
                              <w:rPr>
                                <w:color w:val="001C71"/>
                              </w:rPr>
                              <w:t></w:t>
                            </w:r>
                          </w:p>
                        </w:tc>
                        <w:tc>
                          <w:tcPr>
                            <w:tcW w:w="33" w:type="dxa"/>
                            <w:tcBorders/>
                            <w:shd w:fill="auto" w:val="clear"/>
                          </w:tcPr>
                          <w:p>
                            <w:pPr>
                              <w:pStyle w:val="TableContents"/>
                              <w:spacing w:before="0" w:after="283"/>
                              <w:rPr/>
                            </w:pPr>
                            <w:r>
                              <w:rPr/>
                              <w:t> </w:t>
                            </w:r>
                          </w:p>
                        </w:tc>
                        <w:tc>
                          <w:tcPr>
                            <w:tcW w:w="4857" w:type="dxa"/>
                            <w:tcBorders/>
                            <w:shd w:fill="auto" w:val="clear"/>
                          </w:tcPr>
                          <w:p>
                            <w:pPr>
                              <w:pStyle w:val="TableContents"/>
                              <w:spacing w:before="0" w:after="283"/>
                              <w:jc w:val="left"/>
                              <w:rPr/>
                            </w:pPr>
                            <w:r>
                              <w:rPr/>
                              <w:t xml:space="preserve">Perform such other duties as may be assigned from time to time by the independent directors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10</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We conducted an extensive shareholder outreach program in 2020 regarding our board leadership structure and various other matters, in which we reached out to shareholders representing approximately 63% of our total outstanding shares of common stock and we engaged with holders of approximately 46% of our outstanding shares of common stock. Among the shareholders with whom we engaged, the majority, both in terms of number of shareholders and number of shares represented, indicated no preference for an independent Chairman of the Board as long as the Lead Independent Director has significant duties, as is the case at Sempra Energy. </w:t>
      </w:r>
    </w:p>
    <w:p>
      <w:pPr>
        <w:pStyle w:val="TextBody"/>
        <w:spacing w:before="160" w:after="0"/>
        <w:jc w:val="left"/>
        <w:rPr>
          <w:rFonts w:ascii="arial" w:hAnsi="arial"/>
          <w:sz w:val="16"/>
        </w:rPr>
      </w:pPr>
      <w:r>
        <w:rPr>
          <w:rFonts w:ascii="arial" w:hAnsi="arial"/>
          <w:sz w:val="16"/>
        </w:rPr>
        <w:t xml:space="preserve">The Board of Directors believes its independence and oversight of management and company risks are maintained effectively through its flexible leadership structure, including the robust role of the Lead Independent Director, sound corporate governance policies and practices, and the boards overall composition, which currently includes 11 independent directors and 100% independent director composition of all NYSE-required board committees. </w:t>
      </w:r>
    </w:p>
    <w:p>
      <w:pPr>
        <w:pStyle w:val="TextBody"/>
        <w:spacing w:before="160" w:after="0"/>
        <w:jc w:val="left"/>
        <w:rPr>
          <w:rFonts w:ascii="arial" w:hAnsi="arial"/>
          <w:sz w:val="16"/>
        </w:rPr>
      </w:pPr>
      <w:r>
        <w:rPr>
          <w:rFonts w:ascii="arial" w:hAnsi="arial"/>
          <w:sz w:val="16"/>
        </w:rPr>
        <w:t xml:space="preserve">Based on the foregoing and other factors, the Board of Directors determined in its most recent evaluation of the boards leadership structure, and continues to believe, that combining the roles of Chief Executive Officer and Chairman of the Board continues to best serve the interests of Sempra Energy and our shareholders. </w:t>
      </w:r>
    </w:p>
    <w:p>
      <w:pPr>
        <w:pStyle w:val="TextBody"/>
        <w:spacing w:before="360" w:after="0"/>
        <w:jc w:val="left"/>
        <w:rPr>
          <w:rFonts w:ascii="arial" w:hAnsi="arial"/>
          <w:sz w:val="28"/>
        </w:rPr>
      </w:pPr>
      <w:r>
        <w:rPr>
          <w:rFonts w:ascii="arial" w:hAnsi="arial"/>
          <w:sz w:val="28"/>
        </w:rPr>
        <w:t xml:space="preserve">Director Independence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The Board of Directors determines the independence of each of our directors and director nominees by applying the independence standards established by the NYSE. These standards provide that a director is independent only if the board affirmatively determines that the director has no direct or indirect material relationship with the company. Material relationships may include, depending on the circumstances, commercial, industrial, banking, consulting, legal, accounting, charitable, family and other business, professional and personal relationships. These standards also identify various relationships that preclude a determination of director independence. </w:t>
      </w:r>
    </w:p>
    <w:p>
      <w:pPr>
        <w:pStyle w:val="TextBody"/>
        <w:spacing w:before="160" w:after="0"/>
        <w:jc w:val="left"/>
        <w:rPr>
          <w:rFonts w:ascii="arial" w:hAnsi="arial"/>
          <w:sz w:val="16"/>
        </w:rPr>
      </w:pPr>
      <w:r>
        <w:rPr>
          <w:rFonts w:ascii="arial" w:hAnsi="arial"/>
          <w:sz w:val="16"/>
        </w:rPr>
        <w:t xml:space="preserve">Applying these standards, the board annually reviews and determines the independence of each of the companys directors and director nominees. In its most recent review, the board considered, with respect to the companys directors and director nominees other than Jeffrey W. Martin, who is an executive officer of the company, and Bethany J. Mayer, who served as an executive officer of the company within the last three years, among other things: each directors affiliations, including directorships, employment or other service, significant ownership or any of the foregoing relationships of a directors immediate family members, with organizations with which Sempra Energy or any of its subsidiaries or other entities as to which it has majority ownership does business; the absence of any employment relationships between the company and each director and his or her immediate family members; the absence of any of the other specific relationships that would preclude a determination of independence under NYSE independence standards; the absence of any affiliation of each director or his or her immediate family members with the companys independent registered public accounting firm, compensation consultants, legal counsel or investment banks; the absence of any transactions in which a director or his or her immediate family members has a direct or indirect material interest that would require disclosure in this proxy statement under SEC rules regarding related person transactions; and the modest amount of our discretionary contributions to non-profit organizations with which some of our directors or their respective immediate family members may be associated. In assessing the materiality of director relationships, the board broadly considers all relevant facts and circumstances both from the standpoint of the director and also from that of persons or organizations with which the director has an affiliation. </w:t>
      </w:r>
    </w:p>
    <w:p>
      <w:pPr>
        <w:pStyle w:val="TextBody"/>
        <w:spacing w:before="160" w:after="0"/>
        <w:jc w:val="left"/>
        <w:rPr>
          <w:rFonts w:ascii="arial" w:hAnsi="arial"/>
          <w:sz w:val="16"/>
        </w:rPr>
      </w:pPr>
      <w:r>
        <w:rPr>
          <w:rFonts w:ascii="arial" w:hAnsi="arial"/>
          <w:sz w:val="16"/>
        </w:rPr>
        <w:t xml:space="preserve">Based on this review, the board has affirmatively determined that each of the following non-employee directors, each of whom is a director nominee standing for re-election at the Annual Shareholders Meeting, is independent: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1982"/>
        <w:gridCol w:w="1570"/>
        <w:gridCol w:w="1673"/>
        <w:gridCol w:w="1570"/>
        <w:gridCol w:w="1777"/>
      </w:tblGrid>
      <w:tr>
        <w:trPr/>
        <w:tc>
          <w:tcPr>
            <w:tcW w:w="1982"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bottom"/>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bottom"/>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r>
      <w:tr>
        <w:trPr/>
        <w:tc>
          <w:tcPr>
            <w:tcW w:w="1982" w:type="dxa"/>
            <w:tcBorders/>
            <w:shd w:fill="auto" w:val="clear"/>
          </w:tcPr>
          <w:p>
            <w:pPr>
              <w:pStyle w:val="TableContents"/>
              <w:rPr/>
            </w:pPr>
            <w:r>
              <w:rPr/>
              <w:t>Alan L. Boeckmann</w:t>
            </w:r>
          </w:p>
          <w:p>
            <w:pPr>
              <w:pStyle w:val="TableContents"/>
              <w:spacing w:before="0" w:after="0"/>
              <w:rPr/>
            </w:pPr>
            <w:r>
              <w:rPr/>
              <w:t> </w:t>
            </w:r>
          </w:p>
          <w:p>
            <w:pPr>
              <w:pStyle w:val="TableContents"/>
              <w:spacing w:before="0" w:after="0"/>
              <w:rPr>
                <w:rFonts w:ascii="arial" w:hAnsi="arial"/>
                <w:sz w:val="16"/>
              </w:rPr>
            </w:pPr>
            <w:r>
              <w:rPr>
                <w:rFonts w:ascii="arial" w:hAnsi="arial"/>
                <w:sz w:val="16"/>
              </w:rPr>
              <w:t>Andrés Conesa</w:t>
            </w:r>
          </w:p>
          <w:p>
            <w:pPr>
              <w:pStyle w:val="TableContents"/>
              <w:spacing w:before="0" w:after="0"/>
              <w:rPr/>
            </w:pPr>
            <w:r>
              <w:rPr/>
              <w:t> </w:t>
            </w:r>
          </w:p>
          <w:p>
            <w:pPr>
              <w:pStyle w:val="TableContents"/>
              <w:spacing w:before="0" w:after="0"/>
              <w:rPr>
                <w:rFonts w:ascii="arial" w:hAnsi="arial"/>
                <w:sz w:val="16"/>
              </w:rPr>
            </w:pPr>
            <w:r>
              <w:rPr>
                <w:rFonts w:ascii="arial" w:hAnsi="arial"/>
                <w:sz w:val="16"/>
              </w:rPr>
              <w:t>Maria Contreras-Sweet</w:t>
            </w:r>
          </w:p>
          <w:p>
            <w:pPr>
              <w:pStyle w:val="TableContents"/>
              <w:spacing w:before="0" w:after="0"/>
              <w:rPr/>
            </w:pPr>
            <w:r>
              <w:rPr/>
              <w:t> </w:t>
            </w:r>
          </w:p>
          <w:p>
            <w:pPr>
              <w:pStyle w:val="TableContents"/>
              <w:spacing w:before="0" w:after="20"/>
              <w:rPr>
                <w:rFonts w:ascii="arial" w:hAnsi="arial"/>
                <w:sz w:val="16"/>
              </w:rPr>
            </w:pPr>
            <w:r>
              <w:rPr>
                <w:rFonts w:ascii="arial" w:hAnsi="arial"/>
                <w:sz w:val="16"/>
              </w:rPr>
              <w:t>Pablo A. Ferrero</w:t>
            </w:r>
          </w:p>
        </w:tc>
        <w:tc>
          <w:tcPr>
            <w:tcW w:w="1570" w:type="dxa"/>
            <w:tcBorders/>
            <w:shd w:fill="auto" w:val="clear"/>
            <w:vAlign w:val="bottom"/>
          </w:tcPr>
          <w:p>
            <w:pPr>
              <w:pStyle w:val="TableContents"/>
              <w:spacing w:before="0" w:after="283"/>
              <w:rPr/>
            </w:pPr>
            <w:r>
              <w:rPr/>
              <w:t> </w:t>
            </w:r>
          </w:p>
        </w:tc>
        <w:tc>
          <w:tcPr>
            <w:tcW w:w="1673" w:type="dxa"/>
            <w:tcBorders/>
            <w:shd w:fill="auto" w:val="clear"/>
          </w:tcPr>
          <w:p>
            <w:pPr>
              <w:pStyle w:val="TableContents"/>
              <w:rPr/>
            </w:pPr>
            <w:r>
              <w:rPr/>
              <w:t>William D. Jones</w:t>
            </w:r>
          </w:p>
          <w:p>
            <w:pPr>
              <w:pStyle w:val="TableContents"/>
              <w:spacing w:before="0" w:after="0"/>
              <w:rPr/>
            </w:pPr>
            <w:r>
              <w:rPr/>
              <w:t> </w:t>
            </w:r>
          </w:p>
          <w:p>
            <w:pPr>
              <w:pStyle w:val="TableContents"/>
              <w:spacing w:before="0" w:after="0"/>
              <w:rPr>
                <w:rFonts w:ascii="arial" w:hAnsi="arial"/>
                <w:sz w:val="16"/>
              </w:rPr>
            </w:pPr>
            <w:r>
              <w:rPr>
                <w:rFonts w:ascii="arial" w:hAnsi="arial"/>
                <w:sz w:val="16"/>
              </w:rPr>
              <w:t>Michael N. Mears</w:t>
            </w:r>
          </w:p>
          <w:p>
            <w:pPr>
              <w:pStyle w:val="TableContents"/>
              <w:spacing w:before="0" w:after="0"/>
              <w:rPr/>
            </w:pPr>
            <w:r>
              <w:rPr/>
              <w:t> </w:t>
            </w:r>
          </w:p>
          <w:p>
            <w:pPr>
              <w:pStyle w:val="TableContents"/>
              <w:spacing w:before="0" w:after="0"/>
              <w:rPr>
                <w:rFonts w:ascii="arial" w:hAnsi="arial"/>
                <w:sz w:val="16"/>
              </w:rPr>
            </w:pPr>
            <w:r>
              <w:rPr>
                <w:rFonts w:ascii="arial" w:hAnsi="arial"/>
                <w:sz w:val="16"/>
              </w:rPr>
              <w:t>Jack T. Taylor</w:t>
            </w:r>
          </w:p>
          <w:p>
            <w:pPr>
              <w:pStyle w:val="TableContents"/>
              <w:spacing w:before="0" w:after="0"/>
              <w:rPr/>
            </w:pPr>
            <w:r>
              <w:rPr/>
              <w:t> </w:t>
            </w:r>
          </w:p>
          <w:p>
            <w:pPr>
              <w:pStyle w:val="TableContents"/>
              <w:spacing w:before="0" w:after="20"/>
              <w:rPr>
                <w:rFonts w:ascii="arial" w:hAnsi="arial"/>
                <w:sz w:val="16"/>
              </w:rPr>
            </w:pPr>
            <w:r>
              <w:rPr>
                <w:rFonts w:ascii="arial" w:hAnsi="arial"/>
                <w:sz w:val="16"/>
              </w:rPr>
              <w:t>Cynthia L. Walker</w:t>
            </w:r>
          </w:p>
        </w:tc>
        <w:tc>
          <w:tcPr>
            <w:tcW w:w="1570" w:type="dxa"/>
            <w:tcBorders/>
            <w:shd w:fill="auto" w:val="clear"/>
            <w:vAlign w:val="bottom"/>
          </w:tcPr>
          <w:p>
            <w:pPr>
              <w:pStyle w:val="TableContents"/>
              <w:spacing w:before="0" w:after="283"/>
              <w:rPr/>
            </w:pPr>
            <w:r>
              <w:rPr/>
              <w:t> </w:t>
            </w:r>
          </w:p>
        </w:tc>
        <w:tc>
          <w:tcPr>
            <w:tcW w:w="1777" w:type="dxa"/>
            <w:tcBorders/>
            <w:shd w:fill="auto" w:val="clear"/>
          </w:tcPr>
          <w:p>
            <w:pPr>
              <w:pStyle w:val="TableContents"/>
              <w:rPr/>
            </w:pPr>
            <w:r>
              <w:rPr/>
              <w:t>Cynthia J. Warner</w:t>
            </w:r>
          </w:p>
          <w:p>
            <w:pPr>
              <w:pStyle w:val="TableContents"/>
              <w:spacing w:before="0" w:after="0"/>
              <w:rPr/>
            </w:pPr>
            <w:r>
              <w:rPr/>
              <w:t> </w:t>
            </w:r>
          </w:p>
          <w:p>
            <w:pPr>
              <w:pStyle w:val="TableContents"/>
              <w:spacing w:before="0" w:after="20"/>
              <w:rPr>
                <w:rFonts w:ascii="arial" w:hAnsi="arial"/>
                <w:sz w:val="16"/>
              </w:rPr>
            </w:pPr>
            <w:r>
              <w:rPr>
                <w:rFonts w:ascii="arial" w:hAnsi="arial"/>
                <w:sz w:val="16"/>
              </w:rPr>
              <w:t>James C. Yardley</w:t>
            </w:r>
          </w:p>
        </w:tc>
      </w:tr>
    </w:tbl>
    <w:p>
      <w:pPr>
        <w:pStyle w:val="TextBody"/>
        <w:spacing w:before="120" w:after="0"/>
        <w:jc w:val="left"/>
        <w:rPr>
          <w:rFonts w:ascii="arial" w:hAnsi="arial"/>
          <w:sz w:val="16"/>
        </w:rPr>
      </w:pPr>
      <w:r>
        <w:rPr>
          <w:rFonts w:ascii="arial" w:hAnsi="arial"/>
          <w:sz w:val="16"/>
        </w:rPr>
        <w:t xml:space="preserve">Based on its review, the board also has affirmatively determined the independence of Kathleen L. Brown, who is currently a director but, in keeping with our retirement policy, has not been nominated to stand for re-election as a director in 2021. </w:t>
      </w:r>
    </w:p>
    <w:p>
      <w:pPr>
        <w:pStyle w:val="TextBody"/>
        <w:spacing w:before="360" w:after="0"/>
        <w:jc w:val="left"/>
        <w:rPr>
          <w:rFonts w:ascii="arial" w:hAnsi="arial"/>
          <w:sz w:val="28"/>
        </w:rPr>
      </w:pPr>
      <w:r>
        <w:rPr>
          <w:rFonts w:ascii="arial" w:hAnsi="arial"/>
          <w:sz w:val="28"/>
        </w:rPr>
        <w:t xml:space="preserve">Director Share Ownership Guideline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The board has established a director share ownership guideline to further strengthen the link between director and shareholder interests. For non-employee directors, the guideline is ownership of a number of our shares having a value of five times the directors annual base retainer of $85,000, resulting in an ownership guideline equal to $425,000. For these purposes, share ownership includes phantom shares into which compensation has been deferred, restricted stock units and the in-the-money value of service-based stock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11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options, as well as shares owned directly. The Compensation and Talent Development Committee annually reviews adherence to this guideline, which is expected to be attained within five years of becoming a director. Following its review in 2020, the Compensation and Talent Development Committee determined that all of our non-employee directors who have been on the board for at least five years meet or exceed this guideline. </w:t>
      </w:r>
    </w:p>
    <w:p>
      <w:pPr>
        <w:pStyle w:val="TextBody"/>
        <w:spacing w:before="160" w:after="0"/>
        <w:jc w:val="left"/>
        <w:rPr>
          <w:rFonts w:ascii="arial" w:hAnsi="arial"/>
          <w:sz w:val="16"/>
        </w:rPr>
      </w:pPr>
      <w:r>
        <w:rPr>
          <w:rFonts w:ascii="arial" w:hAnsi="arial"/>
          <w:sz w:val="16"/>
        </w:rPr>
        <w:t xml:space="preserve">The board also has established executive officer share ownership guidelines. For information about these guidelines, please see Executive CompensationCompensation Discussion and AnalysisShare Ownership Guidelines. </w:t>
      </w:r>
    </w:p>
    <w:p>
      <w:pPr>
        <w:pStyle w:val="TextBody"/>
        <w:spacing w:before="360" w:after="0"/>
        <w:jc w:val="left"/>
        <w:rPr>
          <w:rFonts w:ascii="arial" w:hAnsi="arial"/>
          <w:sz w:val="28"/>
        </w:rPr>
      </w:pPr>
      <w:r>
        <w:rPr>
          <w:rFonts w:ascii="arial" w:hAnsi="arial"/>
          <w:sz w:val="28"/>
        </w:rPr>
        <w:t xml:space="preserve">Director Overboarding Policy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In response to shareholder feedback and voting policies of some of our shareholders, in 2020, the board updated its Corporate Governance Guidelines to adopt a more restrictive director overboarding policy. Pursuant to the new policy, any director or director nominee who is not also a named executive officer of a public company should not serve on more than four public company boards (including our board), and any director or director nominee who is a named executive officer of a public company should not serve on more than two public company boards (including our board and the board of the company for which the director serves as a named executive officer). In the event a director or director nominee serves on more boards than permitted by this policy, such director will be expected to become compliant with the policy in advance of Sempra Energys next annual shareholders meeting. Additionally, our Corporate Governance Guidelines provide that no member of the Audit Committee may serve on more than a total of three audit committees of public companies (including our Audit Committee) unless the board affirmatively determines that a directors multiple service on audit committees does not impair the directors effectiveness on our Audit Committee. </w:t>
      </w:r>
    </w:p>
    <w:p>
      <w:pPr>
        <w:pStyle w:val="TextBody"/>
        <w:spacing w:before="360" w:after="0"/>
        <w:jc w:val="left"/>
        <w:rPr>
          <w:rFonts w:ascii="arial" w:hAnsi="arial"/>
          <w:sz w:val="28"/>
        </w:rPr>
      </w:pPr>
      <w:r>
        <w:rPr>
          <w:rFonts w:ascii="arial" w:hAnsi="arial"/>
          <w:sz w:val="28"/>
        </w:rPr>
        <w:t xml:space="preserve">Board, Committee and Shareholder Meetings </w:t>
      </w:r>
    </w:p>
    <w:p>
      <w:pPr>
        <w:pStyle w:val="TextBody"/>
        <w:pBdr>
          <w:bottom w:val="single" w:sz="2" w:space="1" w:color="001C71"/>
        </w:pBdr>
        <w:spacing w:lineRule="atLeast" w:line="180" w:before="0" w:after="40"/>
        <w:jc w:val="left"/>
        <w:rPr/>
      </w:pPr>
      <w:r>
        <w:rPr/>
        <w:t> </w:t>
      </w:r>
    </w:p>
    <w:p>
      <w:pPr>
        <w:pStyle w:val="TextBody"/>
        <w:spacing w:before="120" w:after="0"/>
        <w:jc w:val="left"/>
        <w:rPr>
          <w:rFonts w:ascii="arial" w:hAnsi="arial"/>
          <w:sz w:val="16"/>
        </w:rPr>
      </w:pPr>
      <w:r>
        <w:rPr>
          <w:rFonts w:ascii="arial" w:hAnsi="arial"/>
          <w:sz w:val="16"/>
        </w:rPr>
        <w:t xml:space="preserve">At regularly scheduled board and committee meetings, directors review and discuss management reports regarding the companys performance, prospects and plans, as well as significant opportunities and material risks facing the company and other matters the board considers necessary to carry out its responsibilities. At least once a year, the board reviews managements long-term strategic and financial plans, including an annual detailed and comprehensive strategy discussion. The Chairman of the Board or, in certain circumstances as described in Leadership Structure above, the Lead Independent Director, presides over each board meeting. </w:t>
      </w:r>
    </w:p>
    <w:p>
      <w:pPr>
        <w:pStyle w:val="TextBody"/>
        <w:spacing w:before="160" w:after="0"/>
        <w:jc w:val="left"/>
        <w:rPr>
          <w:rFonts w:ascii="arial" w:hAnsi="arial"/>
          <w:sz w:val="16"/>
        </w:rPr>
      </w:pPr>
      <w:r>
        <w:rPr>
          <w:rFonts w:ascii="arial" w:hAnsi="arial"/>
          <w:sz w:val="16"/>
        </w:rPr>
        <w:t xml:space="preserve">The Chairman of the Board leads all board meetings and proposes the agenda and schedule for each meeting, which the Lead Independent Director then reviews and modifies or approves. Committee agendas and schedules are set by or in consultation with the committee chair and with the approval of the Lead Independent Director. All directors are encouraged to propose agenda items, and any director also may raise at any meeting subjects that are not on the agenda. </w:t>
      </w:r>
    </w:p>
    <w:p>
      <w:pPr>
        <w:pStyle w:val="TextBody"/>
        <w:spacing w:before="160" w:after="0"/>
        <w:jc w:val="left"/>
        <w:rPr>
          <w:rFonts w:ascii="arial" w:hAnsi="arial"/>
          <w:sz w:val="16"/>
        </w:rPr>
      </w:pPr>
      <w:r>
        <w:rPr>
          <w:rFonts w:ascii="arial" w:hAnsi="arial"/>
          <w:sz w:val="16"/>
        </w:rPr>
        <w:t xml:space="preserve">Information and other materials important to understanding the business to be conducted at each board and committee meeting, to the extent available, are distributed in writing to the directors in advance of the meeting. Additional information and materials may be presented at the meetings. </w:t>
      </w:r>
    </w:p>
    <w:p>
      <w:pPr>
        <w:pStyle w:val="TextBody"/>
        <w:spacing w:before="160" w:after="0"/>
        <w:jc w:val="left"/>
        <w:rPr>
          <w:rFonts w:ascii="arial" w:hAnsi="arial"/>
          <w:sz w:val="16"/>
        </w:rPr>
      </w:pPr>
      <w:r>
        <w:rPr>
          <w:rFonts w:ascii="arial" w:hAnsi="arial"/>
          <w:sz w:val="16"/>
        </w:rPr>
        <w:t xml:space="preserve">At executive sessions, directors convene in both director-only sessions and sessions with non-management directors only to discuss issues such as succession planning, Chief Executive Officer performance and compensation (although the Chief Executive Officer is not present for deliberations or approvals of his own compensation), executive development, board performance and other matters deemed relevant. An executive session is held at each regular board meeting, and any director may call for an executive session at any board meeting. The Lead Independent Director presides over executive sessions in which the Chairman of the Board is not present. </w:t>
      </w:r>
    </w:p>
    <w:p>
      <w:pPr>
        <w:pStyle w:val="TextBody"/>
        <w:spacing w:before="160" w:after="0"/>
        <w:jc w:val="left"/>
        <w:rPr>
          <w:rFonts w:ascii="arial" w:hAnsi="arial"/>
          <w:sz w:val="16"/>
        </w:rPr>
      </w:pPr>
      <w:r>
        <w:rPr>
          <w:rFonts w:ascii="arial" w:hAnsi="arial"/>
          <w:sz w:val="16"/>
        </w:rPr>
        <w:t xml:space="preserve">During 2020, the board held 11 meetings and committees of the board, including standing and ad hoc committees, collectively held 52 meetings. Directors, on an aggregate basis, attended 96% of the combined number of these meetings. Each incumbent director attended at least 75% of the aggregate number of meetings of the board and each committee of which the director was a member (in each case during the periods when he or she was a member). </w:t>
      </w:r>
    </w:p>
    <w:p>
      <w:pPr>
        <w:pStyle w:val="TextBody"/>
        <w:spacing w:before="160" w:after="0"/>
        <w:jc w:val="left"/>
        <w:rPr>
          <w:rFonts w:ascii="arial" w:hAnsi="arial"/>
          <w:sz w:val="16"/>
        </w:rPr>
      </w:pPr>
      <w:r>
        <w:rPr>
          <w:rFonts w:ascii="arial" w:hAnsi="arial"/>
          <w:sz w:val="16"/>
        </w:rPr>
        <w:t xml:space="preserve">The board expects that each director will attend the Annual Shareholders Meeting. Thirteen members of the board attended our 2020 annual shareholders meeting, which also was held virtually. </w:t>
      </w:r>
    </w:p>
    <w:p>
      <w:pPr>
        <w:pStyle w:val="TextBody"/>
        <w:spacing w:before="360" w:after="0"/>
        <w:jc w:val="left"/>
        <w:rPr>
          <w:rFonts w:ascii="arial" w:hAnsi="arial"/>
          <w:sz w:val="28"/>
        </w:rPr>
      </w:pPr>
      <w:r>
        <w:rPr>
          <w:rFonts w:ascii="arial" w:hAnsi="arial"/>
          <w:sz w:val="28"/>
        </w:rPr>
        <w:t xml:space="preserve">Evaluation of Board and Director Performance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The Corporate Governance Committee annually reviews and evaluates the performance of the Board of Directors in a number of categories, including board oversight, leadership, composition and independence, conduct of meetings and committees. In this review, the Corporate Governance Committee assesses the boards performance as a whole and identifies areas in which the board or senior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12</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management believes performance could improve. The purpose of the review is to increase the effectiveness of the board, and the results are reviewed with the board and its committees. The results also are considered in connection with board refreshment efforts. In addition, each standing committee, other than the Executive Committee, conducts an annual self-evaluation, in accordance with its charter. </w:t>
      </w:r>
    </w:p>
    <w:p>
      <w:pPr>
        <w:pStyle w:val="TextBody"/>
        <w:spacing w:before="160" w:after="0"/>
        <w:jc w:val="left"/>
        <w:rPr>
          <w:rFonts w:ascii="arial" w:hAnsi="arial"/>
          <w:sz w:val="16"/>
        </w:rPr>
      </w:pPr>
      <w:r>
        <w:rPr>
          <w:rFonts w:ascii="arial" w:hAnsi="arial"/>
          <w:sz w:val="16"/>
        </w:rPr>
        <w:t xml:space="preserve">As illustrated below, the board also conducts an annual peer evaluation by which each director is afforded the opportunity to comment anonymously on each other board members performance. In order to help ensure the objectivity and integrity of this process, an outside law firm is engaged every year to conduct the peer review portion of this evaluation and compile the results.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630555" cy="11874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630555" cy="118745"/>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Each independent director receives an evaluation survey for each other independent director Directors forward completed surveys to an outside law firm that compiles results, maintaining confidentiality The law firm provides compiled results to the Corporate Governance Committee Chair who discusses with the CEO The Corporate Governance Committee Chair and CEO address specific issues directly with individual directors as needed The full board discusses results and identifies areas in which the board can be improved and enhanced to increase board effectiveness </w:t>
      </w:r>
    </w:p>
    <w:p>
      <w:pPr>
        <w:pStyle w:val="TextBody"/>
        <w:spacing w:before="160" w:after="0"/>
        <w:jc w:val="left"/>
        <w:rPr>
          <w:rFonts w:ascii="arial" w:hAnsi="arial"/>
          <w:sz w:val="16"/>
        </w:rPr>
      </w:pPr>
      <w:r>
        <w:rPr>
          <w:rFonts w:ascii="arial" w:hAnsi="arial"/>
          <w:sz w:val="16"/>
        </w:rPr>
        <w:t xml:space="preserve">Our board annually reviews the individual performance and qualifications of each director who may wish to be considered for nomination for election for an additional term. The evaluations are reviewed by the Corporate Governance Committee, which makes recommendations to the board regarding nominees to stand for election as directors. Our board appreciates the importance of critically evaluating directors and their contributions to the board in connection with the re-nomination decision, including their collective skills, qualifications and experience, feedback from the annual board evaluation, and individual performance, attendance, participation, independence and outside board and other affiliations. </w:t>
      </w:r>
    </w:p>
    <w:p>
      <w:pPr>
        <w:pStyle w:val="TextBody"/>
        <w:spacing w:before="360" w:after="0"/>
        <w:jc w:val="left"/>
        <w:rPr>
          <w:rFonts w:ascii="arial" w:hAnsi="arial"/>
          <w:sz w:val="28"/>
        </w:rPr>
      </w:pPr>
      <w:r>
        <w:rPr>
          <w:rFonts w:ascii="arial" w:hAnsi="arial"/>
          <w:sz w:val="28"/>
        </w:rPr>
        <w:t xml:space="preserve">The Boards Role in Risk Oversight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businesses invest in, develop and operate energy infrastructure, and provide electric and gas services to customers in North America. These businesses include regulated electric and natural gas transmission and distribution utilities as well as businesses that develop and operate LNG liquefaction facilities for the export of LNG worldwide and that develop and operate energy infrastructure in the United States and Mexico. Risks are inherent in these businesses, including, among others, health, safety and operational risks, human capital risks, regulatory and compliance risks, cybersecurity risks, climate and other environmental risks, business and financial risks and reputational risks. </w:t>
      </w:r>
    </w:p>
    <w:p>
      <w:pPr>
        <w:pStyle w:val="TextBody"/>
        <w:spacing w:before="160" w:after="0"/>
        <w:jc w:val="left"/>
        <w:rPr>
          <w:rFonts w:ascii="arial" w:hAnsi="arial"/>
          <w:sz w:val="16"/>
        </w:rPr>
      </w:pPr>
      <w:r>
        <w:rPr>
          <w:rFonts w:ascii="arial" w:hAnsi="arial"/>
          <w:sz w:val="16"/>
        </w:rPr>
        <w:t xml:space="preserve">Management has developed an integrated risk management framework to assess, prioritize, manage and monitor risks across the companys operations. Sempra Energys board has ultimate responsibility for risk oversight under this framework. Consistent with this approach, our Corporate Governance Guidelines provide that the specific functions of the Board of Directors include assessing and monitoring risks and risk management strategies. </w:t>
      </w:r>
    </w:p>
    <w:p>
      <w:pPr>
        <w:pStyle w:val="TextBody"/>
        <w:spacing w:before="160" w:after="0"/>
        <w:jc w:val="left"/>
        <w:rPr>
          <w:rFonts w:ascii="arial" w:hAnsi="arial"/>
          <w:sz w:val="16"/>
        </w:rPr>
      </w:pPr>
      <w:r>
        <w:rPr>
          <w:rFonts w:ascii="arial" w:hAnsi="arial"/>
          <w:sz w:val="16"/>
        </w:rPr>
        <w:t xml:space="preserve">The board believes that risk oversight stretches far beyond any one committee. As a result, the board has diversified its risk oversight responsibilities across its membership, housing categories of risk oversight within standing board committees by topic and forming ad hoc committees to manage and oversee certain specific risks as needed. For example, the responsibilities of the boards Safety, Sustainability and Technology Committee include issues affecting the environment and the committee is regularly briefed on the companys progress on environmental and sustainability matters. This committee also oversees the companys overall safety policies, reinforcing our strong commitment to safety. Additionally, this committee oversees cybersecurity and other information technology risks and keeps abreast of technology advancements of importance to our business. In addition, the board may form ad hoc committees to manage and oversee certain risks. Any risk oversight that does not fall within the responsibility of a particular committee remains with the full board. The committee chairs periodically report to the full board regarding their respective committees risk oversight role. </w:t>
      </w:r>
    </w:p>
    <w:p>
      <w:pPr>
        <w:pStyle w:val="TextBody"/>
        <w:spacing w:before="160" w:after="0"/>
        <w:jc w:val="left"/>
        <w:rPr>
          <w:rFonts w:ascii="arial" w:hAnsi="arial"/>
          <w:sz w:val="16"/>
        </w:rPr>
      </w:pPr>
      <w:r>
        <w:rPr>
          <w:rFonts w:ascii="arial" w:hAnsi="arial"/>
          <w:sz w:val="16"/>
        </w:rPr>
        <w:t xml:space="preserve">The board and its appropriate committees periodically review and evaluate the material risks we face. In addition, a review of Sempra Energys most material risks and mitigation strategies for these risks is presented by senior management to the full board annually. The board also reviews and monitors strategic, financial and operating plans that are intended to support sustainable long-term growth. Each of our principal operating units is responsible for identifying and moderating risk in a manner consistent with these goals. The board fulfills its risk oversight function through, among other things, the review of reports provided both directly to the board and to appropriate board committees, discussions with management, appointment of outside experts, selection of director candidates with diverse experience and qualifications, and staying informed on developments in our industry and other current events that may impact the company. Based on the foregoing, the board and its committees establish new or monitor and, as needed, amend existing risk oversight and control mechanisms. In addition, the company has a robust internal audit function that reports directly to the Audit Committee.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13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The board and its committees seek to manage risk by establishing policies and practices that apply to various aspects of our business, including, among others: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110230" cy="4048760"/>
                <wp:effectExtent l="0" t="0" r="0" b="0"/>
                <wp:wrapSquare wrapText="largest"/>
                <wp:docPr id="34" name="Frame5"/>
                <a:graphic xmlns:a="http://schemas.openxmlformats.org/drawingml/2006/main">
                  <a:graphicData uri="http://schemas.microsoft.com/office/word/2010/wordprocessingShape">
                    <wps:wsp>
                      <wps:cNvSpPr txBox="1"/>
                      <wps:spPr>
                        <a:xfrm>
                          <a:off x="0" y="0"/>
                          <a:ext cx="3110230" cy="4048760"/>
                        </a:xfrm>
                        <a:prstGeom prst="rect"/>
                      </wps:spPr>
                      <wps:txbx>
                        <w:txbxContent>
                          <w:tbl>
                            <w:tblPr>
                              <w:tblW w:w="5000" w:type="pct"/>
                              <w:jc w:val="left"/>
                              <w:tblInd w:w="0" w:type="dxa"/>
                              <w:tblCellMar>
                                <w:top w:w="0" w:type="dxa"/>
                                <w:left w:w="0" w:type="dxa"/>
                                <w:bottom w:w="0" w:type="dxa"/>
                                <w:right w:w="0" w:type="dxa"/>
                              </w:tblCellMar>
                            </w:tblPr>
                            <w:tblGrid>
                              <w:gridCol w:w="190"/>
                              <w:gridCol w:w="57"/>
                              <w:gridCol w:w="4651"/>
                            </w:tblGrid>
                            <w:tr>
                              <w:trPr/>
                              <w:tc>
                                <w:tcPr>
                                  <w:tcW w:w="190" w:type="dxa"/>
                                  <w:tcBorders/>
                                  <w:shd w:fill="auto" w:val="clear"/>
                                </w:tcPr>
                                <w:p>
                                  <w:pPr>
                                    <w:pStyle w:val="TableContents"/>
                                    <w:spacing w:before="0" w:after="283"/>
                                    <w:jc w:val="left"/>
                                    <w:rPr>
                                      <w:color w:val="001C71"/>
                                    </w:rPr>
                                  </w:pPr>
                                  <w:r>
                                    <w:rPr>
                                      <w:color w:val="001C71"/>
                                    </w:rPr>
                                    <w:t></w:t>
                                  </w:r>
                                </w:p>
                              </w:tc>
                              <w:tc>
                                <w:tcPr>
                                  <w:tcW w:w="57" w:type="dxa"/>
                                  <w:tcBorders/>
                                  <w:shd w:fill="auto" w:val="clear"/>
                                </w:tcPr>
                                <w:p>
                                  <w:pPr>
                                    <w:pStyle w:val="TableContents"/>
                                    <w:spacing w:before="0" w:after="283"/>
                                    <w:rPr/>
                                  </w:pPr>
                                  <w:r>
                                    <w:rPr/>
                                    <w:t> </w:t>
                                  </w:r>
                                </w:p>
                              </w:tc>
                              <w:tc>
                                <w:tcPr>
                                  <w:tcW w:w="4651" w:type="dxa"/>
                                  <w:tcBorders/>
                                  <w:shd w:fill="auto" w:val="clear"/>
                                </w:tcPr>
                                <w:p>
                                  <w:pPr>
                                    <w:pStyle w:val="TableContents"/>
                                    <w:spacing w:before="0" w:after="283"/>
                                    <w:jc w:val="left"/>
                                    <w:rPr/>
                                  </w:pPr>
                                  <w:r>
                                    <w:rPr/>
                                    <w:t xml:space="preserve">The appropriate capital structure for our businesses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Utility investment plans consistent with state policy objectives and regulatory review and approval of significant investments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Non-utility investment policies, including requiring substantial contractual commitments from third parties to purchase the capacity or output of major non-utility projects before commencing construction on the projects, subject to exceptions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An employee compensation program that encourages and rewards sustainable growth in our business and is within an acceptable risk profile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8.8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190"/>
                        <w:gridCol w:w="57"/>
                        <w:gridCol w:w="4651"/>
                      </w:tblGrid>
                      <w:tr>
                        <w:trPr/>
                        <w:tc>
                          <w:tcPr>
                            <w:tcW w:w="190" w:type="dxa"/>
                            <w:tcBorders/>
                            <w:shd w:fill="auto" w:val="clear"/>
                          </w:tcPr>
                          <w:p>
                            <w:pPr>
                              <w:pStyle w:val="TableContents"/>
                              <w:spacing w:before="0" w:after="283"/>
                              <w:jc w:val="left"/>
                              <w:rPr>
                                <w:color w:val="001C71"/>
                              </w:rPr>
                            </w:pPr>
                            <w:r>
                              <w:rPr>
                                <w:color w:val="001C71"/>
                              </w:rPr>
                              <w:t></w:t>
                            </w:r>
                          </w:p>
                        </w:tc>
                        <w:tc>
                          <w:tcPr>
                            <w:tcW w:w="57" w:type="dxa"/>
                            <w:tcBorders/>
                            <w:shd w:fill="auto" w:val="clear"/>
                          </w:tcPr>
                          <w:p>
                            <w:pPr>
                              <w:pStyle w:val="TableContents"/>
                              <w:spacing w:before="0" w:after="283"/>
                              <w:rPr/>
                            </w:pPr>
                            <w:r>
                              <w:rPr/>
                              <w:t> </w:t>
                            </w:r>
                          </w:p>
                        </w:tc>
                        <w:tc>
                          <w:tcPr>
                            <w:tcW w:w="4651" w:type="dxa"/>
                            <w:tcBorders/>
                            <w:shd w:fill="auto" w:val="clear"/>
                          </w:tcPr>
                          <w:p>
                            <w:pPr>
                              <w:pStyle w:val="TableContents"/>
                              <w:spacing w:before="0" w:after="283"/>
                              <w:jc w:val="left"/>
                              <w:rPr/>
                            </w:pPr>
                            <w:r>
                              <w:rPr/>
                              <w:t xml:space="preserve">The appropriate capital structure for our businesses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Utility investment plans consistent with state policy objectives and regulatory review and approval of significant investments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Non-utility investment policies, including requiring substantial contractual commitments from third parties to purchase the capacity or output of major non-utility projects before commencing construction on the projects, subject to exceptions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An employee compensation program that encourages and rewards sustainable growth in our business and is within an acceptable risk profile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3175000" cy="3168015"/>
                <wp:effectExtent l="0" t="0" r="0" b="0"/>
                <wp:wrapSquare wrapText="largest"/>
                <wp:docPr id="35" name="Frame6"/>
                <a:graphic xmlns:a="http://schemas.openxmlformats.org/drawingml/2006/main">
                  <a:graphicData uri="http://schemas.microsoft.com/office/word/2010/wordprocessingShape">
                    <wps:wsp>
                      <wps:cNvSpPr txBox="1"/>
                      <wps:spPr>
                        <a:xfrm>
                          <a:off x="0" y="0"/>
                          <a:ext cx="3175000" cy="3168015"/>
                        </a:xfrm>
                        <a:prstGeom prst="rect"/>
                      </wps:spPr>
                      <wps:txbx>
                        <w:txbxContent>
                          <w:tbl>
                            <w:tblPr>
                              <w:tblW w:w="5000" w:type="pct"/>
                              <w:jc w:val="left"/>
                              <w:tblInd w:w="0" w:type="dxa"/>
                              <w:tblCellMar>
                                <w:top w:w="0" w:type="dxa"/>
                                <w:left w:w="0" w:type="dxa"/>
                                <w:bottom w:w="0" w:type="dxa"/>
                                <w:right w:w="0" w:type="dxa"/>
                              </w:tblCellMar>
                            </w:tblPr>
                            <w:tblGrid>
                              <w:gridCol w:w="107"/>
                              <w:gridCol w:w="33"/>
                              <w:gridCol w:w="4860"/>
                            </w:tblGrid>
                            <w:tr>
                              <w:trPr/>
                              <w:tc>
                                <w:tcPr>
                                  <w:tcW w:w="107" w:type="dxa"/>
                                  <w:tcBorders/>
                                  <w:shd w:fill="auto" w:val="clear"/>
                                </w:tcPr>
                                <w:p>
                                  <w:pPr>
                                    <w:pStyle w:val="TableContents"/>
                                    <w:spacing w:before="0" w:after="283"/>
                                    <w:jc w:val="left"/>
                                    <w:rPr>
                                      <w:color w:val="001C71"/>
                                    </w:rPr>
                                  </w:pPr>
                                  <w:r>
                                    <w:rPr>
                                      <w:color w:val="001C71"/>
                                    </w:rPr>
                                    <w:t></w:t>
                                  </w:r>
                                </w:p>
                              </w:tc>
                              <w:tc>
                                <w:tcPr>
                                  <w:tcW w:w="33" w:type="dxa"/>
                                  <w:tcBorders/>
                                  <w:shd w:fill="auto" w:val="clear"/>
                                </w:tcPr>
                                <w:p>
                                  <w:pPr>
                                    <w:pStyle w:val="TableContents"/>
                                    <w:spacing w:before="0" w:after="283"/>
                                    <w:rPr/>
                                  </w:pPr>
                                  <w:r>
                                    <w:rPr/>
                                    <w:t> </w:t>
                                  </w:r>
                                </w:p>
                              </w:tc>
                              <w:tc>
                                <w:tcPr>
                                  <w:tcW w:w="4860" w:type="dxa"/>
                                  <w:tcBorders/>
                                  <w:shd w:fill="auto" w:val="clear"/>
                                </w:tcPr>
                                <w:p>
                                  <w:pPr>
                                    <w:pStyle w:val="TableContents"/>
                                    <w:spacing w:before="0" w:after="283"/>
                                    <w:jc w:val="left"/>
                                    <w:rPr/>
                                  </w:pPr>
                                  <w:r>
                                    <w:rPr/>
                                    <w:t xml:space="preserve">Commitment policies that require board review and/or approval above certain dollar thresholds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Reviews of the companys high-performing culture with a focus on significant operating measures, such as safety, sustainability, diversity and inclusion of our workforce and customer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With respect to investments in which we do not operate or control the related entity, careful selection of business partners and representation on the entitys board or equivalent governing body when possible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9.4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107"/>
                        <w:gridCol w:w="33"/>
                        <w:gridCol w:w="4860"/>
                      </w:tblGrid>
                      <w:tr>
                        <w:trPr/>
                        <w:tc>
                          <w:tcPr>
                            <w:tcW w:w="107" w:type="dxa"/>
                            <w:tcBorders/>
                            <w:shd w:fill="auto" w:val="clear"/>
                          </w:tcPr>
                          <w:p>
                            <w:pPr>
                              <w:pStyle w:val="TableContents"/>
                              <w:spacing w:before="0" w:after="283"/>
                              <w:jc w:val="left"/>
                              <w:rPr>
                                <w:color w:val="001C71"/>
                              </w:rPr>
                            </w:pPr>
                            <w:r>
                              <w:rPr>
                                <w:color w:val="001C71"/>
                              </w:rPr>
                              <w:t></w:t>
                            </w:r>
                          </w:p>
                        </w:tc>
                        <w:tc>
                          <w:tcPr>
                            <w:tcW w:w="33" w:type="dxa"/>
                            <w:tcBorders/>
                            <w:shd w:fill="auto" w:val="clear"/>
                          </w:tcPr>
                          <w:p>
                            <w:pPr>
                              <w:pStyle w:val="TableContents"/>
                              <w:spacing w:before="0" w:after="283"/>
                              <w:rPr/>
                            </w:pPr>
                            <w:r>
                              <w:rPr/>
                              <w:t> </w:t>
                            </w:r>
                          </w:p>
                        </w:tc>
                        <w:tc>
                          <w:tcPr>
                            <w:tcW w:w="4860" w:type="dxa"/>
                            <w:tcBorders/>
                            <w:shd w:fill="auto" w:val="clear"/>
                          </w:tcPr>
                          <w:p>
                            <w:pPr>
                              <w:pStyle w:val="TableContents"/>
                              <w:spacing w:before="0" w:after="283"/>
                              <w:jc w:val="left"/>
                              <w:rPr/>
                            </w:pPr>
                            <w:r>
                              <w:rPr/>
                              <w:t xml:space="preserve">Commitment policies that require board review and/or approval above certain dollar thresholds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Reviews of the companys high-performing culture with a focus on significant operating measures, such as safety, sustainability, diversity and inclusion of our workforce and customer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With respect to investments in which we do not operate or control the related entity, careful selection of business partners and representation on the entitys board or equivalent governing body when possible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For additional information on the responsibilities of board committees, see Board Committees below. </w:t>
      </w:r>
    </w:p>
    <w:p>
      <w:pPr>
        <w:pStyle w:val="TextBody"/>
        <w:spacing w:before="360" w:after="0"/>
        <w:jc w:val="left"/>
        <w:rPr>
          <w:rFonts w:ascii="arial" w:hAnsi="arial"/>
          <w:sz w:val="28"/>
        </w:rPr>
      </w:pPr>
      <w:r>
        <w:rPr>
          <w:rFonts w:ascii="arial" w:hAnsi="arial"/>
          <w:sz w:val="28"/>
        </w:rPr>
        <w:t xml:space="preserve">Board Approach to Certain Key ESG Topics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The board recognizes the importance of risks and opportunities related to environmental stewardship, safety and stakeholder engagement and responsible governance and believes a focus on these factors is consistent with our vision, mission and values and can help our company achieve better business outcomes. In order to strengthen and clarify the way in which the board oversees and considers sustainability and other ESG matters, the board changed the name of its Environmental, Health, Safety and Technology Committee to Safety, Sustainability and Technology Committee and has revised this committees charter to describe more fully the committees oversight of and focus on these matters. The board continues to strongly focus on the ESG topics discussed below. </w:t>
      </w:r>
    </w:p>
    <w:p>
      <w:pPr>
        <w:pStyle w:val="TextBody"/>
        <w:spacing w:before="280" w:after="0"/>
        <w:jc w:val="left"/>
        <w:rPr>
          <w:rFonts w:ascii="arial" w:hAnsi="arial"/>
          <w:b/>
          <w:color w:val="001C71"/>
          <w:sz w:val="24"/>
        </w:rPr>
      </w:pPr>
      <w:r>
        <w:rPr>
          <w:rFonts w:ascii="arial" w:hAnsi="arial"/>
          <w:b/>
          <w:color w:val="001C71"/>
          <w:sz w:val="24"/>
        </w:rPr>
        <w:t xml:space="preserve">Safety and COVID-19 </w:t>
      </w:r>
    </w:p>
    <w:p>
      <w:pPr>
        <w:pStyle w:val="TextBody"/>
        <w:spacing w:before="120" w:after="0"/>
        <w:jc w:val="left"/>
        <w:rPr>
          <w:rFonts w:ascii="arial" w:hAnsi="arial"/>
          <w:sz w:val="16"/>
        </w:rPr>
      </w:pPr>
      <w:r>
        <w:rPr>
          <w:rFonts w:ascii="arial" w:hAnsi="arial"/>
          <w:sz w:val="16"/>
        </w:rPr>
        <w:t xml:space="preserve">Health and safety are foundational at the Sempra Energy family of companies. In addition to our enterprise-wide commitment to safety improvement and our ongoing focus on safety and reliability in our operations and our capital spending, the board and management directed significant efforts and attention in 2020 to the COVID-19 pandemic. As soon as the severity of the pandemic became known, the board began holding informal weekly calls with management to monitor and oversee managements robust response and ongoing efforts to address the impact of the pandemic on the employees, customers and communities served by the Sempra Energy family of companies. This response included: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3110230" cy="4531995"/>
                <wp:effectExtent l="0" t="0" r="0" b="0"/>
                <wp:wrapSquare wrapText="largest"/>
                <wp:docPr id="36" name="Frame7"/>
                <a:graphic xmlns:a="http://schemas.openxmlformats.org/drawingml/2006/main">
                  <a:graphicData uri="http://schemas.microsoft.com/office/word/2010/wordprocessingShape">
                    <wps:wsp>
                      <wps:cNvSpPr txBox="1"/>
                      <wps:spPr>
                        <a:xfrm>
                          <a:off x="0" y="0"/>
                          <a:ext cx="3110230" cy="4531995"/>
                        </a:xfrm>
                        <a:prstGeom prst="rect"/>
                      </wps:spPr>
                      <wps:txbx>
                        <w:txbxContent>
                          <w:tbl>
                            <w:tblPr>
                              <w:tblW w:w="5000" w:type="pct"/>
                              <w:jc w:val="center"/>
                              <w:tblInd w:w="0" w:type="dxa"/>
                              <w:tblCellMar>
                                <w:top w:w="0" w:type="dxa"/>
                                <w:left w:w="0" w:type="dxa"/>
                                <w:bottom w:w="0" w:type="dxa"/>
                                <w:right w:w="0" w:type="dxa"/>
                              </w:tblCellMar>
                            </w:tblPr>
                            <w:tblGrid>
                              <w:gridCol w:w="4898"/>
                            </w:tblGrid>
                            <w:tr>
                              <w:trPr/>
                              <w:tc>
                                <w:tcPr>
                                  <w:tcW w:w="4898" w:type="dxa"/>
                                  <w:tcBorders/>
                                  <w:shd w:fill="auto" w:val="clear"/>
                                  <w:vAlign w:val="center"/>
                                </w:tcPr>
                                <w:p>
                                  <w:pPr>
                                    <w:pStyle w:val="TableContents"/>
                                    <w:spacing w:before="0" w:after="283"/>
                                    <w:rPr>
                                      <w:sz w:val="4"/>
                                      <w:szCs w:val="4"/>
                                    </w:rPr>
                                  </w:pPr>
                                  <w:r>
                                    <w:rPr>
                                      <w:sz w:val="4"/>
                                      <w:szCs w:val="4"/>
                                    </w:rPr>
                                  </w:r>
                                </w:p>
                              </w:tc>
                            </w:tr>
                            <w:tr>
                              <w:trPr/>
                              <w:tc>
                                <w:tcPr>
                                  <w:tcW w:w="4898" w:type="dxa"/>
                                  <w:tcBorders>
                                    <w:top w:val="single" w:sz="8" w:space="0" w:color="001C71"/>
                                    <w:left w:val="single" w:sz="8" w:space="0" w:color="001C71"/>
                                    <w:bottom w:val="single" w:sz="8" w:space="0" w:color="001C71"/>
                                    <w:right w:val="single" w:sz="8" w:space="0" w:color="001C71"/>
                                  </w:tcBorders>
                                  <w:shd w:fill="001C71" w:val="clear"/>
                                  <w:tcMar>
                                    <w:top w:w="28" w:type="dxa"/>
                                    <w:left w:w="160" w:type="dxa"/>
                                    <w:bottom w:w="28" w:type="dxa"/>
                                    <w:right w:w="40" w:type="dxa"/>
                                  </w:tcMar>
                                  <w:vAlign w:val="bottom"/>
                                </w:tcPr>
                                <w:p>
                                  <w:pPr>
                                    <w:pStyle w:val="TableContents"/>
                                    <w:spacing w:before="0" w:after="0"/>
                                    <w:rPr/>
                                  </w:pPr>
                                  <w:r>
                                    <w:rPr/>
                                    <w:t> </w:t>
                                  </w:r>
                                </w:p>
                                <w:p>
                                  <w:pPr>
                                    <w:pStyle w:val="TableContents"/>
                                    <w:spacing w:before="0" w:after="0"/>
                                    <w:rPr>
                                      <w:rFonts w:ascii="arial" w:hAnsi="arial"/>
                                      <w:b/>
                                      <w:color w:val="FFFFFF"/>
                                      <w:sz w:val="16"/>
                                    </w:rPr>
                                  </w:pPr>
                                  <w:r>
                                    <w:rPr>
                                      <w:rFonts w:ascii="arial" w:hAnsi="arial"/>
                                      <w:b/>
                                      <w:color w:val="FFFFFF"/>
                                      <w:sz w:val="16"/>
                                    </w:rPr>
                                    <w:t>Employees</w:t>
                                  </w:r>
                                </w:p>
                                <w:p>
                                  <w:pPr>
                                    <w:pStyle w:val="TableContents"/>
                                    <w:spacing w:before="0" w:after="20"/>
                                    <w:rPr/>
                                  </w:pPr>
                                  <w:r>
                                    <w:rPr/>
                                    <w:t> </w:t>
                                  </w:r>
                                </w:p>
                              </w:tc>
                            </w:tr>
                            <w:tr>
                              <w:trPr/>
                              <w:tc>
                                <w:tcPr>
                                  <w:tcW w:w="4898" w:type="dxa"/>
                                  <w:tcBorders>
                                    <w:left w:val="single" w:sz="8" w:space="0" w:color="001C71"/>
                                    <w:bottom w:val="single" w:sz="8" w:space="0" w:color="001C71"/>
                                    <w:right w:val="single" w:sz="8" w:space="0" w:color="001C71"/>
                                  </w:tcBorders>
                                  <w:shd w:fill="auto" w:val="clear"/>
                                  <w:tcMar>
                                    <w:left w:w="160" w:type="dxa"/>
                                    <w:bottom w:w="28" w:type="dxa"/>
                                    <w:right w:w="40" w:type="dxa"/>
                                  </w:tcMar>
                                </w:tcPr>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  Activated enterprise-wide Pandemic Response Leadership Team to respond quickly to changing conditions and help manage risks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  Hired a full-time infectious disease specialist to provide us</w:t>
                                    <w:br/>
                                    <w:t>with expert advice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  Instituted travel bans, restricted office access and increased sanitization</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  Revised protocols for essential onsite employees, including physical separation within operating groups and increased protective gear</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  Expanded paid sick and emergency leave policies for</w:t>
                                    <w:br/>
                                    <w:t>employees who need additional flexibility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  Providing employees technology reimbursement, stress management and mental health resources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  Continuing to engage with public health authorities to implement current health, safety and security guidelines, helping ensure a safe return to work plan</w:t>
                                  </w:r>
                                </w:p>
                                <w:p>
                                  <w:pPr>
                                    <w:pStyle w:val="TableContents"/>
                                    <w:spacing w:before="0" w:after="0"/>
                                    <w:rPr/>
                                  </w:pPr>
                                  <w:r>
                                    <w:rPr/>
                                    <w:t> </w:t>
                                  </w:r>
                                </w:p>
                                <w:p>
                                  <w:pPr>
                                    <w:pStyle w:val="TableContents"/>
                                    <w:spacing w:before="0" w:after="20"/>
                                    <w:rPr/>
                                  </w:pPr>
                                  <w:r>
                                    <w:rPr/>
                                    <w:t> </w:t>
                                  </w:r>
                                </w:p>
                              </w:tc>
                            </w:tr>
                          </w:tbl>
                          <w:p>
                            <w:pPr>
                              <w:pStyle w:val="TextBody"/>
                              <w:spacing w:before="0" w:after="0"/>
                              <w:rPr/>
                            </w:pP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6.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4898"/>
                      </w:tblGrid>
                      <w:tr>
                        <w:trPr/>
                        <w:tc>
                          <w:tcPr>
                            <w:tcW w:w="4898" w:type="dxa"/>
                            <w:tcBorders/>
                            <w:shd w:fill="auto" w:val="clear"/>
                            <w:vAlign w:val="center"/>
                          </w:tcPr>
                          <w:p>
                            <w:pPr>
                              <w:pStyle w:val="TableContents"/>
                              <w:spacing w:before="0" w:after="283"/>
                              <w:rPr>
                                <w:sz w:val="4"/>
                                <w:szCs w:val="4"/>
                              </w:rPr>
                            </w:pPr>
                            <w:r>
                              <w:rPr>
                                <w:sz w:val="4"/>
                                <w:szCs w:val="4"/>
                              </w:rPr>
                            </w:r>
                          </w:p>
                        </w:tc>
                      </w:tr>
                      <w:tr>
                        <w:trPr/>
                        <w:tc>
                          <w:tcPr>
                            <w:tcW w:w="4898" w:type="dxa"/>
                            <w:tcBorders>
                              <w:top w:val="single" w:sz="8" w:space="0" w:color="001C71"/>
                              <w:left w:val="single" w:sz="8" w:space="0" w:color="001C71"/>
                              <w:bottom w:val="single" w:sz="8" w:space="0" w:color="001C71"/>
                              <w:right w:val="single" w:sz="8" w:space="0" w:color="001C71"/>
                            </w:tcBorders>
                            <w:shd w:fill="001C71" w:val="clear"/>
                            <w:tcMar>
                              <w:top w:w="28" w:type="dxa"/>
                              <w:left w:w="160" w:type="dxa"/>
                              <w:bottom w:w="28" w:type="dxa"/>
                              <w:right w:w="40" w:type="dxa"/>
                            </w:tcMar>
                            <w:vAlign w:val="bottom"/>
                          </w:tcPr>
                          <w:p>
                            <w:pPr>
                              <w:pStyle w:val="TableContents"/>
                              <w:spacing w:before="0" w:after="0"/>
                              <w:rPr/>
                            </w:pPr>
                            <w:r>
                              <w:rPr/>
                              <w:t> </w:t>
                            </w:r>
                          </w:p>
                          <w:p>
                            <w:pPr>
                              <w:pStyle w:val="TableContents"/>
                              <w:spacing w:before="0" w:after="0"/>
                              <w:rPr>
                                <w:rFonts w:ascii="arial" w:hAnsi="arial"/>
                                <w:b/>
                                <w:color w:val="FFFFFF"/>
                                <w:sz w:val="16"/>
                              </w:rPr>
                            </w:pPr>
                            <w:r>
                              <w:rPr>
                                <w:rFonts w:ascii="arial" w:hAnsi="arial"/>
                                <w:b/>
                                <w:color w:val="FFFFFF"/>
                                <w:sz w:val="16"/>
                              </w:rPr>
                              <w:t>Employees</w:t>
                            </w:r>
                          </w:p>
                          <w:p>
                            <w:pPr>
                              <w:pStyle w:val="TableContents"/>
                              <w:spacing w:before="0" w:after="20"/>
                              <w:rPr/>
                            </w:pPr>
                            <w:r>
                              <w:rPr/>
                              <w:t> </w:t>
                            </w:r>
                          </w:p>
                        </w:tc>
                      </w:tr>
                      <w:tr>
                        <w:trPr/>
                        <w:tc>
                          <w:tcPr>
                            <w:tcW w:w="4898" w:type="dxa"/>
                            <w:tcBorders>
                              <w:left w:val="single" w:sz="8" w:space="0" w:color="001C71"/>
                              <w:bottom w:val="single" w:sz="8" w:space="0" w:color="001C71"/>
                              <w:right w:val="single" w:sz="8" w:space="0" w:color="001C71"/>
                            </w:tcBorders>
                            <w:shd w:fill="auto" w:val="clear"/>
                            <w:tcMar>
                              <w:left w:w="160" w:type="dxa"/>
                              <w:bottom w:w="28" w:type="dxa"/>
                              <w:right w:w="40" w:type="dxa"/>
                            </w:tcMar>
                          </w:tcPr>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  Activated enterprise-wide Pandemic Response Leadership Team to respond quickly to changing conditions and help manage risks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  Hired a full-time infectious disease specialist to provide us</w:t>
                              <w:br/>
                              <w:t>with expert advice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  Instituted travel bans, restricted office access and increased sanitization</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  Revised protocols for essential onsite employees, including physical separation within operating groups and increased protective gear</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  Expanded paid sick and emergency leave policies for</w:t>
                              <w:br/>
                              <w:t>employees who need additional flexibility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  Providing employees technology reimbursement, stress management and mental health resources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  Continuing to engage with public health authorities to implement current health, safety and security guidelines, helping ensure a safe return to work plan</w:t>
                            </w:r>
                          </w:p>
                          <w:p>
                            <w:pPr>
                              <w:pStyle w:val="TableContents"/>
                              <w:spacing w:before="0" w:after="0"/>
                              <w:rPr/>
                            </w:pPr>
                            <w:r>
                              <w:rPr/>
                              <w:t> </w:t>
                            </w:r>
                          </w:p>
                          <w:p>
                            <w:pPr>
                              <w:pStyle w:val="TableContents"/>
                              <w:spacing w:before="0" w:after="20"/>
                              <w:rPr/>
                            </w:pPr>
                            <w:r>
                              <w:rPr/>
                              <w:t> </w:t>
                            </w:r>
                          </w:p>
                        </w:tc>
                      </w:tr>
                    </w:tbl>
                    <w:p>
                      <w:pPr>
                        <w:pStyle w:val="TextBody"/>
                        <w:spacing w:before="0" w:after="0"/>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3175000" cy="4719955"/>
                <wp:effectExtent l="0" t="0" r="0" b="0"/>
                <wp:wrapSquare wrapText="largest"/>
                <wp:docPr id="37" name="Frame8"/>
                <a:graphic xmlns:a="http://schemas.openxmlformats.org/drawingml/2006/main">
                  <a:graphicData uri="http://schemas.microsoft.com/office/word/2010/wordprocessingShape">
                    <wps:wsp>
                      <wps:cNvSpPr txBox="1"/>
                      <wps:spPr>
                        <a:xfrm>
                          <a:off x="0" y="0"/>
                          <a:ext cx="3175000" cy="4719955"/>
                        </a:xfrm>
                        <a:prstGeom prst="rect"/>
                      </wps:spPr>
                      <wps:txbx>
                        <w:txbxContent>
                          <w:tbl>
                            <w:tblPr>
                              <w:tblW w:w="5000" w:type="pct"/>
                              <w:jc w:val="center"/>
                              <w:tblInd w:w="0" w:type="dxa"/>
                              <w:tblCellMar>
                                <w:top w:w="0" w:type="dxa"/>
                                <w:left w:w="0" w:type="dxa"/>
                                <w:bottom w:w="0" w:type="dxa"/>
                                <w:right w:w="0" w:type="dxa"/>
                              </w:tblCellMar>
                            </w:tblPr>
                            <w:tblGrid>
                              <w:gridCol w:w="5000"/>
                            </w:tblGrid>
                            <w:tr>
                              <w:trPr/>
                              <w:tc>
                                <w:tcPr>
                                  <w:tcW w:w="5000" w:type="dxa"/>
                                  <w:tcBorders/>
                                  <w:shd w:fill="auto" w:val="clear"/>
                                  <w:vAlign w:val="center"/>
                                </w:tcPr>
                                <w:p>
                                  <w:pPr>
                                    <w:pStyle w:val="TableContents"/>
                                    <w:spacing w:before="0" w:after="283"/>
                                    <w:rPr>
                                      <w:sz w:val="4"/>
                                      <w:szCs w:val="4"/>
                                    </w:rPr>
                                  </w:pPr>
                                  <w:r>
                                    <w:rPr>
                                      <w:sz w:val="4"/>
                                      <w:szCs w:val="4"/>
                                    </w:rPr>
                                  </w:r>
                                </w:p>
                              </w:tc>
                            </w:tr>
                            <w:tr>
                              <w:trPr/>
                              <w:tc>
                                <w:tcPr>
                                  <w:tcW w:w="5000" w:type="dxa"/>
                                  <w:tcBorders>
                                    <w:top w:val="single" w:sz="8" w:space="0" w:color="001C71"/>
                                    <w:left w:val="single" w:sz="8" w:space="0" w:color="001C71"/>
                                    <w:bottom w:val="single" w:sz="8" w:space="0" w:color="001C71"/>
                                    <w:right w:val="single" w:sz="8" w:space="0" w:color="001C71"/>
                                  </w:tcBorders>
                                  <w:shd w:fill="001C71" w:val="clear"/>
                                  <w:tcMar>
                                    <w:top w:w="28" w:type="dxa"/>
                                    <w:left w:w="160" w:type="dxa"/>
                                    <w:bottom w:w="28" w:type="dxa"/>
                                    <w:right w:w="40" w:type="dxa"/>
                                  </w:tcMar>
                                  <w:vAlign w:val="bottom"/>
                                </w:tcPr>
                                <w:p>
                                  <w:pPr>
                                    <w:pStyle w:val="TableContents"/>
                                    <w:spacing w:before="0" w:after="0"/>
                                    <w:rPr/>
                                  </w:pPr>
                                  <w:r>
                                    <w:rPr/>
                                    <w:t> </w:t>
                                  </w:r>
                                </w:p>
                                <w:p>
                                  <w:pPr>
                                    <w:pStyle w:val="TableContents"/>
                                    <w:spacing w:before="0" w:after="0"/>
                                    <w:rPr>
                                      <w:rFonts w:ascii="arial" w:hAnsi="arial"/>
                                      <w:b/>
                                      <w:color w:val="FFFFFF"/>
                                      <w:sz w:val="16"/>
                                    </w:rPr>
                                  </w:pPr>
                                  <w:r>
                                    <w:rPr>
                                      <w:rFonts w:ascii="arial" w:hAnsi="arial"/>
                                      <w:b/>
                                      <w:color w:val="FFFFFF"/>
                                      <w:sz w:val="16"/>
                                    </w:rPr>
                                    <w:t>Customers</w:t>
                                  </w:r>
                                </w:p>
                                <w:p>
                                  <w:pPr>
                                    <w:pStyle w:val="TableContents"/>
                                    <w:spacing w:before="0" w:after="20"/>
                                    <w:rPr/>
                                  </w:pPr>
                                  <w:r>
                                    <w:rPr/>
                                    <w:t> </w:t>
                                  </w:r>
                                </w:p>
                              </w:tc>
                            </w:tr>
                            <w:tr>
                              <w:trPr/>
                              <w:tc>
                                <w:tcPr>
                                  <w:tcW w:w="5000" w:type="dxa"/>
                                  <w:tcBorders>
                                    <w:left w:val="single" w:sz="8" w:space="0" w:color="001C71"/>
                                    <w:bottom w:val="single" w:sz="8" w:space="0" w:color="001C71"/>
                                    <w:right w:val="single" w:sz="8" w:space="0" w:color="001C71"/>
                                  </w:tcBorders>
                                  <w:shd w:fill="auto" w:val="clear"/>
                                  <w:tcMar>
                                    <w:left w:w="160" w:type="dxa"/>
                                    <w:bottom w:w="28" w:type="dxa"/>
                                    <w:right w:w="40" w:type="dxa"/>
                                  </w:tcMar>
                                </w:tcPr>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  Offering flexible payment plans and suspending service disconnections to help maintain uninterrupted energy service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  Enforcing physical distancing and personal protective equipment (PPE) protocol while performing work in customer homes / businesses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  Introduced contactless enrollment option for energy savings assistance program in response to COVID-19 social distancing guidelines</w:t>
                                  </w:r>
                                </w:p>
                                <w:p>
                                  <w:pPr>
                                    <w:pStyle w:val="TableContents"/>
                                    <w:spacing w:before="0" w:after="20"/>
                                    <w:rPr/>
                                  </w:pPr>
                                  <w:r>
                                    <w:rPr/>
                                    <w:t> </w:t>
                                  </w:r>
                                </w:p>
                              </w:tc>
                            </w:tr>
                            <w:tr>
                              <w:trPr/>
                              <w:tc>
                                <w:tcPr>
                                  <w:tcW w:w="5000" w:type="dxa"/>
                                  <w:tcBorders/>
                                  <w:shd w:fill="auto" w:val="clear"/>
                                </w:tcPr>
                                <w:p>
                                  <w:pPr>
                                    <w:pStyle w:val="TableContents"/>
                                    <w:spacing w:before="0" w:after="20"/>
                                    <w:rPr/>
                                  </w:pPr>
                                  <w:r>
                                    <w:rPr/>
                                    <w:t>    </w:t>
                                  </w:r>
                                </w:p>
                              </w:tc>
                            </w:tr>
                            <w:tr>
                              <w:trPr/>
                              <w:tc>
                                <w:tcPr>
                                  <w:tcW w:w="5000" w:type="dxa"/>
                                  <w:tcBorders>
                                    <w:top w:val="single" w:sz="8" w:space="0" w:color="001C71"/>
                                    <w:left w:val="single" w:sz="8" w:space="0" w:color="001C71"/>
                                    <w:bottom w:val="single" w:sz="8" w:space="0" w:color="001C71"/>
                                    <w:right w:val="single" w:sz="8" w:space="0" w:color="001C71"/>
                                  </w:tcBorders>
                                  <w:shd w:fill="001C71" w:val="clear"/>
                                  <w:tcMar>
                                    <w:top w:w="28" w:type="dxa"/>
                                    <w:left w:w="160" w:type="dxa"/>
                                    <w:bottom w:w="28" w:type="dxa"/>
                                    <w:right w:w="40" w:type="dxa"/>
                                  </w:tcMar>
                                  <w:vAlign w:val="bottom"/>
                                </w:tcPr>
                                <w:p>
                                  <w:pPr>
                                    <w:pStyle w:val="TableContents"/>
                                    <w:spacing w:before="0" w:after="0"/>
                                    <w:rPr/>
                                  </w:pPr>
                                  <w:r>
                                    <w:rPr/>
                                    <w:t> </w:t>
                                  </w:r>
                                </w:p>
                                <w:p>
                                  <w:pPr>
                                    <w:pStyle w:val="TableContents"/>
                                    <w:spacing w:before="0" w:after="0"/>
                                    <w:rPr>
                                      <w:rFonts w:ascii="arial" w:hAnsi="arial"/>
                                      <w:b/>
                                      <w:color w:val="FFFFFF"/>
                                      <w:sz w:val="16"/>
                                    </w:rPr>
                                  </w:pPr>
                                  <w:r>
                                    <w:rPr>
                                      <w:rFonts w:ascii="arial" w:hAnsi="arial"/>
                                      <w:b/>
                                      <w:color w:val="FFFFFF"/>
                                      <w:sz w:val="16"/>
                                    </w:rPr>
                                    <w:t>Local Communities</w:t>
                                  </w:r>
                                </w:p>
                                <w:p>
                                  <w:pPr>
                                    <w:pStyle w:val="TableContents"/>
                                    <w:spacing w:before="0" w:after="20"/>
                                    <w:rPr/>
                                  </w:pPr>
                                  <w:r>
                                    <w:rPr/>
                                    <w:t> </w:t>
                                  </w:r>
                                </w:p>
                              </w:tc>
                            </w:tr>
                            <w:tr>
                              <w:trPr/>
                              <w:tc>
                                <w:tcPr>
                                  <w:tcW w:w="5000" w:type="dxa"/>
                                  <w:tcBorders>
                                    <w:left w:val="single" w:sz="8" w:space="0" w:color="001C71"/>
                                    <w:bottom w:val="single" w:sz="8" w:space="0" w:color="001C71"/>
                                    <w:right w:val="single" w:sz="8" w:space="0" w:color="001C71"/>
                                  </w:tcBorders>
                                  <w:shd w:fill="auto" w:val="clear"/>
                                  <w:tcMar>
                                    <w:left w:w="160" w:type="dxa"/>
                                    <w:bottom w:w="28" w:type="dxa"/>
                                    <w:right w:w="40" w:type="dxa"/>
                                  </w:tcMar>
                                  <w:vAlign w:val="bottom"/>
                                </w:tcPr>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  Donated over $14 million for COVID-19 relief and recovery efforts; our support addresses food insecurity, senior services, medical supplies, worker relief and more in communities throughout North and South America</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  Expanded employee giving program to include a one-to-one match by Sempra Energy to financial contributions to charitable causes, virtual volunteering or actual time spent volunteering</w:t>
                                  </w:r>
                                </w:p>
                                <w:p>
                                  <w:pPr>
                                    <w:pStyle w:val="TableContents"/>
                                    <w:spacing w:before="0" w:after="20"/>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1.6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5000"/>
                      </w:tblGrid>
                      <w:tr>
                        <w:trPr/>
                        <w:tc>
                          <w:tcPr>
                            <w:tcW w:w="5000" w:type="dxa"/>
                            <w:tcBorders/>
                            <w:shd w:fill="auto" w:val="clear"/>
                            <w:vAlign w:val="center"/>
                          </w:tcPr>
                          <w:p>
                            <w:pPr>
                              <w:pStyle w:val="TableContents"/>
                              <w:spacing w:before="0" w:after="283"/>
                              <w:rPr>
                                <w:sz w:val="4"/>
                                <w:szCs w:val="4"/>
                              </w:rPr>
                            </w:pPr>
                            <w:r>
                              <w:rPr>
                                <w:sz w:val="4"/>
                                <w:szCs w:val="4"/>
                              </w:rPr>
                            </w:r>
                          </w:p>
                        </w:tc>
                      </w:tr>
                      <w:tr>
                        <w:trPr/>
                        <w:tc>
                          <w:tcPr>
                            <w:tcW w:w="5000" w:type="dxa"/>
                            <w:tcBorders>
                              <w:top w:val="single" w:sz="8" w:space="0" w:color="001C71"/>
                              <w:left w:val="single" w:sz="8" w:space="0" w:color="001C71"/>
                              <w:bottom w:val="single" w:sz="8" w:space="0" w:color="001C71"/>
                              <w:right w:val="single" w:sz="8" w:space="0" w:color="001C71"/>
                            </w:tcBorders>
                            <w:shd w:fill="001C71" w:val="clear"/>
                            <w:tcMar>
                              <w:top w:w="28" w:type="dxa"/>
                              <w:left w:w="160" w:type="dxa"/>
                              <w:bottom w:w="28" w:type="dxa"/>
                              <w:right w:w="40" w:type="dxa"/>
                            </w:tcMar>
                            <w:vAlign w:val="bottom"/>
                          </w:tcPr>
                          <w:p>
                            <w:pPr>
                              <w:pStyle w:val="TableContents"/>
                              <w:spacing w:before="0" w:after="0"/>
                              <w:rPr/>
                            </w:pPr>
                            <w:r>
                              <w:rPr/>
                              <w:t> </w:t>
                            </w:r>
                          </w:p>
                          <w:p>
                            <w:pPr>
                              <w:pStyle w:val="TableContents"/>
                              <w:spacing w:before="0" w:after="0"/>
                              <w:rPr>
                                <w:rFonts w:ascii="arial" w:hAnsi="arial"/>
                                <w:b/>
                                <w:color w:val="FFFFFF"/>
                                <w:sz w:val="16"/>
                              </w:rPr>
                            </w:pPr>
                            <w:r>
                              <w:rPr>
                                <w:rFonts w:ascii="arial" w:hAnsi="arial"/>
                                <w:b/>
                                <w:color w:val="FFFFFF"/>
                                <w:sz w:val="16"/>
                              </w:rPr>
                              <w:t>Customers</w:t>
                            </w:r>
                          </w:p>
                          <w:p>
                            <w:pPr>
                              <w:pStyle w:val="TableContents"/>
                              <w:spacing w:before="0" w:after="20"/>
                              <w:rPr/>
                            </w:pPr>
                            <w:r>
                              <w:rPr/>
                              <w:t> </w:t>
                            </w:r>
                          </w:p>
                        </w:tc>
                      </w:tr>
                      <w:tr>
                        <w:trPr/>
                        <w:tc>
                          <w:tcPr>
                            <w:tcW w:w="5000" w:type="dxa"/>
                            <w:tcBorders>
                              <w:left w:val="single" w:sz="8" w:space="0" w:color="001C71"/>
                              <w:bottom w:val="single" w:sz="8" w:space="0" w:color="001C71"/>
                              <w:right w:val="single" w:sz="8" w:space="0" w:color="001C71"/>
                            </w:tcBorders>
                            <w:shd w:fill="auto" w:val="clear"/>
                            <w:tcMar>
                              <w:left w:w="160" w:type="dxa"/>
                              <w:bottom w:w="28" w:type="dxa"/>
                              <w:right w:w="40" w:type="dxa"/>
                            </w:tcMar>
                          </w:tcPr>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  Offering flexible payment plans and suspending service disconnections to help maintain uninterrupted energy service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  Enforcing physical distancing and personal protective equipment (PPE) protocol while performing work in customer homes / businesses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  Introduced contactless enrollment option for energy savings assistance program in response to COVID-19 social distancing guidelines</w:t>
                            </w:r>
                          </w:p>
                          <w:p>
                            <w:pPr>
                              <w:pStyle w:val="TableContents"/>
                              <w:spacing w:before="0" w:after="20"/>
                              <w:rPr/>
                            </w:pPr>
                            <w:r>
                              <w:rPr/>
                              <w:t> </w:t>
                            </w:r>
                          </w:p>
                        </w:tc>
                      </w:tr>
                      <w:tr>
                        <w:trPr/>
                        <w:tc>
                          <w:tcPr>
                            <w:tcW w:w="5000" w:type="dxa"/>
                            <w:tcBorders/>
                            <w:shd w:fill="auto" w:val="clear"/>
                          </w:tcPr>
                          <w:p>
                            <w:pPr>
                              <w:pStyle w:val="TableContents"/>
                              <w:spacing w:before="0" w:after="20"/>
                              <w:rPr/>
                            </w:pPr>
                            <w:r>
                              <w:rPr/>
                              <w:t>    </w:t>
                            </w:r>
                          </w:p>
                        </w:tc>
                      </w:tr>
                      <w:tr>
                        <w:trPr/>
                        <w:tc>
                          <w:tcPr>
                            <w:tcW w:w="5000" w:type="dxa"/>
                            <w:tcBorders>
                              <w:top w:val="single" w:sz="8" w:space="0" w:color="001C71"/>
                              <w:left w:val="single" w:sz="8" w:space="0" w:color="001C71"/>
                              <w:bottom w:val="single" w:sz="8" w:space="0" w:color="001C71"/>
                              <w:right w:val="single" w:sz="8" w:space="0" w:color="001C71"/>
                            </w:tcBorders>
                            <w:shd w:fill="001C71" w:val="clear"/>
                            <w:tcMar>
                              <w:top w:w="28" w:type="dxa"/>
                              <w:left w:w="160" w:type="dxa"/>
                              <w:bottom w:w="28" w:type="dxa"/>
                              <w:right w:w="40" w:type="dxa"/>
                            </w:tcMar>
                            <w:vAlign w:val="bottom"/>
                          </w:tcPr>
                          <w:p>
                            <w:pPr>
                              <w:pStyle w:val="TableContents"/>
                              <w:spacing w:before="0" w:after="0"/>
                              <w:rPr/>
                            </w:pPr>
                            <w:r>
                              <w:rPr/>
                              <w:t> </w:t>
                            </w:r>
                          </w:p>
                          <w:p>
                            <w:pPr>
                              <w:pStyle w:val="TableContents"/>
                              <w:spacing w:before="0" w:after="0"/>
                              <w:rPr>
                                <w:rFonts w:ascii="arial" w:hAnsi="arial"/>
                                <w:b/>
                                <w:color w:val="FFFFFF"/>
                                <w:sz w:val="16"/>
                              </w:rPr>
                            </w:pPr>
                            <w:r>
                              <w:rPr>
                                <w:rFonts w:ascii="arial" w:hAnsi="arial"/>
                                <w:b/>
                                <w:color w:val="FFFFFF"/>
                                <w:sz w:val="16"/>
                              </w:rPr>
                              <w:t>Local Communities</w:t>
                            </w:r>
                          </w:p>
                          <w:p>
                            <w:pPr>
                              <w:pStyle w:val="TableContents"/>
                              <w:spacing w:before="0" w:after="20"/>
                              <w:rPr/>
                            </w:pPr>
                            <w:r>
                              <w:rPr/>
                              <w:t> </w:t>
                            </w:r>
                          </w:p>
                        </w:tc>
                      </w:tr>
                      <w:tr>
                        <w:trPr/>
                        <w:tc>
                          <w:tcPr>
                            <w:tcW w:w="5000" w:type="dxa"/>
                            <w:tcBorders>
                              <w:left w:val="single" w:sz="8" w:space="0" w:color="001C71"/>
                              <w:bottom w:val="single" w:sz="8" w:space="0" w:color="001C71"/>
                              <w:right w:val="single" w:sz="8" w:space="0" w:color="001C71"/>
                            </w:tcBorders>
                            <w:shd w:fill="auto" w:val="clear"/>
                            <w:tcMar>
                              <w:left w:w="160" w:type="dxa"/>
                              <w:bottom w:w="28" w:type="dxa"/>
                              <w:right w:w="40" w:type="dxa"/>
                            </w:tcMar>
                            <w:vAlign w:val="bottom"/>
                          </w:tcPr>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  Donated over $14 million for COVID-19 relief and recovery efforts; our support addresses food insecurity, senior services, medical supplies, worker relief and more in communities throughout North and South America</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  Expanded employee giving program to include a one-to-one match by Sempra Energy to financial contributions to charitable causes, virtual volunteering or actual time spent volunteering</w:t>
                            </w:r>
                          </w:p>
                          <w:p>
                            <w:pPr>
                              <w:pStyle w:val="TableContents"/>
                              <w:spacing w:before="0" w:after="20"/>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14</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b/>
          <w:color w:val="001C71"/>
          <w:sz w:val="24"/>
        </w:rPr>
      </w:pPr>
      <w:r>
        <w:rPr>
          <w:rFonts w:ascii="arial" w:hAnsi="arial"/>
          <w:b/>
          <w:color w:val="001C71"/>
          <w:sz w:val="24"/>
        </w:rPr>
        <w:t xml:space="preserve">High-Performance Culture </w:t>
      </w:r>
    </w:p>
    <w:p>
      <w:pPr>
        <w:pStyle w:val="TextBody"/>
        <w:spacing w:before="120" w:after="0"/>
        <w:jc w:val="left"/>
        <w:rPr>
          <w:rFonts w:ascii="arial" w:hAnsi="arial"/>
          <w:sz w:val="16"/>
        </w:rPr>
      </w:pPr>
      <w:r>
        <w:rPr>
          <w:rFonts w:ascii="arial" w:hAnsi="arial"/>
          <w:sz w:val="16"/>
        </w:rPr>
        <w:t xml:space="preserve">In addition to safety oversight, there is a strong focus on building a high-performing and inclusive culture at the board level. As discussed elsewhere in our proxy materials, the board also takes an active role in overseeing efforts to promote diversity and inclusion in our workforce, primarily through its Compensation and Talent Development Committee. This includes working with senior management to help ensure that, at the heart of our value of championing people, the company maintains its commitment to invest in our employees and to advance inclusivity in our business culture. We believe this elevates our performance and helps us to partner responsibly. </w:t>
      </w:r>
    </w:p>
    <w:p>
      <w:pPr>
        <w:pStyle w:val="TextBody"/>
        <w:spacing w:before="280" w:after="0"/>
        <w:jc w:val="left"/>
        <w:rPr>
          <w:rFonts w:ascii="arial" w:hAnsi="arial"/>
          <w:b/>
          <w:color w:val="001C71"/>
          <w:sz w:val="24"/>
        </w:rPr>
      </w:pPr>
      <w:r>
        <w:rPr>
          <w:rFonts w:ascii="arial" w:hAnsi="arial"/>
          <w:b/>
          <w:color w:val="001C71"/>
          <w:sz w:val="24"/>
        </w:rPr>
        <w:t xml:space="preserve">Energy Transition </w:t>
      </w:r>
    </w:p>
    <w:p>
      <w:pPr>
        <w:pStyle w:val="TextBody"/>
        <w:spacing w:before="120" w:after="0"/>
        <w:jc w:val="left"/>
        <w:rPr>
          <w:rFonts w:ascii="arial" w:hAnsi="arial"/>
          <w:sz w:val="16"/>
        </w:rPr>
      </w:pPr>
      <w:r>
        <w:rPr>
          <w:rFonts w:ascii="arial" w:hAnsi="arial"/>
          <w:sz w:val="16"/>
        </w:rPr>
        <w:t xml:space="preserve">The board, primarily through its Safety, Sustainability and Technology Committee, takes an active role in providing oversight of the companys strategies for helping to enable a just energy transition in the markets we serve, with a view towards achieving net-zero greenhouse gas emissions in our own operations by 2050 and enabling our customers to work toward their own net-zero greenhouse gas emissions goals by 2050. This includes reviewing business risks and opportunities in the context of local, national and global energy, economic and climate trends, as well as overseeing the companys strategies and capabilities relating to safety and reliability; decarbonization of key market sectors, including power generation, industry and transportation; digitization of energy systems, including use of robotics and artificial intelligence; and diversification of energy systems, including the integration of distributed energy resources. In addition, the board oversees the companys efforts to minimize the impact of company operations on the environment. </w:t>
      </w:r>
    </w:p>
    <w:p>
      <w:pPr>
        <w:pStyle w:val="TextBody"/>
        <w:spacing w:before="280" w:after="0"/>
        <w:jc w:val="left"/>
        <w:rPr>
          <w:rFonts w:ascii="arial" w:hAnsi="arial"/>
          <w:b/>
          <w:color w:val="001C71"/>
          <w:sz w:val="24"/>
        </w:rPr>
      </w:pPr>
      <w:r>
        <w:rPr>
          <w:rFonts w:ascii="arial" w:hAnsi="arial"/>
          <w:b/>
          <w:color w:val="001C71"/>
          <w:sz w:val="24"/>
        </w:rPr>
        <w:t xml:space="preserve">Transparency </w:t>
      </w:r>
    </w:p>
    <w:p>
      <w:pPr>
        <w:pStyle w:val="TextBody"/>
        <w:spacing w:before="120" w:after="0"/>
        <w:jc w:val="left"/>
        <w:rPr>
          <w:rFonts w:ascii="arial" w:hAnsi="arial"/>
          <w:sz w:val="16"/>
        </w:rPr>
      </w:pPr>
      <w:r>
        <w:rPr>
          <w:rFonts w:ascii="arial" w:hAnsi="arial"/>
          <w:sz w:val="16"/>
        </w:rPr>
        <w:t xml:space="preserve">The board believes transparency with respect to key ESG risks and opportunities is an important way for us to convey to our shareholders and other stakeholders how we prioritize these topics. As a result, we perform stakeholder-driven materiality assessments and make extensive disclosures about these topics, in many cases surpassing the standards of our peers or expectations for our industry, and our board oversees many of these disclosures. For example, our annual corporate sustainability report includes goals and results in the areas of emissions reductions, renewable energy, energy efficiency, water use, employee and public safety, electric reliability, customer assistance programs, employee diversity and inclusion, employee engagement and community giving. We also publicly report detailed information annually on our greenhouse gas emissions and climate-related risks and opportunities. We prepare our sustainability disclosures in alignment with the guidelines of many of the largest sustainability frameworks in the world, including Global Reporting Initiative (GRI) Standards, the Sustainability Accounting Standards Board (SASB) framework for electric utility and natural gas utility performance, the Task Force on Climate-related Financial Disclosures (TCFD) guidelines, the CDP (formerly Carbon Disclosure Project) disclosure system and the Edison Electric Institute and American Gas Association combined template. In 2021, we expect to pilot the new International Business Council Stakeholder Capitalism disclosure framework. In addition, our Annual Report to Shareholders includes descriptions and other detailed information about our efforts and goals to promote diversity and inclusion in our workforce, including information about the gender and racial/ethnic make-up of our workforce. </w:t>
      </w:r>
    </w:p>
    <w:p>
      <w:pPr>
        <w:pStyle w:val="TextBody"/>
        <w:spacing w:before="360" w:after="0"/>
        <w:jc w:val="left"/>
        <w:rPr>
          <w:rFonts w:ascii="arial" w:hAnsi="arial"/>
          <w:sz w:val="28"/>
        </w:rPr>
      </w:pPr>
      <w:r>
        <w:rPr>
          <w:rFonts w:ascii="arial" w:hAnsi="arial"/>
          <w:sz w:val="28"/>
        </w:rPr>
        <w:t xml:space="preserve">Succession Planning and Management Development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Compensation and Talent Development Committee oversees and regularly evaluates leadership succession planning practices and results. The committee reports at least annually to the Board of Directors on succession planning, including policies and principles for executive officer selection. In connection with this review and the departures of Dennis V. Arriola and George W. Bilicic in 2020, the board appointed Kevin C. Sagara as Executive Vice President and Group President of Sempra Energy in June 2020. </w:t>
      </w:r>
    </w:p>
    <w:p>
      <w:pPr>
        <w:pStyle w:val="TextBody"/>
        <w:spacing w:before="360" w:after="0"/>
        <w:jc w:val="left"/>
        <w:rPr>
          <w:rFonts w:ascii="arial" w:hAnsi="arial"/>
          <w:sz w:val="28"/>
        </w:rPr>
      </w:pPr>
      <w:r>
        <w:rPr>
          <w:rFonts w:ascii="arial" w:hAnsi="arial"/>
          <w:sz w:val="28"/>
        </w:rPr>
        <w:t xml:space="preserve">Review of Related Person Transactions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SEC rules require us to describe any transaction since the beginning of 2020 or any currently proposed transaction involving more than $120,000 in which we were or will be a participant and any of our directors, director nominees, executive officers, persons or entities known by us to be a beneficial owner of more than 5% of our common stock, or any member of their respective immediate families, had or will have a direct or indirect material interest. The charter of our Corporate Governance Committee requires the committee to review and approve or ratify any such related person transaction that is required to be disclosed. When evaluating any such transaction, the Corporate Governance Committee focuses on a variety of factors on a case-by-case basis, including, among other things, the identity of the related person, the nature and terms of the transaction, the interest of the related person in the transaction and the dollar amount involved. There were no transactions requiring such review since the beginning of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15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Director Orientation and Education Programs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Every new director participates in an orientation program and receives materials and briefings to acquaint him or her with our business, industry, management and corporate governance policies and practices. Continuing education is provided for all directors through board materials and presentations, discussions with management, visits to corporate facilities and other sources. Several directors, at the companys expense, also attend third-party offered education courses and participate in the National Association of Corporate Directors (NACD), of which the company is a member. </w:t>
      </w:r>
    </w:p>
    <w:p>
      <w:pPr>
        <w:pStyle w:val="TextBody"/>
        <w:spacing w:before="360" w:after="0"/>
        <w:jc w:val="left"/>
        <w:rPr>
          <w:rFonts w:ascii="arial" w:hAnsi="arial"/>
          <w:sz w:val="28"/>
        </w:rPr>
      </w:pPr>
      <w:r>
        <w:rPr>
          <w:rFonts w:ascii="arial" w:hAnsi="arial"/>
          <w:sz w:val="28"/>
        </w:rPr>
        <w:t xml:space="preserve">Director Access to Senior Management, Independent Accountant and Counsel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Directors have complete access to our senior management and other employees, as well as to our independent registered public accounting firm. Directors also have complete access to counsel, advisors and experts of their choice to assist the board as needed in discharging its duties. </w:t>
      </w:r>
    </w:p>
    <w:p>
      <w:pPr>
        <w:pStyle w:val="TextBody"/>
        <w:spacing w:before="360" w:after="0"/>
        <w:jc w:val="left"/>
        <w:rPr>
          <w:rFonts w:ascii="arial" w:hAnsi="arial"/>
          <w:sz w:val="28"/>
        </w:rPr>
      </w:pPr>
      <w:r>
        <w:rPr>
          <w:rFonts w:ascii="arial" w:hAnsi="arial"/>
          <w:sz w:val="28"/>
        </w:rPr>
        <w:t xml:space="preserve">Retirement Policy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In accordance with our Corporate Governance Guidelines, directors should not be nominated to stand for election after attaining age 75. </w:t>
      </w:r>
    </w:p>
    <w:p>
      <w:pPr>
        <w:pStyle w:val="TextBody"/>
        <w:spacing w:before="480" w:after="0"/>
        <w:jc w:val="left"/>
        <w:rPr>
          <w:rFonts w:ascii="arial" w:hAnsi="arial"/>
          <w:b/>
          <w:sz w:val="32"/>
        </w:rPr>
      </w:pPr>
      <w:bookmarkStart w:id="7" w:name="toc108157_5"/>
      <w:bookmarkEnd w:id="7"/>
      <w:r>
        <w:rPr>
          <w:rFonts w:ascii="arial" w:hAnsi="arial"/>
          <w:b/>
          <w:sz w:val="32"/>
        </w:rPr>
        <w:t xml:space="preserve">Board Committees </w:t>
      </w:r>
    </w:p>
    <w:p>
      <w:pPr>
        <w:pStyle w:val="TextBody"/>
        <w:spacing w:before="360" w:after="0"/>
        <w:jc w:val="left"/>
        <w:rPr>
          <w:rFonts w:ascii="arial" w:hAnsi="arial"/>
          <w:sz w:val="16"/>
        </w:rPr>
      </w:pPr>
      <w:r>
        <w:rPr>
          <w:rFonts w:ascii="arial" w:hAnsi="arial"/>
          <w:sz w:val="16"/>
        </w:rPr>
        <w:t xml:space="preserve">Our standing board committees consist of the Audit Committee, the Compensation and Talent Development Committee, the Corporate Governance Committee, the Safety, Sustainability and Technology Committee and the Executive Committee. In addition to these standing board committees, the board may, from time to time, establish ad hoc committees to address particular matters, transactions and projects. </w:t>
      </w:r>
    </w:p>
    <w:p>
      <w:pPr>
        <w:pStyle w:val="TextBody"/>
        <w:spacing w:before="160" w:after="0"/>
        <w:jc w:val="left"/>
        <w:rPr>
          <w:rFonts w:ascii="arial" w:hAnsi="arial"/>
          <w:sz w:val="16"/>
        </w:rPr>
      </w:pPr>
      <w:r>
        <w:rPr>
          <w:rFonts w:ascii="arial" w:hAnsi="arial"/>
          <w:sz w:val="16"/>
        </w:rPr>
        <w:t xml:space="preserve">The following chart sets forth our standing board committees and membership on these committees as of the date of mailing this proxy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781"/>
        <w:gridCol w:w="95"/>
        <w:gridCol w:w="1033"/>
        <w:gridCol w:w="95"/>
        <w:gridCol w:w="1428"/>
        <w:gridCol w:w="95"/>
        <w:gridCol w:w="1521"/>
        <w:gridCol w:w="95"/>
        <w:gridCol w:w="1532"/>
        <w:gridCol w:w="95"/>
        <w:gridCol w:w="1435"/>
      </w:tblGrid>
      <w:tr>
        <w:trPr/>
        <w:tc>
          <w:tcPr>
            <w:tcW w:w="278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2781" w:type="dxa"/>
            <w:tcBorders/>
            <w:shd w:fill="001C71" w:val="clear"/>
            <w:vAlign w:val="center"/>
          </w:tcPr>
          <w:p>
            <w:pPr>
              <w:pStyle w:val="TableContents"/>
              <w:spacing w:before="0" w:after="283"/>
              <w:rPr>
                <w:sz w:val="4"/>
                <w:szCs w:val="4"/>
              </w:rPr>
            </w:pPr>
            <w:r>
              <w:rPr>
                <w:sz w:val="4"/>
                <w:szCs w:val="4"/>
              </w:rPr>
            </w:r>
          </w:p>
        </w:tc>
        <w:tc>
          <w:tcPr>
            <w:tcW w:w="1128" w:type="dxa"/>
            <w:gridSpan w:val="2"/>
            <w:tcBorders/>
            <w:shd w:fill="001C71" w:val="clear"/>
            <w:vAlign w:val="center"/>
          </w:tcPr>
          <w:p>
            <w:pPr>
              <w:pStyle w:val="TableContents"/>
              <w:spacing w:before="0" w:after="283"/>
              <w:rPr>
                <w:sz w:val="4"/>
                <w:szCs w:val="4"/>
              </w:rPr>
            </w:pPr>
            <w:r>
              <w:rPr>
                <w:sz w:val="4"/>
                <w:szCs w:val="4"/>
              </w:rPr>
            </w:r>
          </w:p>
        </w:tc>
        <w:tc>
          <w:tcPr>
            <w:tcW w:w="1523" w:type="dxa"/>
            <w:gridSpan w:val="2"/>
            <w:tcBorders/>
            <w:shd w:fill="001C71" w:val="clear"/>
            <w:vAlign w:val="center"/>
          </w:tcPr>
          <w:p>
            <w:pPr>
              <w:pStyle w:val="TableContents"/>
              <w:spacing w:before="0" w:after="283"/>
              <w:rPr>
                <w:sz w:val="4"/>
                <w:szCs w:val="4"/>
              </w:rPr>
            </w:pPr>
            <w:r>
              <w:rPr>
                <w:sz w:val="4"/>
                <w:szCs w:val="4"/>
              </w:rPr>
            </w:r>
          </w:p>
        </w:tc>
        <w:tc>
          <w:tcPr>
            <w:tcW w:w="1616" w:type="dxa"/>
            <w:gridSpan w:val="2"/>
            <w:tcBorders/>
            <w:shd w:fill="001C71" w:val="clear"/>
            <w:vAlign w:val="center"/>
          </w:tcPr>
          <w:p>
            <w:pPr>
              <w:pStyle w:val="TableContents"/>
              <w:spacing w:before="0" w:after="283"/>
              <w:rPr>
                <w:sz w:val="4"/>
                <w:szCs w:val="4"/>
              </w:rPr>
            </w:pPr>
            <w:r>
              <w:rPr>
                <w:sz w:val="4"/>
                <w:szCs w:val="4"/>
              </w:rPr>
            </w:r>
          </w:p>
        </w:tc>
        <w:tc>
          <w:tcPr>
            <w:tcW w:w="1627" w:type="dxa"/>
            <w:gridSpan w:val="2"/>
            <w:tcBorders/>
            <w:shd w:fill="001C71" w:val="clear"/>
            <w:vAlign w:val="center"/>
          </w:tcPr>
          <w:p>
            <w:pPr>
              <w:pStyle w:val="TableContents"/>
              <w:spacing w:before="0" w:after="283"/>
              <w:rPr>
                <w:sz w:val="4"/>
                <w:szCs w:val="4"/>
              </w:rPr>
            </w:pPr>
            <w:r>
              <w:rPr>
                <w:sz w:val="4"/>
                <w:szCs w:val="4"/>
              </w:rPr>
            </w:r>
          </w:p>
        </w:tc>
        <w:tc>
          <w:tcPr>
            <w:tcW w:w="1530" w:type="dxa"/>
            <w:gridSpan w:val="2"/>
            <w:tcBorders/>
            <w:shd w:fill="001C71" w:val="clear"/>
            <w:vAlign w:val="center"/>
          </w:tcPr>
          <w:p>
            <w:pPr>
              <w:pStyle w:val="TableContents"/>
              <w:spacing w:before="0" w:after="283"/>
              <w:rPr>
                <w:sz w:val="4"/>
                <w:szCs w:val="4"/>
              </w:rPr>
            </w:pPr>
            <w:r>
              <w:rPr>
                <w:sz w:val="4"/>
                <w:szCs w:val="4"/>
              </w:rPr>
            </w:r>
          </w:p>
        </w:tc>
      </w:tr>
      <w:tr>
        <w:trPr/>
        <w:tc>
          <w:tcPr>
            <w:tcW w:w="2781" w:type="dxa"/>
            <w:tcBorders/>
            <w:shd w:fill="001C71" w:val="clear"/>
            <w:vAlign w:val="bottom"/>
          </w:tcPr>
          <w:p>
            <w:pPr>
              <w:pStyle w:val="TableContents"/>
              <w:spacing w:before="0" w:after="283"/>
              <w:rPr/>
            </w:pPr>
            <w:r>
              <w:rPr/>
              <w:t> </w:t>
            </w:r>
          </w:p>
        </w:tc>
        <w:tc>
          <w:tcPr>
            <w:tcW w:w="95" w:type="dxa"/>
            <w:tcBorders/>
            <w:shd w:fill="001C71" w:val="clear"/>
            <w:vAlign w:val="bottom"/>
          </w:tcPr>
          <w:p>
            <w:pPr>
              <w:pStyle w:val="TableContents"/>
              <w:spacing w:before="0" w:after="283"/>
              <w:rPr/>
            </w:pPr>
            <w:r>
              <w:rPr/>
              <w:t> </w:t>
            </w:r>
          </w:p>
        </w:tc>
        <w:tc>
          <w:tcPr>
            <w:tcW w:w="1033" w:type="dxa"/>
            <w:tcBorders/>
            <w:shd w:fill="001C71" w:val="clear"/>
            <w:vAlign w:val="bottom"/>
          </w:tcPr>
          <w:p>
            <w:pPr>
              <w:pStyle w:val="TableContents"/>
              <w:spacing w:before="0" w:after="283"/>
              <w:jc w:val="center"/>
              <w:rPr>
                <w:b/>
                <w:color w:val="FFFFFF"/>
              </w:rPr>
            </w:pPr>
            <w:r>
              <w:rPr>
                <w:b/>
                <w:color w:val="FFFFFF"/>
              </w:rPr>
              <w:t>Audit</w:t>
            </w:r>
          </w:p>
        </w:tc>
        <w:tc>
          <w:tcPr>
            <w:tcW w:w="95" w:type="dxa"/>
            <w:tcBorders/>
            <w:shd w:fill="001C71" w:val="clear"/>
            <w:vAlign w:val="bottom"/>
          </w:tcPr>
          <w:p>
            <w:pPr>
              <w:pStyle w:val="TableContents"/>
              <w:spacing w:before="0" w:after="283"/>
              <w:rPr/>
            </w:pPr>
            <w:r>
              <w:rPr/>
              <w:t> </w:t>
            </w:r>
          </w:p>
        </w:tc>
        <w:tc>
          <w:tcPr>
            <w:tcW w:w="1428" w:type="dxa"/>
            <w:tcBorders/>
            <w:shd w:fill="001C71" w:val="clear"/>
            <w:vAlign w:val="bottom"/>
          </w:tcPr>
          <w:p>
            <w:pPr>
              <w:pStyle w:val="TableContents"/>
              <w:spacing w:before="0" w:after="0"/>
              <w:jc w:val="center"/>
              <w:rPr>
                <w:rFonts w:ascii="arial" w:hAnsi="arial"/>
                <w:b/>
                <w:color w:val="FFFFFF"/>
                <w:sz w:val="15"/>
              </w:rPr>
            </w:pPr>
            <w:r>
              <w:rPr>
                <w:rFonts w:ascii="arial" w:hAnsi="arial"/>
                <w:b/>
                <w:color w:val="FFFFFF"/>
                <w:sz w:val="15"/>
              </w:rPr>
              <w:t>Compensation    </w:t>
            </w:r>
          </w:p>
          <w:p>
            <w:pPr>
              <w:pStyle w:val="TableContents"/>
              <w:spacing w:before="0" w:after="20"/>
              <w:jc w:val="center"/>
              <w:rPr>
                <w:rFonts w:ascii="arial" w:hAnsi="arial"/>
                <w:b/>
                <w:color w:val="FFFFFF"/>
                <w:sz w:val="15"/>
              </w:rPr>
            </w:pPr>
            <w:r>
              <w:rPr>
                <w:rFonts w:ascii="arial" w:hAnsi="arial"/>
                <w:b/>
                <w:color w:val="FFFFFF"/>
                <w:sz w:val="15"/>
              </w:rPr>
              <w:t>and Talent    </w:t>
              <w:br/>
              <w:t>Development    </w:t>
            </w:r>
          </w:p>
        </w:tc>
        <w:tc>
          <w:tcPr>
            <w:tcW w:w="95" w:type="dxa"/>
            <w:tcBorders/>
            <w:shd w:fill="001C71" w:val="clear"/>
            <w:vAlign w:val="bottom"/>
          </w:tcPr>
          <w:p>
            <w:pPr>
              <w:pStyle w:val="TableContents"/>
              <w:spacing w:before="0" w:after="283"/>
              <w:rPr/>
            </w:pPr>
            <w:r>
              <w:rPr/>
              <w:t> </w:t>
            </w:r>
          </w:p>
        </w:tc>
        <w:tc>
          <w:tcPr>
            <w:tcW w:w="1521" w:type="dxa"/>
            <w:tcBorders/>
            <w:shd w:fill="001C71" w:val="clear"/>
            <w:vAlign w:val="bottom"/>
          </w:tcPr>
          <w:p>
            <w:pPr>
              <w:pStyle w:val="TableContents"/>
              <w:spacing w:before="0" w:after="283"/>
              <w:jc w:val="center"/>
              <w:rPr>
                <w:b/>
                <w:color w:val="FFFFFF"/>
              </w:rPr>
            </w:pPr>
            <w:r>
              <w:rPr>
                <w:b/>
                <w:color w:val="FFFFFF"/>
              </w:rPr>
              <w:t>Corporate    </w:t>
              <w:br/>
              <w:t>Governance    </w:t>
            </w:r>
          </w:p>
        </w:tc>
        <w:tc>
          <w:tcPr>
            <w:tcW w:w="95" w:type="dxa"/>
            <w:tcBorders/>
            <w:shd w:fill="001C71" w:val="clear"/>
            <w:vAlign w:val="bottom"/>
          </w:tcPr>
          <w:p>
            <w:pPr>
              <w:pStyle w:val="TableContents"/>
              <w:spacing w:before="0" w:after="283"/>
              <w:rPr/>
            </w:pPr>
            <w:r>
              <w:rPr/>
              <w:t> </w:t>
            </w:r>
          </w:p>
        </w:tc>
        <w:tc>
          <w:tcPr>
            <w:tcW w:w="1532" w:type="dxa"/>
            <w:tcBorders/>
            <w:shd w:fill="001C71" w:val="clear"/>
            <w:vAlign w:val="bottom"/>
          </w:tcPr>
          <w:p>
            <w:pPr>
              <w:pStyle w:val="TableContents"/>
              <w:spacing w:before="0" w:after="0"/>
              <w:jc w:val="center"/>
              <w:rPr>
                <w:rFonts w:ascii="arial" w:hAnsi="arial"/>
                <w:b/>
                <w:color w:val="FFFFFF"/>
                <w:sz w:val="15"/>
              </w:rPr>
            </w:pPr>
            <w:r>
              <w:rPr>
                <w:rFonts w:ascii="arial" w:hAnsi="arial"/>
                <w:b/>
                <w:color w:val="FFFFFF"/>
                <w:sz w:val="15"/>
              </w:rPr>
              <w:t>Safety,    </w:t>
            </w:r>
          </w:p>
          <w:p>
            <w:pPr>
              <w:pStyle w:val="TableContents"/>
              <w:spacing w:before="0" w:after="20"/>
              <w:jc w:val="center"/>
              <w:rPr>
                <w:rFonts w:ascii="arial" w:hAnsi="arial"/>
                <w:b/>
                <w:color w:val="FFFFFF"/>
                <w:sz w:val="15"/>
              </w:rPr>
            </w:pPr>
            <w:r>
              <w:rPr>
                <w:rFonts w:ascii="arial" w:hAnsi="arial"/>
                <w:b/>
                <w:color w:val="FFFFFF"/>
                <w:sz w:val="15"/>
              </w:rPr>
              <w:t>Sustainability and    </w:t>
              <w:br/>
              <w:t>Technology    </w:t>
            </w:r>
          </w:p>
        </w:tc>
        <w:tc>
          <w:tcPr>
            <w:tcW w:w="95" w:type="dxa"/>
            <w:tcBorders/>
            <w:shd w:fill="001C71" w:val="clear"/>
            <w:vAlign w:val="bottom"/>
          </w:tcPr>
          <w:p>
            <w:pPr>
              <w:pStyle w:val="TableContents"/>
              <w:spacing w:before="0" w:after="283"/>
              <w:rPr/>
            </w:pPr>
            <w:r>
              <w:rPr/>
              <w:t> </w:t>
            </w:r>
          </w:p>
        </w:tc>
        <w:tc>
          <w:tcPr>
            <w:tcW w:w="1435" w:type="dxa"/>
            <w:tcBorders/>
            <w:shd w:fill="001C71" w:val="clear"/>
            <w:vAlign w:val="bottom"/>
          </w:tcPr>
          <w:p>
            <w:pPr>
              <w:pStyle w:val="TableContents"/>
              <w:spacing w:before="0" w:after="283"/>
              <w:jc w:val="center"/>
              <w:rPr>
                <w:b/>
                <w:color w:val="FFFFFF"/>
              </w:rPr>
            </w:pPr>
            <w:r>
              <w:rPr>
                <w:b/>
                <w:color w:val="FFFFFF"/>
              </w:rPr>
              <w:t>Executive    </w:t>
            </w:r>
          </w:p>
        </w:tc>
      </w:tr>
      <w:tr>
        <w:trPr>
          <w:trHeight w:val="60" w:hRule="atLeast"/>
        </w:trPr>
        <w:tc>
          <w:tcPr>
            <w:tcW w:w="2781" w:type="dxa"/>
            <w:tcBorders/>
            <w:shd w:fill="auto"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auto" w:val="clear"/>
            <w:tcMar>
              <w:left w:w="28" w:type="dxa"/>
            </w:tcMar>
            <w:vAlign w:val="center"/>
          </w:tcPr>
          <w:p>
            <w:pPr>
              <w:pStyle w:val="TableContents"/>
              <w:spacing w:before="0" w:after="283"/>
              <w:rPr/>
            </w:pPr>
            <w:r>
              <w:rPr/>
              <w:t> </w:t>
            </w:r>
          </w:p>
        </w:tc>
      </w:tr>
      <w:tr>
        <w:trPr/>
        <w:tc>
          <w:tcPr>
            <w:tcW w:w="2781" w:type="dxa"/>
            <w:tcBorders/>
            <w:shd w:fill="auto" w:val="clear"/>
          </w:tcPr>
          <w:p>
            <w:pPr>
              <w:pStyle w:val="TableContents"/>
              <w:spacing w:before="0" w:after="0"/>
              <w:rPr>
                <w:rFonts w:ascii="arial" w:hAnsi="arial"/>
                <w:sz w:val="15"/>
              </w:rPr>
            </w:pPr>
            <w:r>
              <w:rPr>
                <w:rFonts w:ascii="arial" w:hAnsi="arial"/>
                <w:sz w:val="15"/>
              </w:rPr>
              <w:t>Alan L. Boeckmann</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033"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28"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21"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32"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35" w:type="dxa"/>
            <w:tcBorders/>
            <w:shd w:fill="auto" w:val="clear"/>
            <w:vAlign w:val="bottom"/>
          </w:tcPr>
          <w:p>
            <w:pPr>
              <w:pStyle w:val="TableContents"/>
              <w:spacing w:before="0" w:after="0"/>
              <w:rPr/>
            </w:pPr>
            <w:r>
              <w:rPr/>
              <w:t> </w:t>
            </w:r>
          </w:p>
        </w:tc>
      </w:tr>
      <w:tr>
        <w:trPr>
          <w:trHeight w:val="60" w:hRule="atLeast"/>
        </w:trPr>
        <w:tc>
          <w:tcPr>
            <w:tcW w:w="2781" w:type="dxa"/>
            <w:tcBorders/>
            <w:shd w:fill="E5E5E5"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E5E5E5" w:val="clear"/>
            <w:tcMar>
              <w:left w:w="28" w:type="dxa"/>
            </w:tcMar>
            <w:vAlign w:val="center"/>
          </w:tcPr>
          <w:p>
            <w:pPr>
              <w:pStyle w:val="TableContents"/>
              <w:spacing w:before="0" w:after="283"/>
              <w:rPr/>
            </w:pPr>
            <w:r>
              <w:rPr/>
              <w:t> </w:t>
            </w:r>
          </w:p>
        </w:tc>
      </w:tr>
      <w:tr>
        <w:trPr/>
        <w:tc>
          <w:tcPr>
            <w:tcW w:w="2781" w:type="dxa"/>
            <w:tcBorders/>
            <w:shd w:fill="E5E5E5" w:val="clear"/>
          </w:tcPr>
          <w:p>
            <w:pPr>
              <w:pStyle w:val="TableContents"/>
              <w:spacing w:before="0" w:after="0"/>
              <w:rPr>
                <w:rFonts w:ascii="arial" w:hAnsi="arial"/>
                <w:sz w:val="15"/>
              </w:rPr>
            </w:pPr>
            <w:r>
              <w:rPr>
                <w:rFonts w:ascii="arial" w:hAnsi="arial"/>
                <w:sz w:val="15"/>
              </w:rPr>
              <w:t>Kathleen L. Brown</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033"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28"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21" w:type="dxa"/>
            <w:tcBorders/>
            <w:shd w:fill="E5E5E5"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32" w:type="dxa"/>
            <w:tcBorders/>
            <w:shd w:fill="E5E5E5"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35" w:type="dxa"/>
            <w:tcBorders/>
            <w:shd w:fill="E5E5E5" w:val="clear"/>
            <w:vAlign w:val="bottom"/>
          </w:tcPr>
          <w:p>
            <w:pPr>
              <w:pStyle w:val="TableContents"/>
              <w:spacing w:before="0" w:after="283"/>
              <w:jc w:val="center"/>
              <w:rPr>
                <w:color w:val="001C71"/>
              </w:rPr>
            </w:pPr>
            <w:r>
              <w:rPr>
                <w:color w:val="001C71"/>
              </w:rPr>
              <w:t>✓</w:t>
            </w:r>
          </w:p>
        </w:tc>
      </w:tr>
      <w:tr>
        <w:trPr>
          <w:trHeight w:val="60" w:hRule="atLeast"/>
        </w:trPr>
        <w:tc>
          <w:tcPr>
            <w:tcW w:w="2781" w:type="dxa"/>
            <w:tcBorders/>
            <w:shd w:fill="auto"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auto" w:val="clear"/>
            <w:tcMar>
              <w:left w:w="28" w:type="dxa"/>
            </w:tcMar>
            <w:vAlign w:val="center"/>
          </w:tcPr>
          <w:p>
            <w:pPr>
              <w:pStyle w:val="TableContents"/>
              <w:spacing w:before="0" w:after="283"/>
              <w:rPr/>
            </w:pPr>
            <w:r>
              <w:rPr/>
              <w:t> </w:t>
            </w:r>
          </w:p>
        </w:tc>
      </w:tr>
      <w:tr>
        <w:trPr/>
        <w:tc>
          <w:tcPr>
            <w:tcW w:w="2781" w:type="dxa"/>
            <w:tcBorders/>
            <w:shd w:fill="auto" w:val="clear"/>
          </w:tcPr>
          <w:p>
            <w:pPr>
              <w:pStyle w:val="TableContents"/>
              <w:spacing w:before="0" w:after="0"/>
              <w:rPr>
                <w:rFonts w:ascii="arial" w:hAnsi="arial"/>
                <w:sz w:val="15"/>
              </w:rPr>
            </w:pPr>
            <w:r>
              <w:rPr>
                <w:rFonts w:ascii="arial" w:hAnsi="arial"/>
                <w:sz w:val="15"/>
              </w:rPr>
              <w:t>Andrés Conesa</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center"/>
              <w:rPr/>
            </w:pPr>
            <w:r>
              <w:rPr/>
              <w:drawing>
                <wp:inline distT="0" distB="0" distL="0" distR="0">
                  <wp:extent cx="14605" cy="14605"/>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14605" cy="14605"/>
                          </a:xfrm>
                          <a:prstGeom prst="rect">
                            <a:avLst/>
                          </a:prstGeom>
                        </pic:spPr>
                      </pic:pic>
                    </a:graphicData>
                  </a:graphic>
                </wp:inline>
              </w:drawing>
            </w:r>
            <w:r>
              <w:rPr/>
              <w:t xml:space="preserve">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21"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32"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35" w:type="dxa"/>
            <w:tcBorders/>
            <w:shd w:fill="auto" w:val="clear"/>
            <w:vAlign w:val="bottom"/>
          </w:tcPr>
          <w:p>
            <w:pPr>
              <w:pStyle w:val="TableContents"/>
              <w:spacing w:before="0" w:after="283"/>
              <w:jc w:val="center"/>
              <w:rPr>
                <w:color w:val="001C71"/>
              </w:rPr>
            </w:pPr>
            <w:r>
              <w:rPr>
                <w:color w:val="001C71"/>
              </w:rPr>
              <w:t>✓</w:t>
            </w:r>
          </w:p>
        </w:tc>
      </w:tr>
      <w:tr>
        <w:trPr>
          <w:trHeight w:val="60" w:hRule="atLeast"/>
        </w:trPr>
        <w:tc>
          <w:tcPr>
            <w:tcW w:w="2781" w:type="dxa"/>
            <w:tcBorders/>
            <w:shd w:fill="E5E5E5"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E5E5E5" w:val="clear"/>
            <w:tcMar>
              <w:left w:w="28" w:type="dxa"/>
            </w:tcMar>
            <w:vAlign w:val="center"/>
          </w:tcPr>
          <w:p>
            <w:pPr>
              <w:pStyle w:val="TableContents"/>
              <w:spacing w:before="0" w:after="283"/>
              <w:rPr/>
            </w:pPr>
            <w:r>
              <w:rPr/>
              <w:t> </w:t>
            </w:r>
          </w:p>
        </w:tc>
      </w:tr>
      <w:tr>
        <w:trPr/>
        <w:tc>
          <w:tcPr>
            <w:tcW w:w="2781" w:type="dxa"/>
            <w:tcBorders/>
            <w:shd w:fill="E5E5E5" w:val="clear"/>
          </w:tcPr>
          <w:p>
            <w:pPr>
              <w:pStyle w:val="TableContents"/>
              <w:spacing w:before="0" w:after="0"/>
              <w:rPr>
                <w:rFonts w:ascii="arial" w:hAnsi="arial"/>
                <w:sz w:val="15"/>
              </w:rPr>
            </w:pPr>
            <w:r>
              <w:rPr>
                <w:rFonts w:ascii="arial" w:hAnsi="arial"/>
                <w:sz w:val="15"/>
              </w:rPr>
              <w:t>Maria Contreras-Sweet</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033" w:type="dxa"/>
            <w:tcBorders/>
            <w:shd w:fill="E5E5E5"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28" w:type="dxa"/>
            <w:tcBorders/>
            <w:shd w:fill="E5E5E5"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21"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32"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35" w:type="dxa"/>
            <w:tcBorders/>
            <w:shd w:fill="E5E5E5" w:val="clear"/>
            <w:vAlign w:val="bottom"/>
          </w:tcPr>
          <w:p>
            <w:pPr>
              <w:pStyle w:val="TableContents"/>
              <w:spacing w:before="0" w:after="0"/>
              <w:rPr/>
            </w:pPr>
            <w:r>
              <w:rPr/>
              <w:t> </w:t>
            </w:r>
          </w:p>
        </w:tc>
      </w:tr>
      <w:tr>
        <w:trPr>
          <w:trHeight w:val="60" w:hRule="atLeast"/>
        </w:trPr>
        <w:tc>
          <w:tcPr>
            <w:tcW w:w="2781" w:type="dxa"/>
            <w:tcBorders/>
            <w:shd w:fill="auto"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auto" w:val="clear"/>
            <w:tcMar>
              <w:left w:w="28" w:type="dxa"/>
            </w:tcMar>
            <w:vAlign w:val="center"/>
          </w:tcPr>
          <w:p>
            <w:pPr>
              <w:pStyle w:val="TableContents"/>
              <w:spacing w:before="0" w:after="283"/>
              <w:rPr/>
            </w:pPr>
            <w:r>
              <w:rPr/>
              <w:t> </w:t>
            </w:r>
          </w:p>
        </w:tc>
      </w:tr>
      <w:tr>
        <w:trPr/>
        <w:tc>
          <w:tcPr>
            <w:tcW w:w="2781" w:type="dxa"/>
            <w:tcBorders/>
            <w:shd w:fill="auto" w:val="clear"/>
          </w:tcPr>
          <w:p>
            <w:pPr>
              <w:pStyle w:val="TableContents"/>
              <w:spacing w:before="0" w:after="0"/>
              <w:rPr>
                <w:rFonts w:ascii="arial" w:hAnsi="arial"/>
                <w:sz w:val="15"/>
              </w:rPr>
            </w:pPr>
            <w:r>
              <w:rPr>
                <w:rFonts w:ascii="arial" w:hAnsi="arial"/>
                <w:sz w:val="15"/>
              </w:rPr>
              <w:t>Pablo A. Ferrero</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033"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28"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21"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32"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35" w:type="dxa"/>
            <w:tcBorders/>
            <w:shd w:fill="auto" w:val="clear"/>
            <w:vAlign w:val="bottom"/>
          </w:tcPr>
          <w:p>
            <w:pPr>
              <w:pStyle w:val="TableContents"/>
              <w:spacing w:before="0" w:after="0"/>
              <w:rPr/>
            </w:pPr>
            <w:r>
              <w:rPr/>
              <w:t> </w:t>
            </w:r>
          </w:p>
        </w:tc>
      </w:tr>
      <w:tr>
        <w:trPr>
          <w:trHeight w:val="60" w:hRule="atLeast"/>
        </w:trPr>
        <w:tc>
          <w:tcPr>
            <w:tcW w:w="2781" w:type="dxa"/>
            <w:tcBorders/>
            <w:shd w:fill="E5E5E5"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E5E5E5" w:val="clear"/>
            <w:tcMar>
              <w:left w:w="28" w:type="dxa"/>
            </w:tcMar>
            <w:vAlign w:val="center"/>
          </w:tcPr>
          <w:p>
            <w:pPr>
              <w:pStyle w:val="TableContents"/>
              <w:spacing w:before="0" w:after="283"/>
              <w:rPr/>
            </w:pPr>
            <w:r>
              <w:rPr/>
              <w:t> </w:t>
            </w:r>
          </w:p>
        </w:tc>
      </w:tr>
      <w:tr>
        <w:trPr/>
        <w:tc>
          <w:tcPr>
            <w:tcW w:w="2781" w:type="dxa"/>
            <w:tcBorders/>
            <w:shd w:fill="E5E5E5" w:val="clear"/>
          </w:tcPr>
          <w:p>
            <w:pPr>
              <w:pStyle w:val="TableContents"/>
              <w:spacing w:before="0" w:after="0"/>
              <w:rPr>
                <w:rFonts w:ascii="arial" w:hAnsi="arial"/>
                <w:sz w:val="15"/>
              </w:rPr>
            </w:pPr>
            <w:r>
              <w:rPr>
                <w:rFonts w:ascii="arial" w:hAnsi="arial"/>
                <w:sz w:val="15"/>
              </w:rPr>
              <w:t>William D. Jones</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033"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28" w:type="dxa"/>
            <w:tcBorders/>
            <w:shd w:fill="E5E5E5"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21" w:type="dxa"/>
            <w:tcBorders/>
            <w:shd w:fill="E5E5E5" w:val="clear"/>
            <w:vAlign w:val="bottom"/>
          </w:tcPr>
          <w:p>
            <w:pPr>
              <w:pStyle w:val="TableContents"/>
              <w:spacing w:before="0" w:after="283"/>
              <w:jc w:val="center"/>
              <w:rPr/>
            </w:pPr>
            <w:r>
              <w:rPr/>
              <w:drawing>
                <wp:inline distT="0" distB="0" distL="0" distR="0">
                  <wp:extent cx="85725" cy="1143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85725" cy="114300"/>
                          </a:xfrm>
                          <a:prstGeom prst="rect">
                            <a:avLst/>
                          </a:prstGeom>
                        </pic:spPr>
                      </pic:pic>
                    </a:graphicData>
                  </a:graphic>
                </wp:inline>
              </w:drawing>
            </w:r>
            <w:r>
              <w:rPr/>
              <w:t xml:space="preserve">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32"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35" w:type="dxa"/>
            <w:tcBorders/>
            <w:shd w:fill="E5E5E5" w:val="clear"/>
            <w:vAlign w:val="bottom"/>
          </w:tcPr>
          <w:p>
            <w:pPr>
              <w:pStyle w:val="TableContents"/>
              <w:spacing w:before="0" w:after="283"/>
              <w:jc w:val="center"/>
              <w:rPr>
                <w:color w:val="001C71"/>
              </w:rPr>
            </w:pPr>
            <w:r>
              <w:rPr>
                <w:color w:val="001C71"/>
              </w:rPr>
              <w:t>✓</w:t>
            </w:r>
          </w:p>
        </w:tc>
      </w:tr>
      <w:tr>
        <w:trPr>
          <w:trHeight w:val="60" w:hRule="atLeast"/>
        </w:trPr>
        <w:tc>
          <w:tcPr>
            <w:tcW w:w="2781" w:type="dxa"/>
            <w:tcBorders/>
            <w:shd w:fill="auto"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auto" w:val="clear"/>
            <w:tcMar>
              <w:left w:w="28" w:type="dxa"/>
            </w:tcMar>
            <w:vAlign w:val="center"/>
          </w:tcPr>
          <w:p>
            <w:pPr>
              <w:pStyle w:val="TableContents"/>
              <w:spacing w:before="0" w:after="283"/>
              <w:rPr/>
            </w:pPr>
            <w:r>
              <w:rPr/>
              <w:t> </w:t>
            </w:r>
          </w:p>
        </w:tc>
      </w:tr>
      <w:tr>
        <w:trPr/>
        <w:tc>
          <w:tcPr>
            <w:tcW w:w="2781" w:type="dxa"/>
            <w:tcBorders/>
            <w:shd w:fill="auto" w:val="clear"/>
          </w:tcPr>
          <w:p>
            <w:pPr>
              <w:pStyle w:val="TableContents"/>
              <w:spacing w:before="0" w:after="0"/>
              <w:rPr>
                <w:rFonts w:ascii="arial" w:hAnsi="arial"/>
                <w:sz w:val="15"/>
              </w:rPr>
            </w:pPr>
            <w:r>
              <w:rPr>
                <w:rFonts w:ascii="arial" w:hAnsi="arial"/>
                <w:sz w:val="15"/>
              </w:rPr>
              <w:t>Jeffrey W. Martin</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033"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28"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21"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32"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35" w:type="dxa"/>
            <w:tcBorders/>
            <w:shd w:fill="auto" w:val="clear"/>
            <w:vAlign w:val="bottom"/>
          </w:tcPr>
          <w:p>
            <w:pPr>
              <w:pStyle w:val="TableContents"/>
              <w:spacing w:before="0" w:after="283"/>
              <w:jc w:val="center"/>
              <w:rPr/>
            </w:pPr>
            <w:r>
              <w:rPr/>
              <w:drawing>
                <wp:inline distT="0" distB="0" distL="0" distR="0">
                  <wp:extent cx="14605" cy="14605"/>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14605" cy="14605"/>
                          </a:xfrm>
                          <a:prstGeom prst="rect">
                            <a:avLst/>
                          </a:prstGeom>
                        </pic:spPr>
                      </pic:pic>
                    </a:graphicData>
                  </a:graphic>
                </wp:inline>
              </w:drawing>
            </w:r>
            <w:r>
              <w:rPr/>
              <w:t xml:space="preserve"> </w:t>
            </w:r>
          </w:p>
        </w:tc>
      </w:tr>
      <w:tr>
        <w:trPr>
          <w:trHeight w:val="60" w:hRule="atLeast"/>
        </w:trPr>
        <w:tc>
          <w:tcPr>
            <w:tcW w:w="2781" w:type="dxa"/>
            <w:tcBorders/>
            <w:shd w:fill="E5E5E5"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E5E5E5" w:val="clear"/>
            <w:tcMar>
              <w:left w:w="28" w:type="dxa"/>
            </w:tcMar>
            <w:vAlign w:val="center"/>
          </w:tcPr>
          <w:p>
            <w:pPr>
              <w:pStyle w:val="TableContents"/>
              <w:spacing w:before="0" w:after="283"/>
              <w:rPr/>
            </w:pPr>
            <w:r>
              <w:rPr/>
              <w:t> </w:t>
            </w:r>
          </w:p>
        </w:tc>
      </w:tr>
      <w:tr>
        <w:trPr/>
        <w:tc>
          <w:tcPr>
            <w:tcW w:w="2781" w:type="dxa"/>
            <w:tcBorders/>
            <w:shd w:fill="E5E5E5" w:val="clear"/>
          </w:tcPr>
          <w:p>
            <w:pPr>
              <w:pStyle w:val="TableContents"/>
              <w:spacing w:before="0" w:after="0"/>
              <w:rPr>
                <w:rFonts w:ascii="arial" w:hAnsi="arial"/>
                <w:sz w:val="15"/>
              </w:rPr>
            </w:pPr>
            <w:r>
              <w:rPr>
                <w:rFonts w:ascii="arial" w:hAnsi="arial"/>
                <w:sz w:val="15"/>
              </w:rPr>
              <w:t>Bethany J. Mayer</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033"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28"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21"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32" w:type="dxa"/>
            <w:tcBorders/>
            <w:shd w:fill="E5E5E5" w:val="clear"/>
            <w:vAlign w:val="bottom"/>
          </w:tcPr>
          <w:p>
            <w:pPr>
              <w:pStyle w:val="TableContents"/>
              <w:spacing w:before="0" w:after="283"/>
              <w:jc w:val="center"/>
              <w:rPr/>
            </w:pPr>
            <w:r>
              <w:rPr/>
              <w:drawing>
                <wp:inline distT="0" distB="0" distL="0" distR="0">
                  <wp:extent cx="85725" cy="1143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85725" cy="114300"/>
                          </a:xfrm>
                          <a:prstGeom prst="rect">
                            <a:avLst/>
                          </a:prstGeom>
                        </pic:spPr>
                      </pic:pic>
                    </a:graphicData>
                  </a:graphic>
                </wp:inline>
              </w:drawing>
            </w:r>
            <w:r>
              <w:rPr/>
              <w:t xml:space="preserve">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35" w:type="dxa"/>
            <w:tcBorders/>
            <w:shd w:fill="E5E5E5" w:val="clear"/>
            <w:vAlign w:val="bottom"/>
          </w:tcPr>
          <w:p>
            <w:pPr>
              <w:pStyle w:val="TableContents"/>
              <w:spacing w:before="0" w:after="283"/>
              <w:jc w:val="center"/>
              <w:rPr>
                <w:color w:val="001C71"/>
              </w:rPr>
            </w:pPr>
            <w:r>
              <w:rPr>
                <w:color w:val="001C71"/>
              </w:rPr>
              <w:t>✓</w:t>
            </w:r>
          </w:p>
        </w:tc>
      </w:tr>
      <w:tr>
        <w:trPr>
          <w:trHeight w:val="60" w:hRule="atLeast"/>
        </w:trPr>
        <w:tc>
          <w:tcPr>
            <w:tcW w:w="2781" w:type="dxa"/>
            <w:tcBorders/>
            <w:shd w:fill="auto"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auto" w:val="clear"/>
            <w:tcMar>
              <w:left w:w="28" w:type="dxa"/>
            </w:tcMar>
            <w:vAlign w:val="center"/>
          </w:tcPr>
          <w:p>
            <w:pPr>
              <w:pStyle w:val="TableContents"/>
              <w:spacing w:before="0" w:after="283"/>
              <w:rPr/>
            </w:pPr>
            <w:r>
              <w:rPr/>
              <w:t> </w:t>
            </w:r>
          </w:p>
        </w:tc>
      </w:tr>
      <w:tr>
        <w:trPr/>
        <w:tc>
          <w:tcPr>
            <w:tcW w:w="2781" w:type="dxa"/>
            <w:tcBorders/>
            <w:shd w:fill="auto" w:val="clear"/>
          </w:tcPr>
          <w:p>
            <w:pPr>
              <w:pStyle w:val="TableContents"/>
              <w:spacing w:before="0" w:after="0"/>
              <w:rPr>
                <w:rFonts w:ascii="arial" w:hAnsi="arial"/>
                <w:sz w:val="15"/>
              </w:rPr>
            </w:pPr>
            <w:r>
              <w:rPr>
                <w:rFonts w:ascii="arial" w:hAnsi="arial"/>
                <w:sz w:val="15"/>
              </w:rPr>
              <w:t>Michael N. Mears</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28"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21"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32"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35" w:type="dxa"/>
            <w:tcBorders/>
            <w:shd w:fill="auto" w:val="clear"/>
            <w:vAlign w:val="bottom"/>
          </w:tcPr>
          <w:p>
            <w:pPr>
              <w:pStyle w:val="TableContents"/>
              <w:spacing w:before="0" w:after="0"/>
              <w:rPr/>
            </w:pPr>
            <w:r>
              <w:rPr/>
              <w:t> </w:t>
            </w:r>
          </w:p>
        </w:tc>
      </w:tr>
      <w:tr>
        <w:trPr>
          <w:trHeight w:val="60" w:hRule="atLeast"/>
        </w:trPr>
        <w:tc>
          <w:tcPr>
            <w:tcW w:w="2781" w:type="dxa"/>
            <w:tcBorders/>
            <w:shd w:fill="E5E5E5"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E5E5E5" w:val="clear"/>
            <w:tcMar>
              <w:left w:w="28" w:type="dxa"/>
            </w:tcMar>
            <w:vAlign w:val="center"/>
          </w:tcPr>
          <w:p>
            <w:pPr>
              <w:pStyle w:val="TableContents"/>
              <w:spacing w:before="0" w:after="283"/>
              <w:rPr/>
            </w:pPr>
            <w:r>
              <w:rPr/>
              <w:t> </w:t>
            </w:r>
          </w:p>
        </w:tc>
      </w:tr>
      <w:tr>
        <w:trPr/>
        <w:tc>
          <w:tcPr>
            <w:tcW w:w="2781" w:type="dxa"/>
            <w:tcBorders/>
            <w:shd w:fill="E5E5E5" w:val="clear"/>
          </w:tcPr>
          <w:p>
            <w:pPr>
              <w:pStyle w:val="TableContents"/>
              <w:spacing w:before="0" w:after="0"/>
              <w:rPr>
                <w:rFonts w:ascii="arial" w:hAnsi="arial"/>
                <w:sz w:val="15"/>
              </w:rPr>
            </w:pPr>
            <w:r>
              <w:rPr>
                <w:rFonts w:ascii="arial" w:hAnsi="arial"/>
                <w:sz w:val="15"/>
              </w:rPr>
              <w:t>Jack T. Taylor</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033" w:type="dxa"/>
            <w:tcBorders/>
            <w:shd w:fill="E5E5E5" w:val="clear"/>
            <w:vAlign w:val="bottom"/>
          </w:tcPr>
          <w:p>
            <w:pPr>
              <w:pStyle w:val="TableContents"/>
              <w:spacing w:before="0" w:after="283"/>
              <w:jc w:val="center"/>
              <w:rPr/>
            </w:pPr>
            <w:r>
              <w:rPr/>
              <w:drawing>
                <wp:inline distT="0" distB="0" distL="0" distR="0">
                  <wp:extent cx="85725" cy="1143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85725" cy="114300"/>
                          </a:xfrm>
                          <a:prstGeom prst="rect">
                            <a:avLst/>
                          </a:prstGeom>
                        </pic:spPr>
                      </pic:pic>
                    </a:graphicData>
                  </a:graphic>
                </wp:inline>
              </w:drawing>
            </w:r>
            <w:r>
              <w:rPr/>
              <w:t xml:space="preserve">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28" w:type="dxa"/>
            <w:tcBorders/>
            <w:shd w:fill="E5E5E5"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21"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32"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35" w:type="dxa"/>
            <w:tcBorders/>
            <w:shd w:fill="E5E5E5" w:val="clear"/>
            <w:vAlign w:val="bottom"/>
          </w:tcPr>
          <w:p>
            <w:pPr>
              <w:pStyle w:val="TableContents"/>
              <w:spacing w:before="0" w:after="283"/>
              <w:jc w:val="center"/>
              <w:rPr>
                <w:color w:val="001C71"/>
              </w:rPr>
            </w:pPr>
            <w:r>
              <w:rPr>
                <w:color w:val="001C71"/>
              </w:rPr>
              <w:t>✓</w:t>
            </w:r>
          </w:p>
        </w:tc>
      </w:tr>
      <w:tr>
        <w:trPr>
          <w:trHeight w:val="60" w:hRule="atLeast"/>
        </w:trPr>
        <w:tc>
          <w:tcPr>
            <w:tcW w:w="2781" w:type="dxa"/>
            <w:tcBorders/>
            <w:shd w:fill="auto"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auto" w:val="clear"/>
            <w:tcMar>
              <w:left w:w="28" w:type="dxa"/>
            </w:tcMar>
            <w:vAlign w:val="center"/>
          </w:tcPr>
          <w:p>
            <w:pPr>
              <w:pStyle w:val="TableContents"/>
              <w:spacing w:before="0" w:after="283"/>
              <w:rPr/>
            </w:pPr>
            <w:r>
              <w:rPr/>
              <w:t> </w:t>
            </w:r>
          </w:p>
        </w:tc>
      </w:tr>
      <w:tr>
        <w:trPr/>
        <w:tc>
          <w:tcPr>
            <w:tcW w:w="2781" w:type="dxa"/>
            <w:tcBorders/>
            <w:shd w:fill="auto" w:val="clear"/>
          </w:tcPr>
          <w:p>
            <w:pPr>
              <w:pStyle w:val="TableContents"/>
              <w:spacing w:before="0" w:after="0"/>
              <w:rPr>
                <w:rFonts w:ascii="arial" w:hAnsi="arial"/>
                <w:sz w:val="15"/>
              </w:rPr>
            </w:pPr>
            <w:r>
              <w:rPr>
                <w:rFonts w:ascii="arial" w:hAnsi="arial"/>
                <w:sz w:val="15"/>
              </w:rPr>
              <w:t>Cynthia L. Walker</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28"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21"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32"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35" w:type="dxa"/>
            <w:tcBorders/>
            <w:shd w:fill="auto" w:val="clear"/>
            <w:vAlign w:val="bottom"/>
          </w:tcPr>
          <w:p>
            <w:pPr>
              <w:pStyle w:val="TableContents"/>
              <w:spacing w:before="0" w:after="0"/>
              <w:rPr/>
            </w:pPr>
            <w:r>
              <w:rPr/>
              <w:t> </w:t>
            </w:r>
          </w:p>
        </w:tc>
      </w:tr>
      <w:tr>
        <w:trPr>
          <w:trHeight w:val="60" w:hRule="atLeast"/>
        </w:trPr>
        <w:tc>
          <w:tcPr>
            <w:tcW w:w="2781" w:type="dxa"/>
            <w:tcBorders/>
            <w:shd w:fill="E5E5E5"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E5E5E5"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E5E5E5" w:val="clear"/>
            <w:tcMar>
              <w:left w:w="28" w:type="dxa"/>
            </w:tcMar>
            <w:vAlign w:val="center"/>
          </w:tcPr>
          <w:p>
            <w:pPr>
              <w:pStyle w:val="TableContents"/>
              <w:spacing w:before="0" w:after="283"/>
              <w:rPr/>
            </w:pPr>
            <w:r>
              <w:rPr/>
              <w:t> </w:t>
            </w:r>
          </w:p>
        </w:tc>
      </w:tr>
      <w:tr>
        <w:trPr/>
        <w:tc>
          <w:tcPr>
            <w:tcW w:w="2781" w:type="dxa"/>
            <w:tcBorders/>
            <w:shd w:fill="E5E5E5" w:val="clear"/>
          </w:tcPr>
          <w:p>
            <w:pPr>
              <w:pStyle w:val="TableContents"/>
              <w:spacing w:before="0" w:after="0"/>
              <w:rPr>
                <w:rFonts w:ascii="arial" w:hAnsi="arial"/>
                <w:sz w:val="15"/>
              </w:rPr>
            </w:pPr>
            <w:r>
              <w:rPr>
                <w:rFonts w:ascii="arial" w:hAnsi="arial"/>
                <w:sz w:val="15"/>
              </w:rPr>
              <w:t>Cynthia J. Warner</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033"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28" w:type="dxa"/>
            <w:tcBorders/>
            <w:shd w:fill="E5E5E5"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21" w:type="dxa"/>
            <w:tcBorders/>
            <w:shd w:fill="E5E5E5"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532" w:type="dxa"/>
            <w:tcBorders/>
            <w:shd w:fill="E5E5E5" w:val="clear"/>
            <w:vAlign w:val="bottom"/>
          </w:tcPr>
          <w:p>
            <w:pPr>
              <w:pStyle w:val="TableContents"/>
              <w:spacing w:before="0" w:after="0"/>
              <w:rPr/>
            </w:pPr>
            <w:r>
              <w:rPr/>
              <w:t> </w:t>
            </w:r>
          </w:p>
        </w:tc>
        <w:tc>
          <w:tcPr>
            <w:tcW w:w="95" w:type="dxa"/>
            <w:tcBorders>
              <w:left w:val="single" w:sz="2" w:space="0" w:color="BFBFBF"/>
            </w:tcBorders>
            <w:shd w:fill="E5E5E5" w:val="clear"/>
            <w:tcMar>
              <w:left w:w="28" w:type="dxa"/>
            </w:tcMar>
            <w:vAlign w:val="bottom"/>
          </w:tcPr>
          <w:p>
            <w:pPr>
              <w:pStyle w:val="TableContents"/>
              <w:spacing w:before="0" w:after="283"/>
              <w:rPr/>
            </w:pPr>
            <w:r>
              <w:rPr/>
              <w:t> </w:t>
            </w:r>
          </w:p>
        </w:tc>
        <w:tc>
          <w:tcPr>
            <w:tcW w:w="1435" w:type="dxa"/>
            <w:tcBorders/>
            <w:shd w:fill="E5E5E5" w:val="clear"/>
            <w:vAlign w:val="bottom"/>
          </w:tcPr>
          <w:p>
            <w:pPr>
              <w:pStyle w:val="TableContents"/>
              <w:spacing w:before="0" w:after="0"/>
              <w:rPr/>
            </w:pPr>
            <w:r>
              <w:rPr/>
              <w:t> </w:t>
            </w:r>
          </w:p>
        </w:tc>
      </w:tr>
      <w:tr>
        <w:trPr>
          <w:trHeight w:val="60" w:hRule="atLeast"/>
        </w:trPr>
        <w:tc>
          <w:tcPr>
            <w:tcW w:w="2781" w:type="dxa"/>
            <w:tcBorders/>
            <w:shd w:fill="auto" w:val="clear"/>
            <w:vAlign w:val="center"/>
          </w:tcPr>
          <w:p>
            <w:pPr>
              <w:pStyle w:val="TableContents"/>
              <w:spacing w:before="0" w:after="283"/>
              <w:rPr>
                <w:sz w:val="4"/>
                <w:szCs w:val="4"/>
              </w:rPr>
            </w:pPr>
            <w:r>
              <w:rPr>
                <w:sz w:val="4"/>
                <w:szCs w:val="4"/>
              </w:rPr>
            </w:r>
          </w:p>
        </w:tc>
        <w:tc>
          <w:tcPr>
            <w:tcW w:w="1128"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23"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16"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627" w:type="dxa"/>
            <w:gridSpan w:val="2"/>
            <w:tcBorders>
              <w:left w:val="single" w:sz="2" w:space="0" w:color="BFBFBF"/>
            </w:tcBorders>
            <w:shd w:fill="auto" w:val="clear"/>
            <w:tcMar>
              <w:left w:w="28" w:type="dxa"/>
            </w:tcMar>
            <w:vAlign w:val="center"/>
          </w:tcPr>
          <w:p>
            <w:pPr>
              <w:pStyle w:val="TableContents"/>
              <w:spacing w:before="0" w:after="283"/>
              <w:rPr/>
            </w:pPr>
            <w:r>
              <w:rPr/>
              <w:t> </w:t>
            </w:r>
          </w:p>
        </w:tc>
        <w:tc>
          <w:tcPr>
            <w:tcW w:w="1530" w:type="dxa"/>
            <w:gridSpan w:val="2"/>
            <w:tcBorders>
              <w:left w:val="single" w:sz="2" w:space="0" w:color="BFBFBF"/>
            </w:tcBorders>
            <w:shd w:fill="auto" w:val="clear"/>
            <w:tcMar>
              <w:left w:w="28" w:type="dxa"/>
            </w:tcMar>
            <w:vAlign w:val="center"/>
          </w:tcPr>
          <w:p>
            <w:pPr>
              <w:pStyle w:val="TableContents"/>
              <w:spacing w:before="0" w:after="283"/>
              <w:rPr/>
            </w:pPr>
            <w:r>
              <w:rPr/>
              <w:t> </w:t>
            </w:r>
          </w:p>
        </w:tc>
      </w:tr>
      <w:tr>
        <w:trPr/>
        <w:tc>
          <w:tcPr>
            <w:tcW w:w="2781" w:type="dxa"/>
            <w:tcBorders/>
            <w:shd w:fill="auto" w:val="clear"/>
          </w:tcPr>
          <w:p>
            <w:pPr>
              <w:pStyle w:val="TableContents"/>
              <w:spacing w:before="0" w:after="0"/>
              <w:rPr>
                <w:rFonts w:ascii="arial" w:hAnsi="arial"/>
                <w:sz w:val="15"/>
              </w:rPr>
            </w:pPr>
            <w:r>
              <w:rPr>
                <w:rFonts w:ascii="arial" w:hAnsi="arial"/>
                <w:sz w:val="15"/>
              </w:rPr>
              <w:t>James C. Yardley</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28"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21" w:type="dxa"/>
            <w:tcBorders/>
            <w:shd w:fill="auto" w:val="clear"/>
            <w:vAlign w:val="bottom"/>
          </w:tcPr>
          <w:p>
            <w:pPr>
              <w:pStyle w:val="TableContents"/>
              <w:spacing w:before="0" w:after="0"/>
              <w:rPr/>
            </w:pPr>
            <w:r>
              <w:rPr/>
              <w:t> </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532" w:type="dxa"/>
            <w:tcBorders/>
            <w:shd w:fill="auto" w:val="clear"/>
            <w:vAlign w:val="bottom"/>
          </w:tcPr>
          <w:p>
            <w:pPr>
              <w:pStyle w:val="TableContents"/>
              <w:spacing w:before="0" w:after="283"/>
              <w:jc w:val="center"/>
              <w:rPr>
                <w:color w:val="001C71"/>
              </w:rPr>
            </w:pPr>
            <w:r>
              <w:rPr>
                <w:color w:val="001C71"/>
              </w:rPr>
              <w:t>✓</w:t>
            </w:r>
          </w:p>
        </w:tc>
        <w:tc>
          <w:tcPr>
            <w:tcW w:w="95" w:type="dxa"/>
            <w:tcBorders>
              <w:left w:val="single" w:sz="2" w:space="0" w:color="BFBFBF"/>
            </w:tcBorders>
            <w:shd w:fill="auto" w:val="clear"/>
            <w:tcMar>
              <w:left w:w="28" w:type="dxa"/>
            </w:tcMar>
            <w:vAlign w:val="bottom"/>
          </w:tcPr>
          <w:p>
            <w:pPr>
              <w:pStyle w:val="TableContents"/>
              <w:spacing w:before="0" w:after="283"/>
              <w:rPr/>
            </w:pPr>
            <w:r>
              <w:rPr/>
              <w:t> </w:t>
            </w:r>
          </w:p>
        </w:tc>
        <w:tc>
          <w:tcPr>
            <w:tcW w:w="1435" w:type="dxa"/>
            <w:tcBorders/>
            <w:shd w:fill="auto" w:val="clear"/>
            <w:vAlign w:val="bottom"/>
          </w:tcPr>
          <w:p>
            <w:pPr>
              <w:pStyle w:val="TableContents"/>
              <w:spacing w:before="0" w:after="0"/>
              <w:rPr/>
            </w:pPr>
            <w:r>
              <w:rPr/>
              <w:t> </w:t>
            </w:r>
          </w:p>
        </w:tc>
      </w:tr>
      <w:tr>
        <w:trPr>
          <w:trHeight w:val="60" w:hRule="atLeast"/>
        </w:trPr>
        <w:tc>
          <w:tcPr>
            <w:tcW w:w="5432" w:type="dxa"/>
            <w:gridSpan w:val="5"/>
            <w:tcBorders/>
            <w:shd w:fill="E5E5E5" w:val="clear"/>
            <w:vAlign w:val="center"/>
          </w:tcPr>
          <w:p>
            <w:pPr>
              <w:pStyle w:val="TableContents"/>
              <w:spacing w:before="0" w:after="283"/>
              <w:rPr>
                <w:sz w:val="4"/>
                <w:szCs w:val="4"/>
              </w:rPr>
            </w:pPr>
            <w:r>
              <w:rPr>
                <w:sz w:val="4"/>
                <w:szCs w:val="4"/>
              </w:rPr>
            </w:r>
          </w:p>
        </w:tc>
        <w:tc>
          <w:tcPr>
            <w:tcW w:w="4773" w:type="dxa"/>
            <w:gridSpan w:val="6"/>
            <w:tcBorders/>
            <w:shd w:fill="E5E5E5" w:val="clear"/>
            <w:vAlign w:val="center"/>
          </w:tcPr>
          <w:p>
            <w:pPr>
              <w:pStyle w:val="TableContents"/>
              <w:spacing w:before="0" w:after="283"/>
              <w:rPr>
                <w:sz w:val="4"/>
                <w:szCs w:val="4"/>
              </w:rPr>
            </w:pPr>
            <w:r>
              <w:rPr>
                <w:sz w:val="4"/>
                <w:szCs w:val="4"/>
              </w:rPr>
            </w:r>
          </w:p>
        </w:tc>
      </w:tr>
      <w:tr>
        <w:trPr/>
        <w:tc>
          <w:tcPr>
            <w:tcW w:w="5432" w:type="dxa"/>
            <w:gridSpan w:val="5"/>
            <w:tcBorders/>
            <w:shd w:fill="E5E5E5" w:val="clear"/>
            <w:vAlign w:val="bottom"/>
          </w:tcPr>
          <w:p>
            <w:pPr>
              <w:pStyle w:val="TableContents"/>
              <w:spacing w:before="0" w:after="0"/>
              <w:rPr/>
            </w:pPr>
            <w:r>
              <w:rPr/>
              <w:t>                                         </w:t>
            </w:r>
            <w:r>
              <w:rPr>
                <w:color w:val="001C71"/>
              </w:rPr>
              <w:t>✓</w:t>
            </w:r>
            <w:r>
              <w:rPr/>
              <w:t xml:space="preserve"> </w:t>
            </w:r>
            <w:r>
              <w:rPr>
                <w:rFonts w:ascii="arial" w:hAnsi="arial"/>
                <w:sz w:val="15"/>
              </w:rPr>
              <w:t>= Committee Member</w:t>
            </w:r>
          </w:p>
        </w:tc>
        <w:tc>
          <w:tcPr>
            <w:tcW w:w="95" w:type="dxa"/>
            <w:tcBorders/>
            <w:shd w:fill="E5E5E5" w:val="clear"/>
            <w:vAlign w:val="bottom"/>
          </w:tcPr>
          <w:p>
            <w:pPr>
              <w:pStyle w:val="TableContents"/>
              <w:spacing w:before="0" w:after="283"/>
              <w:rPr/>
            </w:pPr>
            <w:r>
              <w:rPr/>
              <w:t> </w:t>
            </w:r>
          </w:p>
        </w:tc>
        <w:tc>
          <w:tcPr>
            <w:tcW w:w="4678" w:type="dxa"/>
            <w:gridSpan w:val="5"/>
            <w:tcBorders/>
            <w:shd w:fill="E5E5E5" w:val="clear"/>
            <w:vAlign w:val="bottom"/>
          </w:tcPr>
          <w:p>
            <w:pPr>
              <w:pStyle w:val="TableContents"/>
              <w:spacing w:before="0" w:after="283"/>
              <w:jc w:val="right"/>
              <w:rPr/>
            </w:pPr>
            <w:r>
              <w:rPr/>
              <w:drawing>
                <wp:inline distT="0" distB="0" distL="0" distR="0">
                  <wp:extent cx="85725" cy="11430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85725" cy="114300"/>
                          </a:xfrm>
                          <a:prstGeom prst="rect">
                            <a:avLst/>
                          </a:prstGeom>
                        </pic:spPr>
                      </pic:pic>
                    </a:graphicData>
                  </a:graphic>
                </wp:inline>
              </w:drawing>
            </w:r>
            <w:r>
              <w:rPr/>
              <w:t xml:space="preserve"> </w:t>
            </w:r>
            <w:r>
              <w:rPr/>
              <w:t xml:space="preserve">= Committee Chair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16</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Audit Committee </w:t>
      </w:r>
    </w:p>
    <w:p>
      <w:pPr>
        <w:pStyle w:val="TextBody"/>
        <w:pBdr>
          <w:bottom w:val="single" w:sz="2" w:space="1" w:color="001C71"/>
        </w:pBdr>
        <w:spacing w:lineRule="atLeast" w:line="180" w:before="0" w:after="40"/>
        <w:jc w:val="left"/>
        <w:rPr/>
      </w:pPr>
      <w:r>
        <w:rPr/>
        <w:t> </w:t>
      </w:r>
    </w:p>
    <w:p>
      <w:pPr>
        <w:pStyle w:val="TextBody"/>
        <w:spacing w:before="0" w:after="0"/>
        <w:jc w:val="left"/>
        <w:rPr/>
      </w:pPr>
      <w:r>
        <w:rPr/>
        <w:t> </w:t>
      </w:r>
    </w:p>
    <w:p>
      <w:pPr>
        <w:pStyle w:val="TextBody"/>
        <w:spacing w:before="40" w:after="0"/>
        <w:jc w:val="left"/>
        <w:rPr>
          <w:rFonts w:ascii="arial" w:hAnsi="arial"/>
          <w:sz w:val="16"/>
        </w:rPr>
      </w:pPr>
      <w:r>
        <w:rPr>
          <w:rFonts w:ascii="arial" w:hAnsi="arial"/>
          <w:sz w:val="16"/>
        </w:rPr>
        <w:t xml:space="preserve">Our Audit Committee currently is, and at all times in 2020 was, entirely composed of independent directors under the independence standards for such a committee established by the NYSE and the SEC. It is directly responsible and has sole authority for the appointment, compensation, retention and oversight of our independent registered public accounting firm, which reports directly to the committee. The committee also prepares the report included in this proxy statement under Audit Committee Report. In addition, it assists the Board of Directors in fulfilling oversight responsibilities regarding, among other things: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3110230" cy="1941195"/>
                <wp:effectExtent l="0" t="0" r="0" b="0"/>
                <wp:wrapSquare wrapText="largest"/>
                <wp:docPr id="44" name="Frame9"/>
                <a:graphic xmlns:a="http://schemas.openxmlformats.org/drawingml/2006/main">
                  <a:graphicData uri="http://schemas.microsoft.com/office/word/2010/wordprocessingShape">
                    <wps:wsp>
                      <wps:cNvSpPr txBox="1"/>
                      <wps:spPr>
                        <a:xfrm>
                          <a:off x="0" y="0"/>
                          <a:ext cx="3110230" cy="1941195"/>
                        </a:xfrm>
                        <a:prstGeom prst="rect"/>
                      </wps:spPr>
                      <wps:txbx>
                        <w:txbxContent>
                          <w:tbl>
                            <w:tblPr>
                              <w:tblW w:w="5000" w:type="pct"/>
                              <w:jc w:val="left"/>
                              <w:tblInd w:w="0" w:type="dxa"/>
                              <w:tblCellMar>
                                <w:top w:w="0" w:type="dxa"/>
                                <w:left w:w="0" w:type="dxa"/>
                                <w:bottom w:w="0" w:type="dxa"/>
                                <w:right w:w="0" w:type="dxa"/>
                              </w:tblCellMar>
                            </w:tblPr>
                            <w:tblGrid>
                              <w:gridCol w:w="170"/>
                              <w:gridCol w:w="51"/>
                              <w:gridCol w:w="4677"/>
                            </w:tblGrid>
                            <w:tr>
                              <w:trPr/>
                              <w:tc>
                                <w:tcPr>
                                  <w:tcW w:w="170" w:type="dxa"/>
                                  <w:tcBorders/>
                                  <w:shd w:fill="auto" w:val="clear"/>
                                </w:tcPr>
                                <w:p>
                                  <w:pPr>
                                    <w:pStyle w:val="TableContents"/>
                                    <w:spacing w:before="0" w:after="283"/>
                                    <w:jc w:val="left"/>
                                    <w:rPr>
                                      <w:color w:val="001C71"/>
                                    </w:rPr>
                                  </w:pPr>
                                  <w:r>
                                    <w:rPr>
                                      <w:color w:val="001C71"/>
                                    </w:rPr>
                                    <w:t></w:t>
                                  </w:r>
                                </w:p>
                              </w:tc>
                              <w:tc>
                                <w:tcPr>
                                  <w:tcW w:w="51" w:type="dxa"/>
                                  <w:tcBorders/>
                                  <w:shd w:fill="auto" w:val="clear"/>
                                </w:tcPr>
                                <w:p>
                                  <w:pPr>
                                    <w:pStyle w:val="TableContents"/>
                                    <w:spacing w:before="0" w:after="283"/>
                                    <w:rPr/>
                                  </w:pPr>
                                  <w:r>
                                    <w:rPr/>
                                    <w:t> </w:t>
                                  </w:r>
                                </w:p>
                              </w:tc>
                              <w:tc>
                                <w:tcPr>
                                  <w:tcW w:w="4677" w:type="dxa"/>
                                  <w:tcBorders/>
                                  <w:shd w:fill="auto" w:val="clear"/>
                                </w:tcPr>
                                <w:p>
                                  <w:pPr>
                                    <w:pStyle w:val="TableContents"/>
                                    <w:spacing w:before="0" w:after="283"/>
                                    <w:jc w:val="left"/>
                                    <w:rPr/>
                                  </w:pPr>
                                  <w:r>
                                    <w:rPr/>
                                    <w:t xml:space="preserve">The companys internal controls over financial reporting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39"/>
                              <w:gridCol w:w="72"/>
                              <w:gridCol w:w="4587"/>
                            </w:tblGrid>
                            <w:tr>
                              <w:trPr/>
                              <w:tc>
                                <w:tcPr>
                                  <w:tcW w:w="239" w:type="dxa"/>
                                  <w:tcBorders/>
                                  <w:shd w:fill="auto" w:val="clear"/>
                                </w:tcPr>
                                <w:p>
                                  <w:pPr>
                                    <w:pStyle w:val="TableContents"/>
                                    <w:spacing w:before="0" w:after="283"/>
                                    <w:jc w:val="left"/>
                                    <w:rPr>
                                      <w:color w:val="001C71"/>
                                    </w:rPr>
                                  </w:pPr>
                                  <w:r>
                                    <w:rPr>
                                      <w:color w:val="001C71"/>
                                    </w:rPr>
                                    <w:t></w:t>
                                  </w:r>
                                </w:p>
                              </w:tc>
                              <w:tc>
                                <w:tcPr>
                                  <w:tcW w:w="72" w:type="dxa"/>
                                  <w:tcBorders/>
                                  <w:shd w:fill="auto" w:val="clear"/>
                                </w:tcPr>
                                <w:p>
                                  <w:pPr>
                                    <w:pStyle w:val="TableContents"/>
                                    <w:spacing w:before="0" w:after="283"/>
                                    <w:rPr/>
                                  </w:pPr>
                                  <w:r>
                                    <w:rPr/>
                                    <w:t> </w:t>
                                  </w:r>
                                </w:p>
                              </w:tc>
                              <w:tc>
                                <w:tcPr>
                                  <w:tcW w:w="4587" w:type="dxa"/>
                                  <w:tcBorders/>
                                  <w:shd w:fill="auto" w:val="clear"/>
                                </w:tcPr>
                                <w:p>
                                  <w:pPr>
                                    <w:pStyle w:val="TableContents"/>
                                    <w:spacing w:before="0" w:after="283"/>
                                    <w:jc w:val="left"/>
                                    <w:rPr/>
                                  </w:pPr>
                                  <w:r>
                                    <w:rPr/>
                                    <w:t xml:space="preserve">The integrity of our financial statements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6"/>
                              <w:gridCol w:w="53"/>
                              <w:gridCol w:w="4669"/>
                            </w:tblGrid>
                            <w:tr>
                              <w:trPr/>
                              <w:tc>
                                <w:tcPr>
                                  <w:tcW w:w="176" w:type="dxa"/>
                                  <w:tcBorders/>
                                  <w:shd w:fill="auto" w:val="clear"/>
                                </w:tcPr>
                                <w:p>
                                  <w:pPr>
                                    <w:pStyle w:val="TableContents"/>
                                    <w:spacing w:before="0" w:after="283"/>
                                    <w:jc w:val="left"/>
                                    <w:rPr>
                                      <w:color w:val="001C71"/>
                                    </w:rPr>
                                  </w:pPr>
                                  <w:r>
                                    <w:rPr>
                                      <w:color w:val="001C71"/>
                                    </w:rPr>
                                    <w:t></w:t>
                                  </w:r>
                                </w:p>
                              </w:tc>
                              <w:tc>
                                <w:tcPr>
                                  <w:tcW w:w="53" w:type="dxa"/>
                                  <w:tcBorders/>
                                  <w:shd w:fill="auto" w:val="clear"/>
                                </w:tcPr>
                                <w:p>
                                  <w:pPr>
                                    <w:pStyle w:val="TableContents"/>
                                    <w:spacing w:before="0" w:after="283"/>
                                    <w:rPr/>
                                  </w:pPr>
                                  <w:r>
                                    <w:rPr/>
                                    <w:t> </w:t>
                                  </w:r>
                                </w:p>
                              </w:tc>
                              <w:tc>
                                <w:tcPr>
                                  <w:tcW w:w="4669" w:type="dxa"/>
                                  <w:tcBorders/>
                                  <w:shd w:fill="auto" w:val="clear"/>
                                </w:tcPr>
                                <w:p>
                                  <w:pPr>
                                    <w:pStyle w:val="TableContents"/>
                                    <w:spacing w:before="0" w:after="283"/>
                                    <w:jc w:val="left"/>
                                    <w:rPr/>
                                  </w:pPr>
                                  <w:r>
                                    <w:rPr/>
                                    <w:t xml:space="preserve">Our compliance with legal and regulatory requirements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2.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170"/>
                        <w:gridCol w:w="51"/>
                        <w:gridCol w:w="4677"/>
                      </w:tblGrid>
                      <w:tr>
                        <w:trPr/>
                        <w:tc>
                          <w:tcPr>
                            <w:tcW w:w="170" w:type="dxa"/>
                            <w:tcBorders/>
                            <w:shd w:fill="auto" w:val="clear"/>
                          </w:tcPr>
                          <w:p>
                            <w:pPr>
                              <w:pStyle w:val="TableContents"/>
                              <w:spacing w:before="0" w:after="283"/>
                              <w:jc w:val="left"/>
                              <w:rPr>
                                <w:color w:val="001C71"/>
                              </w:rPr>
                            </w:pPr>
                            <w:r>
                              <w:rPr>
                                <w:color w:val="001C71"/>
                              </w:rPr>
                              <w:t></w:t>
                            </w:r>
                          </w:p>
                        </w:tc>
                        <w:tc>
                          <w:tcPr>
                            <w:tcW w:w="51" w:type="dxa"/>
                            <w:tcBorders/>
                            <w:shd w:fill="auto" w:val="clear"/>
                          </w:tcPr>
                          <w:p>
                            <w:pPr>
                              <w:pStyle w:val="TableContents"/>
                              <w:spacing w:before="0" w:after="283"/>
                              <w:rPr/>
                            </w:pPr>
                            <w:r>
                              <w:rPr/>
                              <w:t> </w:t>
                            </w:r>
                          </w:p>
                        </w:tc>
                        <w:tc>
                          <w:tcPr>
                            <w:tcW w:w="4677" w:type="dxa"/>
                            <w:tcBorders/>
                            <w:shd w:fill="auto" w:val="clear"/>
                          </w:tcPr>
                          <w:p>
                            <w:pPr>
                              <w:pStyle w:val="TableContents"/>
                              <w:spacing w:before="0" w:after="283"/>
                              <w:jc w:val="left"/>
                              <w:rPr/>
                            </w:pPr>
                            <w:r>
                              <w:rPr/>
                              <w:t xml:space="preserve">The companys internal controls over financial reporting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39"/>
                        <w:gridCol w:w="72"/>
                        <w:gridCol w:w="4587"/>
                      </w:tblGrid>
                      <w:tr>
                        <w:trPr/>
                        <w:tc>
                          <w:tcPr>
                            <w:tcW w:w="239" w:type="dxa"/>
                            <w:tcBorders/>
                            <w:shd w:fill="auto" w:val="clear"/>
                          </w:tcPr>
                          <w:p>
                            <w:pPr>
                              <w:pStyle w:val="TableContents"/>
                              <w:spacing w:before="0" w:after="283"/>
                              <w:jc w:val="left"/>
                              <w:rPr>
                                <w:color w:val="001C71"/>
                              </w:rPr>
                            </w:pPr>
                            <w:r>
                              <w:rPr>
                                <w:color w:val="001C71"/>
                              </w:rPr>
                              <w:t></w:t>
                            </w:r>
                          </w:p>
                        </w:tc>
                        <w:tc>
                          <w:tcPr>
                            <w:tcW w:w="72" w:type="dxa"/>
                            <w:tcBorders/>
                            <w:shd w:fill="auto" w:val="clear"/>
                          </w:tcPr>
                          <w:p>
                            <w:pPr>
                              <w:pStyle w:val="TableContents"/>
                              <w:spacing w:before="0" w:after="283"/>
                              <w:rPr/>
                            </w:pPr>
                            <w:r>
                              <w:rPr/>
                              <w:t> </w:t>
                            </w:r>
                          </w:p>
                        </w:tc>
                        <w:tc>
                          <w:tcPr>
                            <w:tcW w:w="4587" w:type="dxa"/>
                            <w:tcBorders/>
                            <w:shd w:fill="auto" w:val="clear"/>
                          </w:tcPr>
                          <w:p>
                            <w:pPr>
                              <w:pStyle w:val="TableContents"/>
                              <w:spacing w:before="0" w:after="283"/>
                              <w:jc w:val="left"/>
                              <w:rPr/>
                            </w:pPr>
                            <w:r>
                              <w:rPr/>
                              <w:t xml:space="preserve">The integrity of our financial statements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6"/>
                        <w:gridCol w:w="53"/>
                        <w:gridCol w:w="4669"/>
                      </w:tblGrid>
                      <w:tr>
                        <w:trPr/>
                        <w:tc>
                          <w:tcPr>
                            <w:tcW w:w="176" w:type="dxa"/>
                            <w:tcBorders/>
                            <w:shd w:fill="auto" w:val="clear"/>
                          </w:tcPr>
                          <w:p>
                            <w:pPr>
                              <w:pStyle w:val="TableContents"/>
                              <w:spacing w:before="0" w:after="283"/>
                              <w:jc w:val="left"/>
                              <w:rPr>
                                <w:color w:val="001C71"/>
                              </w:rPr>
                            </w:pPr>
                            <w:r>
                              <w:rPr>
                                <w:color w:val="001C71"/>
                              </w:rPr>
                              <w:t></w:t>
                            </w:r>
                          </w:p>
                        </w:tc>
                        <w:tc>
                          <w:tcPr>
                            <w:tcW w:w="53" w:type="dxa"/>
                            <w:tcBorders/>
                            <w:shd w:fill="auto" w:val="clear"/>
                          </w:tcPr>
                          <w:p>
                            <w:pPr>
                              <w:pStyle w:val="TableContents"/>
                              <w:spacing w:before="0" w:after="283"/>
                              <w:rPr/>
                            </w:pPr>
                            <w:r>
                              <w:rPr/>
                              <w:t> </w:t>
                            </w:r>
                          </w:p>
                        </w:tc>
                        <w:tc>
                          <w:tcPr>
                            <w:tcW w:w="4669" w:type="dxa"/>
                            <w:tcBorders/>
                            <w:shd w:fill="auto" w:val="clear"/>
                          </w:tcPr>
                          <w:p>
                            <w:pPr>
                              <w:pStyle w:val="TableContents"/>
                              <w:spacing w:before="0" w:after="283"/>
                              <w:jc w:val="left"/>
                              <w:rPr/>
                            </w:pPr>
                            <w:r>
                              <w:rPr/>
                              <w:t xml:space="preserve">Our compliance with legal and regulatory requirements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75000" cy="1410970"/>
                <wp:effectExtent l="0" t="0" r="0" b="0"/>
                <wp:wrapSquare wrapText="largest"/>
                <wp:docPr id="45" name="Frame10"/>
                <a:graphic xmlns:a="http://schemas.openxmlformats.org/drawingml/2006/main">
                  <a:graphicData uri="http://schemas.microsoft.com/office/word/2010/wordprocessingShape">
                    <wps:wsp>
                      <wps:cNvSpPr txBox="1"/>
                      <wps:spPr>
                        <a:xfrm>
                          <a:off x="0" y="0"/>
                          <a:ext cx="3175000" cy="1410970"/>
                        </a:xfrm>
                        <a:prstGeom prst="rect"/>
                      </wps:spPr>
                      <wps:txbx>
                        <w:txbxContent>
                          <w:tbl>
                            <w:tblPr>
                              <w:tblW w:w="5000" w:type="pct"/>
                              <w:jc w:val="left"/>
                              <w:tblInd w:w="0" w:type="dxa"/>
                              <w:tblCellMar>
                                <w:top w:w="0" w:type="dxa"/>
                                <w:left w:w="0" w:type="dxa"/>
                                <w:bottom w:w="0" w:type="dxa"/>
                                <w:right w:w="0" w:type="dxa"/>
                              </w:tblCellMar>
                            </w:tblPr>
                            <w:tblGrid>
                              <w:gridCol w:w="118"/>
                              <w:gridCol w:w="35"/>
                              <w:gridCol w:w="4847"/>
                            </w:tblGrid>
                            <w:tr>
                              <w:trPr/>
                              <w:tc>
                                <w:tcPr>
                                  <w:tcW w:w="118" w:type="dxa"/>
                                  <w:tcBorders/>
                                  <w:shd w:fill="auto" w:val="clear"/>
                                </w:tcPr>
                                <w:p>
                                  <w:pPr>
                                    <w:pStyle w:val="TableContents"/>
                                    <w:spacing w:before="0" w:after="283"/>
                                    <w:jc w:val="left"/>
                                    <w:rPr>
                                      <w:color w:val="001C71"/>
                                    </w:rPr>
                                  </w:pPr>
                                  <w:r>
                                    <w:rPr>
                                      <w:color w:val="001C71"/>
                                    </w:rPr>
                                    <w:t></w:t>
                                  </w:r>
                                </w:p>
                              </w:tc>
                              <w:tc>
                                <w:tcPr>
                                  <w:tcW w:w="35" w:type="dxa"/>
                                  <w:tcBorders/>
                                  <w:shd w:fill="auto" w:val="clear"/>
                                </w:tcPr>
                                <w:p>
                                  <w:pPr>
                                    <w:pStyle w:val="TableContents"/>
                                    <w:spacing w:before="0" w:after="283"/>
                                    <w:rPr/>
                                  </w:pPr>
                                  <w:r>
                                    <w:rPr/>
                                    <w:t> </w:t>
                                  </w:r>
                                </w:p>
                              </w:tc>
                              <w:tc>
                                <w:tcPr>
                                  <w:tcW w:w="4847" w:type="dxa"/>
                                  <w:tcBorders/>
                                  <w:shd w:fill="auto" w:val="clear"/>
                                </w:tcPr>
                                <w:p>
                                  <w:pPr>
                                    <w:pStyle w:val="TableContents"/>
                                    <w:spacing w:before="0" w:after="283"/>
                                    <w:jc w:val="left"/>
                                    <w:rPr/>
                                  </w:pPr>
                                  <w:r>
                                    <w:rPr/>
                                    <w:t xml:space="preserve">The independent registered public accounting firms qualifications and independence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5"/>
                              <w:gridCol w:w="31"/>
                              <w:gridCol w:w="4864"/>
                            </w:tblGrid>
                            <w:tr>
                              <w:trPr/>
                              <w:tc>
                                <w:tcPr>
                                  <w:tcW w:w="105" w:type="dxa"/>
                                  <w:tcBorders/>
                                  <w:shd w:fill="auto" w:val="clear"/>
                                </w:tcPr>
                                <w:p>
                                  <w:pPr>
                                    <w:pStyle w:val="TableContents"/>
                                    <w:spacing w:before="0" w:after="283"/>
                                    <w:jc w:val="left"/>
                                    <w:rPr>
                                      <w:color w:val="001C71"/>
                                    </w:rPr>
                                  </w:pPr>
                                  <w:r>
                                    <w:rPr>
                                      <w:color w:val="001C71"/>
                                    </w:rPr>
                                    <w:t></w:t>
                                  </w:r>
                                </w:p>
                              </w:tc>
                              <w:tc>
                                <w:tcPr>
                                  <w:tcW w:w="31" w:type="dxa"/>
                                  <w:tcBorders/>
                                  <w:shd w:fill="auto" w:val="clear"/>
                                </w:tcPr>
                                <w:p>
                                  <w:pPr>
                                    <w:pStyle w:val="TableContents"/>
                                    <w:spacing w:before="0" w:after="283"/>
                                    <w:rPr/>
                                  </w:pPr>
                                  <w:r>
                                    <w:rPr/>
                                    <w:t> </w:t>
                                  </w:r>
                                </w:p>
                              </w:tc>
                              <w:tc>
                                <w:tcPr>
                                  <w:tcW w:w="4864" w:type="dxa"/>
                                  <w:tcBorders/>
                                  <w:shd w:fill="auto" w:val="clear"/>
                                </w:tcPr>
                                <w:p>
                                  <w:pPr>
                                    <w:pStyle w:val="TableContents"/>
                                    <w:spacing w:before="0" w:after="283"/>
                                    <w:jc w:val="left"/>
                                    <w:rPr/>
                                  </w:pPr>
                                  <w:r>
                                    <w:rPr/>
                                    <w:t xml:space="preserve">The performance of our internal audit function and independent registered public accounting firm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1.1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118"/>
                        <w:gridCol w:w="35"/>
                        <w:gridCol w:w="4847"/>
                      </w:tblGrid>
                      <w:tr>
                        <w:trPr/>
                        <w:tc>
                          <w:tcPr>
                            <w:tcW w:w="118" w:type="dxa"/>
                            <w:tcBorders/>
                            <w:shd w:fill="auto" w:val="clear"/>
                          </w:tcPr>
                          <w:p>
                            <w:pPr>
                              <w:pStyle w:val="TableContents"/>
                              <w:spacing w:before="0" w:after="283"/>
                              <w:jc w:val="left"/>
                              <w:rPr>
                                <w:color w:val="001C71"/>
                              </w:rPr>
                            </w:pPr>
                            <w:r>
                              <w:rPr>
                                <w:color w:val="001C71"/>
                              </w:rPr>
                              <w:t></w:t>
                            </w:r>
                          </w:p>
                        </w:tc>
                        <w:tc>
                          <w:tcPr>
                            <w:tcW w:w="35" w:type="dxa"/>
                            <w:tcBorders/>
                            <w:shd w:fill="auto" w:val="clear"/>
                          </w:tcPr>
                          <w:p>
                            <w:pPr>
                              <w:pStyle w:val="TableContents"/>
                              <w:spacing w:before="0" w:after="283"/>
                              <w:rPr/>
                            </w:pPr>
                            <w:r>
                              <w:rPr/>
                              <w:t> </w:t>
                            </w:r>
                          </w:p>
                        </w:tc>
                        <w:tc>
                          <w:tcPr>
                            <w:tcW w:w="4847" w:type="dxa"/>
                            <w:tcBorders/>
                            <w:shd w:fill="auto" w:val="clear"/>
                          </w:tcPr>
                          <w:p>
                            <w:pPr>
                              <w:pStyle w:val="TableContents"/>
                              <w:spacing w:before="0" w:after="283"/>
                              <w:jc w:val="left"/>
                              <w:rPr/>
                            </w:pPr>
                            <w:r>
                              <w:rPr/>
                              <w:t xml:space="preserve">The independent registered public accounting firms qualifications and independence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5"/>
                        <w:gridCol w:w="31"/>
                        <w:gridCol w:w="4864"/>
                      </w:tblGrid>
                      <w:tr>
                        <w:trPr/>
                        <w:tc>
                          <w:tcPr>
                            <w:tcW w:w="105" w:type="dxa"/>
                            <w:tcBorders/>
                            <w:shd w:fill="auto" w:val="clear"/>
                          </w:tcPr>
                          <w:p>
                            <w:pPr>
                              <w:pStyle w:val="TableContents"/>
                              <w:spacing w:before="0" w:after="283"/>
                              <w:jc w:val="left"/>
                              <w:rPr>
                                <w:color w:val="001C71"/>
                              </w:rPr>
                            </w:pPr>
                            <w:r>
                              <w:rPr>
                                <w:color w:val="001C71"/>
                              </w:rPr>
                              <w:t></w:t>
                            </w:r>
                          </w:p>
                        </w:tc>
                        <w:tc>
                          <w:tcPr>
                            <w:tcW w:w="31" w:type="dxa"/>
                            <w:tcBorders/>
                            <w:shd w:fill="auto" w:val="clear"/>
                          </w:tcPr>
                          <w:p>
                            <w:pPr>
                              <w:pStyle w:val="TableContents"/>
                              <w:spacing w:before="0" w:after="283"/>
                              <w:rPr/>
                            </w:pPr>
                            <w:r>
                              <w:rPr/>
                              <w:t> </w:t>
                            </w:r>
                          </w:p>
                        </w:tc>
                        <w:tc>
                          <w:tcPr>
                            <w:tcW w:w="4864" w:type="dxa"/>
                            <w:tcBorders/>
                            <w:shd w:fill="auto" w:val="clear"/>
                          </w:tcPr>
                          <w:p>
                            <w:pPr>
                              <w:pStyle w:val="TableContents"/>
                              <w:spacing w:before="0" w:after="283"/>
                              <w:jc w:val="left"/>
                              <w:rPr/>
                            </w:pPr>
                            <w:r>
                              <w:rPr/>
                              <w:t xml:space="preserve">The performance of our internal audit function and independent registered public accounting firm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The Audit Committee helps ensure the independence of our independent registered public accounting firm by, among other things, assuring the mandated rotation of the lead audit partner in accordance with SEC rules. The Audit Committee and its chair are directly involved in the selection of the independent registered public accounting firms lead audit partner, including by meeting with the lead audit partner candidate and discussing with the committee members and management. We most recently rotated our lead audit partner in 2019. </w:t>
      </w:r>
    </w:p>
    <w:p>
      <w:pPr>
        <w:pStyle w:val="TextBody"/>
        <w:spacing w:before="160" w:after="0"/>
        <w:jc w:val="left"/>
        <w:rPr>
          <w:rFonts w:ascii="arial" w:hAnsi="arial"/>
          <w:sz w:val="16"/>
        </w:rPr>
      </w:pPr>
      <w:r>
        <w:rPr>
          <w:rFonts w:ascii="arial" w:hAnsi="arial"/>
          <w:sz w:val="16"/>
        </w:rPr>
        <w:t xml:space="preserve">The board has determined that each member of the Audit Committee is financially literate. It also has determined that Mr. Taylor, who chairs the committee, and Ms. Walker, who is a member of the committee, are audit committee financial experts as defined by the rules of the SEC. </w:t>
      </w:r>
    </w:p>
    <w:p>
      <w:pPr>
        <w:pStyle w:val="TextBody"/>
        <w:spacing w:before="160" w:after="0"/>
        <w:jc w:val="left"/>
        <w:rPr>
          <w:rFonts w:ascii="arial" w:hAnsi="arial"/>
          <w:sz w:val="16"/>
        </w:rPr>
      </w:pPr>
      <w:r>
        <w:rPr>
          <w:rFonts w:ascii="arial" w:hAnsi="arial"/>
          <w:sz w:val="16"/>
        </w:rPr>
        <w:t xml:space="preserve">During 2020, the Audit Committee held seven meetings. </w:t>
      </w:r>
    </w:p>
    <w:p>
      <w:pPr>
        <w:pStyle w:val="TextBody"/>
        <w:spacing w:before="360" w:after="0"/>
        <w:jc w:val="left"/>
        <w:rPr>
          <w:rFonts w:ascii="arial" w:hAnsi="arial"/>
          <w:sz w:val="28"/>
        </w:rPr>
      </w:pPr>
      <w:r>
        <w:rPr>
          <w:rFonts w:ascii="arial" w:hAnsi="arial"/>
          <w:sz w:val="28"/>
        </w:rPr>
        <w:t xml:space="preserve">Compensation and Talent Development Committee </w:t>
      </w:r>
    </w:p>
    <w:p>
      <w:pPr>
        <w:pStyle w:val="TextBody"/>
        <w:pBdr>
          <w:bottom w:val="single" w:sz="2" w:space="1" w:color="001C71"/>
        </w:pBdr>
        <w:spacing w:lineRule="atLeast" w:line="180" w:before="0" w:after="40"/>
        <w:jc w:val="left"/>
        <w:rPr/>
      </w:pPr>
      <w:r>
        <w:rPr/>
        <w:t> </w:t>
      </w:r>
    </w:p>
    <w:p>
      <w:pPr>
        <w:pStyle w:val="TextBody"/>
        <w:spacing w:before="0" w:after="0"/>
        <w:jc w:val="left"/>
        <w:rPr/>
      </w:pPr>
      <w:r>
        <w:rPr/>
        <w:t> </w:t>
      </w:r>
    </w:p>
    <w:p>
      <w:pPr>
        <w:pStyle w:val="TextBody"/>
        <w:spacing w:before="40" w:after="0"/>
        <w:jc w:val="left"/>
        <w:rPr>
          <w:rFonts w:ascii="arial" w:hAnsi="arial"/>
          <w:sz w:val="16"/>
        </w:rPr>
      </w:pPr>
      <w:r>
        <w:rPr>
          <w:rFonts w:ascii="arial" w:hAnsi="arial"/>
          <w:sz w:val="16"/>
        </w:rPr>
        <w:t xml:space="preserve">Our Compensation and Talent Development Committee (formerly named the Compensation Committee) currently is, and at all times in 2020 was, entirely composed of independent directors under the independence standards for such a committee established by the NYSE and the SEC. It assists the board in the evaluation and compensation of our executives, and it establishes our compensation principles and policies and designs and oversees our executive compensation program. The committees responsibilities include, among others: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10230" cy="5104765"/>
                <wp:effectExtent l="0" t="0" r="0" b="0"/>
                <wp:wrapSquare wrapText="largest"/>
                <wp:docPr id="46" name="Frame11"/>
                <a:graphic xmlns:a="http://schemas.openxmlformats.org/drawingml/2006/main">
                  <a:graphicData uri="http://schemas.microsoft.com/office/word/2010/wordprocessingShape">
                    <wps:wsp>
                      <wps:cNvSpPr txBox="1"/>
                      <wps:spPr>
                        <a:xfrm>
                          <a:off x="0" y="0"/>
                          <a:ext cx="3110230" cy="5104765"/>
                        </a:xfrm>
                        <a:prstGeom prst="rect"/>
                      </wps:spPr>
                      <wps:txbx>
                        <w:txbxContent>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Reviewing and approving corporate goals and objectives relevant to the Chief Executive Officers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Evaluating our Chief Executive Officers performance in light of those goals and objectives and determining and approving (and recommending for ratification by the board acting solely through the independent directors) his or her compensation level based on the committees performance evaluation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Determining and approving (and periodically reviewing with the board) other executive officer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Making recommendations to the board with respect to incentive compensation plans and equity-based plans that are subject to board approval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58"/>
                              <w:gridCol w:w="48"/>
                              <w:gridCol w:w="4692"/>
                            </w:tblGrid>
                            <w:tr>
                              <w:trPr/>
                              <w:tc>
                                <w:tcPr>
                                  <w:tcW w:w="158" w:type="dxa"/>
                                  <w:tcBorders/>
                                  <w:shd w:fill="auto" w:val="clear"/>
                                </w:tcPr>
                                <w:p>
                                  <w:pPr>
                                    <w:pStyle w:val="TableContents"/>
                                    <w:spacing w:before="0" w:after="283"/>
                                    <w:jc w:val="left"/>
                                    <w:rPr>
                                      <w:color w:val="001C71"/>
                                    </w:rPr>
                                  </w:pPr>
                                  <w:r>
                                    <w:rPr>
                                      <w:color w:val="001C71"/>
                                    </w:rPr>
                                    <w:t></w:t>
                                  </w:r>
                                </w:p>
                              </w:tc>
                              <w:tc>
                                <w:tcPr>
                                  <w:tcW w:w="48" w:type="dxa"/>
                                  <w:tcBorders/>
                                  <w:shd w:fill="auto" w:val="clear"/>
                                </w:tcPr>
                                <w:p>
                                  <w:pPr>
                                    <w:pStyle w:val="TableContents"/>
                                    <w:spacing w:before="0" w:after="283"/>
                                    <w:rPr/>
                                  </w:pPr>
                                  <w:r>
                                    <w:rPr/>
                                    <w:t> </w:t>
                                  </w:r>
                                </w:p>
                              </w:tc>
                              <w:tc>
                                <w:tcPr>
                                  <w:tcW w:w="4692" w:type="dxa"/>
                                  <w:tcBorders/>
                                  <w:shd w:fill="auto" w:val="clear"/>
                                </w:tcPr>
                                <w:p>
                                  <w:pPr>
                                    <w:pStyle w:val="TableContents"/>
                                    <w:spacing w:before="0" w:after="283"/>
                                    <w:jc w:val="left"/>
                                    <w:rPr/>
                                  </w:pPr>
                                  <w:r>
                                    <w:rPr/>
                                    <w:t xml:space="preserve">Evaluating and overseeing risk in our compensation programs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1.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Reviewing and approving corporate goals and objectives relevant to the Chief Executive Officers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Evaluating our Chief Executive Officers performance in light of those goals and objectives and determining and approving (and recommending for ratification by the board acting solely through the independent directors) his or her compensation level based on the committees performance evaluation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Determining and approving (and periodically reviewing with the board) other executive officer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Making recommendations to the board with respect to incentive compensation plans and equity-based plans that are subject to board approval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58"/>
                        <w:gridCol w:w="48"/>
                        <w:gridCol w:w="4692"/>
                      </w:tblGrid>
                      <w:tr>
                        <w:trPr/>
                        <w:tc>
                          <w:tcPr>
                            <w:tcW w:w="158" w:type="dxa"/>
                            <w:tcBorders/>
                            <w:shd w:fill="auto" w:val="clear"/>
                          </w:tcPr>
                          <w:p>
                            <w:pPr>
                              <w:pStyle w:val="TableContents"/>
                              <w:spacing w:before="0" w:after="283"/>
                              <w:jc w:val="left"/>
                              <w:rPr>
                                <w:color w:val="001C71"/>
                              </w:rPr>
                            </w:pPr>
                            <w:r>
                              <w:rPr>
                                <w:color w:val="001C71"/>
                              </w:rPr>
                              <w:t></w:t>
                            </w:r>
                          </w:p>
                        </w:tc>
                        <w:tc>
                          <w:tcPr>
                            <w:tcW w:w="48" w:type="dxa"/>
                            <w:tcBorders/>
                            <w:shd w:fill="auto" w:val="clear"/>
                          </w:tcPr>
                          <w:p>
                            <w:pPr>
                              <w:pStyle w:val="TableContents"/>
                              <w:spacing w:before="0" w:after="283"/>
                              <w:rPr/>
                            </w:pPr>
                            <w:r>
                              <w:rPr/>
                              <w:t> </w:t>
                            </w:r>
                          </w:p>
                        </w:tc>
                        <w:tc>
                          <w:tcPr>
                            <w:tcW w:w="4692" w:type="dxa"/>
                            <w:tcBorders/>
                            <w:shd w:fill="auto" w:val="clear"/>
                          </w:tcPr>
                          <w:p>
                            <w:pPr>
                              <w:pStyle w:val="TableContents"/>
                              <w:spacing w:before="0" w:after="283"/>
                              <w:jc w:val="left"/>
                              <w:rPr/>
                            </w:pPr>
                            <w:r>
                              <w:rPr/>
                              <w:t xml:space="preserve">Evaluating and overseeing risk in our compensation programs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75000" cy="4749800"/>
                <wp:effectExtent l="0" t="0" r="0" b="0"/>
                <wp:wrapSquare wrapText="largest"/>
                <wp:docPr id="47" name="Frame12"/>
                <a:graphic xmlns:a="http://schemas.openxmlformats.org/drawingml/2006/main">
                  <a:graphicData uri="http://schemas.microsoft.com/office/word/2010/wordprocessingShape">
                    <wps:wsp>
                      <wps:cNvSpPr txBox="1"/>
                      <wps:spPr>
                        <a:xfrm>
                          <a:off x="0" y="0"/>
                          <a:ext cx="3175000" cy="4749800"/>
                        </a:xfrm>
                        <a:prstGeom prst="rect"/>
                      </wps:spPr>
                      <wps:txbx>
                        <w:txbxContent>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Reviewing and discussing the Compensation Discussion and Analysis required to be included in the companys proxy statement and Annual Report on Form 10-K (Form 10-K) with management and determining whether to recommend to the board that such disclosure be so included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Producing the report included in this proxy statement under Compensation and Talent Development Committee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Reporting to the board annually on succession planning together with the Chairman of the Board and Lead Independent Director, including on principles for executive officer selection, and reviewing reports on the corporations human capital management policies, initiatives and outcomes, including efforts to build a more diverse and inclusive workplace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48"/>
                              <w:gridCol w:w="74"/>
                              <w:gridCol w:w="4678"/>
                            </w:tblGrid>
                            <w:tr>
                              <w:trPr/>
                              <w:tc>
                                <w:tcPr>
                                  <w:tcW w:w="248" w:type="dxa"/>
                                  <w:tcBorders/>
                                  <w:shd w:fill="auto" w:val="clear"/>
                                </w:tcPr>
                                <w:p>
                                  <w:pPr>
                                    <w:pStyle w:val="TableContents"/>
                                    <w:spacing w:before="0" w:after="283"/>
                                    <w:jc w:val="left"/>
                                    <w:rPr>
                                      <w:color w:val="001C71"/>
                                    </w:rPr>
                                  </w:pPr>
                                  <w:r>
                                    <w:rPr>
                                      <w:color w:val="001C71"/>
                                    </w:rPr>
                                    <w:t></w:t>
                                  </w:r>
                                </w:p>
                              </w:tc>
                              <w:tc>
                                <w:tcPr>
                                  <w:tcW w:w="74" w:type="dxa"/>
                                  <w:tcBorders/>
                                  <w:shd w:fill="auto" w:val="clear"/>
                                </w:tcPr>
                                <w:p>
                                  <w:pPr>
                                    <w:pStyle w:val="TableContents"/>
                                    <w:spacing w:before="0" w:after="283"/>
                                    <w:rPr/>
                                  </w:pPr>
                                  <w:r>
                                    <w:rPr/>
                                    <w:t> </w:t>
                                  </w:r>
                                </w:p>
                              </w:tc>
                              <w:tc>
                                <w:tcPr>
                                  <w:tcW w:w="4678" w:type="dxa"/>
                                  <w:tcBorders/>
                                  <w:shd w:fill="auto" w:val="clear"/>
                                </w:tcPr>
                                <w:p>
                                  <w:pPr>
                                    <w:pStyle w:val="TableContents"/>
                                    <w:spacing w:before="0" w:after="283"/>
                                    <w:jc w:val="left"/>
                                    <w:rPr/>
                                  </w:pPr>
                                  <w:r>
                                    <w:rPr/>
                                    <w:t xml:space="preserve">Overseeing benefit plans and programs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4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Reviewing and discussing the Compensation Discussion and Analysis required to be included in the companys proxy statement and Annual Report on Form 10-K (Form 10-K) with management and determining whether to recommend to the board that such disclosure be so included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Producing the report included in this proxy statement under Compensation and Talent Development Committee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Reporting to the board annually on succession planning together with the Chairman of the Board and Lead Independent Director, including on principles for executive officer selection, and reviewing reports on the corporations human capital management policies, initiatives and outcomes, including efforts to build a more diverse and inclusive workplace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48"/>
                        <w:gridCol w:w="74"/>
                        <w:gridCol w:w="4678"/>
                      </w:tblGrid>
                      <w:tr>
                        <w:trPr/>
                        <w:tc>
                          <w:tcPr>
                            <w:tcW w:w="248" w:type="dxa"/>
                            <w:tcBorders/>
                            <w:shd w:fill="auto" w:val="clear"/>
                          </w:tcPr>
                          <w:p>
                            <w:pPr>
                              <w:pStyle w:val="TableContents"/>
                              <w:spacing w:before="0" w:after="283"/>
                              <w:jc w:val="left"/>
                              <w:rPr>
                                <w:color w:val="001C71"/>
                              </w:rPr>
                            </w:pPr>
                            <w:r>
                              <w:rPr>
                                <w:color w:val="001C71"/>
                              </w:rPr>
                              <w:t></w:t>
                            </w:r>
                          </w:p>
                        </w:tc>
                        <w:tc>
                          <w:tcPr>
                            <w:tcW w:w="74" w:type="dxa"/>
                            <w:tcBorders/>
                            <w:shd w:fill="auto" w:val="clear"/>
                          </w:tcPr>
                          <w:p>
                            <w:pPr>
                              <w:pStyle w:val="TableContents"/>
                              <w:spacing w:before="0" w:after="283"/>
                              <w:rPr/>
                            </w:pPr>
                            <w:r>
                              <w:rPr/>
                              <w:t> </w:t>
                            </w:r>
                          </w:p>
                        </w:tc>
                        <w:tc>
                          <w:tcPr>
                            <w:tcW w:w="4678" w:type="dxa"/>
                            <w:tcBorders/>
                            <w:shd w:fill="auto" w:val="clear"/>
                          </w:tcPr>
                          <w:p>
                            <w:pPr>
                              <w:pStyle w:val="TableContents"/>
                              <w:spacing w:before="0" w:after="283"/>
                              <w:jc w:val="left"/>
                              <w:rPr/>
                            </w:pPr>
                            <w:r>
                              <w:rPr/>
                              <w:t xml:space="preserve">Overseeing benefit plans and programs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During 2020, the Compensation and Talent Development Committee held six meetings.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17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Corporate Governance Committee </w:t>
      </w:r>
    </w:p>
    <w:p>
      <w:pPr>
        <w:pStyle w:val="TextBody"/>
        <w:pBdr>
          <w:bottom w:val="single" w:sz="2" w:space="1" w:color="001C71"/>
        </w:pBdr>
        <w:spacing w:lineRule="atLeast" w:line="180" w:before="0" w:after="40"/>
        <w:jc w:val="left"/>
        <w:rPr/>
      </w:pPr>
      <w:r>
        <w:rPr/>
        <w:t> </w:t>
      </w:r>
    </w:p>
    <w:p>
      <w:pPr>
        <w:pStyle w:val="TextBody"/>
        <w:spacing w:before="0" w:after="0"/>
        <w:jc w:val="left"/>
        <w:rPr/>
      </w:pPr>
      <w:r>
        <w:rPr/>
        <w:t> </w:t>
      </w:r>
    </w:p>
    <w:p>
      <w:pPr>
        <w:pStyle w:val="TextBody"/>
        <w:spacing w:before="40" w:after="0"/>
        <w:jc w:val="left"/>
        <w:rPr>
          <w:rFonts w:ascii="arial" w:hAnsi="arial"/>
          <w:sz w:val="16"/>
        </w:rPr>
      </w:pPr>
      <w:r>
        <w:rPr>
          <w:rFonts w:ascii="arial" w:hAnsi="arial"/>
          <w:sz w:val="16"/>
        </w:rPr>
        <w:t xml:space="preserve">Our Corporate Governance Committee currently is, and at all times in 2020 was, entirely composed of independent directors under the independence standards established by the NYSE. The committees responsibilities include, among others: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10230" cy="2466975"/>
                <wp:effectExtent l="0" t="0" r="0" b="0"/>
                <wp:wrapSquare wrapText="largest"/>
                <wp:docPr id="48" name="Frame13"/>
                <a:graphic xmlns:a="http://schemas.openxmlformats.org/drawingml/2006/main">
                  <a:graphicData uri="http://schemas.microsoft.com/office/word/2010/wordprocessingShape">
                    <wps:wsp>
                      <wps:cNvSpPr txBox="1"/>
                      <wps:spPr>
                        <a:xfrm>
                          <a:off x="0" y="0"/>
                          <a:ext cx="3110230" cy="2466975"/>
                        </a:xfrm>
                        <a:prstGeom prst="rect"/>
                      </wps:spPr>
                      <wps:txbx>
                        <w:txbxContent>
                          <w:tbl>
                            <w:tblPr>
                              <w:tblW w:w="5000" w:type="pct"/>
                              <w:jc w:val="left"/>
                              <w:tblInd w:w="0" w:type="dxa"/>
                              <w:tblCellMar>
                                <w:top w:w="0" w:type="dxa"/>
                                <w:left w:w="0" w:type="dxa"/>
                                <w:bottom w:w="0" w:type="dxa"/>
                                <w:right w:w="0" w:type="dxa"/>
                              </w:tblCellMar>
                            </w:tblPr>
                            <w:tblGrid>
                              <w:gridCol w:w="101"/>
                              <w:gridCol w:w="31"/>
                              <w:gridCol w:w="4766"/>
                            </w:tblGrid>
                            <w:tr>
                              <w:trPr/>
                              <w:tc>
                                <w:tcPr>
                                  <w:tcW w:w="101" w:type="dxa"/>
                                  <w:tcBorders/>
                                  <w:shd w:fill="auto" w:val="clear"/>
                                </w:tcPr>
                                <w:p>
                                  <w:pPr>
                                    <w:pStyle w:val="TableContents"/>
                                    <w:spacing w:before="0" w:after="283"/>
                                    <w:jc w:val="left"/>
                                    <w:rPr>
                                      <w:color w:val="001C71"/>
                                    </w:rPr>
                                  </w:pPr>
                                  <w:r>
                                    <w:rPr>
                                      <w:color w:val="001C71"/>
                                    </w:rPr>
                                    <w:t></w:t>
                                  </w:r>
                                </w:p>
                              </w:tc>
                              <w:tc>
                                <w:tcPr>
                                  <w:tcW w:w="31" w:type="dxa"/>
                                  <w:tcBorders/>
                                  <w:shd w:fill="auto" w:val="clear"/>
                                </w:tcPr>
                                <w:p>
                                  <w:pPr>
                                    <w:pStyle w:val="TableContents"/>
                                    <w:spacing w:before="0" w:after="283"/>
                                    <w:rPr/>
                                  </w:pPr>
                                  <w:r>
                                    <w:rPr/>
                                    <w:t> </w:t>
                                  </w:r>
                                </w:p>
                              </w:tc>
                              <w:tc>
                                <w:tcPr>
                                  <w:tcW w:w="4766" w:type="dxa"/>
                                  <w:tcBorders/>
                                  <w:shd w:fill="auto" w:val="clear"/>
                                </w:tcPr>
                                <w:p>
                                  <w:pPr>
                                    <w:pStyle w:val="TableContents"/>
                                    <w:spacing w:before="0" w:after="283"/>
                                    <w:jc w:val="left"/>
                                    <w:rPr/>
                                  </w:pPr>
                                  <w:r>
                                    <w:rPr/>
                                    <w:t xml:space="preserve">Identifying individuals qualified to become directors consistent with criteria approved by the board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Recommending to the board nominees to stand for election as directors and candidates to fill board vacancies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2"/>
                              <w:gridCol w:w="52"/>
                              <w:gridCol w:w="4674"/>
                            </w:tblGrid>
                            <w:tr>
                              <w:trPr/>
                              <w:tc>
                                <w:tcPr>
                                  <w:tcW w:w="172" w:type="dxa"/>
                                  <w:tcBorders/>
                                  <w:shd w:fill="auto" w:val="clear"/>
                                </w:tcPr>
                                <w:p>
                                  <w:pPr>
                                    <w:pStyle w:val="TableContents"/>
                                    <w:spacing w:before="0" w:after="283"/>
                                    <w:jc w:val="left"/>
                                    <w:rPr>
                                      <w:color w:val="001C71"/>
                                    </w:rPr>
                                  </w:pPr>
                                  <w:r>
                                    <w:rPr>
                                      <w:color w:val="001C71"/>
                                    </w:rPr>
                                    <w:t></w:t>
                                  </w:r>
                                </w:p>
                              </w:tc>
                              <w:tc>
                                <w:tcPr>
                                  <w:tcW w:w="52" w:type="dxa"/>
                                  <w:tcBorders/>
                                  <w:shd w:fill="auto" w:val="clear"/>
                                </w:tcPr>
                                <w:p>
                                  <w:pPr>
                                    <w:pStyle w:val="TableContents"/>
                                    <w:spacing w:before="0" w:after="283"/>
                                    <w:rPr/>
                                  </w:pPr>
                                  <w:r>
                                    <w:rPr/>
                                    <w:t> </w:t>
                                  </w:r>
                                </w:p>
                              </w:tc>
                              <w:tc>
                                <w:tcPr>
                                  <w:tcW w:w="4674" w:type="dxa"/>
                                  <w:tcBorders/>
                                  <w:shd w:fill="auto" w:val="clear"/>
                                </w:tcPr>
                                <w:p>
                                  <w:pPr>
                                    <w:pStyle w:val="TableContents"/>
                                    <w:spacing w:before="0" w:after="283"/>
                                    <w:jc w:val="left"/>
                                    <w:rPr/>
                                  </w:pPr>
                                  <w:r>
                                    <w:rPr/>
                                    <w:t xml:space="preserve">Overseeing the evaluation of the board and management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4.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101"/>
                        <w:gridCol w:w="31"/>
                        <w:gridCol w:w="4766"/>
                      </w:tblGrid>
                      <w:tr>
                        <w:trPr/>
                        <w:tc>
                          <w:tcPr>
                            <w:tcW w:w="101" w:type="dxa"/>
                            <w:tcBorders/>
                            <w:shd w:fill="auto" w:val="clear"/>
                          </w:tcPr>
                          <w:p>
                            <w:pPr>
                              <w:pStyle w:val="TableContents"/>
                              <w:spacing w:before="0" w:after="283"/>
                              <w:jc w:val="left"/>
                              <w:rPr>
                                <w:color w:val="001C71"/>
                              </w:rPr>
                            </w:pPr>
                            <w:r>
                              <w:rPr>
                                <w:color w:val="001C71"/>
                              </w:rPr>
                              <w:t></w:t>
                            </w:r>
                          </w:p>
                        </w:tc>
                        <w:tc>
                          <w:tcPr>
                            <w:tcW w:w="31" w:type="dxa"/>
                            <w:tcBorders/>
                            <w:shd w:fill="auto" w:val="clear"/>
                          </w:tcPr>
                          <w:p>
                            <w:pPr>
                              <w:pStyle w:val="TableContents"/>
                              <w:spacing w:before="0" w:after="283"/>
                              <w:rPr/>
                            </w:pPr>
                            <w:r>
                              <w:rPr/>
                              <w:t> </w:t>
                            </w:r>
                          </w:p>
                        </w:tc>
                        <w:tc>
                          <w:tcPr>
                            <w:tcW w:w="4766" w:type="dxa"/>
                            <w:tcBorders/>
                            <w:shd w:fill="auto" w:val="clear"/>
                          </w:tcPr>
                          <w:p>
                            <w:pPr>
                              <w:pStyle w:val="TableContents"/>
                              <w:spacing w:before="0" w:after="283"/>
                              <w:jc w:val="left"/>
                              <w:rPr/>
                            </w:pPr>
                            <w:r>
                              <w:rPr/>
                              <w:t xml:space="preserve">Identifying individuals qualified to become directors consistent with criteria approved by the board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Recommending to the board nominees to stand for election as directors and candidates to fill board vacancies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2"/>
                        <w:gridCol w:w="52"/>
                        <w:gridCol w:w="4674"/>
                      </w:tblGrid>
                      <w:tr>
                        <w:trPr/>
                        <w:tc>
                          <w:tcPr>
                            <w:tcW w:w="172" w:type="dxa"/>
                            <w:tcBorders/>
                            <w:shd w:fill="auto" w:val="clear"/>
                          </w:tcPr>
                          <w:p>
                            <w:pPr>
                              <w:pStyle w:val="TableContents"/>
                              <w:spacing w:before="0" w:after="283"/>
                              <w:jc w:val="left"/>
                              <w:rPr>
                                <w:color w:val="001C71"/>
                              </w:rPr>
                            </w:pPr>
                            <w:r>
                              <w:rPr>
                                <w:color w:val="001C71"/>
                              </w:rPr>
                              <w:t></w:t>
                            </w:r>
                          </w:p>
                        </w:tc>
                        <w:tc>
                          <w:tcPr>
                            <w:tcW w:w="52" w:type="dxa"/>
                            <w:tcBorders/>
                            <w:shd w:fill="auto" w:val="clear"/>
                          </w:tcPr>
                          <w:p>
                            <w:pPr>
                              <w:pStyle w:val="TableContents"/>
                              <w:spacing w:before="0" w:after="283"/>
                              <w:rPr/>
                            </w:pPr>
                            <w:r>
                              <w:rPr/>
                              <w:t> </w:t>
                            </w:r>
                          </w:p>
                        </w:tc>
                        <w:tc>
                          <w:tcPr>
                            <w:tcW w:w="4674" w:type="dxa"/>
                            <w:tcBorders/>
                            <w:shd w:fill="auto" w:val="clear"/>
                          </w:tcPr>
                          <w:p>
                            <w:pPr>
                              <w:pStyle w:val="TableContents"/>
                              <w:spacing w:before="0" w:after="283"/>
                              <w:jc w:val="left"/>
                              <w:rPr/>
                            </w:pPr>
                            <w:r>
                              <w:rPr/>
                              <w:t xml:space="preserve">Overseeing the evaluation of the board and management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175000" cy="1410970"/>
                <wp:effectExtent l="0" t="0" r="0" b="0"/>
                <wp:wrapSquare wrapText="largest"/>
                <wp:docPr id="49" name="Frame14"/>
                <a:graphic xmlns:a="http://schemas.openxmlformats.org/drawingml/2006/main">
                  <a:graphicData uri="http://schemas.microsoft.com/office/word/2010/wordprocessingShape">
                    <wps:wsp>
                      <wps:cNvSpPr txBox="1"/>
                      <wps:spPr>
                        <a:xfrm>
                          <a:off x="0" y="0"/>
                          <a:ext cx="3175000" cy="1410970"/>
                        </a:xfrm>
                        <a:prstGeom prst="rect"/>
                      </wps:spPr>
                      <wps:txbx>
                        <w:txbxContent>
                          <w:tbl>
                            <w:tblPr>
                              <w:tblW w:w="5000" w:type="pct"/>
                              <w:jc w:val="left"/>
                              <w:tblInd w:w="0" w:type="dxa"/>
                              <w:tblCellMar>
                                <w:top w:w="0" w:type="dxa"/>
                                <w:left w:w="0" w:type="dxa"/>
                                <w:bottom w:w="0" w:type="dxa"/>
                                <w:right w:w="0" w:type="dxa"/>
                              </w:tblCellMar>
                            </w:tblPr>
                            <w:tblGrid>
                              <w:gridCol w:w="115"/>
                              <w:gridCol w:w="34"/>
                              <w:gridCol w:w="4851"/>
                            </w:tblGrid>
                            <w:tr>
                              <w:trPr/>
                              <w:tc>
                                <w:tcPr>
                                  <w:tcW w:w="115" w:type="dxa"/>
                                  <w:tcBorders/>
                                  <w:shd w:fill="auto" w:val="clear"/>
                                </w:tcPr>
                                <w:p>
                                  <w:pPr>
                                    <w:pStyle w:val="TableContents"/>
                                    <w:spacing w:before="0" w:after="283"/>
                                    <w:jc w:val="left"/>
                                    <w:rPr>
                                      <w:color w:val="001C71"/>
                                    </w:rPr>
                                  </w:pPr>
                                  <w:r>
                                    <w:rPr>
                                      <w:color w:val="001C71"/>
                                    </w:rPr>
                                    <w:t></w:t>
                                  </w:r>
                                </w:p>
                              </w:tc>
                              <w:tc>
                                <w:tcPr>
                                  <w:tcW w:w="34" w:type="dxa"/>
                                  <w:tcBorders/>
                                  <w:shd w:fill="auto" w:val="clear"/>
                                </w:tcPr>
                                <w:p>
                                  <w:pPr>
                                    <w:pStyle w:val="TableContents"/>
                                    <w:spacing w:before="0" w:after="283"/>
                                    <w:rPr/>
                                  </w:pPr>
                                  <w:r>
                                    <w:rPr/>
                                    <w:t> </w:t>
                                  </w:r>
                                </w:p>
                              </w:tc>
                              <w:tc>
                                <w:tcPr>
                                  <w:tcW w:w="4851" w:type="dxa"/>
                                  <w:tcBorders/>
                                  <w:shd w:fill="auto" w:val="clear"/>
                                </w:tcPr>
                                <w:p>
                                  <w:pPr>
                                    <w:pStyle w:val="TableContents"/>
                                    <w:spacing w:before="0" w:after="283"/>
                                    <w:jc w:val="left"/>
                                    <w:rPr/>
                                  </w:pPr>
                                  <w:r>
                                    <w:rPr/>
                                    <w:t xml:space="preserve">Recommending directors for appointment by the board as members of board committees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1"/>
                              <w:gridCol w:w="39"/>
                              <w:gridCol w:w="4830"/>
                            </w:tblGrid>
                            <w:tr>
                              <w:trPr/>
                              <w:tc>
                                <w:tcPr>
                                  <w:tcW w:w="131" w:type="dxa"/>
                                  <w:tcBorders/>
                                  <w:shd w:fill="auto" w:val="clear"/>
                                </w:tcPr>
                                <w:p>
                                  <w:pPr>
                                    <w:pStyle w:val="TableContents"/>
                                    <w:spacing w:before="0" w:after="283"/>
                                    <w:jc w:val="left"/>
                                    <w:rPr>
                                      <w:color w:val="001C71"/>
                                    </w:rPr>
                                  </w:pPr>
                                  <w:r>
                                    <w:rPr>
                                      <w:color w:val="001C71"/>
                                    </w:rPr>
                                    <w:t></w:t>
                                  </w:r>
                                </w:p>
                              </w:tc>
                              <w:tc>
                                <w:tcPr>
                                  <w:tcW w:w="39" w:type="dxa"/>
                                  <w:tcBorders/>
                                  <w:shd w:fill="auto" w:val="clear"/>
                                </w:tcPr>
                                <w:p>
                                  <w:pPr>
                                    <w:pStyle w:val="TableContents"/>
                                    <w:spacing w:before="0" w:after="283"/>
                                    <w:rPr/>
                                  </w:pPr>
                                  <w:r>
                                    <w:rPr/>
                                    <w:t> </w:t>
                                  </w:r>
                                </w:p>
                              </w:tc>
                              <w:tc>
                                <w:tcPr>
                                  <w:tcW w:w="4830" w:type="dxa"/>
                                  <w:tcBorders/>
                                  <w:shd w:fill="auto" w:val="clear"/>
                                </w:tcPr>
                                <w:p>
                                  <w:pPr>
                                    <w:pStyle w:val="TableContents"/>
                                    <w:spacing w:before="0" w:after="283"/>
                                    <w:jc w:val="left"/>
                                    <w:rPr/>
                                  </w:pPr>
                                  <w:r>
                                    <w:rPr/>
                                    <w:t xml:space="preserve">Developing and recommending to the board corporate governance guidelines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1.1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115"/>
                        <w:gridCol w:w="34"/>
                        <w:gridCol w:w="4851"/>
                      </w:tblGrid>
                      <w:tr>
                        <w:trPr/>
                        <w:tc>
                          <w:tcPr>
                            <w:tcW w:w="115" w:type="dxa"/>
                            <w:tcBorders/>
                            <w:shd w:fill="auto" w:val="clear"/>
                          </w:tcPr>
                          <w:p>
                            <w:pPr>
                              <w:pStyle w:val="TableContents"/>
                              <w:spacing w:before="0" w:after="283"/>
                              <w:jc w:val="left"/>
                              <w:rPr>
                                <w:color w:val="001C71"/>
                              </w:rPr>
                            </w:pPr>
                            <w:r>
                              <w:rPr>
                                <w:color w:val="001C71"/>
                              </w:rPr>
                              <w:t></w:t>
                            </w:r>
                          </w:p>
                        </w:tc>
                        <w:tc>
                          <w:tcPr>
                            <w:tcW w:w="34" w:type="dxa"/>
                            <w:tcBorders/>
                            <w:shd w:fill="auto" w:val="clear"/>
                          </w:tcPr>
                          <w:p>
                            <w:pPr>
                              <w:pStyle w:val="TableContents"/>
                              <w:spacing w:before="0" w:after="283"/>
                              <w:rPr/>
                            </w:pPr>
                            <w:r>
                              <w:rPr/>
                              <w:t> </w:t>
                            </w:r>
                          </w:p>
                        </w:tc>
                        <w:tc>
                          <w:tcPr>
                            <w:tcW w:w="4851" w:type="dxa"/>
                            <w:tcBorders/>
                            <w:shd w:fill="auto" w:val="clear"/>
                          </w:tcPr>
                          <w:p>
                            <w:pPr>
                              <w:pStyle w:val="TableContents"/>
                              <w:spacing w:before="0" w:after="283"/>
                              <w:jc w:val="left"/>
                              <w:rPr/>
                            </w:pPr>
                            <w:r>
                              <w:rPr/>
                              <w:t xml:space="preserve">Recommending directors for appointment by the board as members of board committees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1"/>
                        <w:gridCol w:w="39"/>
                        <w:gridCol w:w="4830"/>
                      </w:tblGrid>
                      <w:tr>
                        <w:trPr/>
                        <w:tc>
                          <w:tcPr>
                            <w:tcW w:w="131" w:type="dxa"/>
                            <w:tcBorders/>
                            <w:shd w:fill="auto" w:val="clear"/>
                          </w:tcPr>
                          <w:p>
                            <w:pPr>
                              <w:pStyle w:val="TableContents"/>
                              <w:spacing w:before="0" w:after="283"/>
                              <w:jc w:val="left"/>
                              <w:rPr>
                                <w:color w:val="001C71"/>
                              </w:rPr>
                            </w:pPr>
                            <w:r>
                              <w:rPr>
                                <w:color w:val="001C71"/>
                              </w:rPr>
                              <w:t></w:t>
                            </w:r>
                          </w:p>
                        </w:tc>
                        <w:tc>
                          <w:tcPr>
                            <w:tcW w:w="39" w:type="dxa"/>
                            <w:tcBorders/>
                            <w:shd w:fill="auto" w:val="clear"/>
                          </w:tcPr>
                          <w:p>
                            <w:pPr>
                              <w:pStyle w:val="TableContents"/>
                              <w:spacing w:before="0" w:after="283"/>
                              <w:rPr/>
                            </w:pPr>
                            <w:r>
                              <w:rPr/>
                              <w:t> </w:t>
                            </w:r>
                          </w:p>
                        </w:tc>
                        <w:tc>
                          <w:tcPr>
                            <w:tcW w:w="4830" w:type="dxa"/>
                            <w:tcBorders/>
                            <w:shd w:fill="auto" w:val="clear"/>
                          </w:tcPr>
                          <w:p>
                            <w:pPr>
                              <w:pStyle w:val="TableContents"/>
                              <w:spacing w:before="0" w:after="283"/>
                              <w:jc w:val="left"/>
                              <w:rPr/>
                            </w:pPr>
                            <w:r>
                              <w:rPr/>
                              <w:t xml:space="preserve">Developing and recommending to the board corporate governance guidelines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The committee reviews with the board the skills and characteristics required of directors in the context of current board membership and the needs of the board as a whole in light of the companys long-term business strategy. It seeks a group of individuals who bring to the board a variety of complementary skills and a range of viewpoints, backgrounds, experiences and other individual qualities and attributes that contribute to overall board diversity. It solicits the names of director candidates from a variety of sources, including members of the board and search firms. The committee also considers candidates submitted by shareholders pursuant to the process described in Question 33 under Information About 2022 Shareholder Proposals and Director Nominations below. The committee assesses the effectiveness of its policies as part of its annual review of board composition and board, committee and individual director performance and in its recommendations to the board of nominees to stand for election as directors at the next annual meeting of our shareholders. </w:t>
      </w:r>
    </w:p>
    <w:p>
      <w:pPr>
        <w:pStyle w:val="TextBody"/>
        <w:spacing w:before="160" w:after="0"/>
        <w:jc w:val="left"/>
        <w:rPr>
          <w:rFonts w:ascii="arial" w:hAnsi="arial"/>
          <w:sz w:val="16"/>
        </w:rPr>
      </w:pPr>
      <w:r>
        <w:rPr>
          <w:rFonts w:ascii="arial" w:hAnsi="arial"/>
          <w:sz w:val="16"/>
        </w:rPr>
        <w:t xml:space="preserve">The committee reviews biographical data and other relevant information regarding potential board candidates, may request additional information from the candidates or other sources and, if the committee deems it appropriate, may interview candidates and consult references and others who may assist in candidate evaluation. The committee evaluates all candidates in the same manner, whether identified by shareholders or through other sources. </w:t>
      </w:r>
    </w:p>
    <w:p>
      <w:pPr>
        <w:pStyle w:val="TextBody"/>
        <w:spacing w:before="160" w:after="0"/>
        <w:jc w:val="left"/>
        <w:rPr>
          <w:rFonts w:ascii="arial" w:hAnsi="arial"/>
          <w:sz w:val="16"/>
        </w:rPr>
      </w:pPr>
      <w:r>
        <w:rPr>
          <w:rFonts w:ascii="arial" w:hAnsi="arial"/>
          <w:sz w:val="16"/>
        </w:rPr>
        <w:t xml:space="preserve">In considering potential director candidates, the committee evaluates each candidates character, integrity, independence, judgment, knowledge, experience, background and other relevant factors to develop an informed opinion of his or her qualifications and ability and dedication to meet the boards expectations for directors as set forth in our Corporate Governance Guidelines. The committees deliberations reflect the boards requirement that substantially all directors must be independent and that all director nominees must be financially literate or must become financially literate within a reasonable time after becoming a director. They also reflect the boards views regarding the appropriate number of directors and the composition of the board, including its belief that the membership of the board should reflect diversity and be drawn from a pool of diverse, qualified candidates. </w:t>
      </w:r>
    </w:p>
    <w:p>
      <w:pPr>
        <w:pStyle w:val="TextBody"/>
        <w:spacing w:before="160" w:after="0"/>
        <w:jc w:val="left"/>
        <w:rPr>
          <w:rFonts w:ascii="arial" w:hAnsi="arial"/>
          <w:sz w:val="16"/>
        </w:rPr>
      </w:pPr>
      <w:r>
        <w:rPr>
          <w:rFonts w:ascii="arial" w:hAnsi="arial"/>
          <w:sz w:val="16"/>
        </w:rPr>
        <w:t xml:space="preserve">The committee, in recommending nominees to stand for election as directors at the Annual Shareholders Meeting, and the board, in approving the nominees, considered the individual experience, background, qualifications, attributes and skills of each nominee (including his or her prior contributions to the board), with a view toward constituting a board that, as a whole, is well-qualified to oversee our businesses. </w:t>
      </w:r>
    </w:p>
    <w:p>
      <w:pPr>
        <w:pStyle w:val="TextBody"/>
        <w:spacing w:before="160" w:after="0"/>
        <w:jc w:val="left"/>
        <w:rPr>
          <w:rFonts w:ascii="arial" w:hAnsi="arial"/>
          <w:sz w:val="16"/>
        </w:rPr>
      </w:pPr>
      <w:r>
        <w:rPr>
          <w:rFonts w:ascii="arial" w:hAnsi="arial"/>
          <w:sz w:val="16"/>
        </w:rPr>
        <w:t xml:space="preserve">With respect to Dr. Conesa, the committee and the board also considered that he has been the Chief Executive Officer and a director of Grupo Aeroméxico S.A.B. de C.V. since 2005 and that Grupo Aeroméxico filed a voluntary petition under Chapter 11 of the U.S. federal bankruptcy laws on June 30, 2020. The committee and the board concluded that this event does not reflect upon the integrity of Dr. Conesa or his ability and qualifications to serve on our board, but was a direct result of the unprecedented global COVID-19 pandemic that resulted in domestic and international travel restrictions and severely impacted the air travel industry. </w:t>
      </w:r>
    </w:p>
    <w:p>
      <w:pPr>
        <w:pStyle w:val="TextBody"/>
        <w:spacing w:before="160" w:after="0"/>
        <w:jc w:val="left"/>
        <w:rPr>
          <w:rFonts w:ascii="arial" w:hAnsi="arial"/>
          <w:sz w:val="16"/>
        </w:rPr>
      </w:pPr>
      <w:r>
        <w:rPr>
          <w:rFonts w:ascii="arial" w:hAnsi="arial"/>
          <w:sz w:val="16"/>
        </w:rPr>
        <w:t xml:space="preserve">For additional information about the nominees and their qualifications, please see Proposal 1: Election of Directors. </w:t>
      </w:r>
    </w:p>
    <w:p>
      <w:pPr>
        <w:pStyle w:val="TextBody"/>
        <w:spacing w:before="160" w:after="0"/>
        <w:jc w:val="left"/>
        <w:rPr>
          <w:rFonts w:ascii="arial" w:hAnsi="arial"/>
          <w:sz w:val="16"/>
        </w:rPr>
      </w:pPr>
      <w:r>
        <w:rPr>
          <w:rFonts w:ascii="arial" w:hAnsi="arial"/>
          <w:sz w:val="16"/>
        </w:rPr>
        <w:t xml:space="preserve">During 2020, the Corporate Governance Committee held six meetings.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18</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Safety, Sustainability and Technology Committee </w:t>
      </w:r>
    </w:p>
    <w:p>
      <w:pPr>
        <w:pStyle w:val="TextBody"/>
        <w:pBdr>
          <w:bottom w:val="single" w:sz="2" w:space="1" w:color="001C71"/>
        </w:pBdr>
        <w:spacing w:lineRule="atLeast" w:line="180" w:before="0" w:after="40"/>
        <w:jc w:val="left"/>
        <w:rPr/>
      </w:pPr>
      <w:r>
        <w:rPr/>
        <w:t> </w:t>
      </w:r>
    </w:p>
    <w:p>
      <w:pPr>
        <w:pStyle w:val="TextBody"/>
        <w:spacing w:before="0" w:after="0"/>
        <w:jc w:val="left"/>
        <w:rPr/>
      </w:pPr>
      <w:r>
        <w:rPr/>
        <w:t> </w:t>
      </w:r>
    </w:p>
    <w:p>
      <w:pPr>
        <w:pStyle w:val="TextBody"/>
        <w:spacing w:before="40" w:after="0"/>
        <w:jc w:val="left"/>
        <w:rPr>
          <w:rFonts w:ascii="arial" w:hAnsi="arial"/>
          <w:sz w:val="16"/>
        </w:rPr>
      </w:pPr>
      <w:r>
        <w:rPr>
          <w:rFonts w:ascii="arial" w:hAnsi="arial"/>
          <w:sz w:val="16"/>
        </w:rPr>
        <w:t xml:space="preserve">Our Safety, Sustainability and Technology Committee (formerly named the Environmental, Health, Safety and Technology Committee) is responsible for, among other things, assisting the board: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110230" cy="2988310"/>
                <wp:effectExtent l="0" t="0" r="0" b="0"/>
                <wp:wrapSquare wrapText="largest"/>
                <wp:docPr id="50" name="Frame15"/>
                <a:graphic xmlns:a="http://schemas.openxmlformats.org/drawingml/2006/main">
                  <a:graphicData uri="http://schemas.microsoft.com/office/word/2010/wordprocessingShape">
                    <wps:wsp>
                      <wps:cNvSpPr txBox="1"/>
                      <wps:spPr>
                        <a:xfrm>
                          <a:off x="0" y="0"/>
                          <a:ext cx="3110230" cy="2988310"/>
                        </a:xfrm>
                        <a:prstGeom prst="rect"/>
                      </wps:spPr>
                      <wps:txbx>
                        <w:txbxContent>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In overseeing the companys risk management and oversight programs and performance related to environmental, health, safety, security (including cybersecurity), technology, climate change, sustainability and other related ESG matters affecting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On matters relating to environmental, health and safety laws, regulations and other ESG developments at the global, national, regional and local levels and evaluating ways to address these matters as part of the companys immediate and longer-term business strategies and operations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5.3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In overseeing the companys risk management and oversight programs and performance related to environmental, health, safety, security (including cybersecurity), technology, climate change, sustainability and other related ESG matters affecting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color w:val="001C71"/>
                              </w:rPr>
                            </w:pPr>
                            <w:r>
                              <w:rPr>
                                <w:color w:val="001C71"/>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pPr>
                            <w:r>
                              <w:rPr/>
                              <w:t xml:space="preserve">On matters relating to environmental, health and safety laws, regulations and other ESG developments at the global, national, regional and local levels and evaluating ways to address these matters as part of the companys immediate and longer-term business strategies and operations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175000" cy="3338830"/>
                <wp:effectExtent l="0" t="0" r="0" b="0"/>
                <wp:wrapSquare wrapText="largest"/>
                <wp:docPr id="51" name="Frame16"/>
                <a:graphic xmlns:a="http://schemas.openxmlformats.org/drawingml/2006/main">
                  <a:graphicData uri="http://schemas.microsoft.com/office/word/2010/wordprocessingShape">
                    <wps:wsp>
                      <wps:cNvSpPr txBox="1"/>
                      <wps:spPr>
                        <a:xfrm>
                          <a:off x="0" y="0"/>
                          <a:ext cx="3175000" cy="3338830"/>
                        </a:xfrm>
                        <a:prstGeom prst="rect"/>
                      </wps:spPr>
                      <wps:txbx>
                        <w:txbxContent>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In reviewing managements implementation of risk management protocols with respect to cybersecurity issues, and overseeing matters relating to technology developments that advance the companys environmental, health, safety, security (including cybersecurity), climate change, sustainability and other related ESG goals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In reviewing with management and, where appropriate, making recommendations to management and the Board of Directors regarding the companys policies, practices and strategies with respect to environmental, health, safety, security (including cybersecurity), technology, climate change, sustainability and other related ESG matters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2.9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In reviewing managements implementation of risk management protocols with respect to cybersecurity issues, and overseeing matters relating to technology developments that advance the companys environmental, health, safety, security (including cybersecurity), climate change, sustainability and other related ESG goals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
                        <w:gridCol w:w="30"/>
                        <w:gridCol w:w="4873"/>
                      </w:tblGrid>
                      <w:tr>
                        <w:trPr/>
                        <w:tc>
                          <w:tcPr>
                            <w:tcW w:w="97" w:type="dxa"/>
                            <w:tcBorders/>
                            <w:shd w:fill="auto" w:val="clear"/>
                          </w:tcPr>
                          <w:p>
                            <w:pPr>
                              <w:pStyle w:val="TableContents"/>
                              <w:spacing w:before="0" w:after="283"/>
                              <w:jc w:val="left"/>
                              <w:rPr>
                                <w:color w:val="001C71"/>
                              </w:rPr>
                            </w:pPr>
                            <w:r>
                              <w:rPr>
                                <w:color w:val="001C71"/>
                              </w:rPr>
                              <w:t></w:t>
                            </w:r>
                          </w:p>
                        </w:tc>
                        <w:tc>
                          <w:tcPr>
                            <w:tcW w:w="30" w:type="dxa"/>
                            <w:tcBorders/>
                            <w:shd w:fill="auto" w:val="clear"/>
                          </w:tcPr>
                          <w:p>
                            <w:pPr>
                              <w:pStyle w:val="TableContents"/>
                              <w:spacing w:before="0" w:after="283"/>
                              <w:rPr/>
                            </w:pPr>
                            <w:r>
                              <w:rPr/>
                              <w:t> </w:t>
                            </w:r>
                          </w:p>
                        </w:tc>
                        <w:tc>
                          <w:tcPr>
                            <w:tcW w:w="4873" w:type="dxa"/>
                            <w:tcBorders/>
                            <w:shd w:fill="auto" w:val="clear"/>
                          </w:tcPr>
                          <w:p>
                            <w:pPr>
                              <w:pStyle w:val="TableContents"/>
                              <w:spacing w:before="0" w:after="283"/>
                              <w:jc w:val="left"/>
                              <w:rPr/>
                            </w:pPr>
                            <w:r>
                              <w:rPr/>
                              <w:t xml:space="preserve">In reviewing with management and, where appropriate, making recommendations to management and the Board of Directors regarding the companys policies, practices and strategies with respect to environmental, health, safety, security (including cybersecurity), technology, climate change, sustainability and other related ESG matters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During 2020, the Safety, Sustainability and Technology Committee held five meetings. </w:t>
      </w:r>
    </w:p>
    <w:p>
      <w:pPr>
        <w:pStyle w:val="TextBody"/>
        <w:spacing w:before="360" w:after="0"/>
        <w:jc w:val="left"/>
        <w:rPr>
          <w:rFonts w:ascii="arial" w:hAnsi="arial"/>
          <w:sz w:val="28"/>
        </w:rPr>
      </w:pPr>
      <w:r>
        <w:rPr>
          <w:rFonts w:ascii="arial" w:hAnsi="arial"/>
          <w:sz w:val="28"/>
        </w:rPr>
        <w:t xml:space="preserve">Executive Committee </w:t>
      </w:r>
    </w:p>
    <w:p>
      <w:pPr>
        <w:pStyle w:val="TextBody"/>
        <w:pBdr>
          <w:bottom w:val="single" w:sz="2" w:space="1" w:color="001C71"/>
        </w:pBdr>
        <w:spacing w:lineRule="atLeast" w:line="180" w:before="0" w:after="40"/>
        <w:jc w:val="left"/>
        <w:rPr/>
      </w:pPr>
      <w:r>
        <w:rPr/>
        <w:t> </w:t>
      </w:r>
    </w:p>
    <w:p>
      <w:pPr>
        <w:pStyle w:val="TextBody"/>
        <w:spacing w:before="0" w:after="0"/>
        <w:jc w:val="left"/>
        <w:rPr/>
      </w:pPr>
      <w:r>
        <w:rPr/>
        <w:t> </w:t>
      </w:r>
    </w:p>
    <w:p>
      <w:pPr>
        <w:pStyle w:val="TextBody"/>
        <w:spacing w:before="40" w:after="0"/>
        <w:jc w:val="left"/>
        <w:rPr>
          <w:rFonts w:ascii="arial" w:hAnsi="arial"/>
          <w:sz w:val="16"/>
        </w:rPr>
      </w:pPr>
      <w:r>
        <w:rPr>
          <w:rFonts w:ascii="arial" w:hAnsi="arial"/>
          <w:sz w:val="16"/>
        </w:rPr>
        <w:t xml:space="preserve">Our Executive Committee meets on call by the Chairman of this committee to act on emergency or other time-sensitive issues during periods between meetings of the Board of Directors when scheduling or other requirements make it difficult to convene the full board. The Executive Committee did not meet in 2020. </w:t>
      </w:r>
    </w:p>
    <w:p>
      <w:pPr>
        <w:pStyle w:val="TextBody"/>
        <w:spacing w:before="480" w:after="0"/>
        <w:jc w:val="left"/>
        <w:rPr>
          <w:rFonts w:ascii="arial" w:hAnsi="arial"/>
          <w:b/>
          <w:sz w:val="35"/>
        </w:rPr>
      </w:pPr>
      <w:bookmarkStart w:id="8" w:name="toc108157_6"/>
      <w:bookmarkEnd w:id="8"/>
      <w:r>
        <w:rPr>
          <w:rFonts w:ascii="arial" w:hAnsi="arial"/>
          <w:b/>
          <w:sz w:val="35"/>
        </w:rPr>
        <w:t xml:space="preserve">Communications with the Board </w:t>
      </w:r>
    </w:p>
    <w:p>
      <w:pPr>
        <w:pStyle w:val="TextBody"/>
        <w:spacing w:before="360" w:after="0"/>
        <w:jc w:val="left"/>
        <w:rPr>
          <w:rFonts w:ascii="arial" w:hAnsi="arial"/>
          <w:sz w:val="16"/>
        </w:rPr>
      </w:pPr>
      <w:r>
        <w:rPr>
          <w:rFonts w:ascii="arial" w:hAnsi="arial"/>
          <w:sz w:val="16"/>
        </w:rPr>
        <w:t xml:space="preserve">The board has adopted a Director Communications Policy to facilitate communications with the companys Board of Directors, which is available on our website under the Investors and Governance tabs. Under this policy, shareholders, employees and other interested parties who wish to communicate with the board, non-employee directors as a group, a board committee, the Chair of a board committee or another specific director may do so by mail addressed to the board or the specific directors or group of directors and in care of our Corporate Secretary. All such communications regarding executive compensation will be relayed to the Compensation and Talent Development Committee Chair for appropriate evaluation and consideration. All such communications regarding accounting, accounting policies, internal accounting controls and procedures, auditing matters, financial reporting processes or disclosure controls and procedures will be relayed to the Audit Committee Chair. </w:t>
      </w:r>
    </w:p>
    <w:p>
      <w:pPr>
        <w:pStyle w:val="TextBody"/>
        <w:spacing w:before="160" w:after="0"/>
        <w:jc w:val="left"/>
        <w:rPr>
          <w:rFonts w:ascii="arial" w:hAnsi="arial"/>
          <w:sz w:val="16"/>
        </w:rPr>
      </w:pPr>
      <w:r>
        <w:rPr>
          <w:rFonts w:ascii="arial" w:hAnsi="arial"/>
          <w:sz w:val="16"/>
        </w:rPr>
        <w:t xml:space="preserve">All other communications are reviewed by the Corporate Secretary and provided to the directors consistent with a screening policy providing that unsolicited items, marketing or advertising materials and other routine items, as well as items unrelated to the duties and responsibilities of the board, are not relayed to directors. Any communication that is not relayed is recorded in a log and made available to the directors upon request. </w:t>
      </w:r>
    </w:p>
    <w:p>
      <w:pPr>
        <w:pStyle w:val="TextBody"/>
        <w:spacing w:before="160" w:after="0"/>
        <w:jc w:val="left"/>
        <w:rPr>
          <w:rFonts w:ascii="arial" w:hAnsi="arial"/>
          <w:sz w:val="16"/>
        </w:rPr>
      </w:pPr>
      <w:r>
        <w:rPr>
          <w:rFonts w:ascii="arial" w:hAnsi="arial"/>
          <w:sz w:val="16"/>
        </w:rPr>
        <w:t xml:space="preserve">The address to which communications to the Board should be sent is: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18"/>
        <w:gridCol w:w="101"/>
        <w:gridCol w:w="9186"/>
      </w:tblGrid>
      <w:tr>
        <w:trPr/>
        <w:tc>
          <w:tcPr>
            <w:tcW w:w="91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186" w:type="dxa"/>
            <w:tcBorders/>
            <w:shd w:fill="auto" w:val="clear"/>
            <w:vAlign w:val="center"/>
          </w:tcPr>
          <w:p>
            <w:pPr>
              <w:pStyle w:val="TableContents"/>
              <w:spacing w:before="0" w:after="283"/>
              <w:rPr>
                <w:sz w:val="4"/>
                <w:szCs w:val="4"/>
              </w:rPr>
            </w:pPr>
            <w:r>
              <w:rPr>
                <w:sz w:val="4"/>
                <w:szCs w:val="4"/>
              </w:rPr>
            </w:r>
          </w:p>
        </w:tc>
      </w:tr>
      <w:tr>
        <w:trPr/>
        <w:tc>
          <w:tcPr>
            <w:tcW w:w="918" w:type="dxa"/>
            <w:tcBorders/>
            <w:shd w:fill="auto" w:val="clear"/>
            <w:vAlign w:val="center"/>
          </w:tcPr>
          <w:p>
            <w:pPr>
              <w:pStyle w:val="TableContents"/>
              <w:spacing w:before="0" w:after="283"/>
              <w:jc w:val="center"/>
              <w:rPr/>
            </w:pPr>
            <w:r>
              <w:rPr/>
              <w:drawing>
                <wp:inline distT="0" distB="0" distL="0" distR="0">
                  <wp:extent cx="304800" cy="219075"/>
                  <wp:effectExtent l="0" t="0" r="0" b="0"/>
                  <wp:docPr id="5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6" descr=""/>
                          <pic:cNvPicPr>
                            <a:picLocks noChangeAspect="1" noChangeArrowheads="1"/>
                          </pic:cNvPicPr>
                        </pic:nvPicPr>
                        <pic:blipFill>
                          <a:blip r:embed="rId37"/>
                          <a:stretch>
                            <a:fillRect/>
                          </a:stretch>
                        </pic:blipFill>
                        <pic:spPr bwMode="auto">
                          <a:xfrm>
                            <a:off x="0" y="0"/>
                            <a:ext cx="304800" cy="219075"/>
                          </a:xfrm>
                          <a:prstGeom prst="rect">
                            <a:avLst/>
                          </a:prstGeom>
                        </pic:spPr>
                      </pic:pic>
                    </a:graphicData>
                  </a:graphic>
                </wp:inline>
              </w:drawing>
            </w:r>
            <w:r>
              <w:rPr/>
              <w:t xml:space="preserve"> </w:t>
            </w:r>
          </w:p>
        </w:tc>
        <w:tc>
          <w:tcPr>
            <w:tcW w:w="101"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0"/>
              <w:rPr>
                <w:rFonts w:ascii="arial" w:hAnsi="arial"/>
                <w:sz w:val="16"/>
              </w:rPr>
            </w:pPr>
            <w:r>
              <w:rPr>
                <w:rFonts w:ascii="arial" w:hAnsi="arial"/>
                <w:sz w:val="16"/>
              </w:rPr>
              <w:t>C/O Corporate Secretary</w:t>
            </w:r>
          </w:p>
          <w:p>
            <w:pPr>
              <w:pStyle w:val="TableContents"/>
              <w:spacing w:before="0" w:after="0"/>
              <w:rPr>
                <w:rFonts w:ascii="arial" w:hAnsi="arial"/>
                <w:sz w:val="16"/>
              </w:rPr>
            </w:pPr>
            <w:r>
              <w:rPr>
                <w:rFonts w:ascii="arial" w:hAnsi="arial"/>
                <w:sz w:val="16"/>
              </w:rPr>
              <w:t>Board of Directors</w:t>
            </w:r>
          </w:p>
          <w:p>
            <w:pPr>
              <w:pStyle w:val="TableContents"/>
              <w:spacing w:before="0" w:after="0"/>
              <w:rPr>
                <w:rFonts w:ascii="arial" w:hAnsi="arial"/>
                <w:sz w:val="16"/>
              </w:rPr>
            </w:pPr>
            <w:r>
              <w:rPr>
                <w:rFonts w:ascii="arial" w:hAnsi="arial"/>
                <w:sz w:val="16"/>
              </w:rPr>
              <w:t>Sempra Energy</w:t>
            </w:r>
          </w:p>
          <w:p>
            <w:pPr>
              <w:pStyle w:val="TableContents"/>
              <w:spacing w:before="0" w:after="0"/>
              <w:rPr>
                <w:rFonts w:ascii="arial" w:hAnsi="arial"/>
                <w:sz w:val="16"/>
              </w:rPr>
            </w:pPr>
            <w:r>
              <w:rPr>
                <w:rFonts w:ascii="arial" w:hAnsi="arial"/>
                <w:sz w:val="16"/>
              </w:rPr>
              <w:t>488 8th Avenue</w:t>
            </w:r>
          </w:p>
          <w:p>
            <w:pPr>
              <w:pStyle w:val="TableContents"/>
              <w:spacing w:before="0" w:after="20"/>
              <w:rPr>
                <w:rFonts w:ascii="arial" w:hAnsi="arial"/>
                <w:sz w:val="16"/>
              </w:rPr>
            </w:pPr>
            <w:r>
              <w:rPr>
                <w:rFonts w:ascii="arial" w:hAnsi="arial"/>
                <w:sz w:val="16"/>
              </w:rPr>
              <w:t>San Diego, CA 92101</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19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b/>
          <w:sz w:val="35"/>
        </w:rPr>
      </w:pPr>
      <w:bookmarkStart w:id="9" w:name="toc108157_7"/>
      <w:bookmarkEnd w:id="9"/>
      <w:r>
        <w:rPr>
          <w:rFonts w:ascii="arial" w:hAnsi="arial"/>
          <w:b/>
          <w:sz w:val="35"/>
        </w:rPr>
        <w:t xml:space="preserve">Director Compensation </w:t>
      </w:r>
    </w:p>
    <w:p>
      <w:pPr>
        <w:pStyle w:val="TextBody"/>
        <w:spacing w:before="360" w:after="0"/>
        <w:jc w:val="left"/>
        <w:rPr>
          <w:rFonts w:ascii="arial" w:hAnsi="arial"/>
          <w:sz w:val="28"/>
        </w:rPr>
      </w:pPr>
      <w:r>
        <w:rPr>
          <w:rFonts w:ascii="arial" w:hAnsi="arial"/>
          <w:sz w:val="28"/>
        </w:rPr>
        <w:t xml:space="preserve">Overview </w:t>
      </w:r>
    </w:p>
    <w:p>
      <w:pPr>
        <w:pStyle w:val="TextBody"/>
        <w:pBdr>
          <w:bottom w:val="single" w:sz="2" w:space="1" w:color="001C71"/>
        </w:pBdr>
        <w:spacing w:lineRule="atLeast" w:line="180" w:before="0" w:after="40"/>
        <w:jc w:val="left"/>
        <w:rPr/>
      </w:pPr>
      <w:r>
        <w:rPr/>
        <w:t> </w:t>
      </w:r>
    </w:p>
    <w:p>
      <w:pPr>
        <w:pStyle w:val="TextBody"/>
        <w:spacing w:before="0" w:after="0"/>
        <w:jc w:val="left"/>
        <w:rPr/>
      </w:pPr>
      <w:r>
        <w:rPr/>
        <w:t> </w:t>
      </w:r>
    </w:p>
    <w:p>
      <w:pPr>
        <w:pStyle w:val="TextBody"/>
        <w:spacing w:before="40" w:after="0"/>
        <w:jc w:val="left"/>
        <w:rPr>
          <w:rFonts w:ascii="arial" w:hAnsi="arial"/>
          <w:sz w:val="16"/>
        </w:rPr>
      </w:pPr>
      <w:r>
        <w:rPr>
          <w:rFonts w:ascii="arial" w:hAnsi="arial"/>
          <w:sz w:val="16"/>
        </w:rPr>
        <w:t xml:space="preserve">The Compensation and Talent Development Committee of the Sempra Energy Board of Directors reviews non-employee director compensation on an annual basis. The committees independent compensation consultant, Exequity, annually provides the committee with a report that analyzes the competitiveness of Sempra Energys director compensation in total and by component. Any changes to director compensation are approved by the Board of Directors. </w:t>
      </w:r>
    </w:p>
    <w:p>
      <w:pPr>
        <w:pStyle w:val="TextBody"/>
        <w:spacing w:before="120" w:after="0"/>
        <w:jc w:val="left"/>
        <w:rPr>
          <w:rFonts w:ascii="arial" w:hAnsi="arial"/>
          <w:sz w:val="16"/>
        </w:rPr>
      </w:pPr>
      <w:r>
        <w:rPr>
          <w:rFonts w:ascii="arial" w:hAnsi="arial"/>
          <w:sz w:val="16"/>
        </w:rPr>
        <w:t xml:space="preserve">Directors who also are employees of the company are not additionally compensated for service as a director. Compensation of Jeffrey W. Martin, our Chairman, Chief Executive Officer and President, is summarized in the 2020 Summary Compensation Table appearing under Executive CompensationCompensation Tables below. </w:t>
      </w:r>
    </w:p>
    <w:p>
      <w:pPr>
        <w:pStyle w:val="TextBody"/>
        <w:spacing w:before="120" w:after="0"/>
        <w:jc w:val="left"/>
        <w:rPr>
          <w:rFonts w:ascii="arial" w:hAnsi="arial"/>
          <w:sz w:val="16"/>
        </w:rPr>
      </w:pPr>
      <w:r>
        <w:rPr>
          <w:rFonts w:ascii="arial" w:hAnsi="arial"/>
          <w:sz w:val="16"/>
        </w:rPr>
        <w:t xml:space="preserve">Our 2020 director compensation program is summarized in the table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017"/>
        <w:gridCol w:w="240"/>
        <w:gridCol w:w="140"/>
        <w:gridCol w:w="685"/>
        <w:gridCol w:w="123"/>
      </w:tblGrid>
      <w:tr>
        <w:trPr/>
        <w:tc>
          <w:tcPr>
            <w:tcW w:w="901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10205" w:type="dxa"/>
            <w:gridSpan w:val="5"/>
            <w:tcBorders/>
            <w:shd w:fill="001C71" w:val="clear"/>
            <w:vAlign w:val="center"/>
          </w:tcPr>
          <w:p>
            <w:pPr>
              <w:pStyle w:val="TableContents"/>
              <w:spacing w:before="0" w:after="283"/>
              <w:rPr>
                <w:sz w:val="4"/>
                <w:szCs w:val="4"/>
              </w:rPr>
            </w:pPr>
            <w:r>
              <w:rPr>
                <w:sz w:val="4"/>
                <w:szCs w:val="4"/>
              </w:rPr>
            </w:r>
          </w:p>
        </w:tc>
      </w:tr>
      <w:tr>
        <w:trPr/>
        <w:tc>
          <w:tcPr>
            <w:tcW w:w="10082" w:type="dxa"/>
            <w:gridSpan w:val="4"/>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2020 Director Compensation Program</w:t>
            </w:r>
          </w:p>
        </w:tc>
        <w:tc>
          <w:tcPr>
            <w:tcW w:w="123" w:type="dxa"/>
            <w:tcBorders/>
            <w:shd w:fill="001C71" w:val="clear"/>
            <w:vAlign w:val="bottom"/>
          </w:tcPr>
          <w:p>
            <w:pPr>
              <w:pStyle w:val="TableContents"/>
              <w:spacing w:before="0" w:after="283"/>
              <w:rPr/>
            </w:pPr>
            <w:r>
              <w:rPr/>
              <w:t> </w:t>
            </w:r>
          </w:p>
        </w:tc>
      </w:tr>
      <w:tr>
        <w:trPr>
          <w:trHeight w:val="75" w:hRule="atLeast"/>
        </w:trPr>
        <w:tc>
          <w:tcPr>
            <w:tcW w:w="9017" w:type="dxa"/>
            <w:tcBorders/>
            <w:shd w:fill="E5E5E5" w:val="clear"/>
            <w:vAlign w:val="center"/>
          </w:tcPr>
          <w:p>
            <w:pPr>
              <w:pStyle w:val="TableContents"/>
              <w:spacing w:before="0" w:after="283"/>
              <w:rPr>
                <w:sz w:val="4"/>
                <w:szCs w:val="4"/>
              </w:rPr>
            </w:pPr>
            <w:r>
              <w:rPr>
                <w:sz w:val="4"/>
                <w:szCs w:val="4"/>
              </w:rPr>
            </w:r>
          </w:p>
        </w:tc>
        <w:tc>
          <w:tcPr>
            <w:tcW w:w="1188" w:type="dxa"/>
            <w:gridSpan w:val="4"/>
            <w:tcBorders/>
            <w:shd w:fill="E5E5E5" w:val="clear"/>
            <w:vAlign w:val="center"/>
          </w:tcPr>
          <w:p>
            <w:pPr>
              <w:pStyle w:val="TableContents"/>
              <w:spacing w:before="0" w:after="283"/>
              <w:rPr>
                <w:sz w:val="4"/>
                <w:szCs w:val="4"/>
              </w:rPr>
            </w:pPr>
            <w:r>
              <w:rPr>
                <w:sz w:val="4"/>
                <w:szCs w:val="4"/>
              </w:rPr>
            </w:r>
          </w:p>
        </w:tc>
      </w:tr>
      <w:tr>
        <w:trPr/>
        <w:tc>
          <w:tcPr>
            <w:tcW w:w="9017" w:type="dxa"/>
            <w:tcBorders/>
            <w:shd w:fill="E5E5E5" w:val="clear"/>
          </w:tcPr>
          <w:p>
            <w:pPr>
              <w:pStyle w:val="TableContents"/>
              <w:spacing w:before="0" w:after="0"/>
              <w:rPr>
                <w:rFonts w:ascii="arial" w:hAnsi="arial"/>
                <w:b/>
                <w:sz w:val="16"/>
              </w:rPr>
            </w:pPr>
            <w:r>
              <w:rPr>
                <w:rFonts w:ascii="arial" w:hAnsi="arial"/>
                <w:b/>
                <w:sz w:val="16"/>
              </w:rPr>
              <w:t>Board Retainers:</w:t>
            </w:r>
          </w:p>
        </w:tc>
        <w:tc>
          <w:tcPr>
            <w:tcW w:w="24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685" w:type="dxa"/>
            <w:tcBorders/>
            <w:shd w:fill="E5E5E5" w:val="clear"/>
            <w:vAlign w:val="bottom"/>
          </w:tcPr>
          <w:p>
            <w:pPr>
              <w:pStyle w:val="TableContents"/>
              <w:spacing w:before="0" w:after="283"/>
              <w:rPr>
                <w:sz w:val="4"/>
                <w:szCs w:val="4"/>
              </w:rPr>
            </w:pPr>
            <w:r>
              <w:rPr>
                <w:sz w:val="4"/>
                <w:szCs w:val="4"/>
              </w:rPr>
            </w:r>
          </w:p>
        </w:tc>
        <w:tc>
          <w:tcPr>
            <w:tcW w:w="123"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9017" w:type="dxa"/>
            <w:tcBorders/>
            <w:shd w:fill="auto" w:val="clear"/>
            <w:vAlign w:val="center"/>
          </w:tcPr>
          <w:p>
            <w:pPr>
              <w:pStyle w:val="TableContents"/>
              <w:spacing w:before="0" w:after="283"/>
              <w:rPr>
                <w:sz w:val="4"/>
                <w:szCs w:val="4"/>
              </w:rPr>
            </w:pPr>
            <w:r>
              <w:rPr>
                <w:sz w:val="4"/>
                <w:szCs w:val="4"/>
              </w:rPr>
            </w:r>
          </w:p>
        </w:tc>
        <w:tc>
          <w:tcPr>
            <w:tcW w:w="1188" w:type="dxa"/>
            <w:gridSpan w:val="4"/>
            <w:tcBorders/>
            <w:shd w:fill="auto" w:val="clear"/>
            <w:vAlign w:val="center"/>
          </w:tcPr>
          <w:p>
            <w:pPr>
              <w:pStyle w:val="TableContents"/>
              <w:spacing w:before="0" w:after="283"/>
              <w:rPr>
                <w:sz w:val="4"/>
                <w:szCs w:val="4"/>
              </w:rPr>
            </w:pPr>
            <w:r>
              <w:rPr>
                <w:sz w:val="4"/>
                <w:szCs w:val="4"/>
              </w:rPr>
            </w:r>
          </w:p>
        </w:tc>
      </w:tr>
      <w:tr>
        <w:trPr/>
        <w:tc>
          <w:tcPr>
            <w:tcW w:w="9017" w:type="dxa"/>
            <w:tcBorders/>
            <w:shd w:fill="auto" w:val="clear"/>
          </w:tcPr>
          <w:p>
            <w:pPr>
              <w:pStyle w:val="TableContents"/>
              <w:spacing w:before="0" w:after="0"/>
              <w:rPr>
                <w:rFonts w:ascii="arial" w:hAnsi="arial"/>
                <w:sz w:val="16"/>
              </w:rPr>
            </w:pPr>
            <w:r>
              <w:rPr>
                <w:rFonts w:ascii="arial" w:hAnsi="arial"/>
                <w:sz w:val="16"/>
              </w:rPr>
              <w:t>Annual Base Retainer</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85,000</w:t>
            </w:r>
          </w:p>
        </w:tc>
        <w:tc>
          <w:tcPr>
            <w:tcW w:w="123" w:type="dxa"/>
            <w:tcBorders/>
            <w:shd w:fill="auto" w:val="clear"/>
            <w:vAlign w:val="bottom"/>
          </w:tcPr>
          <w:p>
            <w:pPr>
              <w:pStyle w:val="TableContents"/>
              <w:spacing w:before="0" w:after="283"/>
              <w:rPr/>
            </w:pPr>
            <w:r>
              <w:rPr/>
              <w:t> </w:t>
            </w:r>
          </w:p>
        </w:tc>
      </w:tr>
      <w:tr>
        <w:trPr>
          <w:trHeight w:val="75" w:hRule="atLeast"/>
        </w:trPr>
        <w:tc>
          <w:tcPr>
            <w:tcW w:w="9017" w:type="dxa"/>
            <w:tcBorders/>
            <w:shd w:fill="E5E5E5" w:val="clear"/>
            <w:vAlign w:val="center"/>
          </w:tcPr>
          <w:p>
            <w:pPr>
              <w:pStyle w:val="TableContents"/>
              <w:spacing w:before="0" w:after="283"/>
              <w:rPr>
                <w:sz w:val="4"/>
                <w:szCs w:val="4"/>
              </w:rPr>
            </w:pPr>
            <w:r>
              <w:rPr>
                <w:sz w:val="4"/>
                <w:szCs w:val="4"/>
              </w:rPr>
            </w:r>
          </w:p>
        </w:tc>
        <w:tc>
          <w:tcPr>
            <w:tcW w:w="1188" w:type="dxa"/>
            <w:gridSpan w:val="4"/>
            <w:tcBorders/>
            <w:shd w:fill="E5E5E5" w:val="clear"/>
            <w:vAlign w:val="center"/>
          </w:tcPr>
          <w:p>
            <w:pPr>
              <w:pStyle w:val="TableContents"/>
              <w:spacing w:before="0" w:after="283"/>
              <w:rPr>
                <w:sz w:val="4"/>
                <w:szCs w:val="4"/>
              </w:rPr>
            </w:pPr>
            <w:r>
              <w:rPr>
                <w:sz w:val="4"/>
                <w:szCs w:val="4"/>
              </w:rPr>
            </w:r>
          </w:p>
        </w:tc>
      </w:tr>
      <w:tr>
        <w:trPr/>
        <w:tc>
          <w:tcPr>
            <w:tcW w:w="9017" w:type="dxa"/>
            <w:tcBorders/>
            <w:shd w:fill="E5E5E5" w:val="clear"/>
          </w:tcPr>
          <w:p>
            <w:pPr>
              <w:pStyle w:val="TableContents"/>
              <w:spacing w:before="0" w:after="0"/>
              <w:rPr>
                <w:rFonts w:ascii="arial" w:hAnsi="arial"/>
                <w:sz w:val="16"/>
              </w:rPr>
            </w:pPr>
            <w:r>
              <w:rPr>
                <w:rFonts w:ascii="arial" w:hAnsi="arial"/>
                <w:sz w:val="16"/>
              </w:rPr>
              <w:t>Lead Director Retainer</w:t>
            </w:r>
          </w:p>
        </w:tc>
        <w:tc>
          <w:tcPr>
            <w:tcW w:w="24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85" w:type="dxa"/>
            <w:tcBorders/>
            <w:shd w:fill="E5E5E5" w:val="clear"/>
            <w:vAlign w:val="bottom"/>
          </w:tcPr>
          <w:p>
            <w:pPr>
              <w:pStyle w:val="TableContents"/>
              <w:spacing w:before="0" w:after="283"/>
              <w:jc w:val="right"/>
              <w:rPr/>
            </w:pPr>
            <w:r>
              <w:rPr/>
              <w:t>40,000</w:t>
            </w:r>
          </w:p>
        </w:tc>
        <w:tc>
          <w:tcPr>
            <w:tcW w:w="123" w:type="dxa"/>
            <w:tcBorders/>
            <w:shd w:fill="E5E5E5" w:val="clear"/>
            <w:vAlign w:val="bottom"/>
          </w:tcPr>
          <w:p>
            <w:pPr>
              <w:pStyle w:val="TableContents"/>
              <w:spacing w:before="0" w:after="283"/>
              <w:rPr/>
            </w:pPr>
            <w:r>
              <w:rPr/>
              <w:t> </w:t>
            </w:r>
          </w:p>
        </w:tc>
      </w:tr>
      <w:tr>
        <w:trPr>
          <w:trHeight w:val="75" w:hRule="atLeast"/>
        </w:trPr>
        <w:tc>
          <w:tcPr>
            <w:tcW w:w="9017" w:type="dxa"/>
            <w:tcBorders/>
            <w:shd w:fill="auto" w:val="clear"/>
            <w:vAlign w:val="center"/>
          </w:tcPr>
          <w:p>
            <w:pPr>
              <w:pStyle w:val="TableContents"/>
              <w:spacing w:before="0" w:after="283"/>
              <w:rPr>
                <w:sz w:val="4"/>
                <w:szCs w:val="4"/>
              </w:rPr>
            </w:pPr>
            <w:r>
              <w:rPr>
                <w:sz w:val="4"/>
                <w:szCs w:val="4"/>
              </w:rPr>
            </w:r>
          </w:p>
        </w:tc>
        <w:tc>
          <w:tcPr>
            <w:tcW w:w="1188" w:type="dxa"/>
            <w:gridSpan w:val="4"/>
            <w:tcBorders/>
            <w:shd w:fill="auto" w:val="clear"/>
            <w:vAlign w:val="center"/>
          </w:tcPr>
          <w:p>
            <w:pPr>
              <w:pStyle w:val="TableContents"/>
              <w:spacing w:before="0" w:after="283"/>
              <w:rPr>
                <w:sz w:val="4"/>
                <w:szCs w:val="4"/>
              </w:rPr>
            </w:pPr>
            <w:r>
              <w:rPr>
                <w:sz w:val="4"/>
                <w:szCs w:val="4"/>
              </w:rPr>
            </w:r>
          </w:p>
        </w:tc>
      </w:tr>
      <w:tr>
        <w:trPr/>
        <w:tc>
          <w:tcPr>
            <w:tcW w:w="9017" w:type="dxa"/>
            <w:tcBorders/>
            <w:shd w:fill="auto" w:val="clear"/>
          </w:tcPr>
          <w:p>
            <w:pPr>
              <w:pStyle w:val="TableContents"/>
              <w:spacing w:before="0" w:after="0"/>
              <w:rPr>
                <w:rFonts w:ascii="arial" w:hAnsi="arial"/>
                <w:b/>
                <w:sz w:val="16"/>
              </w:rPr>
            </w:pPr>
            <w:r>
              <w:rPr>
                <w:rFonts w:ascii="arial" w:hAnsi="arial"/>
                <w:b/>
                <w:sz w:val="16"/>
              </w:rPr>
              <w:t>Committee Chair Retainers:</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9017" w:type="dxa"/>
            <w:tcBorders/>
            <w:shd w:fill="E5E5E5" w:val="clear"/>
            <w:vAlign w:val="center"/>
          </w:tcPr>
          <w:p>
            <w:pPr>
              <w:pStyle w:val="TableContents"/>
              <w:spacing w:before="0" w:after="283"/>
              <w:rPr>
                <w:sz w:val="4"/>
                <w:szCs w:val="4"/>
              </w:rPr>
            </w:pPr>
            <w:r>
              <w:rPr>
                <w:sz w:val="4"/>
                <w:szCs w:val="4"/>
              </w:rPr>
            </w:r>
          </w:p>
        </w:tc>
        <w:tc>
          <w:tcPr>
            <w:tcW w:w="1188" w:type="dxa"/>
            <w:gridSpan w:val="4"/>
            <w:tcBorders/>
            <w:shd w:fill="E5E5E5" w:val="clear"/>
            <w:vAlign w:val="center"/>
          </w:tcPr>
          <w:p>
            <w:pPr>
              <w:pStyle w:val="TableContents"/>
              <w:spacing w:before="0" w:after="283"/>
              <w:rPr>
                <w:sz w:val="4"/>
                <w:szCs w:val="4"/>
              </w:rPr>
            </w:pPr>
            <w:r>
              <w:rPr>
                <w:sz w:val="4"/>
                <w:szCs w:val="4"/>
              </w:rPr>
            </w:r>
          </w:p>
        </w:tc>
      </w:tr>
      <w:tr>
        <w:trPr/>
        <w:tc>
          <w:tcPr>
            <w:tcW w:w="9017" w:type="dxa"/>
            <w:tcBorders/>
            <w:shd w:fill="E5E5E5" w:val="clear"/>
          </w:tcPr>
          <w:p>
            <w:pPr>
              <w:pStyle w:val="TableContents"/>
              <w:spacing w:before="0" w:after="0"/>
              <w:rPr>
                <w:rFonts w:ascii="arial" w:hAnsi="arial"/>
                <w:sz w:val="16"/>
              </w:rPr>
            </w:pPr>
            <w:r>
              <w:rPr>
                <w:rFonts w:ascii="arial" w:hAnsi="arial"/>
                <w:sz w:val="16"/>
              </w:rPr>
              <w:t>Audit Committee Chair Retainer</w:t>
            </w:r>
          </w:p>
        </w:tc>
        <w:tc>
          <w:tcPr>
            <w:tcW w:w="24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85" w:type="dxa"/>
            <w:tcBorders/>
            <w:shd w:fill="E5E5E5" w:val="clear"/>
            <w:vAlign w:val="bottom"/>
          </w:tcPr>
          <w:p>
            <w:pPr>
              <w:pStyle w:val="TableContents"/>
              <w:spacing w:before="0" w:after="283"/>
              <w:jc w:val="right"/>
              <w:rPr/>
            </w:pPr>
            <w:r>
              <w:rPr/>
              <w:t>20,000</w:t>
            </w:r>
          </w:p>
        </w:tc>
        <w:tc>
          <w:tcPr>
            <w:tcW w:w="123" w:type="dxa"/>
            <w:tcBorders/>
            <w:shd w:fill="E5E5E5" w:val="clear"/>
            <w:vAlign w:val="bottom"/>
          </w:tcPr>
          <w:p>
            <w:pPr>
              <w:pStyle w:val="TableContents"/>
              <w:spacing w:before="0" w:after="283"/>
              <w:rPr/>
            </w:pPr>
            <w:r>
              <w:rPr/>
              <w:t> </w:t>
            </w:r>
          </w:p>
        </w:tc>
      </w:tr>
      <w:tr>
        <w:trPr>
          <w:trHeight w:val="75" w:hRule="atLeast"/>
        </w:trPr>
        <w:tc>
          <w:tcPr>
            <w:tcW w:w="9017" w:type="dxa"/>
            <w:tcBorders/>
            <w:shd w:fill="auto" w:val="clear"/>
            <w:vAlign w:val="center"/>
          </w:tcPr>
          <w:p>
            <w:pPr>
              <w:pStyle w:val="TableContents"/>
              <w:spacing w:before="0" w:after="283"/>
              <w:rPr>
                <w:sz w:val="4"/>
                <w:szCs w:val="4"/>
              </w:rPr>
            </w:pPr>
            <w:r>
              <w:rPr>
                <w:sz w:val="4"/>
                <w:szCs w:val="4"/>
              </w:rPr>
            </w:r>
          </w:p>
        </w:tc>
        <w:tc>
          <w:tcPr>
            <w:tcW w:w="1188" w:type="dxa"/>
            <w:gridSpan w:val="4"/>
            <w:tcBorders/>
            <w:shd w:fill="auto" w:val="clear"/>
            <w:vAlign w:val="center"/>
          </w:tcPr>
          <w:p>
            <w:pPr>
              <w:pStyle w:val="TableContents"/>
              <w:spacing w:before="0" w:after="283"/>
              <w:rPr>
                <w:sz w:val="4"/>
                <w:szCs w:val="4"/>
              </w:rPr>
            </w:pPr>
            <w:r>
              <w:rPr>
                <w:sz w:val="4"/>
                <w:szCs w:val="4"/>
              </w:rPr>
            </w:r>
          </w:p>
        </w:tc>
      </w:tr>
      <w:tr>
        <w:trPr/>
        <w:tc>
          <w:tcPr>
            <w:tcW w:w="9017" w:type="dxa"/>
            <w:tcBorders/>
            <w:shd w:fill="auto" w:val="clear"/>
          </w:tcPr>
          <w:p>
            <w:pPr>
              <w:pStyle w:val="TableContents"/>
              <w:spacing w:before="0" w:after="0"/>
              <w:rPr>
                <w:rFonts w:ascii="arial" w:hAnsi="arial"/>
                <w:sz w:val="16"/>
              </w:rPr>
            </w:pPr>
            <w:r>
              <w:rPr>
                <w:rFonts w:ascii="arial" w:hAnsi="arial"/>
                <w:sz w:val="16"/>
              </w:rPr>
              <w:t>Compensation and Talent Development Committee Chair Retainer</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15,000</w:t>
            </w:r>
          </w:p>
        </w:tc>
        <w:tc>
          <w:tcPr>
            <w:tcW w:w="123" w:type="dxa"/>
            <w:tcBorders/>
            <w:shd w:fill="auto" w:val="clear"/>
            <w:vAlign w:val="bottom"/>
          </w:tcPr>
          <w:p>
            <w:pPr>
              <w:pStyle w:val="TableContents"/>
              <w:spacing w:before="0" w:after="283"/>
              <w:rPr/>
            </w:pPr>
            <w:r>
              <w:rPr/>
              <w:t> </w:t>
            </w:r>
          </w:p>
        </w:tc>
      </w:tr>
      <w:tr>
        <w:trPr>
          <w:trHeight w:val="75" w:hRule="atLeast"/>
        </w:trPr>
        <w:tc>
          <w:tcPr>
            <w:tcW w:w="9017" w:type="dxa"/>
            <w:tcBorders/>
            <w:shd w:fill="E5E5E5" w:val="clear"/>
            <w:vAlign w:val="center"/>
          </w:tcPr>
          <w:p>
            <w:pPr>
              <w:pStyle w:val="TableContents"/>
              <w:spacing w:before="0" w:after="283"/>
              <w:rPr>
                <w:sz w:val="4"/>
                <w:szCs w:val="4"/>
              </w:rPr>
            </w:pPr>
            <w:r>
              <w:rPr>
                <w:sz w:val="4"/>
                <w:szCs w:val="4"/>
              </w:rPr>
            </w:r>
          </w:p>
        </w:tc>
        <w:tc>
          <w:tcPr>
            <w:tcW w:w="1188" w:type="dxa"/>
            <w:gridSpan w:val="4"/>
            <w:tcBorders/>
            <w:shd w:fill="E5E5E5" w:val="clear"/>
            <w:vAlign w:val="center"/>
          </w:tcPr>
          <w:p>
            <w:pPr>
              <w:pStyle w:val="TableContents"/>
              <w:spacing w:before="0" w:after="283"/>
              <w:rPr>
                <w:sz w:val="4"/>
                <w:szCs w:val="4"/>
              </w:rPr>
            </w:pPr>
            <w:r>
              <w:rPr>
                <w:sz w:val="4"/>
                <w:szCs w:val="4"/>
              </w:rPr>
            </w:r>
          </w:p>
        </w:tc>
      </w:tr>
      <w:tr>
        <w:trPr/>
        <w:tc>
          <w:tcPr>
            <w:tcW w:w="9017" w:type="dxa"/>
            <w:tcBorders/>
            <w:shd w:fill="E5E5E5" w:val="clear"/>
          </w:tcPr>
          <w:p>
            <w:pPr>
              <w:pStyle w:val="TableContents"/>
              <w:spacing w:before="0" w:after="0"/>
              <w:rPr>
                <w:rFonts w:ascii="arial" w:hAnsi="arial"/>
                <w:sz w:val="16"/>
              </w:rPr>
            </w:pPr>
            <w:r>
              <w:rPr>
                <w:rFonts w:ascii="arial" w:hAnsi="arial"/>
                <w:sz w:val="16"/>
              </w:rPr>
              <w:t>Other Committee Chair Retainer (A)</w:t>
            </w:r>
          </w:p>
        </w:tc>
        <w:tc>
          <w:tcPr>
            <w:tcW w:w="24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85" w:type="dxa"/>
            <w:tcBorders/>
            <w:shd w:fill="E5E5E5" w:val="clear"/>
            <w:vAlign w:val="bottom"/>
          </w:tcPr>
          <w:p>
            <w:pPr>
              <w:pStyle w:val="TableContents"/>
              <w:spacing w:before="0" w:after="283"/>
              <w:jc w:val="right"/>
              <w:rPr/>
            </w:pPr>
            <w:r>
              <w:rPr/>
              <w:t>10,000</w:t>
            </w:r>
          </w:p>
        </w:tc>
        <w:tc>
          <w:tcPr>
            <w:tcW w:w="123" w:type="dxa"/>
            <w:tcBorders/>
            <w:shd w:fill="E5E5E5" w:val="clear"/>
            <w:vAlign w:val="bottom"/>
          </w:tcPr>
          <w:p>
            <w:pPr>
              <w:pStyle w:val="TableContents"/>
              <w:spacing w:before="0" w:after="283"/>
              <w:rPr/>
            </w:pPr>
            <w:r>
              <w:rPr/>
              <w:t> </w:t>
            </w:r>
          </w:p>
        </w:tc>
      </w:tr>
      <w:tr>
        <w:trPr>
          <w:trHeight w:val="75" w:hRule="atLeast"/>
        </w:trPr>
        <w:tc>
          <w:tcPr>
            <w:tcW w:w="9017" w:type="dxa"/>
            <w:tcBorders/>
            <w:shd w:fill="auto" w:val="clear"/>
            <w:vAlign w:val="center"/>
          </w:tcPr>
          <w:p>
            <w:pPr>
              <w:pStyle w:val="TableContents"/>
              <w:spacing w:before="0" w:after="283"/>
              <w:rPr>
                <w:sz w:val="4"/>
                <w:szCs w:val="4"/>
              </w:rPr>
            </w:pPr>
            <w:r>
              <w:rPr>
                <w:sz w:val="4"/>
                <w:szCs w:val="4"/>
              </w:rPr>
            </w:r>
          </w:p>
        </w:tc>
        <w:tc>
          <w:tcPr>
            <w:tcW w:w="1188" w:type="dxa"/>
            <w:gridSpan w:val="4"/>
            <w:tcBorders/>
            <w:shd w:fill="auto" w:val="clear"/>
            <w:vAlign w:val="center"/>
          </w:tcPr>
          <w:p>
            <w:pPr>
              <w:pStyle w:val="TableContents"/>
              <w:spacing w:before="0" w:after="283"/>
              <w:rPr>
                <w:sz w:val="4"/>
                <w:szCs w:val="4"/>
              </w:rPr>
            </w:pPr>
            <w:r>
              <w:rPr>
                <w:sz w:val="4"/>
                <w:szCs w:val="4"/>
              </w:rPr>
            </w:r>
          </w:p>
        </w:tc>
      </w:tr>
      <w:tr>
        <w:trPr/>
        <w:tc>
          <w:tcPr>
            <w:tcW w:w="9017" w:type="dxa"/>
            <w:tcBorders/>
            <w:shd w:fill="auto" w:val="clear"/>
          </w:tcPr>
          <w:p>
            <w:pPr>
              <w:pStyle w:val="TableContents"/>
              <w:spacing w:before="0" w:after="0"/>
              <w:rPr>
                <w:rFonts w:ascii="arial" w:hAnsi="arial"/>
                <w:b/>
                <w:sz w:val="16"/>
              </w:rPr>
            </w:pPr>
            <w:r>
              <w:rPr>
                <w:rFonts w:ascii="arial" w:hAnsi="arial"/>
                <w:b/>
                <w:sz w:val="16"/>
              </w:rPr>
              <w:t>Committee Member Retainers:</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9017" w:type="dxa"/>
            <w:tcBorders/>
            <w:shd w:fill="E5E5E5" w:val="clear"/>
            <w:vAlign w:val="center"/>
          </w:tcPr>
          <w:p>
            <w:pPr>
              <w:pStyle w:val="TableContents"/>
              <w:spacing w:before="0" w:after="283"/>
              <w:rPr>
                <w:sz w:val="4"/>
                <w:szCs w:val="4"/>
              </w:rPr>
            </w:pPr>
            <w:r>
              <w:rPr>
                <w:sz w:val="4"/>
                <w:szCs w:val="4"/>
              </w:rPr>
            </w:r>
          </w:p>
        </w:tc>
        <w:tc>
          <w:tcPr>
            <w:tcW w:w="1188" w:type="dxa"/>
            <w:gridSpan w:val="4"/>
            <w:tcBorders/>
            <w:shd w:fill="E5E5E5" w:val="clear"/>
            <w:vAlign w:val="center"/>
          </w:tcPr>
          <w:p>
            <w:pPr>
              <w:pStyle w:val="TableContents"/>
              <w:spacing w:before="0" w:after="283"/>
              <w:rPr>
                <w:sz w:val="4"/>
                <w:szCs w:val="4"/>
              </w:rPr>
            </w:pPr>
            <w:r>
              <w:rPr>
                <w:sz w:val="4"/>
                <w:szCs w:val="4"/>
              </w:rPr>
            </w:r>
          </w:p>
        </w:tc>
      </w:tr>
      <w:tr>
        <w:trPr/>
        <w:tc>
          <w:tcPr>
            <w:tcW w:w="9017" w:type="dxa"/>
            <w:tcBorders/>
            <w:shd w:fill="E5E5E5" w:val="clear"/>
          </w:tcPr>
          <w:p>
            <w:pPr>
              <w:pStyle w:val="TableContents"/>
              <w:spacing w:before="0" w:after="0"/>
              <w:rPr>
                <w:rFonts w:ascii="arial" w:hAnsi="arial"/>
                <w:sz w:val="16"/>
              </w:rPr>
            </w:pPr>
            <w:r>
              <w:rPr>
                <w:rFonts w:ascii="arial" w:hAnsi="arial"/>
                <w:sz w:val="16"/>
              </w:rPr>
              <w:t>Audit Committee Member Retainer</w:t>
            </w:r>
          </w:p>
        </w:tc>
        <w:tc>
          <w:tcPr>
            <w:tcW w:w="24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85" w:type="dxa"/>
            <w:tcBorders/>
            <w:shd w:fill="E5E5E5" w:val="clear"/>
            <w:vAlign w:val="bottom"/>
          </w:tcPr>
          <w:p>
            <w:pPr>
              <w:pStyle w:val="TableContents"/>
              <w:spacing w:before="0" w:after="283"/>
              <w:jc w:val="right"/>
              <w:rPr/>
            </w:pPr>
            <w:r>
              <w:rPr/>
              <w:t>20,000</w:t>
            </w:r>
          </w:p>
        </w:tc>
        <w:tc>
          <w:tcPr>
            <w:tcW w:w="123" w:type="dxa"/>
            <w:tcBorders/>
            <w:shd w:fill="E5E5E5" w:val="clear"/>
            <w:vAlign w:val="bottom"/>
          </w:tcPr>
          <w:p>
            <w:pPr>
              <w:pStyle w:val="TableContents"/>
              <w:spacing w:before="0" w:after="283"/>
              <w:rPr/>
            </w:pPr>
            <w:r>
              <w:rPr/>
              <w:t> </w:t>
            </w:r>
          </w:p>
        </w:tc>
      </w:tr>
      <w:tr>
        <w:trPr>
          <w:trHeight w:val="75" w:hRule="atLeast"/>
        </w:trPr>
        <w:tc>
          <w:tcPr>
            <w:tcW w:w="9017" w:type="dxa"/>
            <w:tcBorders/>
            <w:shd w:fill="auto" w:val="clear"/>
            <w:vAlign w:val="center"/>
          </w:tcPr>
          <w:p>
            <w:pPr>
              <w:pStyle w:val="TableContents"/>
              <w:spacing w:before="0" w:after="283"/>
              <w:rPr>
                <w:sz w:val="4"/>
                <w:szCs w:val="4"/>
              </w:rPr>
            </w:pPr>
            <w:r>
              <w:rPr>
                <w:sz w:val="4"/>
                <w:szCs w:val="4"/>
              </w:rPr>
            </w:r>
          </w:p>
        </w:tc>
        <w:tc>
          <w:tcPr>
            <w:tcW w:w="1188" w:type="dxa"/>
            <w:gridSpan w:val="4"/>
            <w:tcBorders/>
            <w:shd w:fill="auto" w:val="clear"/>
            <w:vAlign w:val="center"/>
          </w:tcPr>
          <w:p>
            <w:pPr>
              <w:pStyle w:val="TableContents"/>
              <w:spacing w:before="0" w:after="283"/>
              <w:rPr>
                <w:sz w:val="4"/>
                <w:szCs w:val="4"/>
              </w:rPr>
            </w:pPr>
            <w:r>
              <w:rPr>
                <w:sz w:val="4"/>
                <w:szCs w:val="4"/>
              </w:rPr>
            </w:r>
          </w:p>
        </w:tc>
      </w:tr>
      <w:tr>
        <w:trPr/>
        <w:tc>
          <w:tcPr>
            <w:tcW w:w="9017" w:type="dxa"/>
            <w:tcBorders/>
            <w:shd w:fill="auto" w:val="clear"/>
          </w:tcPr>
          <w:p>
            <w:pPr>
              <w:pStyle w:val="TableContents"/>
              <w:spacing w:before="0" w:after="0"/>
              <w:rPr>
                <w:rFonts w:ascii="arial" w:hAnsi="arial"/>
                <w:sz w:val="16"/>
              </w:rPr>
            </w:pPr>
            <w:r>
              <w:rPr>
                <w:rFonts w:ascii="arial" w:hAnsi="arial"/>
                <w:sz w:val="16"/>
              </w:rPr>
              <w:t>Other Committee Member Retainer (B)</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10,000</w:t>
            </w:r>
          </w:p>
        </w:tc>
        <w:tc>
          <w:tcPr>
            <w:tcW w:w="123" w:type="dxa"/>
            <w:tcBorders/>
            <w:shd w:fill="auto" w:val="clear"/>
            <w:vAlign w:val="bottom"/>
          </w:tcPr>
          <w:p>
            <w:pPr>
              <w:pStyle w:val="TableContents"/>
              <w:spacing w:before="0" w:after="283"/>
              <w:rPr/>
            </w:pPr>
            <w:r>
              <w:rPr/>
              <w:t> </w:t>
            </w:r>
          </w:p>
        </w:tc>
      </w:tr>
      <w:tr>
        <w:trPr>
          <w:trHeight w:val="75" w:hRule="atLeast"/>
        </w:trPr>
        <w:tc>
          <w:tcPr>
            <w:tcW w:w="9017" w:type="dxa"/>
            <w:tcBorders/>
            <w:shd w:fill="E5E5E5" w:val="clear"/>
            <w:vAlign w:val="center"/>
          </w:tcPr>
          <w:p>
            <w:pPr>
              <w:pStyle w:val="TableContents"/>
              <w:spacing w:before="0" w:after="283"/>
              <w:rPr>
                <w:sz w:val="4"/>
                <w:szCs w:val="4"/>
              </w:rPr>
            </w:pPr>
            <w:r>
              <w:rPr>
                <w:sz w:val="4"/>
                <w:szCs w:val="4"/>
              </w:rPr>
            </w:r>
          </w:p>
        </w:tc>
        <w:tc>
          <w:tcPr>
            <w:tcW w:w="1188" w:type="dxa"/>
            <w:gridSpan w:val="4"/>
            <w:tcBorders/>
            <w:shd w:fill="E5E5E5" w:val="clear"/>
            <w:vAlign w:val="center"/>
          </w:tcPr>
          <w:p>
            <w:pPr>
              <w:pStyle w:val="TableContents"/>
              <w:spacing w:before="0" w:after="283"/>
              <w:rPr>
                <w:sz w:val="4"/>
                <w:szCs w:val="4"/>
              </w:rPr>
            </w:pPr>
            <w:r>
              <w:rPr>
                <w:sz w:val="4"/>
                <w:szCs w:val="4"/>
              </w:rPr>
            </w:r>
          </w:p>
        </w:tc>
      </w:tr>
      <w:tr>
        <w:trPr/>
        <w:tc>
          <w:tcPr>
            <w:tcW w:w="9017" w:type="dxa"/>
            <w:tcBorders/>
            <w:shd w:fill="E5E5E5" w:val="clear"/>
          </w:tcPr>
          <w:p>
            <w:pPr>
              <w:pStyle w:val="TableContents"/>
              <w:spacing w:before="0" w:after="0"/>
              <w:rPr>
                <w:rFonts w:ascii="arial" w:hAnsi="arial"/>
                <w:b/>
                <w:sz w:val="16"/>
              </w:rPr>
            </w:pPr>
            <w:r>
              <w:rPr>
                <w:rFonts w:ascii="arial" w:hAnsi="arial"/>
                <w:b/>
                <w:sz w:val="16"/>
              </w:rPr>
              <w:t>Equity:</w:t>
            </w:r>
          </w:p>
        </w:tc>
        <w:tc>
          <w:tcPr>
            <w:tcW w:w="24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685" w:type="dxa"/>
            <w:tcBorders/>
            <w:shd w:fill="E5E5E5" w:val="clear"/>
            <w:vAlign w:val="bottom"/>
          </w:tcPr>
          <w:p>
            <w:pPr>
              <w:pStyle w:val="TableContents"/>
              <w:spacing w:before="0" w:after="283"/>
              <w:rPr>
                <w:sz w:val="4"/>
                <w:szCs w:val="4"/>
              </w:rPr>
            </w:pPr>
            <w:r>
              <w:rPr>
                <w:sz w:val="4"/>
                <w:szCs w:val="4"/>
              </w:rPr>
            </w:r>
          </w:p>
        </w:tc>
        <w:tc>
          <w:tcPr>
            <w:tcW w:w="123"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9017" w:type="dxa"/>
            <w:tcBorders/>
            <w:shd w:fill="auto" w:val="clear"/>
            <w:vAlign w:val="center"/>
          </w:tcPr>
          <w:p>
            <w:pPr>
              <w:pStyle w:val="TableContents"/>
              <w:spacing w:before="0" w:after="283"/>
              <w:rPr>
                <w:sz w:val="4"/>
                <w:szCs w:val="4"/>
              </w:rPr>
            </w:pPr>
            <w:r>
              <w:rPr>
                <w:sz w:val="4"/>
                <w:szCs w:val="4"/>
              </w:rPr>
            </w:r>
          </w:p>
        </w:tc>
        <w:tc>
          <w:tcPr>
            <w:tcW w:w="1188" w:type="dxa"/>
            <w:gridSpan w:val="4"/>
            <w:tcBorders/>
            <w:shd w:fill="auto" w:val="clear"/>
            <w:vAlign w:val="center"/>
          </w:tcPr>
          <w:p>
            <w:pPr>
              <w:pStyle w:val="TableContents"/>
              <w:spacing w:before="0" w:after="283"/>
              <w:rPr>
                <w:sz w:val="4"/>
                <w:szCs w:val="4"/>
              </w:rPr>
            </w:pPr>
            <w:r>
              <w:rPr>
                <w:sz w:val="4"/>
                <w:szCs w:val="4"/>
              </w:rPr>
            </w:r>
          </w:p>
        </w:tc>
      </w:tr>
      <w:tr>
        <w:trPr/>
        <w:tc>
          <w:tcPr>
            <w:tcW w:w="9017" w:type="dxa"/>
            <w:tcBorders/>
            <w:shd w:fill="auto" w:val="clear"/>
          </w:tcPr>
          <w:p>
            <w:pPr>
              <w:pStyle w:val="TableContents"/>
              <w:spacing w:before="0" w:after="0"/>
              <w:rPr>
                <w:rFonts w:ascii="arial" w:hAnsi="arial"/>
                <w:sz w:val="16"/>
              </w:rPr>
            </w:pPr>
            <w:r>
              <w:rPr>
                <w:rFonts w:ascii="arial" w:hAnsi="arial"/>
                <w:sz w:val="16"/>
              </w:rPr>
              <w:t>Mandatory Deferred Equity</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50,000</w:t>
            </w:r>
          </w:p>
        </w:tc>
        <w:tc>
          <w:tcPr>
            <w:tcW w:w="123" w:type="dxa"/>
            <w:tcBorders/>
            <w:shd w:fill="auto" w:val="clear"/>
            <w:vAlign w:val="bottom"/>
          </w:tcPr>
          <w:p>
            <w:pPr>
              <w:pStyle w:val="TableContents"/>
              <w:spacing w:before="0" w:after="283"/>
              <w:rPr/>
            </w:pPr>
            <w:r>
              <w:rPr/>
              <w:t> </w:t>
            </w:r>
          </w:p>
        </w:tc>
      </w:tr>
      <w:tr>
        <w:trPr>
          <w:trHeight w:val="75" w:hRule="atLeast"/>
        </w:trPr>
        <w:tc>
          <w:tcPr>
            <w:tcW w:w="9017" w:type="dxa"/>
            <w:tcBorders/>
            <w:shd w:fill="E5E5E5" w:val="clear"/>
            <w:vAlign w:val="center"/>
          </w:tcPr>
          <w:p>
            <w:pPr>
              <w:pStyle w:val="TableContents"/>
              <w:spacing w:before="0" w:after="283"/>
              <w:rPr>
                <w:sz w:val="4"/>
                <w:szCs w:val="4"/>
              </w:rPr>
            </w:pPr>
            <w:r>
              <w:rPr>
                <w:sz w:val="4"/>
                <w:szCs w:val="4"/>
              </w:rPr>
            </w:r>
          </w:p>
        </w:tc>
        <w:tc>
          <w:tcPr>
            <w:tcW w:w="1188" w:type="dxa"/>
            <w:gridSpan w:val="4"/>
            <w:tcBorders/>
            <w:shd w:fill="E5E5E5" w:val="clear"/>
            <w:vAlign w:val="center"/>
          </w:tcPr>
          <w:p>
            <w:pPr>
              <w:pStyle w:val="TableContents"/>
              <w:spacing w:before="0" w:after="283"/>
              <w:rPr>
                <w:sz w:val="4"/>
                <w:szCs w:val="4"/>
              </w:rPr>
            </w:pPr>
            <w:r>
              <w:rPr>
                <w:sz w:val="4"/>
                <w:szCs w:val="4"/>
              </w:rPr>
            </w:r>
          </w:p>
        </w:tc>
      </w:tr>
      <w:tr>
        <w:trPr/>
        <w:tc>
          <w:tcPr>
            <w:tcW w:w="9017" w:type="dxa"/>
            <w:tcBorders/>
            <w:shd w:fill="E5E5E5" w:val="clear"/>
          </w:tcPr>
          <w:p>
            <w:pPr>
              <w:pStyle w:val="TableContents"/>
              <w:spacing w:before="0" w:after="0"/>
              <w:rPr>
                <w:rFonts w:ascii="arial" w:hAnsi="arial"/>
                <w:sz w:val="16"/>
              </w:rPr>
            </w:pPr>
            <w:r>
              <w:rPr>
                <w:rFonts w:ascii="arial" w:hAnsi="arial"/>
                <w:sz w:val="16"/>
              </w:rPr>
              <w:t>Annual Equity Award</w:t>
            </w:r>
          </w:p>
        </w:tc>
        <w:tc>
          <w:tcPr>
            <w:tcW w:w="24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85" w:type="dxa"/>
            <w:tcBorders/>
            <w:shd w:fill="E5E5E5" w:val="clear"/>
            <w:vAlign w:val="bottom"/>
          </w:tcPr>
          <w:p>
            <w:pPr>
              <w:pStyle w:val="TableContents"/>
              <w:spacing w:before="0" w:after="283"/>
              <w:jc w:val="right"/>
              <w:rPr/>
            </w:pPr>
            <w:r>
              <w:rPr/>
              <w:t>90,000</w:t>
            </w:r>
          </w:p>
        </w:tc>
        <w:tc>
          <w:tcPr>
            <w:tcW w:w="123" w:type="dxa"/>
            <w:tcBorders/>
            <w:shd w:fill="E5E5E5" w:val="clear"/>
            <w:vAlign w:val="bottom"/>
          </w:tcPr>
          <w:p>
            <w:pPr>
              <w:pStyle w:val="TableContents"/>
              <w:spacing w:before="0" w:after="283"/>
              <w:rPr/>
            </w:pPr>
            <w:r>
              <w:rPr/>
              <w:t> </w:t>
            </w:r>
          </w:p>
        </w:tc>
      </w:tr>
      <w:tr>
        <w:trPr>
          <w:trHeight w:val="75" w:hRule="atLeast"/>
        </w:trPr>
        <w:tc>
          <w:tcPr>
            <w:tcW w:w="9017" w:type="dxa"/>
            <w:tcBorders/>
            <w:shd w:fill="auto" w:val="clear"/>
            <w:vAlign w:val="center"/>
          </w:tcPr>
          <w:p>
            <w:pPr>
              <w:pStyle w:val="TableContents"/>
              <w:spacing w:before="0" w:after="283"/>
              <w:rPr>
                <w:sz w:val="4"/>
                <w:szCs w:val="4"/>
              </w:rPr>
            </w:pPr>
            <w:r>
              <w:rPr>
                <w:sz w:val="4"/>
                <w:szCs w:val="4"/>
              </w:rPr>
            </w:r>
          </w:p>
        </w:tc>
        <w:tc>
          <w:tcPr>
            <w:tcW w:w="1188" w:type="dxa"/>
            <w:gridSpan w:val="4"/>
            <w:tcBorders/>
            <w:shd w:fill="auto" w:val="clear"/>
            <w:vAlign w:val="center"/>
          </w:tcPr>
          <w:p>
            <w:pPr>
              <w:pStyle w:val="TableContents"/>
              <w:spacing w:before="0" w:after="283"/>
              <w:rPr>
                <w:sz w:val="4"/>
                <w:szCs w:val="4"/>
              </w:rPr>
            </w:pPr>
            <w:r>
              <w:rPr>
                <w:sz w:val="4"/>
                <w:szCs w:val="4"/>
              </w:rPr>
            </w:r>
          </w:p>
        </w:tc>
      </w:tr>
      <w:tr>
        <w:trPr/>
        <w:tc>
          <w:tcPr>
            <w:tcW w:w="9017"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Initial Equity Award for New Director</w:t>
            </w:r>
          </w:p>
        </w:tc>
        <w:tc>
          <w:tcPr>
            <w:tcW w:w="24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60" w:type="dxa"/>
            </w:tcMar>
            <w:vAlign w:val="bottom"/>
          </w:tcPr>
          <w:p>
            <w:pPr>
              <w:pStyle w:val="TableContents"/>
              <w:spacing w:before="0" w:after="283"/>
              <w:rPr/>
            </w:pPr>
            <w:r>
              <w:rPr/>
              <w:t>$</w:t>
            </w:r>
          </w:p>
        </w:tc>
        <w:tc>
          <w:tcPr>
            <w:tcW w:w="685" w:type="dxa"/>
            <w:tcBorders>
              <w:bottom w:val="single" w:sz="8" w:space="0" w:color="001C71"/>
            </w:tcBorders>
            <w:shd w:fill="auto" w:val="clear"/>
            <w:tcMar>
              <w:bottom w:w="60" w:type="dxa"/>
            </w:tcMar>
            <w:vAlign w:val="bottom"/>
          </w:tcPr>
          <w:p>
            <w:pPr>
              <w:pStyle w:val="TableContents"/>
              <w:spacing w:before="0" w:after="283"/>
              <w:jc w:val="right"/>
              <w:rPr/>
            </w:pPr>
            <w:r>
              <w:rPr/>
              <w:t>90,000</w:t>
            </w:r>
          </w:p>
        </w:tc>
        <w:tc>
          <w:tcPr>
            <w:tcW w:w="123"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Applicable to the Corporate Governance Committee and Safety, Sustainability and Technology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Applicable to the Compensation and Talent Development Committee; Corporate Governance Committee; Safety, Sustainability and Technology Committee and Executive Committee. </w:t>
            </w:r>
          </w:p>
        </w:tc>
      </w:tr>
    </w:tbl>
    <w:p>
      <w:pPr>
        <w:pStyle w:val="TextBody"/>
        <w:spacing w:before="360" w:after="0"/>
        <w:jc w:val="left"/>
        <w:rPr>
          <w:rFonts w:ascii="arial" w:hAnsi="arial"/>
          <w:sz w:val="28"/>
        </w:rPr>
      </w:pPr>
      <w:r>
        <w:rPr>
          <w:rFonts w:ascii="arial" w:hAnsi="arial"/>
          <w:sz w:val="28"/>
        </w:rPr>
        <w:t xml:space="preserve">Retainers </w:t>
      </w:r>
    </w:p>
    <w:p>
      <w:pPr>
        <w:pStyle w:val="TextBody"/>
        <w:pBdr>
          <w:bottom w:val="single" w:sz="2" w:space="1" w:color="001C71"/>
        </w:pBdr>
        <w:spacing w:lineRule="atLeast" w:line="180" w:before="0" w:after="40"/>
        <w:jc w:val="left"/>
        <w:rPr/>
      </w:pPr>
      <w:r>
        <w:rPr/>
        <w:t> </w:t>
      </w:r>
    </w:p>
    <w:p>
      <w:pPr>
        <w:pStyle w:val="TextBody"/>
        <w:spacing w:before="0" w:after="0"/>
        <w:jc w:val="left"/>
        <w:rPr/>
      </w:pPr>
      <w:r>
        <w:rPr/>
        <w:t> </w:t>
      </w:r>
    </w:p>
    <w:p>
      <w:pPr>
        <w:pStyle w:val="TextBody"/>
        <w:spacing w:before="40" w:after="0"/>
        <w:jc w:val="left"/>
        <w:rPr>
          <w:rFonts w:ascii="arial" w:hAnsi="arial"/>
          <w:sz w:val="16"/>
        </w:rPr>
      </w:pPr>
      <w:r>
        <w:rPr>
          <w:rFonts w:ascii="arial" w:hAnsi="arial"/>
          <w:sz w:val="16"/>
        </w:rPr>
        <w:t xml:space="preserve">Directors who are not employees of Sempra Energy received annual retainers in 2020 as set forth in the table above. Directors could elect to receive their retainer in cash or to defer it into phantom investment funds (including a fund for which interest is credited at the higher of 110% of the Moodys Corporate Bond Yield Average or the Moodys Corporate Bond Yield Average plus 1%) or phantom shares of our common stock. </w:t>
      </w:r>
    </w:p>
    <w:p>
      <w:pPr>
        <w:pStyle w:val="TextBody"/>
        <w:spacing w:before="360" w:after="0"/>
        <w:jc w:val="left"/>
        <w:rPr>
          <w:rFonts w:ascii="arial" w:hAnsi="arial"/>
          <w:sz w:val="28"/>
        </w:rPr>
      </w:pPr>
      <w:r>
        <w:rPr>
          <w:rFonts w:ascii="arial" w:hAnsi="arial"/>
          <w:sz w:val="28"/>
        </w:rPr>
        <w:t xml:space="preserve">Equity </w:t>
      </w:r>
    </w:p>
    <w:p>
      <w:pPr>
        <w:pStyle w:val="TextBody"/>
        <w:pBdr>
          <w:bottom w:val="single" w:sz="2" w:space="1" w:color="001C71"/>
        </w:pBdr>
        <w:spacing w:lineRule="atLeast" w:line="180" w:before="0" w:after="40"/>
        <w:jc w:val="left"/>
        <w:rPr/>
      </w:pPr>
      <w:r>
        <w:rPr/>
        <w:t> </w:t>
      </w:r>
    </w:p>
    <w:p>
      <w:pPr>
        <w:pStyle w:val="TextBody"/>
        <w:spacing w:before="0" w:after="0"/>
        <w:jc w:val="left"/>
        <w:rPr/>
      </w:pPr>
      <w:r>
        <w:rPr/>
        <w:t> </w:t>
      </w:r>
    </w:p>
    <w:p>
      <w:pPr>
        <w:pStyle w:val="TextBody"/>
        <w:spacing w:before="40" w:after="0"/>
        <w:jc w:val="left"/>
        <w:rPr>
          <w:rFonts w:ascii="arial" w:hAnsi="arial"/>
          <w:sz w:val="16"/>
        </w:rPr>
      </w:pPr>
      <w:r>
        <w:rPr>
          <w:rFonts w:ascii="arial" w:hAnsi="arial"/>
          <w:sz w:val="16"/>
        </w:rPr>
        <w:t xml:space="preserve">Each quarter in 2020, non-employee directors were credited with a number of vested phantom shares of our common stock having a market value of $12,500, which we refer to as Mandatory Deferred Equity, and are required to hold these phantom shares until retirement or other separation from the board. Following the directors retirement or other separation from the board, the current market value of the shares credited to the directors account (together with related reinvested dividend equivalents) is paid to the director in cash. Directors also received initial or annual equity awards, which are described below. Directors could elect to receive the initial and annual equity awards in the form of restricted stock units or phantom shares of our common stock. </w:t>
      </w:r>
    </w:p>
    <w:p>
      <w:pPr>
        <w:pStyle w:val="TextBody"/>
        <w:spacing w:before="160" w:after="0"/>
        <w:jc w:val="left"/>
        <w:rPr>
          <w:rFonts w:ascii="arial" w:hAnsi="arial"/>
          <w:sz w:val="16"/>
        </w:rPr>
      </w:pPr>
      <w:r>
        <w:rPr>
          <w:rFonts w:ascii="arial" w:hAnsi="arial"/>
          <w:sz w:val="16"/>
        </w:rPr>
        <w:t xml:space="preserve">In our 2020 director compensation program, any newly appointed non-employee director would have received an initial equity award of restricted stock units or phantom shares of our common stock having a market value of $90,000 and vesting (together with related reinvested dividend equivalents) on the first anniversary of the grant date. Thereafter, at each annual shareholders meeting (other than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20</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the annual meeting in the same calendar year as the directors initial appointment to the board), each non-employee director who continues to serve as a director receives a grant of restricted stock units or phantom shares of our common stock that, in our 2020 director compensation program, had a market value of $90,000 and vests (together with related reinvested dividend equivalents) on the date of the next annual shareholders meeting. </w:t>
      </w:r>
    </w:p>
    <w:p>
      <w:pPr>
        <w:pStyle w:val="TextBody"/>
        <w:spacing w:before="160" w:after="0"/>
        <w:jc w:val="left"/>
        <w:rPr>
          <w:rFonts w:ascii="arial" w:hAnsi="arial"/>
          <w:sz w:val="16"/>
        </w:rPr>
      </w:pPr>
      <w:r>
        <w:rPr>
          <w:rFonts w:ascii="arial" w:hAnsi="arial"/>
          <w:sz w:val="16"/>
        </w:rPr>
        <w:t xml:space="preserve">Unvested restricted stock units or phantom shares of our common stock immediately vest if the directors service on the board terminates by reason of death, disability or removal without cause. Upon any other termination event, all unvested units or phantom shares are forfeited. </w:t>
      </w:r>
    </w:p>
    <w:p>
      <w:pPr>
        <w:pStyle w:val="TextBody"/>
        <w:spacing w:before="360" w:after="0"/>
        <w:jc w:val="left"/>
        <w:rPr>
          <w:rFonts w:ascii="arial" w:hAnsi="arial"/>
          <w:sz w:val="28"/>
        </w:rPr>
      </w:pPr>
      <w:r>
        <w:rPr>
          <w:rFonts w:ascii="arial" w:hAnsi="arial"/>
          <w:sz w:val="28"/>
        </w:rPr>
        <w:t xml:space="preserve">Director Compensation Table </w:t>
      </w:r>
    </w:p>
    <w:p>
      <w:pPr>
        <w:pStyle w:val="TextBody"/>
        <w:pBdr>
          <w:bottom w:val="single" w:sz="2" w:space="1" w:color="001C71"/>
        </w:pBdr>
        <w:spacing w:lineRule="atLeast" w:line="180" w:before="0" w:after="40"/>
        <w:jc w:val="left"/>
        <w:rPr/>
      </w:pPr>
      <w:r>
        <w:rPr/>
        <w:t> </w:t>
      </w:r>
    </w:p>
    <w:p>
      <w:pPr>
        <w:pStyle w:val="TextBody"/>
        <w:spacing w:before="0" w:after="0"/>
        <w:jc w:val="left"/>
        <w:rPr/>
      </w:pPr>
      <w:r>
        <w:rPr/>
        <w:t> </w:t>
      </w:r>
    </w:p>
    <w:p>
      <w:pPr>
        <w:pStyle w:val="TextBody"/>
        <w:spacing w:before="40" w:after="0"/>
        <w:jc w:val="left"/>
        <w:rPr>
          <w:rFonts w:ascii="arial" w:hAnsi="arial"/>
          <w:sz w:val="16"/>
        </w:rPr>
      </w:pPr>
      <w:r>
        <w:rPr>
          <w:rFonts w:ascii="arial" w:hAnsi="arial"/>
          <w:sz w:val="16"/>
        </w:rPr>
        <w:t xml:space="preserve">We summarize below the 2020 compensation of our non-employee directors who served on our board during the year. </w:t>
      </w:r>
    </w:p>
    <w:p>
      <w:pPr>
        <w:pStyle w:val="TextBody"/>
        <w:spacing w:before="120" w:after="0"/>
        <w:jc w:val="left"/>
        <w:rPr>
          <w:rFonts w:ascii="arial" w:hAnsi="arial"/>
          <w:color w:val="001C71"/>
          <w:sz w:val="18"/>
        </w:rPr>
      </w:pPr>
      <w:r>
        <w:rPr>
          <w:rFonts w:ascii="arial" w:hAnsi="arial"/>
          <w:color w:val="001C71"/>
          <w:sz w:val="18"/>
        </w:rPr>
        <w:t xml:space="preserve">2020 DIRECTOR COMPENSATION TABLE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58"/>
        <w:gridCol w:w="251"/>
        <w:gridCol w:w="73"/>
        <w:gridCol w:w="1151"/>
        <w:gridCol w:w="60"/>
        <w:gridCol w:w="432"/>
        <w:gridCol w:w="140"/>
        <w:gridCol w:w="801"/>
        <w:gridCol w:w="60"/>
        <w:gridCol w:w="251"/>
        <w:gridCol w:w="146"/>
        <w:gridCol w:w="1999"/>
        <w:gridCol w:w="60"/>
        <w:gridCol w:w="275"/>
        <w:gridCol w:w="83"/>
        <w:gridCol w:w="1128"/>
        <w:gridCol w:w="60"/>
        <w:gridCol w:w="227"/>
        <w:gridCol w:w="140"/>
        <w:gridCol w:w="801"/>
        <w:gridCol w:w="109"/>
      </w:tblGrid>
      <w:tr>
        <w:trPr/>
        <w:tc>
          <w:tcPr>
            <w:tcW w:w="195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1958" w:type="dxa"/>
            <w:tcBorders/>
            <w:shd w:fill="001C71" w:val="clear"/>
            <w:vAlign w:val="center"/>
          </w:tcPr>
          <w:p>
            <w:pPr>
              <w:pStyle w:val="TableContents"/>
              <w:spacing w:before="0" w:after="283"/>
              <w:rPr>
                <w:sz w:val="4"/>
                <w:szCs w:val="4"/>
              </w:rPr>
            </w:pPr>
            <w:r>
              <w:rPr>
                <w:sz w:val="4"/>
                <w:szCs w:val="4"/>
              </w:rPr>
            </w:r>
          </w:p>
        </w:tc>
        <w:tc>
          <w:tcPr>
            <w:tcW w:w="1535" w:type="dxa"/>
            <w:gridSpan w:val="4"/>
            <w:tcBorders/>
            <w:shd w:fill="001C71" w:val="clear"/>
            <w:vAlign w:val="center"/>
          </w:tcPr>
          <w:p>
            <w:pPr>
              <w:pStyle w:val="TableContents"/>
              <w:spacing w:before="0" w:after="283"/>
              <w:rPr>
                <w:sz w:val="4"/>
                <w:szCs w:val="4"/>
              </w:rPr>
            </w:pPr>
            <w:r>
              <w:rPr>
                <w:sz w:val="4"/>
                <w:szCs w:val="4"/>
              </w:rPr>
            </w:r>
          </w:p>
        </w:tc>
        <w:tc>
          <w:tcPr>
            <w:tcW w:w="1433" w:type="dxa"/>
            <w:gridSpan w:val="4"/>
            <w:tcBorders/>
            <w:shd w:fill="001C71" w:val="clear"/>
            <w:vAlign w:val="center"/>
          </w:tcPr>
          <w:p>
            <w:pPr>
              <w:pStyle w:val="TableContents"/>
              <w:spacing w:before="0" w:after="283"/>
              <w:rPr>
                <w:sz w:val="4"/>
                <w:szCs w:val="4"/>
              </w:rPr>
            </w:pPr>
            <w:r>
              <w:rPr>
                <w:sz w:val="4"/>
                <w:szCs w:val="4"/>
              </w:rPr>
            </w:r>
          </w:p>
        </w:tc>
        <w:tc>
          <w:tcPr>
            <w:tcW w:w="2456" w:type="dxa"/>
            <w:gridSpan w:val="4"/>
            <w:tcBorders/>
            <w:shd w:fill="001C71" w:val="clear"/>
            <w:vAlign w:val="center"/>
          </w:tcPr>
          <w:p>
            <w:pPr>
              <w:pStyle w:val="TableContents"/>
              <w:spacing w:before="0" w:after="283"/>
              <w:rPr>
                <w:sz w:val="4"/>
                <w:szCs w:val="4"/>
              </w:rPr>
            </w:pPr>
            <w:r>
              <w:rPr>
                <w:sz w:val="4"/>
                <w:szCs w:val="4"/>
              </w:rPr>
            </w:r>
          </w:p>
        </w:tc>
        <w:tc>
          <w:tcPr>
            <w:tcW w:w="1546" w:type="dxa"/>
            <w:gridSpan w:val="4"/>
            <w:tcBorders/>
            <w:shd w:fill="001C71" w:val="clear"/>
            <w:vAlign w:val="center"/>
          </w:tcPr>
          <w:p>
            <w:pPr>
              <w:pStyle w:val="TableContents"/>
              <w:spacing w:before="0" w:after="283"/>
              <w:rPr>
                <w:sz w:val="4"/>
                <w:szCs w:val="4"/>
              </w:rPr>
            </w:pPr>
            <w:r>
              <w:rPr>
                <w:sz w:val="4"/>
                <w:szCs w:val="4"/>
              </w:rPr>
            </w:r>
          </w:p>
        </w:tc>
        <w:tc>
          <w:tcPr>
            <w:tcW w:w="1277" w:type="dxa"/>
            <w:gridSpan w:val="4"/>
            <w:tcBorders/>
            <w:shd w:fill="001C71" w:val="clear"/>
            <w:vAlign w:val="center"/>
          </w:tcPr>
          <w:p>
            <w:pPr>
              <w:pStyle w:val="TableContents"/>
              <w:spacing w:before="0" w:after="283"/>
              <w:rPr>
                <w:sz w:val="4"/>
                <w:szCs w:val="4"/>
              </w:rPr>
            </w:pPr>
            <w:r>
              <w:rPr>
                <w:sz w:val="4"/>
                <w:szCs w:val="4"/>
              </w:rPr>
            </w:r>
          </w:p>
        </w:tc>
      </w:tr>
      <w:tr>
        <w:trPr/>
        <w:tc>
          <w:tcPr>
            <w:tcW w:w="1958" w:type="dxa"/>
            <w:tcBorders/>
            <w:shd w:fill="001C71" w:val="clear"/>
            <w:vAlign w:val="bottom"/>
          </w:tcPr>
          <w:p>
            <w:pPr>
              <w:pStyle w:val="TableContents"/>
              <w:spacing w:before="0" w:after="0"/>
              <w:rPr>
                <w:color w:val="FFFFFF"/>
              </w:rPr>
            </w:pPr>
            <w:r>
              <w:rPr>
                <w:color w:val="FFFFFF"/>
              </w:rPr>
              <w:t>  </w:t>
            </w:r>
          </w:p>
          <w:p>
            <w:pPr>
              <w:pStyle w:val="TableContents"/>
              <w:spacing w:before="0" w:after="20"/>
              <w:rPr/>
            </w:pPr>
            <w:r>
              <w:rPr/>
              <w:t> </w:t>
            </w:r>
          </w:p>
        </w:tc>
        <w:tc>
          <w:tcPr>
            <w:tcW w:w="251" w:type="dxa"/>
            <w:tcBorders/>
            <w:shd w:fill="001C71" w:val="clear"/>
            <w:vAlign w:val="bottom"/>
          </w:tcPr>
          <w:p>
            <w:pPr>
              <w:pStyle w:val="TableContents"/>
              <w:spacing w:before="0" w:after="283"/>
              <w:rPr/>
            </w:pPr>
            <w:r>
              <w:rPr/>
              <w:t>  </w:t>
            </w:r>
          </w:p>
        </w:tc>
        <w:tc>
          <w:tcPr>
            <w:tcW w:w="1224"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Fees Earned or</w:t>
            </w:r>
          </w:p>
          <w:p>
            <w:pPr>
              <w:pStyle w:val="TableContents"/>
              <w:spacing w:before="0" w:after="0"/>
              <w:jc w:val="center"/>
              <w:rPr>
                <w:rFonts w:ascii="arial" w:hAnsi="arial"/>
                <w:b/>
                <w:color w:val="FFFFFF"/>
                <w:sz w:val="16"/>
              </w:rPr>
            </w:pPr>
            <w:r>
              <w:rPr>
                <w:rFonts w:ascii="arial" w:hAnsi="arial"/>
                <w:b/>
                <w:color w:val="FFFFFF"/>
                <w:sz w:val="16"/>
              </w:rPr>
              <w:t>Paid in Cash</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432" w:type="dxa"/>
            <w:tcBorders/>
            <w:shd w:fill="001C71" w:val="clear"/>
            <w:vAlign w:val="bottom"/>
          </w:tcPr>
          <w:p>
            <w:pPr>
              <w:pStyle w:val="TableContents"/>
              <w:spacing w:before="0" w:after="283"/>
              <w:rPr/>
            </w:pPr>
            <w:r>
              <w:rPr/>
              <w:t>    </w:t>
            </w:r>
          </w:p>
        </w:tc>
        <w:tc>
          <w:tcPr>
            <w:tcW w:w="941"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Stock</w:t>
              <w:br/>
              <w:t>Awards</w:t>
            </w:r>
          </w:p>
          <w:p>
            <w:pPr>
              <w:pStyle w:val="TableContents"/>
              <w:spacing w:before="0" w:after="0"/>
              <w:jc w:val="center"/>
              <w:rPr>
                <w:rFonts w:ascii="arial" w:hAnsi="arial"/>
                <w:b/>
                <w:color w:val="FFFFFF"/>
                <w:sz w:val="16"/>
              </w:rPr>
            </w:pPr>
            <w:r>
              <w:rPr>
                <w:rFonts w:ascii="arial" w:hAnsi="arial"/>
                <w:b/>
                <w:color w:val="FFFFFF"/>
                <w:sz w:val="16"/>
              </w:rPr>
              <w:t>(B)</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251" w:type="dxa"/>
            <w:tcBorders/>
            <w:shd w:fill="001C71" w:val="clear"/>
            <w:vAlign w:val="bottom"/>
          </w:tcPr>
          <w:p>
            <w:pPr>
              <w:pStyle w:val="TableContents"/>
              <w:spacing w:before="0" w:after="283"/>
              <w:rPr/>
            </w:pPr>
            <w:r>
              <w:rPr/>
              <w:t>  </w:t>
            </w:r>
          </w:p>
        </w:tc>
        <w:tc>
          <w:tcPr>
            <w:tcW w:w="2145"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Change in Pension Value</w:t>
              <w:br/>
              <w:t>and Nonqualified Deferred</w:t>
            </w:r>
          </w:p>
          <w:p>
            <w:pPr>
              <w:pStyle w:val="TableContents"/>
              <w:spacing w:before="0" w:after="0"/>
              <w:jc w:val="center"/>
              <w:rPr>
                <w:rFonts w:ascii="arial" w:hAnsi="arial"/>
                <w:b/>
                <w:color w:val="FFFFFF"/>
                <w:sz w:val="16"/>
              </w:rPr>
            </w:pPr>
            <w:r>
              <w:rPr>
                <w:rFonts w:ascii="arial" w:hAnsi="arial"/>
                <w:b/>
                <w:color w:val="FFFFFF"/>
                <w:sz w:val="16"/>
              </w:rPr>
              <w:t>Compensation Earnings</w:t>
            </w:r>
          </w:p>
          <w:p>
            <w:pPr>
              <w:pStyle w:val="TableContents"/>
              <w:spacing w:before="0" w:after="0"/>
              <w:jc w:val="center"/>
              <w:rPr>
                <w:rFonts w:ascii="arial" w:hAnsi="arial"/>
                <w:b/>
                <w:color w:val="FFFFFF"/>
                <w:sz w:val="16"/>
              </w:rPr>
            </w:pPr>
            <w:r>
              <w:rPr>
                <w:rFonts w:ascii="arial" w:hAnsi="arial"/>
                <w:b/>
                <w:color w:val="FFFFFF"/>
                <w:sz w:val="16"/>
              </w:rPr>
              <w:t>(C)</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275" w:type="dxa"/>
            <w:tcBorders/>
            <w:shd w:fill="001C71" w:val="clear"/>
            <w:vAlign w:val="bottom"/>
          </w:tcPr>
          <w:p>
            <w:pPr>
              <w:pStyle w:val="TableContents"/>
              <w:spacing w:before="0" w:after="283"/>
              <w:rPr/>
            </w:pPr>
            <w:r>
              <w:rPr/>
              <w:t>  </w:t>
            </w:r>
          </w:p>
        </w:tc>
        <w:tc>
          <w:tcPr>
            <w:tcW w:w="1211"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All Other</w:t>
            </w:r>
          </w:p>
          <w:p>
            <w:pPr>
              <w:pStyle w:val="TableContents"/>
              <w:spacing w:before="0" w:after="0"/>
              <w:jc w:val="center"/>
              <w:rPr>
                <w:rFonts w:ascii="arial" w:hAnsi="arial"/>
                <w:b/>
                <w:color w:val="FFFFFF"/>
                <w:sz w:val="16"/>
              </w:rPr>
            </w:pPr>
            <w:r>
              <w:rPr>
                <w:rFonts w:ascii="arial" w:hAnsi="arial"/>
                <w:b/>
                <w:color w:val="FFFFFF"/>
                <w:sz w:val="16"/>
              </w:rPr>
              <w:t>Compensation</w:t>
            </w:r>
          </w:p>
          <w:p>
            <w:pPr>
              <w:pStyle w:val="TableContents"/>
              <w:spacing w:before="0" w:after="0"/>
              <w:jc w:val="center"/>
              <w:rPr>
                <w:rFonts w:ascii="arial" w:hAnsi="arial"/>
                <w:b/>
                <w:color w:val="FFFFFF"/>
                <w:sz w:val="16"/>
              </w:rPr>
            </w:pPr>
            <w:r>
              <w:rPr>
                <w:rFonts w:ascii="arial" w:hAnsi="arial"/>
                <w:b/>
                <w:color w:val="FFFFFF"/>
                <w:sz w:val="16"/>
              </w:rPr>
              <w:t>(D)</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227" w:type="dxa"/>
            <w:tcBorders/>
            <w:shd w:fill="001C71" w:val="clear"/>
            <w:vAlign w:val="bottom"/>
          </w:tcPr>
          <w:p>
            <w:pPr>
              <w:pStyle w:val="TableContents"/>
              <w:spacing w:before="0" w:after="283"/>
              <w:rPr/>
            </w:pPr>
            <w:r>
              <w:rPr/>
              <w:t>  </w:t>
            </w:r>
          </w:p>
        </w:tc>
        <w:tc>
          <w:tcPr>
            <w:tcW w:w="941"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Total</w:t>
            </w:r>
          </w:p>
          <w:p>
            <w:pPr>
              <w:pStyle w:val="TableContents"/>
              <w:spacing w:before="0" w:after="20"/>
              <w:jc w:val="left"/>
              <w:rPr/>
            </w:pPr>
            <w:r>
              <w:rPr/>
              <w:t> </w:t>
            </w:r>
          </w:p>
        </w:tc>
        <w:tc>
          <w:tcPr>
            <w:tcW w:w="109" w:type="dxa"/>
            <w:tcBorders/>
            <w:shd w:fill="001C71" w:val="clear"/>
            <w:vAlign w:val="bottom"/>
          </w:tcPr>
          <w:p>
            <w:pPr>
              <w:pStyle w:val="TableContents"/>
              <w:spacing w:before="0" w:after="283"/>
              <w:rPr/>
            </w:pPr>
            <w:r>
              <w:rPr/>
              <w:t> </w:t>
            </w:r>
          </w:p>
        </w:tc>
      </w:tr>
      <w:tr>
        <w:trPr>
          <w:trHeight w:val="75" w:hRule="atLeast"/>
        </w:trPr>
        <w:tc>
          <w:tcPr>
            <w:tcW w:w="1958" w:type="dxa"/>
            <w:tcBorders/>
            <w:shd w:fill="E5E5E5" w:val="clear"/>
            <w:vAlign w:val="center"/>
          </w:tcPr>
          <w:p>
            <w:pPr>
              <w:pStyle w:val="TableContents"/>
              <w:spacing w:before="0" w:after="283"/>
              <w:rPr>
                <w:sz w:val="4"/>
                <w:szCs w:val="4"/>
              </w:rPr>
            </w:pPr>
            <w:r>
              <w:rPr>
                <w:sz w:val="4"/>
                <w:szCs w:val="4"/>
              </w:rPr>
            </w:r>
          </w:p>
        </w:tc>
        <w:tc>
          <w:tcPr>
            <w:tcW w:w="1535" w:type="dxa"/>
            <w:gridSpan w:val="4"/>
            <w:tcBorders/>
            <w:shd w:fill="E5E5E5" w:val="clear"/>
            <w:vAlign w:val="center"/>
          </w:tcPr>
          <w:p>
            <w:pPr>
              <w:pStyle w:val="TableContents"/>
              <w:spacing w:before="0" w:after="283"/>
              <w:rPr>
                <w:sz w:val="4"/>
                <w:szCs w:val="4"/>
              </w:rPr>
            </w:pPr>
            <w:r>
              <w:rPr>
                <w:sz w:val="4"/>
                <w:szCs w:val="4"/>
              </w:rPr>
            </w:r>
          </w:p>
        </w:tc>
        <w:tc>
          <w:tcPr>
            <w:tcW w:w="1433" w:type="dxa"/>
            <w:gridSpan w:val="4"/>
            <w:tcBorders/>
            <w:shd w:fill="E5E5E5" w:val="clear"/>
            <w:vAlign w:val="center"/>
          </w:tcPr>
          <w:p>
            <w:pPr>
              <w:pStyle w:val="TableContents"/>
              <w:spacing w:before="0" w:after="283"/>
              <w:rPr>
                <w:sz w:val="4"/>
                <w:szCs w:val="4"/>
              </w:rPr>
            </w:pPr>
            <w:r>
              <w:rPr>
                <w:sz w:val="4"/>
                <w:szCs w:val="4"/>
              </w:rPr>
            </w:r>
          </w:p>
        </w:tc>
        <w:tc>
          <w:tcPr>
            <w:tcW w:w="2456" w:type="dxa"/>
            <w:gridSpan w:val="4"/>
            <w:tcBorders/>
            <w:shd w:fill="E5E5E5" w:val="clear"/>
            <w:vAlign w:val="center"/>
          </w:tcPr>
          <w:p>
            <w:pPr>
              <w:pStyle w:val="TableContents"/>
              <w:spacing w:before="0" w:after="283"/>
              <w:rPr>
                <w:sz w:val="4"/>
                <w:szCs w:val="4"/>
              </w:rPr>
            </w:pPr>
            <w:r>
              <w:rPr>
                <w:sz w:val="4"/>
                <w:szCs w:val="4"/>
              </w:rPr>
            </w:r>
          </w:p>
        </w:tc>
        <w:tc>
          <w:tcPr>
            <w:tcW w:w="1546" w:type="dxa"/>
            <w:gridSpan w:val="4"/>
            <w:tcBorders/>
            <w:shd w:fill="E5E5E5" w:val="clear"/>
            <w:vAlign w:val="center"/>
          </w:tcPr>
          <w:p>
            <w:pPr>
              <w:pStyle w:val="TableContents"/>
              <w:spacing w:before="0" w:after="283"/>
              <w:rPr>
                <w:sz w:val="4"/>
                <w:szCs w:val="4"/>
              </w:rPr>
            </w:pPr>
            <w:r>
              <w:rPr>
                <w:sz w:val="4"/>
                <w:szCs w:val="4"/>
              </w:rPr>
            </w:r>
          </w:p>
        </w:tc>
        <w:tc>
          <w:tcPr>
            <w:tcW w:w="1277" w:type="dxa"/>
            <w:gridSpan w:val="4"/>
            <w:tcBorders/>
            <w:shd w:fill="E5E5E5" w:val="clear"/>
            <w:vAlign w:val="center"/>
          </w:tcPr>
          <w:p>
            <w:pPr>
              <w:pStyle w:val="TableContents"/>
              <w:spacing w:before="0" w:after="283"/>
              <w:rPr>
                <w:sz w:val="4"/>
                <w:szCs w:val="4"/>
              </w:rPr>
            </w:pPr>
            <w:r>
              <w:rPr>
                <w:sz w:val="4"/>
                <w:szCs w:val="4"/>
              </w:rPr>
            </w:r>
          </w:p>
        </w:tc>
      </w:tr>
      <w:tr>
        <w:trPr/>
        <w:tc>
          <w:tcPr>
            <w:tcW w:w="1958" w:type="dxa"/>
            <w:tcBorders/>
            <w:shd w:fill="E5E5E5" w:val="clear"/>
          </w:tcPr>
          <w:p>
            <w:pPr>
              <w:pStyle w:val="TableContents"/>
              <w:spacing w:before="0" w:after="0"/>
              <w:rPr>
                <w:rFonts w:ascii="arial" w:hAnsi="arial"/>
                <w:sz w:val="16"/>
              </w:rPr>
            </w:pPr>
            <w:r>
              <w:rPr>
                <w:rFonts w:ascii="arial" w:hAnsi="arial"/>
                <w:sz w:val="16"/>
              </w:rPr>
              <w:t>Alan L. Boeckmann</w:t>
            </w:r>
          </w:p>
        </w:tc>
        <w:tc>
          <w:tcPr>
            <w:tcW w:w="251"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1151" w:type="dxa"/>
            <w:tcBorders/>
            <w:shd w:fill="E5E5E5" w:val="clear"/>
            <w:vAlign w:val="bottom"/>
          </w:tcPr>
          <w:p>
            <w:pPr>
              <w:pStyle w:val="TableContents"/>
              <w:spacing w:before="0" w:after="283"/>
              <w:jc w:val="right"/>
              <w:rPr/>
            </w:pPr>
            <w:r>
              <w:rPr/>
              <w:t>$  95,000</w:t>
            </w:r>
          </w:p>
        </w:tc>
        <w:tc>
          <w:tcPr>
            <w:tcW w:w="60" w:type="dxa"/>
            <w:tcBorders/>
            <w:shd w:fill="E5E5E5" w:val="clear"/>
            <w:vAlign w:val="bottom"/>
          </w:tcPr>
          <w:p>
            <w:pPr>
              <w:pStyle w:val="TableContents"/>
              <w:spacing w:before="0" w:after="283"/>
              <w:rPr/>
            </w:pPr>
            <w:r>
              <w:rPr/>
              <w:t> </w:t>
            </w:r>
          </w:p>
        </w:tc>
        <w:tc>
          <w:tcPr>
            <w:tcW w:w="43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140,000</w:t>
            </w:r>
          </w:p>
        </w:tc>
        <w:tc>
          <w:tcPr>
            <w:tcW w:w="60" w:type="dxa"/>
            <w:tcBorders/>
            <w:shd w:fill="E5E5E5" w:val="clear"/>
            <w:vAlign w:val="bottom"/>
          </w:tcPr>
          <w:p>
            <w:pPr>
              <w:pStyle w:val="TableContents"/>
              <w:spacing w:before="0" w:after="283"/>
              <w:rPr/>
            </w:pPr>
            <w:r>
              <w:rPr/>
              <w:t> </w:t>
            </w:r>
          </w:p>
        </w:tc>
        <w:tc>
          <w:tcPr>
            <w:tcW w:w="25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999" w:type="dxa"/>
            <w:tcBorders/>
            <w:shd w:fill="E5E5E5" w:val="clear"/>
            <w:vAlign w:val="bottom"/>
          </w:tcPr>
          <w:p>
            <w:pPr>
              <w:pStyle w:val="TableContents"/>
              <w:spacing w:before="0" w:after="283"/>
              <w:jc w:val="right"/>
              <w:rPr/>
            </w:pPr>
            <w:r>
              <w:rPr/>
              <w:t>$     515</w:t>
            </w:r>
          </w:p>
        </w:tc>
        <w:tc>
          <w:tcPr>
            <w:tcW w:w="60" w:type="dxa"/>
            <w:tcBorders/>
            <w:shd w:fill="E5E5E5" w:val="clear"/>
            <w:vAlign w:val="bottom"/>
          </w:tcPr>
          <w:p>
            <w:pPr>
              <w:pStyle w:val="TableContents"/>
              <w:spacing w:before="0" w:after="283"/>
              <w:rPr/>
            </w:pPr>
            <w:r>
              <w:rPr/>
              <w:t> </w:t>
            </w:r>
          </w:p>
        </w:tc>
        <w:tc>
          <w:tcPr>
            <w:tcW w:w="275"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1128" w:type="dxa"/>
            <w:tcBorders/>
            <w:shd w:fill="E5E5E5" w:val="clear"/>
            <w:vAlign w:val="bottom"/>
          </w:tcPr>
          <w:p>
            <w:pPr>
              <w:pStyle w:val="TableContents"/>
              <w:spacing w:before="0" w:after="283"/>
              <w:jc w:val="right"/>
              <w:rPr/>
            </w:pPr>
            <w:r>
              <w:rPr/>
              <w:t>$20,000</w:t>
            </w:r>
          </w:p>
        </w:tc>
        <w:tc>
          <w:tcPr>
            <w:tcW w:w="60" w:type="dxa"/>
            <w:tcBorders/>
            <w:shd w:fill="E5E5E5" w:val="clear"/>
            <w:vAlign w:val="bottom"/>
          </w:tcPr>
          <w:p>
            <w:pPr>
              <w:pStyle w:val="TableContents"/>
              <w:spacing w:before="0" w:after="283"/>
              <w:rPr/>
            </w:pPr>
            <w:r>
              <w:rPr/>
              <w:t> </w:t>
            </w:r>
          </w:p>
        </w:tc>
        <w:tc>
          <w:tcPr>
            <w:tcW w:w="2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255,515</w:t>
            </w:r>
          </w:p>
        </w:tc>
        <w:tc>
          <w:tcPr>
            <w:tcW w:w="109" w:type="dxa"/>
            <w:tcBorders/>
            <w:shd w:fill="E5E5E5" w:val="clear"/>
            <w:vAlign w:val="bottom"/>
          </w:tcPr>
          <w:p>
            <w:pPr>
              <w:pStyle w:val="TableContents"/>
              <w:spacing w:before="0" w:after="283"/>
              <w:rPr/>
            </w:pPr>
            <w:r>
              <w:rPr/>
              <w:t> </w:t>
            </w:r>
          </w:p>
        </w:tc>
      </w:tr>
      <w:tr>
        <w:trPr>
          <w:trHeight w:val="75" w:hRule="atLeast"/>
        </w:trPr>
        <w:tc>
          <w:tcPr>
            <w:tcW w:w="1958" w:type="dxa"/>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2456" w:type="dxa"/>
            <w:gridSpan w:val="4"/>
            <w:tcBorders/>
            <w:shd w:fill="auto" w:val="clear"/>
            <w:vAlign w:val="center"/>
          </w:tcPr>
          <w:p>
            <w:pPr>
              <w:pStyle w:val="TableContents"/>
              <w:spacing w:before="0" w:after="283"/>
              <w:rPr>
                <w:sz w:val="4"/>
                <w:szCs w:val="4"/>
              </w:rPr>
            </w:pPr>
            <w:r>
              <w:rPr>
                <w:sz w:val="4"/>
                <w:szCs w:val="4"/>
              </w:rPr>
            </w:r>
          </w:p>
        </w:tc>
        <w:tc>
          <w:tcPr>
            <w:tcW w:w="1546" w:type="dxa"/>
            <w:gridSpan w:val="4"/>
            <w:tcBorders/>
            <w:shd w:fill="auto" w:val="clear"/>
            <w:vAlign w:val="center"/>
          </w:tcPr>
          <w:p>
            <w:pPr>
              <w:pStyle w:val="TableContents"/>
              <w:spacing w:before="0" w:after="283"/>
              <w:rPr>
                <w:sz w:val="4"/>
                <w:szCs w:val="4"/>
              </w:rPr>
            </w:pPr>
            <w:r>
              <w:rPr>
                <w:sz w:val="4"/>
                <w:szCs w:val="4"/>
              </w:rPr>
            </w:r>
          </w:p>
        </w:tc>
        <w:tc>
          <w:tcPr>
            <w:tcW w:w="1277" w:type="dxa"/>
            <w:gridSpan w:val="4"/>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0"/>
              <w:rPr>
                <w:rFonts w:ascii="arial" w:hAnsi="arial"/>
                <w:sz w:val="16"/>
              </w:rPr>
            </w:pPr>
            <w:r>
              <w:rPr>
                <w:rFonts w:ascii="arial" w:hAnsi="arial"/>
                <w:sz w:val="16"/>
              </w:rPr>
              <w:t>Kathleen L. Brown</w:t>
            </w:r>
          </w:p>
        </w:tc>
        <w:tc>
          <w:tcPr>
            <w:tcW w:w="25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$115,000</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140,060</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999" w:type="dxa"/>
            <w:tcBorders/>
            <w:shd w:fill="auto" w:val="clear"/>
            <w:vAlign w:val="bottom"/>
          </w:tcPr>
          <w:p>
            <w:pPr>
              <w:pStyle w:val="TableContents"/>
              <w:spacing w:before="0" w:after="283"/>
              <w:jc w:val="right"/>
              <w:rPr/>
            </w:pPr>
            <w:r>
              <w:rPr/>
              <w:t>        </w:t>
            </w:r>
            <w:r>
              <w:rPr/>
              <w:t></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$25,000</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280,060</w:t>
            </w:r>
          </w:p>
        </w:tc>
        <w:tc>
          <w:tcPr>
            <w:tcW w:w="109" w:type="dxa"/>
            <w:tcBorders/>
            <w:shd w:fill="auto" w:val="clear"/>
            <w:vAlign w:val="bottom"/>
          </w:tcPr>
          <w:p>
            <w:pPr>
              <w:pStyle w:val="TableContents"/>
              <w:spacing w:before="0" w:after="283"/>
              <w:rPr/>
            </w:pPr>
            <w:r>
              <w:rPr/>
              <w:t> </w:t>
            </w:r>
          </w:p>
        </w:tc>
      </w:tr>
      <w:tr>
        <w:trPr>
          <w:trHeight w:val="75" w:hRule="atLeast"/>
        </w:trPr>
        <w:tc>
          <w:tcPr>
            <w:tcW w:w="1958" w:type="dxa"/>
            <w:tcBorders/>
            <w:shd w:fill="E5E5E5" w:val="clear"/>
            <w:vAlign w:val="center"/>
          </w:tcPr>
          <w:p>
            <w:pPr>
              <w:pStyle w:val="TableContents"/>
              <w:spacing w:before="0" w:after="283"/>
              <w:rPr>
                <w:sz w:val="4"/>
                <w:szCs w:val="4"/>
              </w:rPr>
            </w:pPr>
            <w:r>
              <w:rPr>
                <w:sz w:val="4"/>
                <w:szCs w:val="4"/>
              </w:rPr>
            </w:r>
          </w:p>
        </w:tc>
        <w:tc>
          <w:tcPr>
            <w:tcW w:w="1535" w:type="dxa"/>
            <w:gridSpan w:val="4"/>
            <w:tcBorders/>
            <w:shd w:fill="E5E5E5" w:val="clear"/>
            <w:vAlign w:val="center"/>
          </w:tcPr>
          <w:p>
            <w:pPr>
              <w:pStyle w:val="TableContents"/>
              <w:spacing w:before="0" w:after="283"/>
              <w:rPr>
                <w:sz w:val="4"/>
                <w:szCs w:val="4"/>
              </w:rPr>
            </w:pPr>
            <w:r>
              <w:rPr>
                <w:sz w:val="4"/>
                <w:szCs w:val="4"/>
              </w:rPr>
            </w:r>
          </w:p>
        </w:tc>
        <w:tc>
          <w:tcPr>
            <w:tcW w:w="1433" w:type="dxa"/>
            <w:gridSpan w:val="4"/>
            <w:tcBorders/>
            <w:shd w:fill="E5E5E5" w:val="clear"/>
            <w:vAlign w:val="center"/>
          </w:tcPr>
          <w:p>
            <w:pPr>
              <w:pStyle w:val="TableContents"/>
              <w:spacing w:before="0" w:after="283"/>
              <w:rPr>
                <w:sz w:val="4"/>
                <w:szCs w:val="4"/>
              </w:rPr>
            </w:pPr>
            <w:r>
              <w:rPr>
                <w:sz w:val="4"/>
                <w:szCs w:val="4"/>
              </w:rPr>
            </w:r>
          </w:p>
        </w:tc>
        <w:tc>
          <w:tcPr>
            <w:tcW w:w="2456" w:type="dxa"/>
            <w:gridSpan w:val="4"/>
            <w:tcBorders/>
            <w:shd w:fill="E5E5E5" w:val="clear"/>
            <w:vAlign w:val="center"/>
          </w:tcPr>
          <w:p>
            <w:pPr>
              <w:pStyle w:val="TableContents"/>
              <w:spacing w:before="0" w:after="283"/>
              <w:rPr>
                <w:sz w:val="4"/>
                <w:szCs w:val="4"/>
              </w:rPr>
            </w:pPr>
            <w:r>
              <w:rPr>
                <w:sz w:val="4"/>
                <w:szCs w:val="4"/>
              </w:rPr>
            </w:r>
          </w:p>
        </w:tc>
        <w:tc>
          <w:tcPr>
            <w:tcW w:w="1546" w:type="dxa"/>
            <w:gridSpan w:val="4"/>
            <w:tcBorders/>
            <w:shd w:fill="E5E5E5" w:val="clear"/>
            <w:vAlign w:val="center"/>
          </w:tcPr>
          <w:p>
            <w:pPr>
              <w:pStyle w:val="TableContents"/>
              <w:spacing w:before="0" w:after="283"/>
              <w:rPr>
                <w:sz w:val="4"/>
                <w:szCs w:val="4"/>
              </w:rPr>
            </w:pPr>
            <w:r>
              <w:rPr>
                <w:sz w:val="4"/>
                <w:szCs w:val="4"/>
              </w:rPr>
            </w:r>
          </w:p>
        </w:tc>
        <w:tc>
          <w:tcPr>
            <w:tcW w:w="1277" w:type="dxa"/>
            <w:gridSpan w:val="4"/>
            <w:tcBorders/>
            <w:shd w:fill="E5E5E5" w:val="clear"/>
            <w:vAlign w:val="center"/>
          </w:tcPr>
          <w:p>
            <w:pPr>
              <w:pStyle w:val="TableContents"/>
              <w:spacing w:before="0" w:after="283"/>
              <w:rPr>
                <w:sz w:val="4"/>
                <w:szCs w:val="4"/>
              </w:rPr>
            </w:pPr>
            <w:r>
              <w:rPr>
                <w:sz w:val="4"/>
                <w:szCs w:val="4"/>
              </w:rPr>
            </w:r>
          </w:p>
        </w:tc>
      </w:tr>
      <w:tr>
        <w:trPr/>
        <w:tc>
          <w:tcPr>
            <w:tcW w:w="1958" w:type="dxa"/>
            <w:tcBorders/>
            <w:shd w:fill="E5E5E5" w:val="clear"/>
          </w:tcPr>
          <w:p>
            <w:pPr>
              <w:pStyle w:val="TableContents"/>
              <w:spacing w:before="0" w:after="0"/>
              <w:rPr>
                <w:rFonts w:ascii="arial" w:hAnsi="arial"/>
                <w:sz w:val="16"/>
              </w:rPr>
            </w:pPr>
            <w:r>
              <w:rPr>
                <w:rFonts w:ascii="arial" w:hAnsi="arial"/>
                <w:sz w:val="16"/>
              </w:rPr>
              <w:t>Andrés Conesa</w:t>
            </w:r>
          </w:p>
        </w:tc>
        <w:tc>
          <w:tcPr>
            <w:tcW w:w="251"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1151" w:type="dxa"/>
            <w:tcBorders/>
            <w:shd w:fill="E5E5E5" w:val="clear"/>
            <w:vAlign w:val="bottom"/>
          </w:tcPr>
          <w:p>
            <w:pPr>
              <w:pStyle w:val="TableContents"/>
              <w:spacing w:before="0" w:after="283"/>
              <w:jc w:val="right"/>
              <w:rPr/>
            </w:pPr>
            <w:r>
              <w:rPr/>
              <w:t>$131,415</w:t>
            </w:r>
          </w:p>
        </w:tc>
        <w:tc>
          <w:tcPr>
            <w:tcW w:w="60" w:type="dxa"/>
            <w:tcBorders/>
            <w:shd w:fill="E5E5E5" w:val="clear"/>
            <w:vAlign w:val="bottom"/>
          </w:tcPr>
          <w:p>
            <w:pPr>
              <w:pStyle w:val="TableContents"/>
              <w:spacing w:before="0" w:after="283"/>
              <w:rPr/>
            </w:pPr>
            <w:r>
              <w:rPr/>
              <w:t> </w:t>
            </w:r>
          </w:p>
        </w:tc>
        <w:tc>
          <w:tcPr>
            <w:tcW w:w="43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140,060</w:t>
            </w:r>
          </w:p>
        </w:tc>
        <w:tc>
          <w:tcPr>
            <w:tcW w:w="60" w:type="dxa"/>
            <w:tcBorders/>
            <w:shd w:fill="E5E5E5" w:val="clear"/>
            <w:vAlign w:val="bottom"/>
          </w:tcPr>
          <w:p>
            <w:pPr>
              <w:pStyle w:val="TableContents"/>
              <w:spacing w:before="0" w:after="283"/>
              <w:rPr/>
            </w:pPr>
            <w:r>
              <w:rPr/>
              <w:t> </w:t>
            </w:r>
          </w:p>
        </w:tc>
        <w:tc>
          <w:tcPr>
            <w:tcW w:w="25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999"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275"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1128"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2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271,475</w:t>
            </w:r>
          </w:p>
        </w:tc>
        <w:tc>
          <w:tcPr>
            <w:tcW w:w="109" w:type="dxa"/>
            <w:tcBorders/>
            <w:shd w:fill="E5E5E5" w:val="clear"/>
            <w:vAlign w:val="bottom"/>
          </w:tcPr>
          <w:p>
            <w:pPr>
              <w:pStyle w:val="TableContents"/>
              <w:spacing w:before="0" w:after="283"/>
              <w:rPr/>
            </w:pPr>
            <w:r>
              <w:rPr/>
              <w:t> </w:t>
            </w:r>
          </w:p>
        </w:tc>
      </w:tr>
      <w:tr>
        <w:trPr>
          <w:trHeight w:val="75" w:hRule="atLeast"/>
        </w:trPr>
        <w:tc>
          <w:tcPr>
            <w:tcW w:w="1958" w:type="dxa"/>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2456" w:type="dxa"/>
            <w:gridSpan w:val="4"/>
            <w:tcBorders/>
            <w:shd w:fill="auto" w:val="clear"/>
            <w:vAlign w:val="center"/>
          </w:tcPr>
          <w:p>
            <w:pPr>
              <w:pStyle w:val="TableContents"/>
              <w:spacing w:before="0" w:after="283"/>
              <w:rPr>
                <w:sz w:val="4"/>
                <w:szCs w:val="4"/>
              </w:rPr>
            </w:pPr>
            <w:r>
              <w:rPr>
                <w:sz w:val="4"/>
                <w:szCs w:val="4"/>
              </w:rPr>
            </w:r>
          </w:p>
        </w:tc>
        <w:tc>
          <w:tcPr>
            <w:tcW w:w="1546" w:type="dxa"/>
            <w:gridSpan w:val="4"/>
            <w:tcBorders/>
            <w:shd w:fill="auto" w:val="clear"/>
            <w:vAlign w:val="center"/>
          </w:tcPr>
          <w:p>
            <w:pPr>
              <w:pStyle w:val="TableContents"/>
              <w:spacing w:before="0" w:after="283"/>
              <w:rPr>
                <w:sz w:val="4"/>
                <w:szCs w:val="4"/>
              </w:rPr>
            </w:pPr>
            <w:r>
              <w:rPr>
                <w:sz w:val="4"/>
                <w:szCs w:val="4"/>
              </w:rPr>
            </w:r>
          </w:p>
        </w:tc>
        <w:tc>
          <w:tcPr>
            <w:tcW w:w="1277" w:type="dxa"/>
            <w:gridSpan w:val="4"/>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0"/>
              <w:rPr>
                <w:rFonts w:ascii="arial" w:hAnsi="arial"/>
                <w:sz w:val="16"/>
              </w:rPr>
            </w:pPr>
            <w:r>
              <w:rPr>
                <w:rFonts w:ascii="arial" w:hAnsi="arial"/>
                <w:sz w:val="16"/>
              </w:rPr>
              <w:t>Maria Contreras-Sweet</w:t>
            </w:r>
          </w:p>
        </w:tc>
        <w:tc>
          <w:tcPr>
            <w:tcW w:w="25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$115,000</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140,060</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999" w:type="dxa"/>
            <w:tcBorders/>
            <w:shd w:fill="auto" w:val="clear"/>
            <w:vAlign w:val="bottom"/>
          </w:tcPr>
          <w:p>
            <w:pPr>
              <w:pStyle w:val="TableContents"/>
              <w:spacing w:before="0" w:after="283"/>
              <w:jc w:val="right"/>
              <w:rPr/>
            </w:pPr>
            <w:r>
              <w:rPr/>
              <w:t>$     191</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  2,650</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257,901</w:t>
            </w:r>
          </w:p>
        </w:tc>
        <w:tc>
          <w:tcPr>
            <w:tcW w:w="109" w:type="dxa"/>
            <w:tcBorders/>
            <w:shd w:fill="auto" w:val="clear"/>
            <w:vAlign w:val="bottom"/>
          </w:tcPr>
          <w:p>
            <w:pPr>
              <w:pStyle w:val="TableContents"/>
              <w:spacing w:before="0" w:after="283"/>
              <w:rPr/>
            </w:pPr>
            <w:r>
              <w:rPr/>
              <w:t> </w:t>
            </w:r>
          </w:p>
        </w:tc>
      </w:tr>
      <w:tr>
        <w:trPr>
          <w:trHeight w:val="75" w:hRule="atLeast"/>
        </w:trPr>
        <w:tc>
          <w:tcPr>
            <w:tcW w:w="1958" w:type="dxa"/>
            <w:tcBorders/>
            <w:shd w:fill="E5E5E5" w:val="clear"/>
            <w:vAlign w:val="center"/>
          </w:tcPr>
          <w:p>
            <w:pPr>
              <w:pStyle w:val="TableContents"/>
              <w:spacing w:before="0" w:after="283"/>
              <w:rPr>
                <w:sz w:val="4"/>
                <w:szCs w:val="4"/>
              </w:rPr>
            </w:pPr>
            <w:r>
              <w:rPr>
                <w:sz w:val="4"/>
                <w:szCs w:val="4"/>
              </w:rPr>
            </w:r>
          </w:p>
        </w:tc>
        <w:tc>
          <w:tcPr>
            <w:tcW w:w="1535" w:type="dxa"/>
            <w:gridSpan w:val="4"/>
            <w:tcBorders/>
            <w:shd w:fill="E5E5E5" w:val="clear"/>
            <w:vAlign w:val="center"/>
          </w:tcPr>
          <w:p>
            <w:pPr>
              <w:pStyle w:val="TableContents"/>
              <w:spacing w:before="0" w:after="283"/>
              <w:rPr>
                <w:sz w:val="4"/>
                <w:szCs w:val="4"/>
              </w:rPr>
            </w:pPr>
            <w:r>
              <w:rPr>
                <w:sz w:val="4"/>
                <w:szCs w:val="4"/>
              </w:rPr>
            </w:r>
          </w:p>
        </w:tc>
        <w:tc>
          <w:tcPr>
            <w:tcW w:w="1433" w:type="dxa"/>
            <w:gridSpan w:val="4"/>
            <w:tcBorders/>
            <w:shd w:fill="E5E5E5" w:val="clear"/>
            <w:vAlign w:val="center"/>
          </w:tcPr>
          <w:p>
            <w:pPr>
              <w:pStyle w:val="TableContents"/>
              <w:spacing w:before="0" w:after="283"/>
              <w:rPr>
                <w:sz w:val="4"/>
                <w:szCs w:val="4"/>
              </w:rPr>
            </w:pPr>
            <w:r>
              <w:rPr>
                <w:sz w:val="4"/>
                <w:szCs w:val="4"/>
              </w:rPr>
            </w:r>
          </w:p>
        </w:tc>
        <w:tc>
          <w:tcPr>
            <w:tcW w:w="2456" w:type="dxa"/>
            <w:gridSpan w:val="4"/>
            <w:tcBorders/>
            <w:shd w:fill="E5E5E5" w:val="clear"/>
            <w:vAlign w:val="center"/>
          </w:tcPr>
          <w:p>
            <w:pPr>
              <w:pStyle w:val="TableContents"/>
              <w:spacing w:before="0" w:after="283"/>
              <w:rPr>
                <w:sz w:val="4"/>
                <w:szCs w:val="4"/>
              </w:rPr>
            </w:pPr>
            <w:r>
              <w:rPr>
                <w:sz w:val="4"/>
                <w:szCs w:val="4"/>
              </w:rPr>
            </w:r>
          </w:p>
        </w:tc>
        <w:tc>
          <w:tcPr>
            <w:tcW w:w="1546" w:type="dxa"/>
            <w:gridSpan w:val="4"/>
            <w:tcBorders/>
            <w:shd w:fill="E5E5E5" w:val="clear"/>
            <w:vAlign w:val="center"/>
          </w:tcPr>
          <w:p>
            <w:pPr>
              <w:pStyle w:val="TableContents"/>
              <w:spacing w:before="0" w:after="283"/>
              <w:rPr>
                <w:sz w:val="4"/>
                <w:szCs w:val="4"/>
              </w:rPr>
            </w:pPr>
            <w:r>
              <w:rPr>
                <w:sz w:val="4"/>
                <w:szCs w:val="4"/>
              </w:rPr>
            </w:r>
          </w:p>
        </w:tc>
        <w:tc>
          <w:tcPr>
            <w:tcW w:w="1277" w:type="dxa"/>
            <w:gridSpan w:val="4"/>
            <w:tcBorders/>
            <w:shd w:fill="E5E5E5" w:val="clear"/>
            <w:vAlign w:val="center"/>
          </w:tcPr>
          <w:p>
            <w:pPr>
              <w:pStyle w:val="TableContents"/>
              <w:spacing w:before="0" w:after="283"/>
              <w:rPr>
                <w:sz w:val="4"/>
                <w:szCs w:val="4"/>
              </w:rPr>
            </w:pPr>
            <w:r>
              <w:rPr>
                <w:sz w:val="4"/>
                <w:szCs w:val="4"/>
              </w:rPr>
            </w:r>
          </w:p>
        </w:tc>
      </w:tr>
      <w:tr>
        <w:trPr/>
        <w:tc>
          <w:tcPr>
            <w:tcW w:w="1958" w:type="dxa"/>
            <w:tcBorders/>
            <w:shd w:fill="E5E5E5" w:val="clear"/>
          </w:tcPr>
          <w:p>
            <w:pPr>
              <w:pStyle w:val="TableContents"/>
              <w:spacing w:before="0" w:after="0"/>
              <w:rPr>
                <w:rFonts w:ascii="arial" w:hAnsi="arial"/>
                <w:sz w:val="16"/>
              </w:rPr>
            </w:pPr>
            <w:r>
              <w:rPr>
                <w:rFonts w:ascii="arial" w:hAnsi="arial"/>
                <w:sz w:val="16"/>
              </w:rPr>
              <w:t>Pablo A. Ferrero</w:t>
            </w:r>
          </w:p>
        </w:tc>
        <w:tc>
          <w:tcPr>
            <w:tcW w:w="251"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1151" w:type="dxa"/>
            <w:tcBorders/>
            <w:shd w:fill="E5E5E5" w:val="clear"/>
            <w:vAlign w:val="bottom"/>
          </w:tcPr>
          <w:p>
            <w:pPr>
              <w:pStyle w:val="TableContents"/>
              <w:spacing w:before="0" w:after="283"/>
              <w:jc w:val="right"/>
              <w:rPr/>
            </w:pPr>
            <w:r>
              <w:rPr/>
              <w:t>$105,000</w:t>
            </w:r>
          </w:p>
        </w:tc>
        <w:tc>
          <w:tcPr>
            <w:tcW w:w="60" w:type="dxa"/>
            <w:tcBorders/>
            <w:shd w:fill="E5E5E5" w:val="clear"/>
            <w:vAlign w:val="bottom"/>
          </w:tcPr>
          <w:p>
            <w:pPr>
              <w:pStyle w:val="TableContents"/>
              <w:spacing w:before="0" w:after="283"/>
              <w:rPr/>
            </w:pPr>
            <w:r>
              <w:rPr/>
              <w:t> </w:t>
            </w:r>
          </w:p>
        </w:tc>
        <w:tc>
          <w:tcPr>
            <w:tcW w:w="43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140,060</w:t>
            </w:r>
          </w:p>
        </w:tc>
        <w:tc>
          <w:tcPr>
            <w:tcW w:w="60" w:type="dxa"/>
            <w:tcBorders/>
            <w:shd w:fill="E5E5E5" w:val="clear"/>
            <w:vAlign w:val="bottom"/>
          </w:tcPr>
          <w:p>
            <w:pPr>
              <w:pStyle w:val="TableContents"/>
              <w:spacing w:before="0" w:after="283"/>
              <w:rPr/>
            </w:pPr>
            <w:r>
              <w:rPr/>
              <w:t> </w:t>
            </w:r>
          </w:p>
        </w:tc>
        <w:tc>
          <w:tcPr>
            <w:tcW w:w="25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999"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275"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1128"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2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245,060</w:t>
            </w:r>
          </w:p>
        </w:tc>
        <w:tc>
          <w:tcPr>
            <w:tcW w:w="109" w:type="dxa"/>
            <w:tcBorders/>
            <w:shd w:fill="E5E5E5" w:val="clear"/>
            <w:vAlign w:val="bottom"/>
          </w:tcPr>
          <w:p>
            <w:pPr>
              <w:pStyle w:val="TableContents"/>
              <w:spacing w:before="0" w:after="283"/>
              <w:rPr/>
            </w:pPr>
            <w:r>
              <w:rPr/>
              <w:t> </w:t>
            </w:r>
          </w:p>
        </w:tc>
      </w:tr>
      <w:tr>
        <w:trPr>
          <w:trHeight w:val="75" w:hRule="atLeast"/>
        </w:trPr>
        <w:tc>
          <w:tcPr>
            <w:tcW w:w="1958" w:type="dxa"/>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2456" w:type="dxa"/>
            <w:gridSpan w:val="4"/>
            <w:tcBorders/>
            <w:shd w:fill="auto" w:val="clear"/>
            <w:vAlign w:val="center"/>
          </w:tcPr>
          <w:p>
            <w:pPr>
              <w:pStyle w:val="TableContents"/>
              <w:spacing w:before="0" w:after="283"/>
              <w:rPr>
                <w:sz w:val="4"/>
                <w:szCs w:val="4"/>
              </w:rPr>
            </w:pPr>
            <w:r>
              <w:rPr>
                <w:sz w:val="4"/>
                <w:szCs w:val="4"/>
              </w:rPr>
            </w:r>
          </w:p>
        </w:tc>
        <w:tc>
          <w:tcPr>
            <w:tcW w:w="1546" w:type="dxa"/>
            <w:gridSpan w:val="4"/>
            <w:tcBorders/>
            <w:shd w:fill="auto" w:val="clear"/>
            <w:vAlign w:val="center"/>
          </w:tcPr>
          <w:p>
            <w:pPr>
              <w:pStyle w:val="TableContents"/>
              <w:spacing w:before="0" w:after="283"/>
              <w:rPr>
                <w:sz w:val="4"/>
                <w:szCs w:val="4"/>
              </w:rPr>
            </w:pPr>
            <w:r>
              <w:rPr>
                <w:sz w:val="4"/>
                <w:szCs w:val="4"/>
              </w:rPr>
            </w:r>
          </w:p>
        </w:tc>
        <w:tc>
          <w:tcPr>
            <w:tcW w:w="1277" w:type="dxa"/>
            <w:gridSpan w:val="4"/>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0"/>
              <w:rPr>
                <w:rFonts w:ascii="arial" w:hAnsi="arial"/>
                <w:sz w:val="16"/>
              </w:rPr>
            </w:pPr>
            <w:r>
              <w:rPr>
                <w:rFonts w:ascii="arial" w:hAnsi="arial"/>
                <w:sz w:val="16"/>
              </w:rPr>
              <w:t>William D. Jones</w:t>
            </w:r>
          </w:p>
        </w:tc>
        <w:tc>
          <w:tcPr>
            <w:tcW w:w="25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$165,000</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140,000</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999" w:type="dxa"/>
            <w:tcBorders/>
            <w:shd w:fill="auto" w:val="clear"/>
            <w:vAlign w:val="bottom"/>
          </w:tcPr>
          <w:p>
            <w:pPr>
              <w:pStyle w:val="TableContents"/>
              <w:spacing w:before="0" w:after="283"/>
              <w:jc w:val="right"/>
              <w:rPr/>
            </w:pPr>
            <w:r>
              <w:rPr/>
              <w:t>$90,158</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$20,000</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415,158</w:t>
            </w:r>
          </w:p>
        </w:tc>
        <w:tc>
          <w:tcPr>
            <w:tcW w:w="109" w:type="dxa"/>
            <w:tcBorders/>
            <w:shd w:fill="auto" w:val="clear"/>
            <w:vAlign w:val="bottom"/>
          </w:tcPr>
          <w:p>
            <w:pPr>
              <w:pStyle w:val="TableContents"/>
              <w:spacing w:before="0" w:after="283"/>
              <w:rPr/>
            </w:pPr>
            <w:r>
              <w:rPr/>
              <w:t> </w:t>
            </w:r>
          </w:p>
        </w:tc>
      </w:tr>
      <w:tr>
        <w:trPr>
          <w:trHeight w:val="75" w:hRule="atLeast"/>
        </w:trPr>
        <w:tc>
          <w:tcPr>
            <w:tcW w:w="1958" w:type="dxa"/>
            <w:tcBorders/>
            <w:shd w:fill="E5E5E5" w:val="clear"/>
            <w:vAlign w:val="center"/>
          </w:tcPr>
          <w:p>
            <w:pPr>
              <w:pStyle w:val="TableContents"/>
              <w:spacing w:before="0" w:after="283"/>
              <w:rPr>
                <w:sz w:val="4"/>
                <w:szCs w:val="4"/>
              </w:rPr>
            </w:pPr>
            <w:r>
              <w:rPr>
                <w:sz w:val="4"/>
                <w:szCs w:val="4"/>
              </w:rPr>
            </w:r>
          </w:p>
        </w:tc>
        <w:tc>
          <w:tcPr>
            <w:tcW w:w="1535" w:type="dxa"/>
            <w:gridSpan w:val="4"/>
            <w:tcBorders/>
            <w:shd w:fill="E5E5E5" w:val="clear"/>
            <w:vAlign w:val="center"/>
          </w:tcPr>
          <w:p>
            <w:pPr>
              <w:pStyle w:val="TableContents"/>
              <w:spacing w:before="0" w:after="283"/>
              <w:rPr>
                <w:sz w:val="4"/>
                <w:szCs w:val="4"/>
              </w:rPr>
            </w:pPr>
            <w:r>
              <w:rPr>
                <w:sz w:val="4"/>
                <w:szCs w:val="4"/>
              </w:rPr>
            </w:r>
          </w:p>
        </w:tc>
        <w:tc>
          <w:tcPr>
            <w:tcW w:w="1433" w:type="dxa"/>
            <w:gridSpan w:val="4"/>
            <w:tcBorders/>
            <w:shd w:fill="E5E5E5" w:val="clear"/>
            <w:vAlign w:val="center"/>
          </w:tcPr>
          <w:p>
            <w:pPr>
              <w:pStyle w:val="TableContents"/>
              <w:spacing w:before="0" w:after="283"/>
              <w:rPr>
                <w:sz w:val="4"/>
                <w:szCs w:val="4"/>
              </w:rPr>
            </w:pPr>
            <w:r>
              <w:rPr>
                <w:sz w:val="4"/>
                <w:szCs w:val="4"/>
              </w:rPr>
            </w:r>
          </w:p>
        </w:tc>
        <w:tc>
          <w:tcPr>
            <w:tcW w:w="2456" w:type="dxa"/>
            <w:gridSpan w:val="4"/>
            <w:tcBorders/>
            <w:shd w:fill="E5E5E5" w:val="clear"/>
            <w:vAlign w:val="center"/>
          </w:tcPr>
          <w:p>
            <w:pPr>
              <w:pStyle w:val="TableContents"/>
              <w:spacing w:before="0" w:after="283"/>
              <w:rPr>
                <w:sz w:val="4"/>
                <w:szCs w:val="4"/>
              </w:rPr>
            </w:pPr>
            <w:r>
              <w:rPr>
                <w:sz w:val="4"/>
                <w:szCs w:val="4"/>
              </w:rPr>
            </w:r>
          </w:p>
        </w:tc>
        <w:tc>
          <w:tcPr>
            <w:tcW w:w="1546" w:type="dxa"/>
            <w:gridSpan w:val="4"/>
            <w:tcBorders/>
            <w:shd w:fill="E5E5E5" w:val="clear"/>
            <w:vAlign w:val="center"/>
          </w:tcPr>
          <w:p>
            <w:pPr>
              <w:pStyle w:val="TableContents"/>
              <w:spacing w:before="0" w:after="283"/>
              <w:rPr>
                <w:sz w:val="4"/>
                <w:szCs w:val="4"/>
              </w:rPr>
            </w:pPr>
            <w:r>
              <w:rPr>
                <w:sz w:val="4"/>
                <w:szCs w:val="4"/>
              </w:rPr>
            </w:r>
          </w:p>
        </w:tc>
        <w:tc>
          <w:tcPr>
            <w:tcW w:w="1277" w:type="dxa"/>
            <w:gridSpan w:val="4"/>
            <w:tcBorders/>
            <w:shd w:fill="E5E5E5" w:val="clear"/>
            <w:vAlign w:val="center"/>
          </w:tcPr>
          <w:p>
            <w:pPr>
              <w:pStyle w:val="TableContents"/>
              <w:spacing w:before="0" w:after="283"/>
              <w:rPr>
                <w:sz w:val="4"/>
                <w:szCs w:val="4"/>
              </w:rPr>
            </w:pPr>
            <w:r>
              <w:rPr>
                <w:sz w:val="4"/>
                <w:szCs w:val="4"/>
              </w:rPr>
            </w:r>
          </w:p>
        </w:tc>
      </w:tr>
      <w:tr>
        <w:trPr/>
        <w:tc>
          <w:tcPr>
            <w:tcW w:w="1958" w:type="dxa"/>
            <w:tcBorders/>
            <w:shd w:fill="E5E5E5" w:val="clear"/>
          </w:tcPr>
          <w:p>
            <w:pPr>
              <w:pStyle w:val="TableContents"/>
              <w:spacing w:before="0" w:after="0"/>
              <w:rPr>
                <w:rFonts w:ascii="arial" w:hAnsi="arial"/>
                <w:sz w:val="16"/>
              </w:rPr>
            </w:pPr>
            <w:r>
              <w:rPr>
                <w:rFonts w:ascii="arial" w:hAnsi="arial"/>
                <w:sz w:val="16"/>
              </w:rPr>
              <w:t>Bethany J. Mayer</w:t>
            </w:r>
          </w:p>
        </w:tc>
        <w:tc>
          <w:tcPr>
            <w:tcW w:w="251"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1151" w:type="dxa"/>
            <w:tcBorders/>
            <w:shd w:fill="E5E5E5" w:val="clear"/>
            <w:vAlign w:val="bottom"/>
          </w:tcPr>
          <w:p>
            <w:pPr>
              <w:pStyle w:val="TableContents"/>
              <w:spacing w:before="0" w:after="283"/>
              <w:jc w:val="right"/>
              <w:rPr/>
            </w:pPr>
            <w:r>
              <w:rPr/>
              <w:t>$108,132</w:t>
            </w:r>
          </w:p>
        </w:tc>
        <w:tc>
          <w:tcPr>
            <w:tcW w:w="60" w:type="dxa"/>
            <w:tcBorders/>
            <w:shd w:fill="E5E5E5" w:val="clear"/>
            <w:vAlign w:val="bottom"/>
          </w:tcPr>
          <w:p>
            <w:pPr>
              <w:pStyle w:val="TableContents"/>
              <w:spacing w:before="0" w:after="283"/>
              <w:rPr/>
            </w:pPr>
            <w:r>
              <w:rPr/>
              <w:t> </w:t>
            </w:r>
          </w:p>
        </w:tc>
        <w:tc>
          <w:tcPr>
            <w:tcW w:w="43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140,000</w:t>
            </w:r>
          </w:p>
        </w:tc>
        <w:tc>
          <w:tcPr>
            <w:tcW w:w="60" w:type="dxa"/>
            <w:tcBorders/>
            <w:shd w:fill="E5E5E5" w:val="clear"/>
            <w:vAlign w:val="bottom"/>
          </w:tcPr>
          <w:p>
            <w:pPr>
              <w:pStyle w:val="TableContents"/>
              <w:spacing w:before="0" w:after="283"/>
              <w:rPr/>
            </w:pPr>
            <w:r>
              <w:rPr/>
              <w:t> </w:t>
            </w:r>
          </w:p>
        </w:tc>
        <w:tc>
          <w:tcPr>
            <w:tcW w:w="25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999"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275"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1128" w:type="dxa"/>
            <w:tcBorders/>
            <w:shd w:fill="E5E5E5" w:val="clear"/>
            <w:vAlign w:val="bottom"/>
          </w:tcPr>
          <w:p>
            <w:pPr>
              <w:pStyle w:val="TableContents"/>
              <w:spacing w:before="0" w:after="283"/>
              <w:jc w:val="right"/>
              <w:rPr/>
            </w:pPr>
            <w:r>
              <w:rPr/>
              <w:t>$25,000</w:t>
            </w:r>
          </w:p>
        </w:tc>
        <w:tc>
          <w:tcPr>
            <w:tcW w:w="60" w:type="dxa"/>
            <w:tcBorders/>
            <w:shd w:fill="E5E5E5" w:val="clear"/>
            <w:vAlign w:val="bottom"/>
          </w:tcPr>
          <w:p>
            <w:pPr>
              <w:pStyle w:val="TableContents"/>
              <w:spacing w:before="0" w:after="283"/>
              <w:rPr/>
            </w:pPr>
            <w:r>
              <w:rPr/>
              <w:t> </w:t>
            </w:r>
          </w:p>
        </w:tc>
        <w:tc>
          <w:tcPr>
            <w:tcW w:w="2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273,132</w:t>
            </w:r>
          </w:p>
        </w:tc>
        <w:tc>
          <w:tcPr>
            <w:tcW w:w="109" w:type="dxa"/>
            <w:tcBorders/>
            <w:shd w:fill="E5E5E5" w:val="clear"/>
            <w:vAlign w:val="bottom"/>
          </w:tcPr>
          <w:p>
            <w:pPr>
              <w:pStyle w:val="TableContents"/>
              <w:spacing w:before="0" w:after="283"/>
              <w:rPr/>
            </w:pPr>
            <w:r>
              <w:rPr/>
              <w:t> </w:t>
            </w:r>
          </w:p>
        </w:tc>
      </w:tr>
      <w:tr>
        <w:trPr>
          <w:trHeight w:val="75" w:hRule="atLeast"/>
        </w:trPr>
        <w:tc>
          <w:tcPr>
            <w:tcW w:w="1958" w:type="dxa"/>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2456" w:type="dxa"/>
            <w:gridSpan w:val="4"/>
            <w:tcBorders/>
            <w:shd w:fill="auto" w:val="clear"/>
            <w:vAlign w:val="center"/>
          </w:tcPr>
          <w:p>
            <w:pPr>
              <w:pStyle w:val="TableContents"/>
              <w:spacing w:before="0" w:after="283"/>
              <w:rPr>
                <w:sz w:val="4"/>
                <w:szCs w:val="4"/>
              </w:rPr>
            </w:pPr>
            <w:r>
              <w:rPr>
                <w:sz w:val="4"/>
                <w:szCs w:val="4"/>
              </w:rPr>
            </w:r>
          </w:p>
        </w:tc>
        <w:tc>
          <w:tcPr>
            <w:tcW w:w="1546" w:type="dxa"/>
            <w:gridSpan w:val="4"/>
            <w:tcBorders/>
            <w:shd w:fill="auto" w:val="clear"/>
            <w:vAlign w:val="center"/>
          </w:tcPr>
          <w:p>
            <w:pPr>
              <w:pStyle w:val="TableContents"/>
              <w:spacing w:before="0" w:after="283"/>
              <w:rPr>
                <w:sz w:val="4"/>
                <w:szCs w:val="4"/>
              </w:rPr>
            </w:pPr>
            <w:r>
              <w:rPr>
                <w:sz w:val="4"/>
                <w:szCs w:val="4"/>
              </w:rPr>
            </w:r>
          </w:p>
        </w:tc>
        <w:tc>
          <w:tcPr>
            <w:tcW w:w="1277" w:type="dxa"/>
            <w:gridSpan w:val="4"/>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0"/>
              <w:rPr>
                <w:rFonts w:ascii="arial" w:hAnsi="arial"/>
                <w:sz w:val="16"/>
              </w:rPr>
            </w:pPr>
            <w:r>
              <w:rPr>
                <w:rFonts w:ascii="arial" w:hAnsi="arial"/>
                <w:sz w:val="16"/>
              </w:rPr>
              <w:t>Michael N. Mears</w:t>
            </w:r>
          </w:p>
        </w:tc>
        <w:tc>
          <w:tcPr>
            <w:tcW w:w="25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$111,566</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140,000</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999" w:type="dxa"/>
            <w:tcBorders/>
            <w:shd w:fill="auto" w:val="clear"/>
            <w:vAlign w:val="bottom"/>
          </w:tcPr>
          <w:p>
            <w:pPr>
              <w:pStyle w:val="TableContents"/>
              <w:spacing w:before="0" w:after="283"/>
              <w:jc w:val="right"/>
              <w:rPr/>
            </w:pPr>
            <w:r>
              <w:rPr/>
              <w:t>$  1,350</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$17,700</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270,616</w:t>
            </w:r>
          </w:p>
        </w:tc>
        <w:tc>
          <w:tcPr>
            <w:tcW w:w="109" w:type="dxa"/>
            <w:tcBorders/>
            <w:shd w:fill="auto" w:val="clear"/>
            <w:vAlign w:val="bottom"/>
          </w:tcPr>
          <w:p>
            <w:pPr>
              <w:pStyle w:val="TableContents"/>
              <w:spacing w:before="0" w:after="283"/>
              <w:rPr/>
            </w:pPr>
            <w:r>
              <w:rPr/>
              <w:t> </w:t>
            </w:r>
          </w:p>
        </w:tc>
      </w:tr>
      <w:tr>
        <w:trPr>
          <w:trHeight w:val="75" w:hRule="atLeast"/>
        </w:trPr>
        <w:tc>
          <w:tcPr>
            <w:tcW w:w="1958" w:type="dxa"/>
            <w:tcBorders/>
            <w:shd w:fill="E5E5E5" w:val="clear"/>
            <w:vAlign w:val="center"/>
          </w:tcPr>
          <w:p>
            <w:pPr>
              <w:pStyle w:val="TableContents"/>
              <w:spacing w:before="0" w:after="283"/>
              <w:rPr>
                <w:sz w:val="4"/>
                <w:szCs w:val="4"/>
              </w:rPr>
            </w:pPr>
            <w:r>
              <w:rPr>
                <w:sz w:val="4"/>
                <w:szCs w:val="4"/>
              </w:rPr>
            </w:r>
          </w:p>
        </w:tc>
        <w:tc>
          <w:tcPr>
            <w:tcW w:w="1535" w:type="dxa"/>
            <w:gridSpan w:val="4"/>
            <w:tcBorders/>
            <w:shd w:fill="E5E5E5" w:val="clear"/>
            <w:vAlign w:val="center"/>
          </w:tcPr>
          <w:p>
            <w:pPr>
              <w:pStyle w:val="TableContents"/>
              <w:spacing w:before="0" w:after="283"/>
              <w:rPr>
                <w:sz w:val="4"/>
                <w:szCs w:val="4"/>
              </w:rPr>
            </w:pPr>
            <w:r>
              <w:rPr>
                <w:sz w:val="4"/>
                <w:szCs w:val="4"/>
              </w:rPr>
            </w:r>
          </w:p>
        </w:tc>
        <w:tc>
          <w:tcPr>
            <w:tcW w:w="1433" w:type="dxa"/>
            <w:gridSpan w:val="4"/>
            <w:tcBorders/>
            <w:shd w:fill="E5E5E5" w:val="clear"/>
            <w:vAlign w:val="center"/>
          </w:tcPr>
          <w:p>
            <w:pPr>
              <w:pStyle w:val="TableContents"/>
              <w:spacing w:before="0" w:after="283"/>
              <w:rPr>
                <w:sz w:val="4"/>
                <w:szCs w:val="4"/>
              </w:rPr>
            </w:pPr>
            <w:r>
              <w:rPr>
                <w:sz w:val="4"/>
                <w:szCs w:val="4"/>
              </w:rPr>
            </w:r>
          </w:p>
        </w:tc>
        <w:tc>
          <w:tcPr>
            <w:tcW w:w="2456" w:type="dxa"/>
            <w:gridSpan w:val="4"/>
            <w:tcBorders/>
            <w:shd w:fill="E5E5E5" w:val="clear"/>
            <w:vAlign w:val="center"/>
          </w:tcPr>
          <w:p>
            <w:pPr>
              <w:pStyle w:val="TableContents"/>
              <w:spacing w:before="0" w:after="283"/>
              <w:rPr>
                <w:sz w:val="4"/>
                <w:szCs w:val="4"/>
              </w:rPr>
            </w:pPr>
            <w:r>
              <w:rPr>
                <w:sz w:val="4"/>
                <w:szCs w:val="4"/>
              </w:rPr>
            </w:r>
          </w:p>
        </w:tc>
        <w:tc>
          <w:tcPr>
            <w:tcW w:w="1546" w:type="dxa"/>
            <w:gridSpan w:val="4"/>
            <w:tcBorders/>
            <w:shd w:fill="E5E5E5" w:val="clear"/>
            <w:vAlign w:val="center"/>
          </w:tcPr>
          <w:p>
            <w:pPr>
              <w:pStyle w:val="TableContents"/>
              <w:spacing w:before="0" w:after="283"/>
              <w:rPr>
                <w:sz w:val="4"/>
                <w:szCs w:val="4"/>
              </w:rPr>
            </w:pPr>
            <w:r>
              <w:rPr>
                <w:sz w:val="4"/>
                <w:szCs w:val="4"/>
              </w:rPr>
            </w:r>
          </w:p>
        </w:tc>
        <w:tc>
          <w:tcPr>
            <w:tcW w:w="1277" w:type="dxa"/>
            <w:gridSpan w:val="4"/>
            <w:tcBorders/>
            <w:shd w:fill="E5E5E5" w:val="clear"/>
            <w:vAlign w:val="center"/>
          </w:tcPr>
          <w:p>
            <w:pPr>
              <w:pStyle w:val="TableContents"/>
              <w:spacing w:before="0" w:after="283"/>
              <w:rPr>
                <w:sz w:val="4"/>
                <w:szCs w:val="4"/>
              </w:rPr>
            </w:pPr>
            <w:r>
              <w:rPr>
                <w:sz w:val="4"/>
                <w:szCs w:val="4"/>
              </w:rPr>
            </w:r>
          </w:p>
        </w:tc>
      </w:tr>
      <w:tr>
        <w:trPr/>
        <w:tc>
          <w:tcPr>
            <w:tcW w:w="1958" w:type="dxa"/>
            <w:tcBorders/>
            <w:shd w:fill="E5E5E5" w:val="clear"/>
          </w:tcPr>
          <w:p>
            <w:pPr>
              <w:pStyle w:val="TableContents"/>
              <w:spacing w:before="0" w:after="0"/>
              <w:rPr>
                <w:rFonts w:ascii="arial" w:hAnsi="arial"/>
                <w:sz w:val="16"/>
              </w:rPr>
            </w:pPr>
            <w:r>
              <w:rPr>
                <w:rFonts w:ascii="arial" w:hAnsi="arial"/>
                <w:sz w:val="16"/>
              </w:rPr>
              <w:t xml:space="preserve">William C. Rusnack (A) </w:t>
            </w:r>
          </w:p>
        </w:tc>
        <w:tc>
          <w:tcPr>
            <w:tcW w:w="251"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1151" w:type="dxa"/>
            <w:tcBorders/>
            <w:shd w:fill="E5E5E5" w:val="clear"/>
            <w:vAlign w:val="bottom"/>
          </w:tcPr>
          <w:p>
            <w:pPr>
              <w:pStyle w:val="TableContents"/>
              <w:spacing w:before="0" w:after="283"/>
              <w:jc w:val="right"/>
              <w:rPr/>
            </w:pPr>
            <w:r>
              <w:rPr/>
              <w:t>$  45,000</w:t>
            </w:r>
          </w:p>
        </w:tc>
        <w:tc>
          <w:tcPr>
            <w:tcW w:w="60" w:type="dxa"/>
            <w:tcBorders/>
            <w:shd w:fill="E5E5E5" w:val="clear"/>
            <w:vAlign w:val="bottom"/>
          </w:tcPr>
          <w:p>
            <w:pPr>
              <w:pStyle w:val="TableContents"/>
              <w:spacing w:before="0" w:after="283"/>
              <w:rPr/>
            </w:pPr>
            <w:r>
              <w:rPr/>
              <w:t> </w:t>
            </w:r>
          </w:p>
        </w:tc>
        <w:tc>
          <w:tcPr>
            <w:tcW w:w="43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17,308</w:t>
            </w:r>
          </w:p>
        </w:tc>
        <w:tc>
          <w:tcPr>
            <w:tcW w:w="60" w:type="dxa"/>
            <w:tcBorders/>
            <w:shd w:fill="E5E5E5" w:val="clear"/>
            <w:vAlign w:val="bottom"/>
          </w:tcPr>
          <w:p>
            <w:pPr>
              <w:pStyle w:val="TableContents"/>
              <w:spacing w:before="0" w:after="283"/>
              <w:rPr/>
            </w:pPr>
            <w:r>
              <w:rPr/>
              <w:t> </w:t>
            </w:r>
          </w:p>
        </w:tc>
        <w:tc>
          <w:tcPr>
            <w:tcW w:w="25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999" w:type="dxa"/>
            <w:tcBorders/>
            <w:shd w:fill="E5E5E5" w:val="clear"/>
            <w:vAlign w:val="bottom"/>
          </w:tcPr>
          <w:p>
            <w:pPr>
              <w:pStyle w:val="TableContents"/>
              <w:spacing w:before="0" w:after="283"/>
              <w:jc w:val="right"/>
              <w:rPr/>
            </w:pPr>
            <w:r>
              <w:rPr/>
              <w:t>$59,895</w:t>
            </w:r>
          </w:p>
        </w:tc>
        <w:tc>
          <w:tcPr>
            <w:tcW w:w="60" w:type="dxa"/>
            <w:tcBorders/>
            <w:shd w:fill="E5E5E5" w:val="clear"/>
            <w:vAlign w:val="bottom"/>
          </w:tcPr>
          <w:p>
            <w:pPr>
              <w:pStyle w:val="TableContents"/>
              <w:spacing w:before="0" w:after="283"/>
              <w:rPr/>
            </w:pPr>
            <w:r>
              <w:rPr/>
              <w:t> </w:t>
            </w:r>
          </w:p>
        </w:tc>
        <w:tc>
          <w:tcPr>
            <w:tcW w:w="275"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1128" w:type="dxa"/>
            <w:tcBorders/>
            <w:shd w:fill="E5E5E5" w:val="clear"/>
            <w:vAlign w:val="bottom"/>
          </w:tcPr>
          <w:p>
            <w:pPr>
              <w:pStyle w:val="TableContents"/>
              <w:spacing w:before="0" w:after="283"/>
              <w:jc w:val="right"/>
              <w:rPr/>
            </w:pPr>
            <w:r>
              <w:rPr/>
              <w:t>$25,000</w:t>
            </w:r>
          </w:p>
        </w:tc>
        <w:tc>
          <w:tcPr>
            <w:tcW w:w="60" w:type="dxa"/>
            <w:tcBorders/>
            <w:shd w:fill="E5E5E5" w:val="clear"/>
            <w:vAlign w:val="bottom"/>
          </w:tcPr>
          <w:p>
            <w:pPr>
              <w:pStyle w:val="TableContents"/>
              <w:spacing w:before="0" w:after="283"/>
              <w:rPr/>
            </w:pPr>
            <w:r>
              <w:rPr/>
              <w:t> </w:t>
            </w:r>
          </w:p>
        </w:tc>
        <w:tc>
          <w:tcPr>
            <w:tcW w:w="2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147,203</w:t>
            </w:r>
          </w:p>
        </w:tc>
        <w:tc>
          <w:tcPr>
            <w:tcW w:w="109" w:type="dxa"/>
            <w:tcBorders/>
            <w:shd w:fill="E5E5E5" w:val="clear"/>
            <w:vAlign w:val="bottom"/>
          </w:tcPr>
          <w:p>
            <w:pPr>
              <w:pStyle w:val="TableContents"/>
              <w:spacing w:before="0" w:after="283"/>
              <w:rPr/>
            </w:pPr>
            <w:r>
              <w:rPr/>
              <w:t> </w:t>
            </w:r>
          </w:p>
        </w:tc>
      </w:tr>
      <w:tr>
        <w:trPr>
          <w:trHeight w:val="75" w:hRule="atLeast"/>
        </w:trPr>
        <w:tc>
          <w:tcPr>
            <w:tcW w:w="1958" w:type="dxa"/>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2456" w:type="dxa"/>
            <w:gridSpan w:val="4"/>
            <w:tcBorders/>
            <w:shd w:fill="auto" w:val="clear"/>
            <w:vAlign w:val="center"/>
          </w:tcPr>
          <w:p>
            <w:pPr>
              <w:pStyle w:val="TableContents"/>
              <w:spacing w:before="0" w:after="283"/>
              <w:rPr>
                <w:sz w:val="4"/>
                <w:szCs w:val="4"/>
              </w:rPr>
            </w:pPr>
            <w:r>
              <w:rPr>
                <w:sz w:val="4"/>
                <w:szCs w:val="4"/>
              </w:rPr>
            </w:r>
          </w:p>
        </w:tc>
        <w:tc>
          <w:tcPr>
            <w:tcW w:w="1546" w:type="dxa"/>
            <w:gridSpan w:val="4"/>
            <w:tcBorders/>
            <w:shd w:fill="auto" w:val="clear"/>
            <w:vAlign w:val="center"/>
          </w:tcPr>
          <w:p>
            <w:pPr>
              <w:pStyle w:val="TableContents"/>
              <w:spacing w:before="0" w:after="283"/>
              <w:rPr>
                <w:sz w:val="4"/>
                <w:szCs w:val="4"/>
              </w:rPr>
            </w:pPr>
            <w:r>
              <w:rPr>
                <w:sz w:val="4"/>
                <w:szCs w:val="4"/>
              </w:rPr>
            </w:r>
          </w:p>
        </w:tc>
        <w:tc>
          <w:tcPr>
            <w:tcW w:w="1277" w:type="dxa"/>
            <w:gridSpan w:val="4"/>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0"/>
              <w:rPr>
                <w:rFonts w:ascii="arial" w:hAnsi="arial"/>
                <w:sz w:val="16"/>
              </w:rPr>
            </w:pPr>
            <w:r>
              <w:rPr>
                <w:rFonts w:ascii="arial" w:hAnsi="arial"/>
                <w:sz w:val="16"/>
              </w:rPr>
              <w:t xml:space="preserve">Lynn Schenk (A) </w:t>
            </w:r>
          </w:p>
        </w:tc>
        <w:tc>
          <w:tcPr>
            <w:tcW w:w="25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  43,269</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17,308</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999" w:type="dxa"/>
            <w:tcBorders/>
            <w:shd w:fill="auto" w:val="clear"/>
            <w:vAlign w:val="bottom"/>
          </w:tcPr>
          <w:p>
            <w:pPr>
              <w:pStyle w:val="TableContents"/>
              <w:spacing w:before="0" w:after="283"/>
              <w:jc w:val="right"/>
              <w:rPr/>
            </w:pPr>
            <w:r>
              <w:rPr/>
              <w:t>        </w:t>
            </w:r>
            <w:r>
              <w:rPr/>
              <w:t></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$25,000</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85,577</w:t>
            </w:r>
          </w:p>
        </w:tc>
        <w:tc>
          <w:tcPr>
            <w:tcW w:w="109" w:type="dxa"/>
            <w:tcBorders/>
            <w:shd w:fill="auto" w:val="clear"/>
            <w:vAlign w:val="bottom"/>
          </w:tcPr>
          <w:p>
            <w:pPr>
              <w:pStyle w:val="TableContents"/>
              <w:spacing w:before="0" w:after="283"/>
              <w:rPr/>
            </w:pPr>
            <w:r>
              <w:rPr/>
              <w:t> </w:t>
            </w:r>
          </w:p>
        </w:tc>
      </w:tr>
      <w:tr>
        <w:trPr>
          <w:trHeight w:val="75" w:hRule="atLeast"/>
        </w:trPr>
        <w:tc>
          <w:tcPr>
            <w:tcW w:w="1958" w:type="dxa"/>
            <w:tcBorders/>
            <w:shd w:fill="E5E5E5" w:val="clear"/>
            <w:vAlign w:val="center"/>
          </w:tcPr>
          <w:p>
            <w:pPr>
              <w:pStyle w:val="TableContents"/>
              <w:spacing w:before="0" w:after="283"/>
              <w:rPr>
                <w:sz w:val="4"/>
                <w:szCs w:val="4"/>
              </w:rPr>
            </w:pPr>
            <w:r>
              <w:rPr>
                <w:sz w:val="4"/>
                <w:szCs w:val="4"/>
              </w:rPr>
            </w:r>
          </w:p>
        </w:tc>
        <w:tc>
          <w:tcPr>
            <w:tcW w:w="1535" w:type="dxa"/>
            <w:gridSpan w:val="4"/>
            <w:tcBorders/>
            <w:shd w:fill="E5E5E5" w:val="clear"/>
            <w:vAlign w:val="center"/>
          </w:tcPr>
          <w:p>
            <w:pPr>
              <w:pStyle w:val="TableContents"/>
              <w:spacing w:before="0" w:after="283"/>
              <w:rPr>
                <w:sz w:val="4"/>
                <w:szCs w:val="4"/>
              </w:rPr>
            </w:pPr>
            <w:r>
              <w:rPr>
                <w:sz w:val="4"/>
                <w:szCs w:val="4"/>
              </w:rPr>
            </w:r>
          </w:p>
        </w:tc>
        <w:tc>
          <w:tcPr>
            <w:tcW w:w="1433" w:type="dxa"/>
            <w:gridSpan w:val="4"/>
            <w:tcBorders/>
            <w:shd w:fill="E5E5E5" w:val="clear"/>
            <w:vAlign w:val="center"/>
          </w:tcPr>
          <w:p>
            <w:pPr>
              <w:pStyle w:val="TableContents"/>
              <w:spacing w:before="0" w:after="283"/>
              <w:rPr>
                <w:sz w:val="4"/>
                <w:szCs w:val="4"/>
              </w:rPr>
            </w:pPr>
            <w:r>
              <w:rPr>
                <w:sz w:val="4"/>
                <w:szCs w:val="4"/>
              </w:rPr>
            </w:r>
          </w:p>
        </w:tc>
        <w:tc>
          <w:tcPr>
            <w:tcW w:w="2456" w:type="dxa"/>
            <w:gridSpan w:val="4"/>
            <w:tcBorders/>
            <w:shd w:fill="E5E5E5" w:val="clear"/>
            <w:vAlign w:val="center"/>
          </w:tcPr>
          <w:p>
            <w:pPr>
              <w:pStyle w:val="TableContents"/>
              <w:spacing w:before="0" w:after="283"/>
              <w:rPr>
                <w:sz w:val="4"/>
                <w:szCs w:val="4"/>
              </w:rPr>
            </w:pPr>
            <w:r>
              <w:rPr>
                <w:sz w:val="4"/>
                <w:szCs w:val="4"/>
              </w:rPr>
            </w:r>
          </w:p>
        </w:tc>
        <w:tc>
          <w:tcPr>
            <w:tcW w:w="1546" w:type="dxa"/>
            <w:gridSpan w:val="4"/>
            <w:tcBorders/>
            <w:shd w:fill="E5E5E5" w:val="clear"/>
            <w:vAlign w:val="center"/>
          </w:tcPr>
          <w:p>
            <w:pPr>
              <w:pStyle w:val="TableContents"/>
              <w:spacing w:before="0" w:after="283"/>
              <w:rPr>
                <w:sz w:val="4"/>
                <w:szCs w:val="4"/>
              </w:rPr>
            </w:pPr>
            <w:r>
              <w:rPr>
                <w:sz w:val="4"/>
                <w:szCs w:val="4"/>
              </w:rPr>
            </w:r>
          </w:p>
        </w:tc>
        <w:tc>
          <w:tcPr>
            <w:tcW w:w="1277" w:type="dxa"/>
            <w:gridSpan w:val="4"/>
            <w:tcBorders/>
            <w:shd w:fill="E5E5E5" w:val="clear"/>
            <w:vAlign w:val="center"/>
          </w:tcPr>
          <w:p>
            <w:pPr>
              <w:pStyle w:val="TableContents"/>
              <w:spacing w:before="0" w:after="283"/>
              <w:rPr>
                <w:sz w:val="4"/>
                <w:szCs w:val="4"/>
              </w:rPr>
            </w:pPr>
            <w:r>
              <w:rPr>
                <w:sz w:val="4"/>
                <w:szCs w:val="4"/>
              </w:rPr>
            </w:r>
          </w:p>
        </w:tc>
      </w:tr>
      <w:tr>
        <w:trPr/>
        <w:tc>
          <w:tcPr>
            <w:tcW w:w="1958" w:type="dxa"/>
            <w:tcBorders/>
            <w:shd w:fill="E5E5E5" w:val="clear"/>
          </w:tcPr>
          <w:p>
            <w:pPr>
              <w:pStyle w:val="TableContents"/>
              <w:spacing w:before="0" w:after="0"/>
              <w:rPr>
                <w:rFonts w:ascii="arial" w:hAnsi="arial"/>
                <w:sz w:val="16"/>
              </w:rPr>
            </w:pPr>
            <w:r>
              <w:rPr>
                <w:rFonts w:ascii="arial" w:hAnsi="arial"/>
                <w:sz w:val="16"/>
              </w:rPr>
              <w:t>Jack T. Taylor</w:t>
            </w:r>
          </w:p>
        </w:tc>
        <w:tc>
          <w:tcPr>
            <w:tcW w:w="251"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1151" w:type="dxa"/>
            <w:tcBorders/>
            <w:shd w:fill="E5E5E5" w:val="clear"/>
            <w:vAlign w:val="bottom"/>
          </w:tcPr>
          <w:p>
            <w:pPr>
              <w:pStyle w:val="TableContents"/>
              <w:spacing w:before="0" w:after="283"/>
              <w:jc w:val="right"/>
              <w:rPr/>
            </w:pPr>
            <w:r>
              <w:rPr/>
              <w:t>$145,000</w:t>
            </w:r>
          </w:p>
        </w:tc>
        <w:tc>
          <w:tcPr>
            <w:tcW w:w="60" w:type="dxa"/>
            <w:tcBorders/>
            <w:shd w:fill="E5E5E5" w:val="clear"/>
            <w:vAlign w:val="bottom"/>
          </w:tcPr>
          <w:p>
            <w:pPr>
              <w:pStyle w:val="TableContents"/>
              <w:spacing w:before="0" w:after="283"/>
              <w:rPr/>
            </w:pPr>
            <w:r>
              <w:rPr/>
              <w:t> </w:t>
            </w:r>
          </w:p>
        </w:tc>
        <w:tc>
          <w:tcPr>
            <w:tcW w:w="43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140,000</w:t>
            </w:r>
          </w:p>
        </w:tc>
        <w:tc>
          <w:tcPr>
            <w:tcW w:w="60" w:type="dxa"/>
            <w:tcBorders/>
            <w:shd w:fill="E5E5E5" w:val="clear"/>
            <w:vAlign w:val="bottom"/>
          </w:tcPr>
          <w:p>
            <w:pPr>
              <w:pStyle w:val="TableContents"/>
              <w:spacing w:before="0" w:after="283"/>
              <w:rPr/>
            </w:pPr>
            <w:r>
              <w:rPr/>
              <w:t> </w:t>
            </w:r>
          </w:p>
        </w:tc>
        <w:tc>
          <w:tcPr>
            <w:tcW w:w="25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999" w:type="dxa"/>
            <w:tcBorders/>
            <w:shd w:fill="E5E5E5" w:val="clear"/>
            <w:vAlign w:val="bottom"/>
          </w:tcPr>
          <w:p>
            <w:pPr>
              <w:pStyle w:val="TableContents"/>
              <w:spacing w:before="0" w:after="283"/>
              <w:jc w:val="right"/>
              <w:rPr/>
            </w:pPr>
            <w:r>
              <w:rPr/>
              <w:t>$  5,540</w:t>
            </w:r>
          </w:p>
        </w:tc>
        <w:tc>
          <w:tcPr>
            <w:tcW w:w="60" w:type="dxa"/>
            <w:tcBorders/>
            <w:shd w:fill="E5E5E5" w:val="clear"/>
            <w:vAlign w:val="bottom"/>
          </w:tcPr>
          <w:p>
            <w:pPr>
              <w:pStyle w:val="TableContents"/>
              <w:spacing w:before="0" w:after="283"/>
              <w:rPr/>
            </w:pPr>
            <w:r>
              <w:rPr/>
              <w:t> </w:t>
            </w:r>
          </w:p>
        </w:tc>
        <w:tc>
          <w:tcPr>
            <w:tcW w:w="275"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1128" w:type="dxa"/>
            <w:tcBorders/>
            <w:shd w:fill="E5E5E5" w:val="clear"/>
            <w:vAlign w:val="bottom"/>
          </w:tcPr>
          <w:p>
            <w:pPr>
              <w:pStyle w:val="TableContents"/>
              <w:spacing w:before="0" w:after="283"/>
              <w:jc w:val="right"/>
              <w:rPr/>
            </w:pPr>
            <w:r>
              <w:rPr/>
              <w:t>$14,500</w:t>
            </w:r>
          </w:p>
        </w:tc>
        <w:tc>
          <w:tcPr>
            <w:tcW w:w="60" w:type="dxa"/>
            <w:tcBorders/>
            <w:shd w:fill="E5E5E5" w:val="clear"/>
            <w:vAlign w:val="bottom"/>
          </w:tcPr>
          <w:p>
            <w:pPr>
              <w:pStyle w:val="TableContents"/>
              <w:spacing w:before="0" w:after="283"/>
              <w:rPr/>
            </w:pPr>
            <w:r>
              <w:rPr/>
              <w:t> </w:t>
            </w:r>
          </w:p>
        </w:tc>
        <w:tc>
          <w:tcPr>
            <w:tcW w:w="2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305,040</w:t>
            </w:r>
          </w:p>
        </w:tc>
        <w:tc>
          <w:tcPr>
            <w:tcW w:w="109" w:type="dxa"/>
            <w:tcBorders/>
            <w:shd w:fill="E5E5E5" w:val="clear"/>
            <w:vAlign w:val="bottom"/>
          </w:tcPr>
          <w:p>
            <w:pPr>
              <w:pStyle w:val="TableContents"/>
              <w:spacing w:before="0" w:after="283"/>
              <w:rPr/>
            </w:pPr>
            <w:r>
              <w:rPr/>
              <w:t> </w:t>
            </w:r>
          </w:p>
        </w:tc>
      </w:tr>
      <w:tr>
        <w:trPr>
          <w:trHeight w:val="75" w:hRule="atLeast"/>
        </w:trPr>
        <w:tc>
          <w:tcPr>
            <w:tcW w:w="1958" w:type="dxa"/>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2456" w:type="dxa"/>
            <w:gridSpan w:val="4"/>
            <w:tcBorders/>
            <w:shd w:fill="auto" w:val="clear"/>
            <w:vAlign w:val="center"/>
          </w:tcPr>
          <w:p>
            <w:pPr>
              <w:pStyle w:val="TableContents"/>
              <w:spacing w:before="0" w:after="283"/>
              <w:rPr>
                <w:sz w:val="4"/>
                <w:szCs w:val="4"/>
              </w:rPr>
            </w:pPr>
            <w:r>
              <w:rPr>
                <w:sz w:val="4"/>
                <w:szCs w:val="4"/>
              </w:rPr>
            </w:r>
          </w:p>
        </w:tc>
        <w:tc>
          <w:tcPr>
            <w:tcW w:w="1546" w:type="dxa"/>
            <w:gridSpan w:val="4"/>
            <w:tcBorders/>
            <w:shd w:fill="auto" w:val="clear"/>
            <w:vAlign w:val="center"/>
          </w:tcPr>
          <w:p>
            <w:pPr>
              <w:pStyle w:val="TableContents"/>
              <w:spacing w:before="0" w:after="283"/>
              <w:rPr>
                <w:sz w:val="4"/>
                <w:szCs w:val="4"/>
              </w:rPr>
            </w:pPr>
            <w:r>
              <w:rPr>
                <w:sz w:val="4"/>
                <w:szCs w:val="4"/>
              </w:rPr>
            </w:r>
          </w:p>
        </w:tc>
        <w:tc>
          <w:tcPr>
            <w:tcW w:w="1277" w:type="dxa"/>
            <w:gridSpan w:val="4"/>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0"/>
              <w:rPr>
                <w:rFonts w:ascii="arial" w:hAnsi="arial"/>
                <w:sz w:val="16"/>
              </w:rPr>
            </w:pPr>
            <w:r>
              <w:rPr>
                <w:rFonts w:ascii="arial" w:hAnsi="arial"/>
                <w:sz w:val="16"/>
              </w:rPr>
              <w:t>Cynthia L. Walker</w:t>
            </w:r>
          </w:p>
        </w:tc>
        <w:tc>
          <w:tcPr>
            <w:tcW w:w="25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$111,566</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140,000</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999" w:type="dxa"/>
            <w:tcBorders/>
            <w:shd w:fill="auto" w:val="clear"/>
            <w:vAlign w:val="bottom"/>
          </w:tcPr>
          <w:p>
            <w:pPr>
              <w:pStyle w:val="TableContents"/>
              <w:spacing w:before="0" w:after="283"/>
              <w:jc w:val="right"/>
              <w:rPr/>
            </w:pPr>
            <w:r>
              <w:rPr/>
              <w:t>        </w:t>
            </w:r>
            <w:r>
              <w:rPr/>
              <w:t></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$16,917</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268,483</w:t>
            </w:r>
          </w:p>
        </w:tc>
        <w:tc>
          <w:tcPr>
            <w:tcW w:w="109" w:type="dxa"/>
            <w:tcBorders/>
            <w:shd w:fill="auto" w:val="clear"/>
            <w:vAlign w:val="bottom"/>
          </w:tcPr>
          <w:p>
            <w:pPr>
              <w:pStyle w:val="TableContents"/>
              <w:spacing w:before="0" w:after="283"/>
              <w:rPr/>
            </w:pPr>
            <w:r>
              <w:rPr/>
              <w:t> </w:t>
            </w:r>
          </w:p>
        </w:tc>
      </w:tr>
      <w:tr>
        <w:trPr>
          <w:trHeight w:val="75" w:hRule="atLeast"/>
        </w:trPr>
        <w:tc>
          <w:tcPr>
            <w:tcW w:w="1958" w:type="dxa"/>
            <w:tcBorders/>
            <w:shd w:fill="E5E5E5" w:val="clear"/>
            <w:vAlign w:val="center"/>
          </w:tcPr>
          <w:p>
            <w:pPr>
              <w:pStyle w:val="TableContents"/>
              <w:spacing w:before="0" w:after="283"/>
              <w:rPr>
                <w:sz w:val="4"/>
                <w:szCs w:val="4"/>
              </w:rPr>
            </w:pPr>
            <w:r>
              <w:rPr>
                <w:sz w:val="4"/>
                <w:szCs w:val="4"/>
              </w:rPr>
            </w:r>
          </w:p>
        </w:tc>
        <w:tc>
          <w:tcPr>
            <w:tcW w:w="1535" w:type="dxa"/>
            <w:gridSpan w:val="4"/>
            <w:tcBorders/>
            <w:shd w:fill="E5E5E5" w:val="clear"/>
            <w:vAlign w:val="center"/>
          </w:tcPr>
          <w:p>
            <w:pPr>
              <w:pStyle w:val="TableContents"/>
              <w:spacing w:before="0" w:after="283"/>
              <w:rPr>
                <w:sz w:val="4"/>
                <w:szCs w:val="4"/>
              </w:rPr>
            </w:pPr>
            <w:r>
              <w:rPr>
                <w:sz w:val="4"/>
                <w:szCs w:val="4"/>
              </w:rPr>
            </w:r>
          </w:p>
        </w:tc>
        <w:tc>
          <w:tcPr>
            <w:tcW w:w="1433" w:type="dxa"/>
            <w:gridSpan w:val="4"/>
            <w:tcBorders/>
            <w:shd w:fill="E5E5E5" w:val="clear"/>
            <w:vAlign w:val="center"/>
          </w:tcPr>
          <w:p>
            <w:pPr>
              <w:pStyle w:val="TableContents"/>
              <w:spacing w:before="0" w:after="283"/>
              <w:rPr>
                <w:sz w:val="4"/>
                <w:szCs w:val="4"/>
              </w:rPr>
            </w:pPr>
            <w:r>
              <w:rPr>
                <w:sz w:val="4"/>
                <w:szCs w:val="4"/>
              </w:rPr>
            </w:r>
          </w:p>
        </w:tc>
        <w:tc>
          <w:tcPr>
            <w:tcW w:w="2456" w:type="dxa"/>
            <w:gridSpan w:val="4"/>
            <w:tcBorders/>
            <w:shd w:fill="E5E5E5" w:val="clear"/>
            <w:vAlign w:val="center"/>
          </w:tcPr>
          <w:p>
            <w:pPr>
              <w:pStyle w:val="TableContents"/>
              <w:spacing w:before="0" w:after="283"/>
              <w:rPr>
                <w:sz w:val="4"/>
                <w:szCs w:val="4"/>
              </w:rPr>
            </w:pPr>
            <w:r>
              <w:rPr>
                <w:sz w:val="4"/>
                <w:szCs w:val="4"/>
              </w:rPr>
            </w:r>
          </w:p>
        </w:tc>
        <w:tc>
          <w:tcPr>
            <w:tcW w:w="1546" w:type="dxa"/>
            <w:gridSpan w:val="4"/>
            <w:tcBorders/>
            <w:shd w:fill="E5E5E5" w:val="clear"/>
            <w:vAlign w:val="center"/>
          </w:tcPr>
          <w:p>
            <w:pPr>
              <w:pStyle w:val="TableContents"/>
              <w:spacing w:before="0" w:after="283"/>
              <w:rPr>
                <w:sz w:val="4"/>
                <w:szCs w:val="4"/>
              </w:rPr>
            </w:pPr>
            <w:r>
              <w:rPr>
                <w:sz w:val="4"/>
                <w:szCs w:val="4"/>
              </w:rPr>
            </w:r>
          </w:p>
        </w:tc>
        <w:tc>
          <w:tcPr>
            <w:tcW w:w="1277" w:type="dxa"/>
            <w:gridSpan w:val="4"/>
            <w:tcBorders/>
            <w:shd w:fill="E5E5E5" w:val="clear"/>
            <w:vAlign w:val="center"/>
          </w:tcPr>
          <w:p>
            <w:pPr>
              <w:pStyle w:val="TableContents"/>
              <w:spacing w:before="0" w:after="283"/>
              <w:rPr>
                <w:sz w:val="4"/>
                <w:szCs w:val="4"/>
              </w:rPr>
            </w:pPr>
            <w:r>
              <w:rPr>
                <w:sz w:val="4"/>
                <w:szCs w:val="4"/>
              </w:rPr>
            </w:r>
          </w:p>
        </w:tc>
      </w:tr>
      <w:tr>
        <w:trPr/>
        <w:tc>
          <w:tcPr>
            <w:tcW w:w="1958" w:type="dxa"/>
            <w:tcBorders/>
            <w:shd w:fill="E5E5E5" w:val="clear"/>
          </w:tcPr>
          <w:p>
            <w:pPr>
              <w:pStyle w:val="TableContents"/>
              <w:spacing w:before="0" w:after="0"/>
              <w:rPr>
                <w:rFonts w:ascii="arial" w:hAnsi="arial"/>
                <w:sz w:val="16"/>
              </w:rPr>
            </w:pPr>
            <w:r>
              <w:rPr>
                <w:rFonts w:ascii="arial" w:hAnsi="arial"/>
                <w:sz w:val="16"/>
              </w:rPr>
              <w:t>Cynthia J. Warner</w:t>
            </w:r>
          </w:p>
        </w:tc>
        <w:tc>
          <w:tcPr>
            <w:tcW w:w="251"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1151" w:type="dxa"/>
            <w:tcBorders/>
            <w:shd w:fill="E5E5E5" w:val="clear"/>
            <w:vAlign w:val="bottom"/>
          </w:tcPr>
          <w:p>
            <w:pPr>
              <w:pStyle w:val="TableContents"/>
              <w:spacing w:before="0" w:after="283"/>
              <w:jc w:val="right"/>
              <w:rPr/>
            </w:pPr>
            <w:r>
              <w:rPr/>
              <w:t>$105,000</w:t>
            </w:r>
          </w:p>
        </w:tc>
        <w:tc>
          <w:tcPr>
            <w:tcW w:w="60" w:type="dxa"/>
            <w:tcBorders/>
            <w:shd w:fill="E5E5E5" w:val="clear"/>
            <w:vAlign w:val="bottom"/>
          </w:tcPr>
          <w:p>
            <w:pPr>
              <w:pStyle w:val="TableContents"/>
              <w:spacing w:before="0" w:after="283"/>
              <w:rPr/>
            </w:pPr>
            <w:r>
              <w:rPr/>
              <w:t> </w:t>
            </w:r>
          </w:p>
        </w:tc>
        <w:tc>
          <w:tcPr>
            <w:tcW w:w="43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140,060</w:t>
            </w:r>
          </w:p>
        </w:tc>
        <w:tc>
          <w:tcPr>
            <w:tcW w:w="60" w:type="dxa"/>
            <w:tcBorders/>
            <w:shd w:fill="E5E5E5" w:val="clear"/>
            <w:vAlign w:val="bottom"/>
          </w:tcPr>
          <w:p>
            <w:pPr>
              <w:pStyle w:val="TableContents"/>
              <w:spacing w:before="0" w:after="283"/>
              <w:rPr/>
            </w:pPr>
            <w:r>
              <w:rPr/>
              <w:t> </w:t>
            </w:r>
          </w:p>
        </w:tc>
        <w:tc>
          <w:tcPr>
            <w:tcW w:w="25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999"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275"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1128" w:type="dxa"/>
            <w:tcBorders/>
            <w:shd w:fill="E5E5E5" w:val="clear"/>
            <w:vAlign w:val="bottom"/>
          </w:tcPr>
          <w:p>
            <w:pPr>
              <w:pStyle w:val="TableContents"/>
              <w:spacing w:before="0" w:after="283"/>
              <w:jc w:val="right"/>
              <w:rPr/>
            </w:pPr>
            <w:r>
              <w:rPr/>
              <w:t>$25,000</w:t>
            </w:r>
          </w:p>
        </w:tc>
        <w:tc>
          <w:tcPr>
            <w:tcW w:w="60" w:type="dxa"/>
            <w:tcBorders/>
            <w:shd w:fill="E5E5E5" w:val="clear"/>
            <w:vAlign w:val="bottom"/>
          </w:tcPr>
          <w:p>
            <w:pPr>
              <w:pStyle w:val="TableContents"/>
              <w:spacing w:before="0" w:after="283"/>
              <w:rPr/>
            </w:pPr>
            <w:r>
              <w:rPr/>
              <w:t> </w:t>
            </w:r>
          </w:p>
        </w:tc>
        <w:tc>
          <w:tcPr>
            <w:tcW w:w="2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1" w:type="dxa"/>
            <w:tcBorders/>
            <w:shd w:fill="E5E5E5" w:val="clear"/>
            <w:vAlign w:val="bottom"/>
          </w:tcPr>
          <w:p>
            <w:pPr>
              <w:pStyle w:val="TableContents"/>
              <w:spacing w:before="0" w:after="283"/>
              <w:jc w:val="right"/>
              <w:rPr/>
            </w:pPr>
            <w:r>
              <w:rPr/>
              <w:t>270,060</w:t>
            </w:r>
          </w:p>
        </w:tc>
        <w:tc>
          <w:tcPr>
            <w:tcW w:w="109" w:type="dxa"/>
            <w:tcBorders/>
            <w:shd w:fill="E5E5E5" w:val="clear"/>
            <w:vAlign w:val="bottom"/>
          </w:tcPr>
          <w:p>
            <w:pPr>
              <w:pStyle w:val="TableContents"/>
              <w:spacing w:before="0" w:after="283"/>
              <w:rPr/>
            </w:pPr>
            <w:r>
              <w:rPr/>
              <w:t> </w:t>
            </w:r>
          </w:p>
        </w:tc>
      </w:tr>
      <w:tr>
        <w:trPr>
          <w:trHeight w:val="75" w:hRule="atLeast"/>
        </w:trPr>
        <w:tc>
          <w:tcPr>
            <w:tcW w:w="1958" w:type="dxa"/>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2456" w:type="dxa"/>
            <w:gridSpan w:val="4"/>
            <w:tcBorders/>
            <w:shd w:fill="auto" w:val="clear"/>
            <w:vAlign w:val="center"/>
          </w:tcPr>
          <w:p>
            <w:pPr>
              <w:pStyle w:val="TableContents"/>
              <w:spacing w:before="0" w:after="283"/>
              <w:rPr>
                <w:sz w:val="4"/>
                <w:szCs w:val="4"/>
              </w:rPr>
            </w:pPr>
            <w:r>
              <w:rPr>
                <w:sz w:val="4"/>
                <w:szCs w:val="4"/>
              </w:rPr>
            </w:r>
          </w:p>
        </w:tc>
        <w:tc>
          <w:tcPr>
            <w:tcW w:w="1546" w:type="dxa"/>
            <w:gridSpan w:val="4"/>
            <w:tcBorders/>
            <w:shd w:fill="auto" w:val="clear"/>
            <w:vAlign w:val="center"/>
          </w:tcPr>
          <w:p>
            <w:pPr>
              <w:pStyle w:val="TableContents"/>
              <w:spacing w:before="0" w:after="283"/>
              <w:rPr>
                <w:sz w:val="4"/>
                <w:szCs w:val="4"/>
              </w:rPr>
            </w:pPr>
            <w:r>
              <w:rPr>
                <w:sz w:val="4"/>
                <w:szCs w:val="4"/>
              </w:rPr>
            </w:r>
          </w:p>
        </w:tc>
        <w:tc>
          <w:tcPr>
            <w:tcW w:w="1277" w:type="dxa"/>
            <w:gridSpan w:val="4"/>
            <w:tcBorders/>
            <w:shd w:fill="auto" w:val="clear"/>
            <w:vAlign w:val="center"/>
          </w:tcPr>
          <w:p>
            <w:pPr>
              <w:pStyle w:val="TableContents"/>
              <w:spacing w:before="0" w:after="283"/>
              <w:rPr>
                <w:sz w:val="4"/>
                <w:szCs w:val="4"/>
              </w:rPr>
            </w:pPr>
            <w:r>
              <w:rPr>
                <w:sz w:val="4"/>
                <w:szCs w:val="4"/>
              </w:rPr>
            </w:r>
          </w:p>
        </w:tc>
      </w:tr>
      <w:tr>
        <w:trPr/>
        <w:tc>
          <w:tcPr>
            <w:tcW w:w="1958" w:type="dxa"/>
            <w:tcBorders>
              <w:bottom w:val="single" w:sz="8" w:space="0" w:color="001C71"/>
            </w:tcBorders>
            <w:shd w:fill="auto" w:val="clear"/>
            <w:tcMar>
              <w:bottom w:w="80" w:type="dxa"/>
            </w:tcMar>
          </w:tcPr>
          <w:p>
            <w:pPr>
              <w:pStyle w:val="TableContents"/>
              <w:spacing w:before="0" w:after="0"/>
              <w:rPr>
                <w:rFonts w:ascii="arial" w:hAnsi="arial"/>
                <w:sz w:val="16"/>
              </w:rPr>
            </w:pPr>
            <w:r>
              <w:rPr>
                <w:rFonts w:ascii="arial" w:hAnsi="arial"/>
                <w:sz w:val="16"/>
              </w:rPr>
              <w:t>James C. Yardley</w:t>
            </w:r>
          </w:p>
        </w:tc>
        <w:tc>
          <w:tcPr>
            <w:tcW w:w="251" w:type="dxa"/>
            <w:tcBorders>
              <w:bottom w:val="single" w:sz="8" w:space="0" w:color="001C71"/>
            </w:tcBorders>
            <w:shd w:fill="auto" w:val="clear"/>
            <w:tcMar>
              <w:bottom w:w="28" w:type="dxa"/>
            </w:tcMar>
            <w:vAlign w:val="bottom"/>
          </w:tcPr>
          <w:p>
            <w:pPr>
              <w:pStyle w:val="TableContents"/>
              <w:spacing w:before="0" w:after="283"/>
              <w:rPr/>
            </w:pPr>
            <w:r>
              <w:rPr/>
              <w:t>  </w:t>
            </w:r>
          </w:p>
        </w:tc>
        <w:tc>
          <w:tcPr>
            <w:tcW w:w="73" w:type="dxa"/>
            <w:tcBorders>
              <w:bottom w:val="single" w:sz="8" w:space="0" w:color="001C71"/>
            </w:tcBorders>
            <w:shd w:fill="auto" w:val="clear"/>
            <w:tcMar>
              <w:bottom w:w="80" w:type="dxa"/>
            </w:tcMar>
            <w:vAlign w:val="bottom"/>
          </w:tcPr>
          <w:p>
            <w:pPr>
              <w:pStyle w:val="TableContents"/>
              <w:spacing w:before="0" w:after="283"/>
              <w:rPr/>
            </w:pPr>
            <w:r>
              <w:rPr/>
              <w:t> </w:t>
            </w:r>
          </w:p>
        </w:tc>
        <w:tc>
          <w:tcPr>
            <w:tcW w:w="1151" w:type="dxa"/>
            <w:tcBorders>
              <w:bottom w:val="single" w:sz="8" w:space="0" w:color="001C71"/>
            </w:tcBorders>
            <w:shd w:fill="auto" w:val="clear"/>
            <w:tcMar>
              <w:bottom w:w="80" w:type="dxa"/>
            </w:tcMar>
            <w:vAlign w:val="bottom"/>
          </w:tcPr>
          <w:p>
            <w:pPr>
              <w:pStyle w:val="TableContents"/>
              <w:spacing w:before="0" w:after="283"/>
              <w:jc w:val="right"/>
              <w:rPr/>
            </w:pPr>
            <w:r>
              <w:rPr/>
              <w:t>$115,000</w:t>
            </w:r>
          </w:p>
        </w:tc>
        <w:tc>
          <w:tcPr>
            <w:tcW w:w="60" w:type="dxa"/>
            <w:tcBorders>
              <w:bottom w:val="single" w:sz="8" w:space="0" w:color="001C71"/>
            </w:tcBorders>
            <w:shd w:fill="auto" w:val="clear"/>
            <w:tcMar>
              <w:bottom w:w="80" w:type="dxa"/>
            </w:tcMar>
            <w:vAlign w:val="bottom"/>
          </w:tcPr>
          <w:p>
            <w:pPr>
              <w:pStyle w:val="TableContents"/>
              <w:spacing w:before="0" w:after="283"/>
              <w:rPr/>
            </w:pPr>
            <w:r>
              <w:rPr/>
              <w:t> </w:t>
            </w:r>
          </w:p>
        </w:tc>
        <w:tc>
          <w:tcPr>
            <w:tcW w:w="432"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80" w:type="dxa"/>
            </w:tcMar>
            <w:vAlign w:val="bottom"/>
          </w:tcPr>
          <w:p>
            <w:pPr>
              <w:pStyle w:val="TableContents"/>
              <w:spacing w:before="0" w:after="283"/>
              <w:rPr/>
            </w:pPr>
            <w:r>
              <w:rPr/>
              <w:t>$</w:t>
            </w:r>
          </w:p>
        </w:tc>
        <w:tc>
          <w:tcPr>
            <w:tcW w:w="801" w:type="dxa"/>
            <w:tcBorders>
              <w:bottom w:val="single" w:sz="8" w:space="0" w:color="001C71"/>
            </w:tcBorders>
            <w:shd w:fill="auto" w:val="clear"/>
            <w:tcMar>
              <w:bottom w:w="80" w:type="dxa"/>
            </w:tcMar>
            <w:vAlign w:val="bottom"/>
          </w:tcPr>
          <w:p>
            <w:pPr>
              <w:pStyle w:val="TableContents"/>
              <w:spacing w:before="0" w:after="283"/>
              <w:jc w:val="right"/>
              <w:rPr/>
            </w:pPr>
            <w:r>
              <w:rPr/>
              <w:t>140,000</w:t>
            </w:r>
          </w:p>
        </w:tc>
        <w:tc>
          <w:tcPr>
            <w:tcW w:w="60" w:type="dxa"/>
            <w:tcBorders>
              <w:bottom w:val="single" w:sz="8" w:space="0" w:color="001C71"/>
            </w:tcBorders>
            <w:shd w:fill="auto" w:val="clear"/>
            <w:tcMar>
              <w:bottom w:w="80" w:type="dxa"/>
            </w:tcMar>
            <w:vAlign w:val="bottom"/>
          </w:tcPr>
          <w:p>
            <w:pPr>
              <w:pStyle w:val="TableContents"/>
              <w:spacing w:before="0" w:after="283"/>
              <w:rPr/>
            </w:pPr>
            <w:r>
              <w:rPr/>
              <w:t> </w:t>
            </w:r>
          </w:p>
        </w:tc>
        <w:tc>
          <w:tcPr>
            <w:tcW w:w="251" w:type="dxa"/>
            <w:tcBorders>
              <w:bottom w:val="single" w:sz="8" w:space="0" w:color="001C71"/>
            </w:tcBorders>
            <w:shd w:fill="auto" w:val="clear"/>
            <w:tcMar>
              <w:bottom w:w="28" w:type="dxa"/>
            </w:tcMar>
            <w:vAlign w:val="bottom"/>
          </w:tcPr>
          <w:p>
            <w:pPr>
              <w:pStyle w:val="TableContents"/>
              <w:spacing w:before="0" w:after="283"/>
              <w:rPr/>
            </w:pPr>
            <w:r>
              <w:rPr/>
              <w:t>  </w:t>
            </w:r>
          </w:p>
        </w:tc>
        <w:tc>
          <w:tcPr>
            <w:tcW w:w="146" w:type="dxa"/>
            <w:tcBorders>
              <w:bottom w:val="single" w:sz="8" w:space="0" w:color="001C71"/>
            </w:tcBorders>
            <w:shd w:fill="auto" w:val="clear"/>
            <w:tcMar>
              <w:bottom w:w="80" w:type="dxa"/>
            </w:tcMar>
            <w:vAlign w:val="bottom"/>
          </w:tcPr>
          <w:p>
            <w:pPr>
              <w:pStyle w:val="TableContents"/>
              <w:spacing w:before="0" w:after="283"/>
              <w:rPr/>
            </w:pPr>
            <w:r>
              <w:rPr/>
              <w:t> </w:t>
            </w:r>
          </w:p>
        </w:tc>
        <w:tc>
          <w:tcPr>
            <w:tcW w:w="1999" w:type="dxa"/>
            <w:tcBorders>
              <w:bottom w:val="single" w:sz="8" w:space="0" w:color="001C71"/>
            </w:tcBorders>
            <w:shd w:fill="auto" w:val="clear"/>
            <w:tcMar>
              <w:bottom w:w="80" w:type="dxa"/>
            </w:tcMar>
            <w:vAlign w:val="bottom"/>
          </w:tcPr>
          <w:p>
            <w:pPr>
              <w:pStyle w:val="TableContents"/>
              <w:spacing w:before="0" w:after="283"/>
              <w:jc w:val="right"/>
              <w:rPr/>
            </w:pPr>
            <w:r>
              <w:rPr/>
              <w:t>        </w:t>
            </w:r>
            <w:r>
              <w:rPr/>
              <w:t></w:t>
            </w:r>
          </w:p>
        </w:tc>
        <w:tc>
          <w:tcPr>
            <w:tcW w:w="60" w:type="dxa"/>
            <w:tcBorders>
              <w:bottom w:val="single" w:sz="8" w:space="0" w:color="001C71"/>
            </w:tcBorders>
            <w:shd w:fill="auto" w:val="clear"/>
            <w:tcMar>
              <w:bottom w:w="80" w:type="dxa"/>
            </w:tcMar>
            <w:vAlign w:val="bottom"/>
          </w:tcPr>
          <w:p>
            <w:pPr>
              <w:pStyle w:val="TableContents"/>
              <w:spacing w:before="0" w:after="283"/>
              <w:rPr/>
            </w:pPr>
            <w:r>
              <w:rPr/>
              <w:t> </w:t>
            </w:r>
          </w:p>
        </w:tc>
        <w:tc>
          <w:tcPr>
            <w:tcW w:w="275" w:type="dxa"/>
            <w:tcBorders>
              <w:bottom w:val="single" w:sz="8" w:space="0" w:color="001C71"/>
            </w:tcBorders>
            <w:shd w:fill="auto" w:val="clear"/>
            <w:tcMar>
              <w:bottom w:w="28" w:type="dxa"/>
            </w:tcMar>
            <w:vAlign w:val="bottom"/>
          </w:tcPr>
          <w:p>
            <w:pPr>
              <w:pStyle w:val="TableContents"/>
              <w:spacing w:before="0" w:after="283"/>
              <w:rPr/>
            </w:pPr>
            <w:r>
              <w:rPr/>
              <w:t>  </w:t>
            </w:r>
          </w:p>
        </w:tc>
        <w:tc>
          <w:tcPr>
            <w:tcW w:w="83" w:type="dxa"/>
            <w:tcBorders>
              <w:bottom w:val="single" w:sz="8" w:space="0" w:color="001C71"/>
            </w:tcBorders>
            <w:shd w:fill="auto" w:val="clear"/>
            <w:tcMar>
              <w:bottom w:w="80" w:type="dxa"/>
            </w:tcMar>
            <w:vAlign w:val="bottom"/>
          </w:tcPr>
          <w:p>
            <w:pPr>
              <w:pStyle w:val="TableContents"/>
              <w:spacing w:before="0" w:after="283"/>
              <w:rPr/>
            </w:pPr>
            <w:r>
              <w:rPr/>
              <w:t> </w:t>
            </w:r>
          </w:p>
        </w:tc>
        <w:tc>
          <w:tcPr>
            <w:tcW w:w="1128" w:type="dxa"/>
            <w:tcBorders>
              <w:bottom w:val="single" w:sz="8" w:space="0" w:color="001C71"/>
            </w:tcBorders>
            <w:shd w:fill="auto" w:val="clear"/>
            <w:tcMar>
              <w:bottom w:w="80" w:type="dxa"/>
            </w:tcMar>
            <w:vAlign w:val="bottom"/>
          </w:tcPr>
          <w:p>
            <w:pPr>
              <w:pStyle w:val="TableContents"/>
              <w:spacing w:before="0" w:after="283"/>
              <w:jc w:val="right"/>
              <w:rPr/>
            </w:pPr>
            <w:r>
              <w:rPr/>
              <w:t>$25,000</w:t>
            </w:r>
          </w:p>
        </w:tc>
        <w:tc>
          <w:tcPr>
            <w:tcW w:w="60" w:type="dxa"/>
            <w:tcBorders>
              <w:bottom w:val="single" w:sz="8" w:space="0" w:color="001C71"/>
            </w:tcBorders>
            <w:shd w:fill="auto" w:val="clear"/>
            <w:tcMar>
              <w:bottom w:w="80" w:type="dxa"/>
            </w:tcMar>
            <w:vAlign w:val="bottom"/>
          </w:tcPr>
          <w:p>
            <w:pPr>
              <w:pStyle w:val="TableContents"/>
              <w:spacing w:before="0" w:after="283"/>
              <w:rPr/>
            </w:pPr>
            <w:r>
              <w:rPr/>
              <w:t> </w:t>
            </w:r>
          </w:p>
        </w:tc>
        <w:tc>
          <w:tcPr>
            <w:tcW w:w="227"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80" w:type="dxa"/>
            </w:tcMar>
            <w:vAlign w:val="bottom"/>
          </w:tcPr>
          <w:p>
            <w:pPr>
              <w:pStyle w:val="TableContents"/>
              <w:spacing w:before="0" w:after="283"/>
              <w:rPr/>
            </w:pPr>
            <w:r>
              <w:rPr/>
              <w:t>$</w:t>
            </w:r>
          </w:p>
        </w:tc>
        <w:tc>
          <w:tcPr>
            <w:tcW w:w="801" w:type="dxa"/>
            <w:tcBorders>
              <w:bottom w:val="single" w:sz="8" w:space="0" w:color="001C71"/>
            </w:tcBorders>
            <w:shd w:fill="auto" w:val="clear"/>
            <w:tcMar>
              <w:bottom w:w="80" w:type="dxa"/>
            </w:tcMar>
            <w:vAlign w:val="bottom"/>
          </w:tcPr>
          <w:p>
            <w:pPr>
              <w:pStyle w:val="TableContents"/>
              <w:spacing w:before="0" w:after="283"/>
              <w:jc w:val="right"/>
              <w:rPr/>
            </w:pPr>
            <w:r>
              <w:rPr/>
              <w:t>280,000</w:t>
            </w:r>
          </w:p>
        </w:tc>
        <w:tc>
          <w:tcPr>
            <w:tcW w:w="109" w:type="dxa"/>
            <w:tcBorders>
              <w:bottom w:val="single" w:sz="8" w:space="0" w:color="001C71"/>
            </w:tcBorders>
            <w:shd w:fill="auto" w:val="clear"/>
            <w:tcMar>
              <w:bottom w:w="8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Rusnack and Ms. Schenk were not nominated to stand for re-election and retired from the board effective May 5,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Represents the grant date fair value of the equity grants of restricted stock units and phantom shares of our common stock granted during the year. These amounts represent our grant date estimate of the aggregate compensation expense that we will recognize over the service period of the awards. They are calculated in accordance with GAAP for financial reporting purposes based on the assumptions described in Note 10 of the Notes to Consolidated Financial Statements included in our Annual Report to Shareholders but disregarding estimates of forfeitures related to service-based vesting conditions. These awards were valued at the fair market value of our shares at the crediting date without reduction for non-transferability. The amounts set forth in this column are equal to the number of shares subject to 2020 awards multiplied by the grant date closing price of Sempra Energys common stock. The restricted stock units will be settled in shares of Sempra Energy common stock upon vesting. The phantom shares are paid in cash in accordance with the directors payout election under the terms of the companys nonqualified deferred compensation plan following the directors retirement or other separation from the board.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21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p>
      <w:pPr>
        <w:pStyle w:val="TextBody"/>
        <w:spacing w:before="0" w:after="0"/>
        <w:jc w:val="left"/>
        <w:rPr>
          <w:rFonts w:ascii="arial" w:hAnsi="arial"/>
          <w:i/>
          <w:sz w:val="14"/>
        </w:rPr>
      </w:pPr>
      <w:r>
        <w:rPr>
          <w:rFonts w:ascii="arial" w:hAnsi="arial"/>
          <w:i/>
          <w:sz w:val="14"/>
        </w:rPr>
        <w:t xml:space="preserve">The following table reflects the components of the stock awards granted to each non-employee director in 2020: </w:t>
      </w:r>
    </w:p>
    <w:p>
      <w:pPr>
        <w:pStyle w:val="TextBody"/>
        <w:spacing w:before="0" w:after="0"/>
        <w:jc w:val="left"/>
        <w:rPr/>
      </w:pPr>
      <w:r>
        <w:rPr/>
        <w:t> </w:t>
      </w:r>
    </w:p>
    <w:tbl>
      <w:tblPr>
        <w:tblW w:w="4850" w:type="pct"/>
        <w:jc w:val="right"/>
        <w:tblInd w:w="0" w:type="dxa"/>
        <w:tblCellMar>
          <w:top w:w="0" w:type="dxa"/>
          <w:left w:w="0" w:type="dxa"/>
          <w:bottom w:w="0" w:type="dxa"/>
          <w:right w:w="0" w:type="dxa"/>
        </w:tblCellMar>
      </w:tblPr>
      <w:tblGrid>
        <w:gridCol w:w="2704"/>
        <w:gridCol w:w="782"/>
        <w:gridCol w:w="60"/>
        <w:gridCol w:w="987"/>
        <w:gridCol w:w="60"/>
        <w:gridCol w:w="782"/>
        <w:gridCol w:w="60"/>
        <w:gridCol w:w="823"/>
        <w:gridCol w:w="60"/>
        <w:gridCol w:w="782"/>
        <w:gridCol w:w="65"/>
        <w:gridCol w:w="876"/>
        <w:gridCol w:w="59"/>
        <w:gridCol w:w="727"/>
        <w:gridCol w:w="140"/>
        <w:gridCol w:w="823"/>
        <w:gridCol w:w="108"/>
      </w:tblGrid>
      <w:tr>
        <w:trPr/>
        <w:tc>
          <w:tcPr>
            <w:tcW w:w="2704"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r>
      <w:tr>
        <w:trPr>
          <w:trHeight w:val="15" w:hRule="atLeast"/>
        </w:trPr>
        <w:tc>
          <w:tcPr>
            <w:tcW w:w="2704" w:type="dxa"/>
            <w:tcBorders/>
            <w:shd w:fill="001C71" w:val="clear"/>
            <w:vAlign w:val="center"/>
          </w:tcPr>
          <w:p>
            <w:pPr>
              <w:pStyle w:val="TableContents"/>
              <w:spacing w:before="0" w:after="283"/>
              <w:rPr>
                <w:sz w:val="4"/>
                <w:szCs w:val="4"/>
              </w:rPr>
            </w:pPr>
            <w:r>
              <w:rPr>
                <w:sz w:val="4"/>
                <w:szCs w:val="4"/>
              </w:rPr>
            </w:r>
          </w:p>
        </w:tc>
        <w:tc>
          <w:tcPr>
            <w:tcW w:w="1889" w:type="dxa"/>
            <w:gridSpan w:val="4"/>
            <w:tcBorders/>
            <w:shd w:fill="001C71" w:val="clear"/>
            <w:vAlign w:val="center"/>
          </w:tcPr>
          <w:p>
            <w:pPr>
              <w:pStyle w:val="TableContents"/>
              <w:spacing w:before="0" w:after="283"/>
              <w:rPr>
                <w:sz w:val="4"/>
                <w:szCs w:val="4"/>
              </w:rPr>
            </w:pPr>
            <w:r>
              <w:rPr>
                <w:sz w:val="4"/>
                <w:szCs w:val="4"/>
              </w:rPr>
            </w:r>
          </w:p>
        </w:tc>
        <w:tc>
          <w:tcPr>
            <w:tcW w:w="3507" w:type="dxa"/>
            <w:gridSpan w:val="8"/>
            <w:tcBorders/>
            <w:shd w:fill="001C71" w:val="clear"/>
            <w:vAlign w:val="center"/>
          </w:tcPr>
          <w:p>
            <w:pPr>
              <w:pStyle w:val="TableContents"/>
              <w:spacing w:before="0" w:after="283"/>
              <w:rPr>
                <w:sz w:val="4"/>
                <w:szCs w:val="4"/>
              </w:rPr>
            </w:pPr>
            <w:r>
              <w:rPr>
                <w:sz w:val="4"/>
                <w:szCs w:val="4"/>
              </w:rPr>
            </w:r>
          </w:p>
        </w:tc>
        <w:tc>
          <w:tcPr>
            <w:tcW w:w="1798" w:type="dxa"/>
            <w:gridSpan w:val="4"/>
            <w:tcBorders/>
            <w:shd w:fill="001C71" w:val="clear"/>
            <w:vAlign w:val="center"/>
          </w:tcPr>
          <w:p>
            <w:pPr>
              <w:pStyle w:val="TableContents"/>
              <w:spacing w:before="0" w:after="283"/>
              <w:rPr>
                <w:sz w:val="4"/>
                <w:szCs w:val="4"/>
              </w:rPr>
            </w:pPr>
            <w:r>
              <w:rPr>
                <w:sz w:val="4"/>
                <w:szCs w:val="4"/>
              </w:rPr>
            </w:r>
          </w:p>
        </w:tc>
      </w:tr>
      <w:tr>
        <w:trPr/>
        <w:tc>
          <w:tcPr>
            <w:tcW w:w="2704" w:type="dxa"/>
            <w:tcBorders/>
            <w:shd w:fill="001C71" w:val="clear"/>
            <w:vAlign w:val="bottom"/>
          </w:tcPr>
          <w:p>
            <w:pPr>
              <w:pStyle w:val="TableContents"/>
              <w:spacing w:before="0" w:after="283"/>
              <w:rPr/>
            </w:pPr>
            <w:r>
              <w:rPr/>
              <w:t> </w:t>
            </w:r>
          </w:p>
        </w:tc>
        <w:tc>
          <w:tcPr>
            <w:tcW w:w="782" w:type="dxa"/>
            <w:tcBorders/>
            <w:shd w:fill="001C71" w:val="clear"/>
            <w:vAlign w:val="bottom"/>
          </w:tcPr>
          <w:p>
            <w:pPr>
              <w:pStyle w:val="TableContents"/>
              <w:spacing w:before="0" w:after="283"/>
              <w:rPr/>
            </w:pPr>
            <w:r>
              <w:rPr/>
              <w:t>    </w:t>
            </w:r>
          </w:p>
        </w:tc>
        <w:tc>
          <w:tcPr>
            <w:tcW w:w="1047" w:type="dxa"/>
            <w:gridSpan w:val="2"/>
            <w:tcBorders/>
            <w:shd w:fill="001C71" w:val="clear"/>
            <w:vAlign w:val="bottom"/>
          </w:tcPr>
          <w:p>
            <w:pPr>
              <w:pStyle w:val="TableContents"/>
              <w:spacing w:before="0" w:after="283"/>
              <w:rPr/>
            </w:pPr>
            <w:r>
              <w:rPr/>
              <w:t> </w:t>
            </w:r>
          </w:p>
        </w:tc>
        <w:tc>
          <w:tcPr>
            <w:tcW w:w="60" w:type="dxa"/>
            <w:tcBorders/>
            <w:shd w:fill="001C71" w:val="clear"/>
            <w:vAlign w:val="bottom"/>
          </w:tcPr>
          <w:p>
            <w:pPr>
              <w:pStyle w:val="TableContents"/>
              <w:spacing w:before="0" w:after="283"/>
              <w:rPr/>
            </w:pPr>
            <w:r>
              <w:rPr/>
              <w:t> </w:t>
            </w:r>
          </w:p>
        </w:tc>
        <w:tc>
          <w:tcPr>
            <w:tcW w:w="782" w:type="dxa"/>
            <w:tcBorders/>
            <w:shd w:fill="001C71" w:val="clear"/>
            <w:vAlign w:val="bottom"/>
          </w:tcPr>
          <w:p>
            <w:pPr>
              <w:pStyle w:val="TableContents"/>
              <w:spacing w:before="0" w:after="283"/>
              <w:rPr/>
            </w:pPr>
            <w:r>
              <w:rPr/>
              <w:t>    </w:t>
            </w:r>
          </w:p>
        </w:tc>
        <w:tc>
          <w:tcPr>
            <w:tcW w:w="2666" w:type="dxa"/>
            <w:gridSpan w:val="6"/>
            <w:tcBorders>
              <w:bottom w:val="single" w:sz="2" w:space="0" w:color="FFFFFF"/>
            </w:tcBorders>
            <w:shd w:fill="001C71" w:val="clear"/>
            <w:tcMar>
              <w:bottom w:w="28" w:type="dxa"/>
            </w:tcMar>
            <w:vAlign w:val="bottom"/>
          </w:tcPr>
          <w:p>
            <w:pPr>
              <w:pStyle w:val="TableContents"/>
              <w:spacing w:before="0" w:after="283"/>
              <w:jc w:val="center"/>
              <w:rPr>
                <w:b/>
                <w:color w:val="FFFFFF"/>
              </w:rPr>
            </w:pPr>
            <w:r>
              <w:rPr>
                <w:b/>
                <w:color w:val="FFFFFF"/>
              </w:rPr>
              <w:t>Equity Grant</w:t>
            </w:r>
          </w:p>
        </w:tc>
        <w:tc>
          <w:tcPr>
            <w:tcW w:w="59" w:type="dxa"/>
            <w:tcBorders/>
            <w:shd w:fill="001C71" w:val="clear"/>
            <w:vAlign w:val="bottom"/>
          </w:tcPr>
          <w:p>
            <w:pPr>
              <w:pStyle w:val="TableContents"/>
              <w:spacing w:before="0" w:after="283"/>
              <w:rPr/>
            </w:pPr>
            <w:r>
              <w:rPr/>
              <w:t> </w:t>
            </w:r>
          </w:p>
        </w:tc>
        <w:tc>
          <w:tcPr>
            <w:tcW w:w="727" w:type="dxa"/>
            <w:tcBorders/>
            <w:shd w:fill="001C71" w:val="clear"/>
            <w:vAlign w:val="bottom"/>
          </w:tcPr>
          <w:p>
            <w:pPr>
              <w:pStyle w:val="TableContents"/>
              <w:spacing w:before="0" w:after="283"/>
              <w:rPr/>
            </w:pPr>
            <w:r>
              <w:rPr/>
              <w:t>    </w:t>
            </w:r>
          </w:p>
        </w:tc>
        <w:tc>
          <w:tcPr>
            <w:tcW w:w="963" w:type="dxa"/>
            <w:gridSpan w:val="2"/>
            <w:tcBorders/>
            <w:shd w:fill="001C71" w:val="clear"/>
            <w:vAlign w:val="bottom"/>
          </w:tcPr>
          <w:p>
            <w:pPr>
              <w:pStyle w:val="TableContents"/>
              <w:spacing w:before="0" w:after="283"/>
              <w:rPr/>
            </w:pPr>
            <w:r>
              <w:rPr/>
              <w:t> </w:t>
            </w:r>
          </w:p>
        </w:tc>
        <w:tc>
          <w:tcPr>
            <w:tcW w:w="108" w:type="dxa"/>
            <w:tcBorders/>
            <w:shd w:fill="001C71" w:val="clear"/>
            <w:vAlign w:val="bottom"/>
          </w:tcPr>
          <w:p>
            <w:pPr>
              <w:pStyle w:val="TableContents"/>
              <w:spacing w:before="0" w:after="283"/>
              <w:rPr/>
            </w:pPr>
            <w:r>
              <w:rPr/>
              <w:t> </w:t>
            </w:r>
          </w:p>
        </w:tc>
      </w:tr>
      <w:tr>
        <w:trPr>
          <w:trHeight w:val="15" w:hRule="atLeast"/>
        </w:trPr>
        <w:tc>
          <w:tcPr>
            <w:tcW w:w="2704" w:type="dxa"/>
            <w:tcBorders/>
            <w:shd w:fill="001C71" w:val="clear"/>
            <w:vAlign w:val="center"/>
          </w:tcPr>
          <w:p>
            <w:pPr>
              <w:pStyle w:val="TableContents"/>
              <w:spacing w:before="0" w:after="283"/>
              <w:rPr>
                <w:sz w:val="4"/>
                <w:szCs w:val="4"/>
              </w:rPr>
            </w:pPr>
            <w:r>
              <w:rPr>
                <w:sz w:val="4"/>
                <w:szCs w:val="4"/>
              </w:rPr>
            </w:r>
          </w:p>
        </w:tc>
        <w:tc>
          <w:tcPr>
            <w:tcW w:w="1889" w:type="dxa"/>
            <w:gridSpan w:val="4"/>
            <w:tcBorders/>
            <w:shd w:fill="001C71" w:val="clear"/>
            <w:vAlign w:val="center"/>
          </w:tcPr>
          <w:p>
            <w:pPr>
              <w:pStyle w:val="TableContents"/>
              <w:spacing w:before="0" w:after="283"/>
              <w:rPr>
                <w:sz w:val="4"/>
                <w:szCs w:val="4"/>
              </w:rPr>
            </w:pPr>
            <w:r>
              <w:rPr>
                <w:sz w:val="4"/>
                <w:szCs w:val="4"/>
              </w:rPr>
            </w:r>
          </w:p>
        </w:tc>
        <w:tc>
          <w:tcPr>
            <w:tcW w:w="1725" w:type="dxa"/>
            <w:gridSpan w:val="4"/>
            <w:tcBorders/>
            <w:shd w:fill="001C71" w:val="clear"/>
            <w:vAlign w:val="center"/>
          </w:tcPr>
          <w:p>
            <w:pPr>
              <w:pStyle w:val="TableContents"/>
              <w:spacing w:before="0" w:after="283"/>
              <w:rPr>
                <w:sz w:val="4"/>
                <w:szCs w:val="4"/>
              </w:rPr>
            </w:pPr>
            <w:r>
              <w:rPr>
                <w:sz w:val="4"/>
                <w:szCs w:val="4"/>
              </w:rPr>
            </w:r>
          </w:p>
        </w:tc>
        <w:tc>
          <w:tcPr>
            <w:tcW w:w="1782" w:type="dxa"/>
            <w:gridSpan w:val="4"/>
            <w:tcBorders/>
            <w:shd w:fill="001C71" w:val="clear"/>
            <w:vAlign w:val="center"/>
          </w:tcPr>
          <w:p>
            <w:pPr>
              <w:pStyle w:val="TableContents"/>
              <w:spacing w:before="0" w:after="283"/>
              <w:rPr>
                <w:sz w:val="4"/>
                <w:szCs w:val="4"/>
              </w:rPr>
            </w:pPr>
            <w:r>
              <w:rPr>
                <w:sz w:val="4"/>
                <w:szCs w:val="4"/>
              </w:rPr>
            </w:r>
          </w:p>
        </w:tc>
        <w:tc>
          <w:tcPr>
            <w:tcW w:w="1798" w:type="dxa"/>
            <w:gridSpan w:val="4"/>
            <w:tcBorders/>
            <w:shd w:fill="001C71" w:val="clear"/>
            <w:vAlign w:val="center"/>
          </w:tcPr>
          <w:p>
            <w:pPr>
              <w:pStyle w:val="TableContents"/>
              <w:spacing w:before="0" w:after="283"/>
              <w:rPr>
                <w:sz w:val="4"/>
                <w:szCs w:val="4"/>
              </w:rPr>
            </w:pPr>
            <w:r>
              <w:rPr>
                <w:sz w:val="4"/>
                <w:szCs w:val="4"/>
              </w:rPr>
            </w:r>
          </w:p>
        </w:tc>
      </w:tr>
      <w:tr>
        <w:trPr/>
        <w:tc>
          <w:tcPr>
            <w:tcW w:w="2704" w:type="dxa"/>
            <w:tcBorders/>
            <w:shd w:fill="001C71" w:val="clear"/>
            <w:vAlign w:val="bottom"/>
          </w:tcPr>
          <w:p>
            <w:pPr>
              <w:pStyle w:val="TableContents"/>
              <w:spacing w:before="0" w:after="0"/>
              <w:rPr>
                <w:color w:val="FFFFFF"/>
              </w:rPr>
            </w:pPr>
            <w:r>
              <w:rPr>
                <w:color w:val="FFFFFF"/>
              </w:rPr>
              <w:t>    </w:t>
            </w:r>
          </w:p>
          <w:p>
            <w:pPr>
              <w:pStyle w:val="TableContents"/>
              <w:spacing w:before="0" w:after="20"/>
              <w:rPr/>
            </w:pPr>
            <w:r>
              <w:rPr/>
              <w:t> </w:t>
            </w:r>
          </w:p>
        </w:tc>
        <w:tc>
          <w:tcPr>
            <w:tcW w:w="782" w:type="dxa"/>
            <w:tcBorders/>
            <w:shd w:fill="001C71" w:val="clear"/>
            <w:vAlign w:val="bottom"/>
          </w:tcPr>
          <w:p>
            <w:pPr>
              <w:pStyle w:val="TableContents"/>
              <w:spacing w:before="0" w:after="283"/>
              <w:rPr/>
            </w:pPr>
            <w:r>
              <w:rPr/>
              <w:t>    </w:t>
            </w:r>
          </w:p>
        </w:tc>
        <w:tc>
          <w:tcPr>
            <w:tcW w:w="1047"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Mandatory</w:t>
              <w:br/>
              <w:t>Deferred  Equity(1)</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782" w:type="dxa"/>
            <w:tcBorders/>
            <w:shd w:fill="001C71" w:val="clear"/>
            <w:vAlign w:val="bottom"/>
          </w:tcPr>
          <w:p>
            <w:pPr>
              <w:pStyle w:val="TableContents"/>
              <w:spacing w:before="0" w:after="283"/>
              <w:rPr/>
            </w:pPr>
            <w:r>
              <w:rPr/>
              <w:t>    </w:t>
            </w:r>
          </w:p>
        </w:tc>
        <w:tc>
          <w:tcPr>
            <w:tcW w:w="883"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Phantom</w:t>
            </w:r>
          </w:p>
          <w:p>
            <w:pPr>
              <w:pStyle w:val="TableContents"/>
              <w:spacing w:before="0" w:after="0"/>
              <w:jc w:val="center"/>
              <w:rPr>
                <w:rFonts w:ascii="arial" w:hAnsi="arial"/>
                <w:b/>
                <w:color w:val="FFFFFF"/>
                <w:sz w:val="16"/>
              </w:rPr>
            </w:pPr>
            <w:r>
              <w:rPr>
                <w:rFonts w:ascii="arial" w:hAnsi="arial"/>
                <w:b/>
                <w:color w:val="FFFFFF"/>
                <w:sz w:val="16"/>
              </w:rPr>
              <w:t>Shares</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782" w:type="dxa"/>
            <w:tcBorders/>
            <w:shd w:fill="001C71" w:val="clear"/>
            <w:vAlign w:val="bottom"/>
          </w:tcPr>
          <w:p>
            <w:pPr>
              <w:pStyle w:val="TableContents"/>
              <w:spacing w:before="0" w:after="283"/>
              <w:rPr/>
            </w:pPr>
            <w:r>
              <w:rPr/>
              <w:t>    </w:t>
            </w:r>
          </w:p>
        </w:tc>
        <w:tc>
          <w:tcPr>
            <w:tcW w:w="941"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Restricted</w:t>
            </w:r>
          </w:p>
          <w:p>
            <w:pPr>
              <w:pStyle w:val="TableContents"/>
              <w:spacing w:before="0" w:after="0"/>
              <w:jc w:val="center"/>
              <w:rPr>
                <w:rFonts w:ascii="arial" w:hAnsi="arial"/>
                <w:b/>
                <w:color w:val="FFFFFF"/>
                <w:sz w:val="16"/>
              </w:rPr>
            </w:pPr>
            <w:r>
              <w:rPr>
                <w:rFonts w:ascii="arial" w:hAnsi="arial"/>
                <w:b/>
                <w:color w:val="FFFFFF"/>
                <w:sz w:val="16"/>
              </w:rPr>
              <w:t>Stock Units</w:t>
            </w:r>
          </w:p>
          <w:p>
            <w:pPr>
              <w:pStyle w:val="TableContents"/>
              <w:spacing w:before="0" w:after="20"/>
              <w:jc w:val="left"/>
              <w:rPr/>
            </w:pPr>
            <w:r>
              <w:rPr/>
              <w:t> </w:t>
            </w:r>
          </w:p>
        </w:tc>
        <w:tc>
          <w:tcPr>
            <w:tcW w:w="59" w:type="dxa"/>
            <w:tcBorders/>
            <w:shd w:fill="001C71" w:val="clear"/>
            <w:vAlign w:val="bottom"/>
          </w:tcPr>
          <w:p>
            <w:pPr>
              <w:pStyle w:val="TableContents"/>
              <w:spacing w:before="0" w:after="283"/>
              <w:rPr/>
            </w:pPr>
            <w:r>
              <w:rPr/>
              <w:t> </w:t>
            </w:r>
          </w:p>
        </w:tc>
        <w:tc>
          <w:tcPr>
            <w:tcW w:w="727" w:type="dxa"/>
            <w:tcBorders/>
            <w:shd w:fill="001C71" w:val="clear"/>
            <w:vAlign w:val="bottom"/>
          </w:tcPr>
          <w:p>
            <w:pPr>
              <w:pStyle w:val="TableContents"/>
              <w:spacing w:before="0" w:after="283"/>
              <w:rPr/>
            </w:pPr>
            <w:r>
              <w:rPr/>
              <w:t>    </w:t>
            </w:r>
          </w:p>
        </w:tc>
        <w:tc>
          <w:tcPr>
            <w:tcW w:w="963"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Total</w:t>
            </w:r>
          </w:p>
          <w:p>
            <w:pPr>
              <w:pStyle w:val="TableContents"/>
              <w:spacing w:before="0" w:after="20"/>
              <w:jc w:val="left"/>
              <w:rPr/>
            </w:pPr>
            <w:r>
              <w:rPr/>
              <w:t> </w:t>
            </w:r>
          </w:p>
        </w:tc>
        <w:tc>
          <w:tcPr>
            <w:tcW w:w="108" w:type="dxa"/>
            <w:tcBorders/>
            <w:shd w:fill="001C71" w:val="clear"/>
            <w:vAlign w:val="bottom"/>
          </w:tcPr>
          <w:p>
            <w:pPr>
              <w:pStyle w:val="TableContents"/>
              <w:spacing w:before="0" w:after="283"/>
              <w:rPr/>
            </w:pPr>
            <w:r>
              <w:rPr/>
              <w:t> </w:t>
            </w:r>
          </w:p>
        </w:tc>
      </w:tr>
      <w:tr>
        <w:trPr>
          <w:trHeight w:val="75" w:hRule="atLeast"/>
        </w:trPr>
        <w:tc>
          <w:tcPr>
            <w:tcW w:w="2704" w:type="dxa"/>
            <w:tcBorders/>
            <w:shd w:fill="E5E5E5" w:val="clear"/>
            <w:vAlign w:val="center"/>
          </w:tcPr>
          <w:p>
            <w:pPr>
              <w:pStyle w:val="TableContents"/>
              <w:spacing w:before="0" w:after="283"/>
              <w:rPr>
                <w:sz w:val="4"/>
                <w:szCs w:val="4"/>
              </w:rPr>
            </w:pPr>
            <w:r>
              <w:rPr>
                <w:sz w:val="4"/>
                <w:szCs w:val="4"/>
              </w:rPr>
            </w:r>
          </w:p>
        </w:tc>
        <w:tc>
          <w:tcPr>
            <w:tcW w:w="1889" w:type="dxa"/>
            <w:gridSpan w:val="4"/>
            <w:tcBorders/>
            <w:shd w:fill="E5E5E5" w:val="clear"/>
            <w:vAlign w:val="center"/>
          </w:tcPr>
          <w:p>
            <w:pPr>
              <w:pStyle w:val="TableContents"/>
              <w:spacing w:before="0" w:after="283"/>
              <w:rPr>
                <w:sz w:val="4"/>
                <w:szCs w:val="4"/>
              </w:rPr>
            </w:pPr>
            <w:r>
              <w:rPr>
                <w:sz w:val="4"/>
                <w:szCs w:val="4"/>
              </w:rPr>
            </w:r>
          </w:p>
        </w:tc>
        <w:tc>
          <w:tcPr>
            <w:tcW w:w="1725" w:type="dxa"/>
            <w:gridSpan w:val="4"/>
            <w:tcBorders/>
            <w:shd w:fill="E5E5E5" w:val="clear"/>
            <w:vAlign w:val="center"/>
          </w:tcPr>
          <w:p>
            <w:pPr>
              <w:pStyle w:val="TableContents"/>
              <w:spacing w:before="0" w:after="283"/>
              <w:rPr>
                <w:sz w:val="4"/>
                <w:szCs w:val="4"/>
              </w:rPr>
            </w:pPr>
            <w:r>
              <w:rPr>
                <w:sz w:val="4"/>
                <w:szCs w:val="4"/>
              </w:rPr>
            </w:r>
          </w:p>
        </w:tc>
        <w:tc>
          <w:tcPr>
            <w:tcW w:w="1782" w:type="dxa"/>
            <w:gridSpan w:val="4"/>
            <w:tcBorders/>
            <w:shd w:fill="E5E5E5" w:val="clear"/>
            <w:vAlign w:val="center"/>
          </w:tcPr>
          <w:p>
            <w:pPr>
              <w:pStyle w:val="TableContents"/>
              <w:spacing w:before="0" w:after="283"/>
              <w:rPr>
                <w:sz w:val="4"/>
                <w:szCs w:val="4"/>
              </w:rPr>
            </w:pPr>
            <w:r>
              <w:rPr>
                <w:sz w:val="4"/>
                <w:szCs w:val="4"/>
              </w:rPr>
            </w:r>
          </w:p>
        </w:tc>
        <w:tc>
          <w:tcPr>
            <w:tcW w:w="1798" w:type="dxa"/>
            <w:gridSpan w:val="4"/>
            <w:tcBorders/>
            <w:shd w:fill="E5E5E5" w:val="clear"/>
            <w:vAlign w:val="center"/>
          </w:tcPr>
          <w:p>
            <w:pPr>
              <w:pStyle w:val="TableContents"/>
              <w:spacing w:before="0" w:after="283"/>
              <w:rPr>
                <w:sz w:val="4"/>
                <w:szCs w:val="4"/>
              </w:rPr>
            </w:pPr>
            <w:r>
              <w:rPr>
                <w:sz w:val="4"/>
                <w:szCs w:val="4"/>
              </w:rPr>
            </w:r>
          </w:p>
        </w:tc>
      </w:tr>
      <w:tr>
        <w:trPr/>
        <w:tc>
          <w:tcPr>
            <w:tcW w:w="2704" w:type="dxa"/>
            <w:tcBorders/>
            <w:shd w:fill="E5E5E5" w:val="clear"/>
          </w:tcPr>
          <w:p>
            <w:pPr>
              <w:pStyle w:val="TableContents"/>
              <w:spacing w:before="0" w:after="0"/>
              <w:rPr>
                <w:rFonts w:ascii="arial" w:hAnsi="arial"/>
                <w:sz w:val="16"/>
              </w:rPr>
            </w:pPr>
            <w:r>
              <w:rPr>
                <w:rFonts w:ascii="arial" w:hAnsi="arial"/>
                <w:sz w:val="16"/>
              </w:rPr>
              <w:t>Alan L. Boeckmann</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7" w:type="dxa"/>
            <w:tcBorders/>
            <w:shd w:fill="E5E5E5" w:val="clear"/>
            <w:vAlign w:val="bottom"/>
          </w:tcPr>
          <w:p>
            <w:pPr>
              <w:pStyle w:val="TableContents"/>
              <w:spacing w:before="0" w:after="283"/>
              <w:jc w:val="right"/>
              <w:rPr/>
            </w:pPr>
            <w:r>
              <w:rPr/>
              <w:t>$50,000</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23" w:type="dxa"/>
            <w:tcBorders/>
            <w:shd w:fill="E5E5E5" w:val="clear"/>
            <w:vAlign w:val="bottom"/>
          </w:tcPr>
          <w:p>
            <w:pPr>
              <w:pStyle w:val="TableContents"/>
              <w:spacing w:before="0" w:after="283"/>
              <w:jc w:val="right"/>
              <w:rPr/>
            </w:pPr>
            <w:r>
              <w:rPr/>
              <w:t>$90,000</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76" w:type="dxa"/>
            <w:tcBorders/>
            <w:shd w:fill="E5E5E5" w:val="clear"/>
            <w:vAlign w:val="bottom"/>
          </w:tcPr>
          <w:p>
            <w:pPr>
              <w:pStyle w:val="TableContents"/>
              <w:spacing w:before="0" w:after="283"/>
              <w:jc w:val="right"/>
              <w:rPr/>
            </w:pPr>
            <w:r>
              <w:rPr/>
              <w:t>        </w:t>
            </w:r>
            <w:r>
              <w:rPr/>
              <w:t></w:t>
            </w:r>
          </w:p>
        </w:tc>
        <w:tc>
          <w:tcPr>
            <w:tcW w:w="5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23" w:type="dxa"/>
            <w:tcBorders/>
            <w:shd w:fill="E5E5E5" w:val="clear"/>
            <w:vAlign w:val="bottom"/>
          </w:tcPr>
          <w:p>
            <w:pPr>
              <w:pStyle w:val="TableContents"/>
              <w:spacing w:before="0" w:after="283"/>
              <w:jc w:val="right"/>
              <w:rPr/>
            </w:pPr>
            <w:r>
              <w:rPr/>
              <w:t>140,000</w:t>
            </w:r>
          </w:p>
        </w:tc>
        <w:tc>
          <w:tcPr>
            <w:tcW w:w="108" w:type="dxa"/>
            <w:tcBorders/>
            <w:shd w:fill="E5E5E5" w:val="clear"/>
            <w:vAlign w:val="bottom"/>
          </w:tcPr>
          <w:p>
            <w:pPr>
              <w:pStyle w:val="TableContents"/>
              <w:spacing w:before="0" w:after="283"/>
              <w:rPr/>
            </w:pPr>
            <w:r>
              <w:rPr/>
              <w:t> </w:t>
            </w:r>
          </w:p>
        </w:tc>
      </w:tr>
      <w:tr>
        <w:trPr>
          <w:trHeight w:val="75" w:hRule="atLeast"/>
        </w:trPr>
        <w:tc>
          <w:tcPr>
            <w:tcW w:w="2704" w:type="dxa"/>
            <w:tcBorders/>
            <w:shd w:fill="auto" w:val="clear"/>
            <w:vAlign w:val="center"/>
          </w:tcPr>
          <w:p>
            <w:pPr>
              <w:pStyle w:val="TableContents"/>
              <w:spacing w:before="0" w:after="283"/>
              <w:rPr>
                <w:sz w:val="4"/>
                <w:szCs w:val="4"/>
              </w:rPr>
            </w:pPr>
            <w:r>
              <w:rPr>
                <w:sz w:val="4"/>
                <w:szCs w:val="4"/>
              </w:rPr>
            </w:r>
          </w:p>
        </w:tc>
        <w:tc>
          <w:tcPr>
            <w:tcW w:w="1889" w:type="dxa"/>
            <w:gridSpan w:val="4"/>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782" w:type="dxa"/>
            <w:gridSpan w:val="4"/>
            <w:tcBorders/>
            <w:shd w:fill="auto" w:val="clear"/>
            <w:vAlign w:val="center"/>
          </w:tcPr>
          <w:p>
            <w:pPr>
              <w:pStyle w:val="TableContents"/>
              <w:spacing w:before="0" w:after="283"/>
              <w:rPr>
                <w:sz w:val="4"/>
                <w:szCs w:val="4"/>
              </w:rPr>
            </w:pPr>
            <w:r>
              <w:rPr>
                <w:sz w:val="4"/>
                <w:szCs w:val="4"/>
              </w:rPr>
            </w:r>
          </w:p>
        </w:tc>
        <w:tc>
          <w:tcPr>
            <w:tcW w:w="1798" w:type="dxa"/>
            <w:gridSpan w:val="4"/>
            <w:tcBorders/>
            <w:shd w:fill="auto" w:val="clear"/>
            <w:vAlign w:val="center"/>
          </w:tcPr>
          <w:p>
            <w:pPr>
              <w:pStyle w:val="TableContents"/>
              <w:spacing w:before="0" w:after="283"/>
              <w:rPr>
                <w:sz w:val="4"/>
                <w:szCs w:val="4"/>
              </w:rPr>
            </w:pPr>
            <w:r>
              <w:rPr>
                <w:sz w:val="4"/>
                <w:szCs w:val="4"/>
              </w:rPr>
            </w:r>
          </w:p>
        </w:tc>
      </w:tr>
      <w:tr>
        <w:trPr/>
        <w:tc>
          <w:tcPr>
            <w:tcW w:w="2704" w:type="dxa"/>
            <w:tcBorders/>
            <w:shd w:fill="auto" w:val="clear"/>
          </w:tcPr>
          <w:p>
            <w:pPr>
              <w:pStyle w:val="TableContents"/>
              <w:spacing w:before="0" w:after="0"/>
              <w:rPr>
                <w:rFonts w:ascii="arial" w:hAnsi="arial"/>
                <w:sz w:val="16"/>
              </w:rPr>
            </w:pPr>
            <w:r>
              <w:rPr>
                <w:rFonts w:ascii="arial" w:hAnsi="arial"/>
                <w:sz w:val="16"/>
              </w:rPr>
              <w:t>Kathleen L. Brown</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$50,000</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        </w:t>
            </w:r>
            <w:r>
              <w:rPr/>
              <w:t></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$90,060</w:t>
            </w:r>
          </w:p>
        </w:tc>
        <w:tc>
          <w:tcPr>
            <w:tcW w:w="59"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3" w:type="dxa"/>
            <w:tcBorders/>
            <w:shd w:fill="auto" w:val="clear"/>
            <w:vAlign w:val="bottom"/>
          </w:tcPr>
          <w:p>
            <w:pPr>
              <w:pStyle w:val="TableContents"/>
              <w:spacing w:before="0" w:after="283"/>
              <w:jc w:val="right"/>
              <w:rPr/>
            </w:pPr>
            <w:r>
              <w:rPr/>
              <w:t>140,060</w:t>
            </w:r>
          </w:p>
        </w:tc>
        <w:tc>
          <w:tcPr>
            <w:tcW w:w="108" w:type="dxa"/>
            <w:tcBorders/>
            <w:shd w:fill="auto" w:val="clear"/>
            <w:vAlign w:val="bottom"/>
          </w:tcPr>
          <w:p>
            <w:pPr>
              <w:pStyle w:val="TableContents"/>
              <w:spacing w:before="0" w:after="283"/>
              <w:rPr/>
            </w:pPr>
            <w:r>
              <w:rPr/>
              <w:t> </w:t>
            </w:r>
          </w:p>
        </w:tc>
      </w:tr>
      <w:tr>
        <w:trPr>
          <w:trHeight w:val="75" w:hRule="atLeast"/>
        </w:trPr>
        <w:tc>
          <w:tcPr>
            <w:tcW w:w="2704" w:type="dxa"/>
            <w:tcBorders/>
            <w:shd w:fill="E5E5E5" w:val="clear"/>
            <w:vAlign w:val="center"/>
          </w:tcPr>
          <w:p>
            <w:pPr>
              <w:pStyle w:val="TableContents"/>
              <w:spacing w:before="0" w:after="283"/>
              <w:rPr>
                <w:sz w:val="4"/>
                <w:szCs w:val="4"/>
              </w:rPr>
            </w:pPr>
            <w:r>
              <w:rPr>
                <w:sz w:val="4"/>
                <w:szCs w:val="4"/>
              </w:rPr>
            </w:r>
          </w:p>
        </w:tc>
        <w:tc>
          <w:tcPr>
            <w:tcW w:w="1889" w:type="dxa"/>
            <w:gridSpan w:val="4"/>
            <w:tcBorders/>
            <w:shd w:fill="E5E5E5" w:val="clear"/>
            <w:vAlign w:val="center"/>
          </w:tcPr>
          <w:p>
            <w:pPr>
              <w:pStyle w:val="TableContents"/>
              <w:spacing w:before="0" w:after="283"/>
              <w:rPr>
                <w:sz w:val="4"/>
                <w:szCs w:val="4"/>
              </w:rPr>
            </w:pPr>
            <w:r>
              <w:rPr>
                <w:sz w:val="4"/>
                <w:szCs w:val="4"/>
              </w:rPr>
            </w:r>
          </w:p>
        </w:tc>
        <w:tc>
          <w:tcPr>
            <w:tcW w:w="1725" w:type="dxa"/>
            <w:gridSpan w:val="4"/>
            <w:tcBorders/>
            <w:shd w:fill="E5E5E5" w:val="clear"/>
            <w:vAlign w:val="center"/>
          </w:tcPr>
          <w:p>
            <w:pPr>
              <w:pStyle w:val="TableContents"/>
              <w:spacing w:before="0" w:after="283"/>
              <w:rPr>
                <w:sz w:val="4"/>
                <w:szCs w:val="4"/>
              </w:rPr>
            </w:pPr>
            <w:r>
              <w:rPr>
                <w:sz w:val="4"/>
                <w:szCs w:val="4"/>
              </w:rPr>
            </w:r>
          </w:p>
        </w:tc>
        <w:tc>
          <w:tcPr>
            <w:tcW w:w="1782" w:type="dxa"/>
            <w:gridSpan w:val="4"/>
            <w:tcBorders/>
            <w:shd w:fill="E5E5E5" w:val="clear"/>
            <w:vAlign w:val="center"/>
          </w:tcPr>
          <w:p>
            <w:pPr>
              <w:pStyle w:val="TableContents"/>
              <w:spacing w:before="0" w:after="283"/>
              <w:rPr>
                <w:sz w:val="4"/>
                <w:szCs w:val="4"/>
              </w:rPr>
            </w:pPr>
            <w:r>
              <w:rPr>
                <w:sz w:val="4"/>
                <w:szCs w:val="4"/>
              </w:rPr>
            </w:r>
          </w:p>
        </w:tc>
        <w:tc>
          <w:tcPr>
            <w:tcW w:w="1798" w:type="dxa"/>
            <w:gridSpan w:val="4"/>
            <w:tcBorders/>
            <w:shd w:fill="E5E5E5" w:val="clear"/>
            <w:vAlign w:val="center"/>
          </w:tcPr>
          <w:p>
            <w:pPr>
              <w:pStyle w:val="TableContents"/>
              <w:spacing w:before="0" w:after="283"/>
              <w:rPr>
                <w:sz w:val="4"/>
                <w:szCs w:val="4"/>
              </w:rPr>
            </w:pPr>
            <w:r>
              <w:rPr>
                <w:sz w:val="4"/>
                <w:szCs w:val="4"/>
              </w:rPr>
            </w:r>
          </w:p>
        </w:tc>
      </w:tr>
      <w:tr>
        <w:trPr/>
        <w:tc>
          <w:tcPr>
            <w:tcW w:w="2704" w:type="dxa"/>
            <w:tcBorders/>
            <w:shd w:fill="E5E5E5" w:val="clear"/>
          </w:tcPr>
          <w:p>
            <w:pPr>
              <w:pStyle w:val="TableContents"/>
              <w:spacing w:before="0" w:after="0"/>
              <w:rPr>
                <w:rFonts w:ascii="arial" w:hAnsi="arial"/>
                <w:sz w:val="16"/>
              </w:rPr>
            </w:pPr>
            <w:r>
              <w:rPr>
                <w:rFonts w:ascii="arial" w:hAnsi="arial"/>
                <w:sz w:val="16"/>
              </w:rPr>
              <w:t>Andrés Conesa</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7" w:type="dxa"/>
            <w:tcBorders/>
            <w:shd w:fill="E5E5E5" w:val="clear"/>
            <w:vAlign w:val="bottom"/>
          </w:tcPr>
          <w:p>
            <w:pPr>
              <w:pStyle w:val="TableContents"/>
              <w:spacing w:before="0" w:after="283"/>
              <w:jc w:val="right"/>
              <w:rPr/>
            </w:pPr>
            <w:r>
              <w:rPr/>
              <w:t>$50,000</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23"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76" w:type="dxa"/>
            <w:tcBorders/>
            <w:shd w:fill="E5E5E5" w:val="clear"/>
            <w:vAlign w:val="bottom"/>
          </w:tcPr>
          <w:p>
            <w:pPr>
              <w:pStyle w:val="TableContents"/>
              <w:spacing w:before="0" w:after="283"/>
              <w:jc w:val="right"/>
              <w:rPr/>
            </w:pPr>
            <w:r>
              <w:rPr/>
              <w:t>$90,060</w:t>
            </w:r>
          </w:p>
        </w:tc>
        <w:tc>
          <w:tcPr>
            <w:tcW w:w="5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23" w:type="dxa"/>
            <w:tcBorders/>
            <w:shd w:fill="E5E5E5" w:val="clear"/>
            <w:vAlign w:val="bottom"/>
          </w:tcPr>
          <w:p>
            <w:pPr>
              <w:pStyle w:val="TableContents"/>
              <w:spacing w:before="0" w:after="283"/>
              <w:jc w:val="right"/>
              <w:rPr/>
            </w:pPr>
            <w:r>
              <w:rPr/>
              <w:t>140,060</w:t>
            </w:r>
          </w:p>
        </w:tc>
        <w:tc>
          <w:tcPr>
            <w:tcW w:w="108" w:type="dxa"/>
            <w:tcBorders/>
            <w:shd w:fill="E5E5E5" w:val="clear"/>
            <w:vAlign w:val="bottom"/>
          </w:tcPr>
          <w:p>
            <w:pPr>
              <w:pStyle w:val="TableContents"/>
              <w:spacing w:before="0" w:after="283"/>
              <w:rPr/>
            </w:pPr>
            <w:r>
              <w:rPr/>
              <w:t> </w:t>
            </w:r>
          </w:p>
        </w:tc>
      </w:tr>
      <w:tr>
        <w:trPr>
          <w:trHeight w:val="75" w:hRule="atLeast"/>
        </w:trPr>
        <w:tc>
          <w:tcPr>
            <w:tcW w:w="2704" w:type="dxa"/>
            <w:tcBorders/>
            <w:shd w:fill="auto" w:val="clear"/>
            <w:vAlign w:val="center"/>
          </w:tcPr>
          <w:p>
            <w:pPr>
              <w:pStyle w:val="TableContents"/>
              <w:spacing w:before="0" w:after="283"/>
              <w:rPr>
                <w:sz w:val="4"/>
                <w:szCs w:val="4"/>
              </w:rPr>
            </w:pPr>
            <w:r>
              <w:rPr>
                <w:sz w:val="4"/>
                <w:szCs w:val="4"/>
              </w:rPr>
            </w:r>
          </w:p>
        </w:tc>
        <w:tc>
          <w:tcPr>
            <w:tcW w:w="1889" w:type="dxa"/>
            <w:gridSpan w:val="4"/>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782" w:type="dxa"/>
            <w:gridSpan w:val="4"/>
            <w:tcBorders/>
            <w:shd w:fill="auto" w:val="clear"/>
            <w:vAlign w:val="center"/>
          </w:tcPr>
          <w:p>
            <w:pPr>
              <w:pStyle w:val="TableContents"/>
              <w:spacing w:before="0" w:after="283"/>
              <w:rPr>
                <w:sz w:val="4"/>
                <w:szCs w:val="4"/>
              </w:rPr>
            </w:pPr>
            <w:r>
              <w:rPr>
                <w:sz w:val="4"/>
                <w:szCs w:val="4"/>
              </w:rPr>
            </w:r>
          </w:p>
        </w:tc>
        <w:tc>
          <w:tcPr>
            <w:tcW w:w="1798" w:type="dxa"/>
            <w:gridSpan w:val="4"/>
            <w:tcBorders/>
            <w:shd w:fill="auto" w:val="clear"/>
            <w:vAlign w:val="center"/>
          </w:tcPr>
          <w:p>
            <w:pPr>
              <w:pStyle w:val="TableContents"/>
              <w:spacing w:before="0" w:after="283"/>
              <w:rPr>
                <w:sz w:val="4"/>
                <w:szCs w:val="4"/>
              </w:rPr>
            </w:pPr>
            <w:r>
              <w:rPr>
                <w:sz w:val="4"/>
                <w:szCs w:val="4"/>
              </w:rPr>
            </w:r>
          </w:p>
        </w:tc>
      </w:tr>
      <w:tr>
        <w:trPr/>
        <w:tc>
          <w:tcPr>
            <w:tcW w:w="2704" w:type="dxa"/>
            <w:tcBorders/>
            <w:shd w:fill="auto" w:val="clear"/>
          </w:tcPr>
          <w:p>
            <w:pPr>
              <w:pStyle w:val="TableContents"/>
              <w:spacing w:before="0" w:after="0"/>
              <w:rPr>
                <w:rFonts w:ascii="arial" w:hAnsi="arial"/>
                <w:sz w:val="16"/>
              </w:rPr>
            </w:pPr>
            <w:r>
              <w:rPr>
                <w:rFonts w:ascii="arial" w:hAnsi="arial"/>
                <w:sz w:val="16"/>
              </w:rPr>
              <w:t>Maria Contreras-Sweet</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$50,000</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        </w:t>
            </w:r>
            <w:r>
              <w:rPr/>
              <w:t></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$90,060</w:t>
            </w:r>
          </w:p>
        </w:tc>
        <w:tc>
          <w:tcPr>
            <w:tcW w:w="59"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3" w:type="dxa"/>
            <w:tcBorders/>
            <w:shd w:fill="auto" w:val="clear"/>
            <w:vAlign w:val="bottom"/>
          </w:tcPr>
          <w:p>
            <w:pPr>
              <w:pStyle w:val="TableContents"/>
              <w:spacing w:before="0" w:after="283"/>
              <w:jc w:val="right"/>
              <w:rPr/>
            </w:pPr>
            <w:r>
              <w:rPr/>
              <w:t>140,060</w:t>
            </w:r>
          </w:p>
        </w:tc>
        <w:tc>
          <w:tcPr>
            <w:tcW w:w="108" w:type="dxa"/>
            <w:tcBorders/>
            <w:shd w:fill="auto" w:val="clear"/>
            <w:vAlign w:val="bottom"/>
          </w:tcPr>
          <w:p>
            <w:pPr>
              <w:pStyle w:val="TableContents"/>
              <w:spacing w:before="0" w:after="283"/>
              <w:rPr/>
            </w:pPr>
            <w:r>
              <w:rPr/>
              <w:t> </w:t>
            </w:r>
          </w:p>
        </w:tc>
      </w:tr>
      <w:tr>
        <w:trPr>
          <w:trHeight w:val="75" w:hRule="atLeast"/>
        </w:trPr>
        <w:tc>
          <w:tcPr>
            <w:tcW w:w="2704" w:type="dxa"/>
            <w:tcBorders/>
            <w:shd w:fill="E5E5E5" w:val="clear"/>
            <w:vAlign w:val="center"/>
          </w:tcPr>
          <w:p>
            <w:pPr>
              <w:pStyle w:val="TableContents"/>
              <w:spacing w:before="0" w:after="283"/>
              <w:rPr>
                <w:sz w:val="4"/>
                <w:szCs w:val="4"/>
              </w:rPr>
            </w:pPr>
            <w:r>
              <w:rPr>
                <w:sz w:val="4"/>
                <w:szCs w:val="4"/>
              </w:rPr>
            </w:r>
          </w:p>
        </w:tc>
        <w:tc>
          <w:tcPr>
            <w:tcW w:w="1889" w:type="dxa"/>
            <w:gridSpan w:val="4"/>
            <w:tcBorders/>
            <w:shd w:fill="E5E5E5" w:val="clear"/>
            <w:vAlign w:val="center"/>
          </w:tcPr>
          <w:p>
            <w:pPr>
              <w:pStyle w:val="TableContents"/>
              <w:spacing w:before="0" w:after="283"/>
              <w:rPr>
                <w:sz w:val="4"/>
                <w:szCs w:val="4"/>
              </w:rPr>
            </w:pPr>
            <w:r>
              <w:rPr>
                <w:sz w:val="4"/>
                <w:szCs w:val="4"/>
              </w:rPr>
            </w:r>
          </w:p>
        </w:tc>
        <w:tc>
          <w:tcPr>
            <w:tcW w:w="1725" w:type="dxa"/>
            <w:gridSpan w:val="4"/>
            <w:tcBorders/>
            <w:shd w:fill="E5E5E5" w:val="clear"/>
            <w:vAlign w:val="center"/>
          </w:tcPr>
          <w:p>
            <w:pPr>
              <w:pStyle w:val="TableContents"/>
              <w:spacing w:before="0" w:after="283"/>
              <w:rPr>
                <w:sz w:val="4"/>
                <w:szCs w:val="4"/>
              </w:rPr>
            </w:pPr>
            <w:r>
              <w:rPr>
                <w:sz w:val="4"/>
                <w:szCs w:val="4"/>
              </w:rPr>
            </w:r>
          </w:p>
        </w:tc>
        <w:tc>
          <w:tcPr>
            <w:tcW w:w="1782" w:type="dxa"/>
            <w:gridSpan w:val="4"/>
            <w:tcBorders/>
            <w:shd w:fill="E5E5E5" w:val="clear"/>
            <w:vAlign w:val="center"/>
          </w:tcPr>
          <w:p>
            <w:pPr>
              <w:pStyle w:val="TableContents"/>
              <w:spacing w:before="0" w:after="283"/>
              <w:rPr>
                <w:sz w:val="4"/>
                <w:szCs w:val="4"/>
              </w:rPr>
            </w:pPr>
            <w:r>
              <w:rPr>
                <w:sz w:val="4"/>
                <w:szCs w:val="4"/>
              </w:rPr>
            </w:r>
          </w:p>
        </w:tc>
        <w:tc>
          <w:tcPr>
            <w:tcW w:w="1798" w:type="dxa"/>
            <w:gridSpan w:val="4"/>
            <w:tcBorders/>
            <w:shd w:fill="E5E5E5" w:val="clear"/>
            <w:vAlign w:val="center"/>
          </w:tcPr>
          <w:p>
            <w:pPr>
              <w:pStyle w:val="TableContents"/>
              <w:spacing w:before="0" w:after="283"/>
              <w:rPr>
                <w:sz w:val="4"/>
                <w:szCs w:val="4"/>
              </w:rPr>
            </w:pPr>
            <w:r>
              <w:rPr>
                <w:sz w:val="4"/>
                <w:szCs w:val="4"/>
              </w:rPr>
            </w:r>
          </w:p>
        </w:tc>
      </w:tr>
      <w:tr>
        <w:trPr/>
        <w:tc>
          <w:tcPr>
            <w:tcW w:w="2704" w:type="dxa"/>
            <w:tcBorders/>
            <w:shd w:fill="E5E5E5" w:val="clear"/>
          </w:tcPr>
          <w:p>
            <w:pPr>
              <w:pStyle w:val="TableContents"/>
              <w:spacing w:before="0" w:after="0"/>
              <w:rPr>
                <w:rFonts w:ascii="arial" w:hAnsi="arial"/>
                <w:sz w:val="16"/>
              </w:rPr>
            </w:pPr>
            <w:r>
              <w:rPr>
                <w:rFonts w:ascii="arial" w:hAnsi="arial"/>
                <w:sz w:val="16"/>
              </w:rPr>
              <w:t>Pablo A. Ferrero</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7" w:type="dxa"/>
            <w:tcBorders/>
            <w:shd w:fill="E5E5E5" w:val="clear"/>
            <w:vAlign w:val="bottom"/>
          </w:tcPr>
          <w:p>
            <w:pPr>
              <w:pStyle w:val="TableContents"/>
              <w:spacing w:before="0" w:after="283"/>
              <w:jc w:val="right"/>
              <w:rPr/>
            </w:pPr>
            <w:r>
              <w:rPr/>
              <w:t>$50,000</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23"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76" w:type="dxa"/>
            <w:tcBorders/>
            <w:shd w:fill="E5E5E5" w:val="clear"/>
            <w:vAlign w:val="bottom"/>
          </w:tcPr>
          <w:p>
            <w:pPr>
              <w:pStyle w:val="TableContents"/>
              <w:spacing w:before="0" w:after="283"/>
              <w:jc w:val="right"/>
              <w:rPr/>
            </w:pPr>
            <w:r>
              <w:rPr/>
              <w:t>$90,060</w:t>
            </w:r>
          </w:p>
        </w:tc>
        <w:tc>
          <w:tcPr>
            <w:tcW w:w="5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23" w:type="dxa"/>
            <w:tcBorders/>
            <w:shd w:fill="E5E5E5" w:val="clear"/>
            <w:vAlign w:val="bottom"/>
          </w:tcPr>
          <w:p>
            <w:pPr>
              <w:pStyle w:val="TableContents"/>
              <w:spacing w:before="0" w:after="283"/>
              <w:jc w:val="right"/>
              <w:rPr/>
            </w:pPr>
            <w:r>
              <w:rPr/>
              <w:t>140,060</w:t>
            </w:r>
          </w:p>
        </w:tc>
        <w:tc>
          <w:tcPr>
            <w:tcW w:w="108" w:type="dxa"/>
            <w:tcBorders/>
            <w:shd w:fill="E5E5E5" w:val="clear"/>
            <w:vAlign w:val="bottom"/>
          </w:tcPr>
          <w:p>
            <w:pPr>
              <w:pStyle w:val="TableContents"/>
              <w:spacing w:before="0" w:after="283"/>
              <w:rPr/>
            </w:pPr>
            <w:r>
              <w:rPr/>
              <w:t> </w:t>
            </w:r>
          </w:p>
        </w:tc>
      </w:tr>
      <w:tr>
        <w:trPr>
          <w:trHeight w:val="75" w:hRule="atLeast"/>
        </w:trPr>
        <w:tc>
          <w:tcPr>
            <w:tcW w:w="2704" w:type="dxa"/>
            <w:tcBorders/>
            <w:shd w:fill="auto" w:val="clear"/>
            <w:vAlign w:val="center"/>
          </w:tcPr>
          <w:p>
            <w:pPr>
              <w:pStyle w:val="TableContents"/>
              <w:spacing w:before="0" w:after="283"/>
              <w:rPr>
                <w:sz w:val="4"/>
                <w:szCs w:val="4"/>
              </w:rPr>
            </w:pPr>
            <w:r>
              <w:rPr>
                <w:sz w:val="4"/>
                <w:szCs w:val="4"/>
              </w:rPr>
            </w:r>
          </w:p>
        </w:tc>
        <w:tc>
          <w:tcPr>
            <w:tcW w:w="1889" w:type="dxa"/>
            <w:gridSpan w:val="4"/>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782" w:type="dxa"/>
            <w:gridSpan w:val="4"/>
            <w:tcBorders/>
            <w:shd w:fill="auto" w:val="clear"/>
            <w:vAlign w:val="center"/>
          </w:tcPr>
          <w:p>
            <w:pPr>
              <w:pStyle w:val="TableContents"/>
              <w:spacing w:before="0" w:after="283"/>
              <w:rPr>
                <w:sz w:val="4"/>
                <w:szCs w:val="4"/>
              </w:rPr>
            </w:pPr>
            <w:r>
              <w:rPr>
                <w:sz w:val="4"/>
                <w:szCs w:val="4"/>
              </w:rPr>
            </w:r>
          </w:p>
        </w:tc>
        <w:tc>
          <w:tcPr>
            <w:tcW w:w="1798" w:type="dxa"/>
            <w:gridSpan w:val="4"/>
            <w:tcBorders/>
            <w:shd w:fill="auto" w:val="clear"/>
            <w:vAlign w:val="center"/>
          </w:tcPr>
          <w:p>
            <w:pPr>
              <w:pStyle w:val="TableContents"/>
              <w:spacing w:before="0" w:after="283"/>
              <w:rPr>
                <w:sz w:val="4"/>
                <w:szCs w:val="4"/>
              </w:rPr>
            </w:pPr>
            <w:r>
              <w:rPr>
                <w:sz w:val="4"/>
                <w:szCs w:val="4"/>
              </w:rPr>
            </w:r>
          </w:p>
        </w:tc>
      </w:tr>
      <w:tr>
        <w:trPr/>
        <w:tc>
          <w:tcPr>
            <w:tcW w:w="2704" w:type="dxa"/>
            <w:tcBorders/>
            <w:shd w:fill="auto" w:val="clear"/>
          </w:tcPr>
          <w:p>
            <w:pPr>
              <w:pStyle w:val="TableContents"/>
              <w:spacing w:before="0" w:after="0"/>
              <w:rPr>
                <w:rFonts w:ascii="arial" w:hAnsi="arial"/>
                <w:sz w:val="16"/>
              </w:rPr>
            </w:pPr>
            <w:r>
              <w:rPr>
                <w:rFonts w:ascii="arial" w:hAnsi="arial"/>
                <w:sz w:val="16"/>
              </w:rPr>
              <w:t>William D. Jones</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$50,000</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$90,000</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        </w:t>
            </w:r>
            <w:r>
              <w:rPr/>
              <w:t></w:t>
            </w:r>
          </w:p>
        </w:tc>
        <w:tc>
          <w:tcPr>
            <w:tcW w:w="59"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3" w:type="dxa"/>
            <w:tcBorders/>
            <w:shd w:fill="auto" w:val="clear"/>
            <w:vAlign w:val="bottom"/>
          </w:tcPr>
          <w:p>
            <w:pPr>
              <w:pStyle w:val="TableContents"/>
              <w:spacing w:before="0" w:after="283"/>
              <w:jc w:val="right"/>
              <w:rPr/>
            </w:pPr>
            <w:r>
              <w:rPr/>
              <w:t>140,000</w:t>
            </w:r>
          </w:p>
        </w:tc>
        <w:tc>
          <w:tcPr>
            <w:tcW w:w="108" w:type="dxa"/>
            <w:tcBorders/>
            <w:shd w:fill="auto" w:val="clear"/>
            <w:vAlign w:val="bottom"/>
          </w:tcPr>
          <w:p>
            <w:pPr>
              <w:pStyle w:val="TableContents"/>
              <w:spacing w:before="0" w:after="283"/>
              <w:rPr/>
            </w:pPr>
            <w:r>
              <w:rPr/>
              <w:t> </w:t>
            </w:r>
          </w:p>
        </w:tc>
      </w:tr>
      <w:tr>
        <w:trPr>
          <w:trHeight w:val="75" w:hRule="atLeast"/>
        </w:trPr>
        <w:tc>
          <w:tcPr>
            <w:tcW w:w="2704" w:type="dxa"/>
            <w:tcBorders/>
            <w:shd w:fill="E5E5E5" w:val="clear"/>
            <w:vAlign w:val="center"/>
          </w:tcPr>
          <w:p>
            <w:pPr>
              <w:pStyle w:val="TableContents"/>
              <w:spacing w:before="0" w:after="283"/>
              <w:rPr>
                <w:sz w:val="4"/>
                <w:szCs w:val="4"/>
              </w:rPr>
            </w:pPr>
            <w:r>
              <w:rPr>
                <w:sz w:val="4"/>
                <w:szCs w:val="4"/>
              </w:rPr>
            </w:r>
          </w:p>
        </w:tc>
        <w:tc>
          <w:tcPr>
            <w:tcW w:w="1889" w:type="dxa"/>
            <w:gridSpan w:val="4"/>
            <w:tcBorders/>
            <w:shd w:fill="E5E5E5" w:val="clear"/>
            <w:vAlign w:val="center"/>
          </w:tcPr>
          <w:p>
            <w:pPr>
              <w:pStyle w:val="TableContents"/>
              <w:spacing w:before="0" w:after="283"/>
              <w:rPr>
                <w:sz w:val="4"/>
                <w:szCs w:val="4"/>
              </w:rPr>
            </w:pPr>
            <w:r>
              <w:rPr>
                <w:sz w:val="4"/>
                <w:szCs w:val="4"/>
              </w:rPr>
            </w:r>
          </w:p>
        </w:tc>
        <w:tc>
          <w:tcPr>
            <w:tcW w:w="1725" w:type="dxa"/>
            <w:gridSpan w:val="4"/>
            <w:tcBorders/>
            <w:shd w:fill="E5E5E5" w:val="clear"/>
            <w:vAlign w:val="center"/>
          </w:tcPr>
          <w:p>
            <w:pPr>
              <w:pStyle w:val="TableContents"/>
              <w:spacing w:before="0" w:after="283"/>
              <w:rPr>
                <w:sz w:val="4"/>
                <w:szCs w:val="4"/>
              </w:rPr>
            </w:pPr>
            <w:r>
              <w:rPr>
                <w:sz w:val="4"/>
                <w:szCs w:val="4"/>
              </w:rPr>
            </w:r>
          </w:p>
        </w:tc>
        <w:tc>
          <w:tcPr>
            <w:tcW w:w="1782" w:type="dxa"/>
            <w:gridSpan w:val="4"/>
            <w:tcBorders/>
            <w:shd w:fill="E5E5E5" w:val="clear"/>
            <w:vAlign w:val="center"/>
          </w:tcPr>
          <w:p>
            <w:pPr>
              <w:pStyle w:val="TableContents"/>
              <w:spacing w:before="0" w:after="283"/>
              <w:rPr>
                <w:sz w:val="4"/>
                <w:szCs w:val="4"/>
              </w:rPr>
            </w:pPr>
            <w:r>
              <w:rPr>
                <w:sz w:val="4"/>
                <w:szCs w:val="4"/>
              </w:rPr>
            </w:r>
          </w:p>
        </w:tc>
        <w:tc>
          <w:tcPr>
            <w:tcW w:w="1798" w:type="dxa"/>
            <w:gridSpan w:val="4"/>
            <w:tcBorders/>
            <w:shd w:fill="E5E5E5" w:val="clear"/>
            <w:vAlign w:val="center"/>
          </w:tcPr>
          <w:p>
            <w:pPr>
              <w:pStyle w:val="TableContents"/>
              <w:spacing w:before="0" w:after="283"/>
              <w:rPr>
                <w:sz w:val="4"/>
                <w:szCs w:val="4"/>
              </w:rPr>
            </w:pPr>
            <w:r>
              <w:rPr>
                <w:sz w:val="4"/>
                <w:szCs w:val="4"/>
              </w:rPr>
            </w:r>
          </w:p>
        </w:tc>
      </w:tr>
      <w:tr>
        <w:trPr/>
        <w:tc>
          <w:tcPr>
            <w:tcW w:w="2704" w:type="dxa"/>
            <w:tcBorders/>
            <w:shd w:fill="E5E5E5" w:val="clear"/>
          </w:tcPr>
          <w:p>
            <w:pPr>
              <w:pStyle w:val="TableContents"/>
              <w:spacing w:before="0" w:after="0"/>
              <w:rPr>
                <w:rFonts w:ascii="arial" w:hAnsi="arial"/>
                <w:sz w:val="16"/>
              </w:rPr>
            </w:pPr>
            <w:r>
              <w:rPr>
                <w:rFonts w:ascii="arial" w:hAnsi="arial"/>
                <w:sz w:val="16"/>
              </w:rPr>
              <w:t>Bethany J. Mayer</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7" w:type="dxa"/>
            <w:tcBorders/>
            <w:shd w:fill="E5E5E5" w:val="clear"/>
            <w:vAlign w:val="bottom"/>
          </w:tcPr>
          <w:p>
            <w:pPr>
              <w:pStyle w:val="TableContents"/>
              <w:spacing w:before="0" w:after="283"/>
              <w:jc w:val="right"/>
              <w:rPr/>
            </w:pPr>
            <w:r>
              <w:rPr/>
              <w:t>$50,000</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23" w:type="dxa"/>
            <w:tcBorders/>
            <w:shd w:fill="E5E5E5" w:val="clear"/>
            <w:vAlign w:val="bottom"/>
          </w:tcPr>
          <w:p>
            <w:pPr>
              <w:pStyle w:val="TableContents"/>
              <w:spacing w:before="0" w:after="283"/>
              <w:jc w:val="right"/>
              <w:rPr/>
            </w:pPr>
            <w:r>
              <w:rPr/>
              <w:t>$90,000</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76" w:type="dxa"/>
            <w:tcBorders/>
            <w:shd w:fill="E5E5E5" w:val="clear"/>
            <w:vAlign w:val="bottom"/>
          </w:tcPr>
          <w:p>
            <w:pPr>
              <w:pStyle w:val="TableContents"/>
              <w:spacing w:before="0" w:after="283"/>
              <w:jc w:val="right"/>
              <w:rPr/>
            </w:pPr>
            <w:r>
              <w:rPr/>
              <w:t>        </w:t>
            </w:r>
            <w:r>
              <w:rPr/>
              <w:t></w:t>
            </w:r>
          </w:p>
        </w:tc>
        <w:tc>
          <w:tcPr>
            <w:tcW w:w="5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23" w:type="dxa"/>
            <w:tcBorders/>
            <w:shd w:fill="E5E5E5" w:val="clear"/>
            <w:vAlign w:val="bottom"/>
          </w:tcPr>
          <w:p>
            <w:pPr>
              <w:pStyle w:val="TableContents"/>
              <w:spacing w:before="0" w:after="283"/>
              <w:jc w:val="right"/>
              <w:rPr/>
            </w:pPr>
            <w:r>
              <w:rPr/>
              <w:t>140,000</w:t>
            </w:r>
          </w:p>
        </w:tc>
        <w:tc>
          <w:tcPr>
            <w:tcW w:w="108" w:type="dxa"/>
            <w:tcBorders/>
            <w:shd w:fill="E5E5E5" w:val="clear"/>
            <w:vAlign w:val="bottom"/>
          </w:tcPr>
          <w:p>
            <w:pPr>
              <w:pStyle w:val="TableContents"/>
              <w:spacing w:before="0" w:after="283"/>
              <w:rPr/>
            </w:pPr>
            <w:r>
              <w:rPr/>
              <w:t> </w:t>
            </w:r>
          </w:p>
        </w:tc>
      </w:tr>
      <w:tr>
        <w:trPr>
          <w:trHeight w:val="75" w:hRule="atLeast"/>
        </w:trPr>
        <w:tc>
          <w:tcPr>
            <w:tcW w:w="2704" w:type="dxa"/>
            <w:tcBorders/>
            <w:shd w:fill="auto" w:val="clear"/>
            <w:vAlign w:val="center"/>
          </w:tcPr>
          <w:p>
            <w:pPr>
              <w:pStyle w:val="TableContents"/>
              <w:spacing w:before="0" w:after="283"/>
              <w:rPr>
                <w:sz w:val="4"/>
                <w:szCs w:val="4"/>
              </w:rPr>
            </w:pPr>
            <w:r>
              <w:rPr>
                <w:sz w:val="4"/>
                <w:szCs w:val="4"/>
              </w:rPr>
            </w:r>
          </w:p>
        </w:tc>
        <w:tc>
          <w:tcPr>
            <w:tcW w:w="1889" w:type="dxa"/>
            <w:gridSpan w:val="4"/>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782" w:type="dxa"/>
            <w:gridSpan w:val="4"/>
            <w:tcBorders/>
            <w:shd w:fill="auto" w:val="clear"/>
            <w:vAlign w:val="center"/>
          </w:tcPr>
          <w:p>
            <w:pPr>
              <w:pStyle w:val="TableContents"/>
              <w:spacing w:before="0" w:after="283"/>
              <w:rPr>
                <w:sz w:val="4"/>
                <w:szCs w:val="4"/>
              </w:rPr>
            </w:pPr>
            <w:r>
              <w:rPr>
                <w:sz w:val="4"/>
                <w:szCs w:val="4"/>
              </w:rPr>
            </w:r>
          </w:p>
        </w:tc>
        <w:tc>
          <w:tcPr>
            <w:tcW w:w="1798" w:type="dxa"/>
            <w:gridSpan w:val="4"/>
            <w:tcBorders/>
            <w:shd w:fill="auto" w:val="clear"/>
            <w:vAlign w:val="center"/>
          </w:tcPr>
          <w:p>
            <w:pPr>
              <w:pStyle w:val="TableContents"/>
              <w:spacing w:before="0" w:after="283"/>
              <w:rPr>
                <w:sz w:val="4"/>
                <w:szCs w:val="4"/>
              </w:rPr>
            </w:pPr>
            <w:r>
              <w:rPr>
                <w:sz w:val="4"/>
                <w:szCs w:val="4"/>
              </w:rPr>
            </w:r>
          </w:p>
        </w:tc>
      </w:tr>
      <w:tr>
        <w:trPr/>
        <w:tc>
          <w:tcPr>
            <w:tcW w:w="2704" w:type="dxa"/>
            <w:tcBorders/>
            <w:shd w:fill="auto" w:val="clear"/>
          </w:tcPr>
          <w:p>
            <w:pPr>
              <w:pStyle w:val="TableContents"/>
              <w:spacing w:before="0" w:after="0"/>
              <w:rPr>
                <w:rFonts w:ascii="arial" w:hAnsi="arial"/>
                <w:sz w:val="16"/>
              </w:rPr>
            </w:pPr>
            <w:r>
              <w:rPr>
                <w:rFonts w:ascii="arial" w:hAnsi="arial"/>
                <w:sz w:val="16"/>
              </w:rPr>
              <w:t>Michael N. Mears</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$50,000</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$90,000</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        </w:t>
            </w:r>
            <w:r>
              <w:rPr/>
              <w:t></w:t>
            </w:r>
          </w:p>
        </w:tc>
        <w:tc>
          <w:tcPr>
            <w:tcW w:w="59"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3" w:type="dxa"/>
            <w:tcBorders/>
            <w:shd w:fill="auto" w:val="clear"/>
            <w:vAlign w:val="bottom"/>
          </w:tcPr>
          <w:p>
            <w:pPr>
              <w:pStyle w:val="TableContents"/>
              <w:spacing w:before="0" w:after="283"/>
              <w:jc w:val="right"/>
              <w:rPr/>
            </w:pPr>
            <w:r>
              <w:rPr/>
              <w:t>140,000</w:t>
            </w:r>
          </w:p>
        </w:tc>
        <w:tc>
          <w:tcPr>
            <w:tcW w:w="108" w:type="dxa"/>
            <w:tcBorders/>
            <w:shd w:fill="auto" w:val="clear"/>
            <w:vAlign w:val="bottom"/>
          </w:tcPr>
          <w:p>
            <w:pPr>
              <w:pStyle w:val="TableContents"/>
              <w:spacing w:before="0" w:after="283"/>
              <w:rPr/>
            </w:pPr>
            <w:r>
              <w:rPr/>
              <w:t> </w:t>
            </w:r>
          </w:p>
        </w:tc>
      </w:tr>
      <w:tr>
        <w:trPr>
          <w:trHeight w:val="75" w:hRule="atLeast"/>
        </w:trPr>
        <w:tc>
          <w:tcPr>
            <w:tcW w:w="2704" w:type="dxa"/>
            <w:tcBorders/>
            <w:shd w:fill="E5E5E5" w:val="clear"/>
            <w:vAlign w:val="center"/>
          </w:tcPr>
          <w:p>
            <w:pPr>
              <w:pStyle w:val="TableContents"/>
              <w:spacing w:before="0" w:after="283"/>
              <w:rPr>
                <w:sz w:val="4"/>
                <w:szCs w:val="4"/>
              </w:rPr>
            </w:pPr>
            <w:r>
              <w:rPr>
                <w:sz w:val="4"/>
                <w:szCs w:val="4"/>
              </w:rPr>
            </w:r>
          </w:p>
        </w:tc>
        <w:tc>
          <w:tcPr>
            <w:tcW w:w="1889" w:type="dxa"/>
            <w:gridSpan w:val="4"/>
            <w:tcBorders/>
            <w:shd w:fill="E5E5E5" w:val="clear"/>
            <w:vAlign w:val="center"/>
          </w:tcPr>
          <w:p>
            <w:pPr>
              <w:pStyle w:val="TableContents"/>
              <w:spacing w:before="0" w:after="283"/>
              <w:rPr>
                <w:sz w:val="4"/>
                <w:szCs w:val="4"/>
              </w:rPr>
            </w:pPr>
            <w:r>
              <w:rPr>
                <w:sz w:val="4"/>
                <w:szCs w:val="4"/>
              </w:rPr>
            </w:r>
          </w:p>
        </w:tc>
        <w:tc>
          <w:tcPr>
            <w:tcW w:w="1725" w:type="dxa"/>
            <w:gridSpan w:val="4"/>
            <w:tcBorders/>
            <w:shd w:fill="E5E5E5" w:val="clear"/>
            <w:vAlign w:val="center"/>
          </w:tcPr>
          <w:p>
            <w:pPr>
              <w:pStyle w:val="TableContents"/>
              <w:spacing w:before="0" w:after="283"/>
              <w:rPr>
                <w:sz w:val="4"/>
                <w:szCs w:val="4"/>
              </w:rPr>
            </w:pPr>
            <w:r>
              <w:rPr>
                <w:sz w:val="4"/>
                <w:szCs w:val="4"/>
              </w:rPr>
            </w:r>
          </w:p>
        </w:tc>
        <w:tc>
          <w:tcPr>
            <w:tcW w:w="1782" w:type="dxa"/>
            <w:gridSpan w:val="4"/>
            <w:tcBorders/>
            <w:shd w:fill="E5E5E5" w:val="clear"/>
            <w:vAlign w:val="center"/>
          </w:tcPr>
          <w:p>
            <w:pPr>
              <w:pStyle w:val="TableContents"/>
              <w:spacing w:before="0" w:after="283"/>
              <w:rPr>
                <w:sz w:val="4"/>
                <w:szCs w:val="4"/>
              </w:rPr>
            </w:pPr>
            <w:r>
              <w:rPr>
                <w:sz w:val="4"/>
                <w:szCs w:val="4"/>
              </w:rPr>
            </w:r>
          </w:p>
        </w:tc>
        <w:tc>
          <w:tcPr>
            <w:tcW w:w="1798" w:type="dxa"/>
            <w:gridSpan w:val="4"/>
            <w:tcBorders/>
            <w:shd w:fill="E5E5E5" w:val="clear"/>
            <w:vAlign w:val="center"/>
          </w:tcPr>
          <w:p>
            <w:pPr>
              <w:pStyle w:val="TableContents"/>
              <w:spacing w:before="0" w:after="283"/>
              <w:rPr>
                <w:sz w:val="4"/>
                <w:szCs w:val="4"/>
              </w:rPr>
            </w:pPr>
            <w:r>
              <w:rPr>
                <w:sz w:val="4"/>
                <w:szCs w:val="4"/>
              </w:rPr>
            </w:r>
          </w:p>
        </w:tc>
      </w:tr>
      <w:tr>
        <w:trPr/>
        <w:tc>
          <w:tcPr>
            <w:tcW w:w="2704" w:type="dxa"/>
            <w:tcBorders/>
            <w:shd w:fill="E5E5E5" w:val="clear"/>
          </w:tcPr>
          <w:p>
            <w:pPr>
              <w:pStyle w:val="TableContents"/>
              <w:spacing w:before="0" w:after="0"/>
              <w:rPr>
                <w:rFonts w:ascii="arial" w:hAnsi="arial"/>
                <w:sz w:val="16"/>
              </w:rPr>
            </w:pPr>
            <w:r>
              <w:rPr>
                <w:rFonts w:ascii="arial" w:hAnsi="arial"/>
                <w:sz w:val="16"/>
              </w:rPr>
              <w:t>William C. Rusnack</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7" w:type="dxa"/>
            <w:tcBorders/>
            <w:shd w:fill="E5E5E5" w:val="clear"/>
            <w:vAlign w:val="bottom"/>
          </w:tcPr>
          <w:p>
            <w:pPr>
              <w:pStyle w:val="TableContents"/>
              <w:spacing w:before="0" w:after="283"/>
              <w:jc w:val="right"/>
              <w:rPr/>
            </w:pPr>
            <w:r>
              <w:rPr/>
              <w:t>$17,308</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23"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76" w:type="dxa"/>
            <w:tcBorders/>
            <w:shd w:fill="E5E5E5" w:val="clear"/>
            <w:vAlign w:val="bottom"/>
          </w:tcPr>
          <w:p>
            <w:pPr>
              <w:pStyle w:val="TableContents"/>
              <w:spacing w:before="0" w:after="283"/>
              <w:jc w:val="right"/>
              <w:rPr/>
            </w:pPr>
            <w:r>
              <w:rPr/>
              <w:t>        </w:t>
            </w:r>
            <w:r>
              <w:rPr/>
              <w:t></w:t>
            </w:r>
          </w:p>
        </w:tc>
        <w:tc>
          <w:tcPr>
            <w:tcW w:w="5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23" w:type="dxa"/>
            <w:tcBorders/>
            <w:shd w:fill="E5E5E5" w:val="clear"/>
            <w:vAlign w:val="bottom"/>
          </w:tcPr>
          <w:p>
            <w:pPr>
              <w:pStyle w:val="TableContents"/>
              <w:spacing w:before="0" w:after="283"/>
              <w:jc w:val="right"/>
              <w:rPr/>
            </w:pPr>
            <w:r>
              <w:rPr/>
              <w:t>17,308</w:t>
            </w:r>
          </w:p>
        </w:tc>
        <w:tc>
          <w:tcPr>
            <w:tcW w:w="108" w:type="dxa"/>
            <w:tcBorders/>
            <w:shd w:fill="E5E5E5" w:val="clear"/>
            <w:vAlign w:val="bottom"/>
          </w:tcPr>
          <w:p>
            <w:pPr>
              <w:pStyle w:val="TableContents"/>
              <w:spacing w:before="0" w:after="283"/>
              <w:rPr/>
            </w:pPr>
            <w:r>
              <w:rPr/>
              <w:t> </w:t>
            </w:r>
          </w:p>
        </w:tc>
      </w:tr>
      <w:tr>
        <w:trPr>
          <w:trHeight w:val="75" w:hRule="atLeast"/>
        </w:trPr>
        <w:tc>
          <w:tcPr>
            <w:tcW w:w="2704" w:type="dxa"/>
            <w:tcBorders/>
            <w:shd w:fill="auto" w:val="clear"/>
            <w:vAlign w:val="center"/>
          </w:tcPr>
          <w:p>
            <w:pPr>
              <w:pStyle w:val="TableContents"/>
              <w:spacing w:before="0" w:after="283"/>
              <w:rPr>
                <w:sz w:val="4"/>
                <w:szCs w:val="4"/>
              </w:rPr>
            </w:pPr>
            <w:r>
              <w:rPr>
                <w:sz w:val="4"/>
                <w:szCs w:val="4"/>
              </w:rPr>
            </w:r>
          </w:p>
        </w:tc>
        <w:tc>
          <w:tcPr>
            <w:tcW w:w="1889" w:type="dxa"/>
            <w:gridSpan w:val="4"/>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782" w:type="dxa"/>
            <w:gridSpan w:val="4"/>
            <w:tcBorders/>
            <w:shd w:fill="auto" w:val="clear"/>
            <w:vAlign w:val="center"/>
          </w:tcPr>
          <w:p>
            <w:pPr>
              <w:pStyle w:val="TableContents"/>
              <w:spacing w:before="0" w:after="283"/>
              <w:rPr>
                <w:sz w:val="4"/>
                <w:szCs w:val="4"/>
              </w:rPr>
            </w:pPr>
            <w:r>
              <w:rPr>
                <w:sz w:val="4"/>
                <w:szCs w:val="4"/>
              </w:rPr>
            </w:r>
          </w:p>
        </w:tc>
        <w:tc>
          <w:tcPr>
            <w:tcW w:w="1798" w:type="dxa"/>
            <w:gridSpan w:val="4"/>
            <w:tcBorders/>
            <w:shd w:fill="auto" w:val="clear"/>
            <w:vAlign w:val="center"/>
          </w:tcPr>
          <w:p>
            <w:pPr>
              <w:pStyle w:val="TableContents"/>
              <w:spacing w:before="0" w:after="283"/>
              <w:rPr>
                <w:sz w:val="4"/>
                <w:szCs w:val="4"/>
              </w:rPr>
            </w:pPr>
            <w:r>
              <w:rPr>
                <w:sz w:val="4"/>
                <w:szCs w:val="4"/>
              </w:rPr>
            </w:r>
          </w:p>
        </w:tc>
      </w:tr>
      <w:tr>
        <w:trPr/>
        <w:tc>
          <w:tcPr>
            <w:tcW w:w="2704" w:type="dxa"/>
            <w:tcBorders/>
            <w:shd w:fill="auto" w:val="clear"/>
          </w:tcPr>
          <w:p>
            <w:pPr>
              <w:pStyle w:val="TableContents"/>
              <w:spacing w:before="0" w:after="0"/>
              <w:rPr>
                <w:rFonts w:ascii="arial" w:hAnsi="arial"/>
                <w:sz w:val="16"/>
              </w:rPr>
            </w:pPr>
            <w:r>
              <w:rPr>
                <w:rFonts w:ascii="arial" w:hAnsi="arial"/>
                <w:sz w:val="16"/>
              </w:rPr>
              <w:t>Lynn Schenk</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$17,308</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        </w:t>
            </w:r>
            <w:r>
              <w:rPr/>
              <w:t></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        </w:t>
            </w:r>
            <w:r>
              <w:rPr/>
              <w:t></w:t>
            </w:r>
          </w:p>
        </w:tc>
        <w:tc>
          <w:tcPr>
            <w:tcW w:w="59"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3" w:type="dxa"/>
            <w:tcBorders/>
            <w:shd w:fill="auto" w:val="clear"/>
            <w:vAlign w:val="bottom"/>
          </w:tcPr>
          <w:p>
            <w:pPr>
              <w:pStyle w:val="TableContents"/>
              <w:spacing w:before="0" w:after="283"/>
              <w:jc w:val="right"/>
              <w:rPr/>
            </w:pPr>
            <w:r>
              <w:rPr/>
              <w:t>17,308</w:t>
            </w:r>
          </w:p>
        </w:tc>
        <w:tc>
          <w:tcPr>
            <w:tcW w:w="108" w:type="dxa"/>
            <w:tcBorders/>
            <w:shd w:fill="auto" w:val="clear"/>
            <w:vAlign w:val="bottom"/>
          </w:tcPr>
          <w:p>
            <w:pPr>
              <w:pStyle w:val="TableContents"/>
              <w:spacing w:before="0" w:after="283"/>
              <w:rPr/>
            </w:pPr>
            <w:r>
              <w:rPr/>
              <w:t> </w:t>
            </w:r>
          </w:p>
        </w:tc>
      </w:tr>
      <w:tr>
        <w:trPr>
          <w:trHeight w:val="75" w:hRule="atLeast"/>
        </w:trPr>
        <w:tc>
          <w:tcPr>
            <w:tcW w:w="2704" w:type="dxa"/>
            <w:tcBorders/>
            <w:shd w:fill="E5E5E5" w:val="clear"/>
            <w:vAlign w:val="center"/>
          </w:tcPr>
          <w:p>
            <w:pPr>
              <w:pStyle w:val="TableContents"/>
              <w:spacing w:before="0" w:after="283"/>
              <w:rPr>
                <w:sz w:val="4"/>
                <w:szCs w:val="4"/>
              </w:rPr>
            </w:pPr>
            <w:r>
              <w:rPr>
                <w:sz w:val="4"/>
                <w:szCs w:val="4"/>
              </w:rPr>
            </w:r>
          </w:p>
        </w:tc>
        <w:tc>
          <w:tcPr>
            <w:tcW w:w="1889" w:type="dxa"/>
            <w:gridSpan w:val="4"/>
            <w:tcBorders/>
            <w:shd w:fill="E5E5E5" w:val="clear"/>
            <w:vAlign w:val="center"/>
          </w:tcPr>
          <w:p>
            <w:pPr>
              <w:pStyle w:val="TableContents"/>
              <w:spacing w:before="0" w:after="283"/>
              <w:rPr>
                <w:sz w:val="4"/>
                <w:szCs w:val="4"/>
              </w:rPr>
            </w:pPr>
            <w:r>
              <w:rPr>
                <w:sz w:val="4"/>
                <w:szCs w:val="4"/>
              </w:rPr>
            </w:r>
          </w:p>
        </w:tc>
        <w:tc>
          <w:tcPr>
            <w:tcW w:w="1725" w:type="dxa"/>
            <w:gridSpan w:val="4"/>
            <w:tcBorders/>
            <w:shd w:fill="E5E5E5" w:val="clear"/>
            <w:vAlign w:val="center"/>
          </w:tcPr>
          <w:p>
            <w:pPr>
              <w:pStyle w:val="TableContents"/>
              <w:spacing w:before="0" w:after="283"/>
              <w:rPr>
                <w:sz w:val="4"/>
                <w:szCs w:val="4"/>
              </w:rPr>
            </w:pPr>
            <w:r>
              <w:rPr>
                <w:sz w:val="4"/>
                <w:szCs w:val="4"/>
              </w:rPr>
            </w:r>
          </w:p>
        </w:tc>
        <w:tc>
          <w:tcPr>
            <w:tcW w:w="1782" w:type="dxa"/>
            <w:gridSpan w:val="4"/>
            <w:tcBorders/>
            <w:shd w:fill="E5E5E5" w:val="clear"/>
            <w:vAlign w:val="center"/>
          </w:tcPr>
          <w:p>
            <w:pPr>
              <w:pStyle w:val="TableContents"/>
              <w:spacing w:before="0" w:after="283"/>
              <w:rPr>
                <w:sz w:val="4"/>
                <w:szCs w:val="4"/>
              </w:rPr>
            </w:pPr>
            <w:r>
              <w:rPr>
                <w:sz w:val="4"/>
                <w:szCs w:val="4"/>
              </w:rPr>
            </w:r>
          </w:p>
        </w:tc>
        <w:tc>
          <w:tcPr>
            <w:tcW w:w="1798" w:type="dxa"/>
            <w:gridSpan w:val="4"/>
            <w:tcBorders/>
            <w:shd w:fill="E5E5E5" w:val="clear"/>
            <w:vAlign w:val="center"/>
          </w:tcPr>
          <w:p>
            <w:pPr>
              <w:pStyle w:val="TableContents"/>
              <w:spacing w:before="0" w:after="283"/>
              <w:rPr>
                <w:sz w:val="4"/>
                <w:szCs w:val="4"/>
              </w:rPr>
            </w:pPr>
            <w:r>
              <w:rPr>
                <w:sz w:val="4"/>
                <w:szCs w:val="4"/>
              </w:rPr>
            </w:r>
          </w:p>
        </w:tc>
      </w:tr>
      <w:tr>
        <w:trPr/>
        <w:tc>
          <w:tcPr>
            <w:tcW w:w="2704" w:type="dxa"/>
            <w:tcBorders/>
            <w:shd w:fill="E5E5E5" w:val="clear"/>
          </w:tcPr>
          <w:p>
            <w:pPr>
              <w:pStyle w:val="TableContents"/>
              <w:spacing w:before="0" w:after="0"/>
              <w:rPr>
                <w:rFonts w:ascii="arial" w:hAnsi="arial"/>
                <w:sz w:val="16"/>
              </w:rPr>
            </w:pPr>
            <w:r>
              <w:rPr>
                <w:rFonts w:ascii="arial" w:hAnsi="arial"/>
                <w:sz w:val="16"/>
              </w:rPr>
              <w:t>Jack T. Taylor</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7" w:type="dxa"/>
            <w:tcBorders/>
            <w:shd w:fill="E5E5E5" w:val="clear"/>
            <w:vAlign w:val="bottom"/>
          </w:tcPr>
          <w:p>
            <w:pPr>
              <w:pStyle w:val="TableContents"/>
              <w:spacing w:before="0" w:after="283"/>
              <w:jc w:val="right"/>
              <w:rPr/>
            </w:pPr>
            <w:r>
              <w:rPr/>
              <w:t>$50,000</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23" w:type="dxa"/>
            <w:tcBorders/>
            <w:shd w:fill="E5E5E5" w:val="clear"/>
            <w:vAlign w:val="bottom"/>
          </w:tcPr>
          <w:p>
            <w:pPr>
              <w:pStyle w:val="TableContents"/>
              <w:spacing w:before="0" w:after="283"/>
              <w:jc w:val="right"/>
              <w:rPr/>
            </w:pPr>
            <w:r>
              <w:rPr/>
              <w:t>$90,000</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76" w:type="dxa"/>
            <w:tcBorders/>
            <w:shd w:fill="E5E5E5" w:val="clear"/>
            <w:vAlign w:val="bottom"/>
          </w:tcPr>
          <w:p>
            <w:pPr>
              <w:pStyle w:val="TableContents"/>
              <w:spacing w:before="0" w:after="283"/>
              <w:jc w:val="right"/>
              <w:rPr/>
            </w:pPr>
            <w:r>
              <w:rPr/>
              <w:t>        </w:t>
            </w:r>
            <w:r>
              <w:rPr/>
              <w:t></w:t>
            </w:r>
          </w:p>
        </w:tc>
        <w:tc>
          <w:tcPr>
            <w:tcW w:w="5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23" w:type="dxa"/>
            <w:tcBorders/>
            <w:shd w:fill="E5E5E5" w:val="clear"/>
            <w:vAlign w:val="bottom"/>
          </w:tcPr>
          <w:p>
            <w:pPr>
              <w:pStyle w:val="TableContents"/>
              <w:spacing w:before="0" w:after="283"/>
              <w:jc w:val="right"/>
              <w:rPr/>
            </w:pPr>
            <w:r>
              <w:rPr/>
              <w:t>140,000</w:t>
            </w:r>
          </w:p>
        </w:tc>
        <w:tc>
          <w:tcPr>
            <w:tcW w:w="108" w:type="dxa"/>
            <w:tcBorders/>
            <w:shd w:fill="E5E5E5" w:val="clear"/>
            <w:vAlign w:val="bottom"/>
          </w:tcPr>
          <w:p>
            <w:pPr>
              <w:pStyle w:val="TableContents"/>
              <w:spacing w:before="0" w:after="283"/>
              <w:rPr/>
            </w:pPr>
            <w:r>
              <w:rPr/>
              <w:t> </w:t>
            </w:r>
          </w:p>
        </w:tc>
      </w:tr>
      <w:tr>
        <w:trPr>
          <w:trHeight w:val="75" w:hRule="atLeast"/>
        </w:trPr>
        <w:tc>
          <w:tcPr>
            <w:tcW w:w="2704" w:type="dxa"/>
            <w:tcBorders/>
            <w:shd w:fill="auto" w:val="clear"/>
            <w:vAlign w:val="center"/>
          </w:tcPr>
          <w:p>
            <w:pPr>
              <w:pStyle w:val="TableContents"/>
              <w:spacing w:before="0" w:after="283"/>
              <w:rPr>
                <w:sz w:val="4"/>
                <w:szCs w:val="4"/>
              </w:rPr>
            </w:pPr>
            <w:r>
              <w:rPr>
                <w:sz w:val="4"/>
                <w:szCs w:val="4"/>
              </w:rPr>
            </w:r>
          </w:p>
        </w:tc>
        <w:tc>
          <w:tcPr>
            <w:tcW w:w="1889" w:type="dxa"/>
            <w:gridSpan w:val="4"/>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782" w:type="dxa"/>
            <w:gridSpan w:val="4"/>
            <w:tcBorders/>
            <w:shd w:fill="auto" w:val="clear"/>
            <w:vAlign w:val="center"/>
          </w:tcPr>
          <w:p>
            <w:pPr>
              <w:pStyle w:val="TableContents"/>
              <w:spacing w:before="0" w:after="283"/>
              <w:rPr>
                <w:sz w:val="4"/>
                <w:szCs w:val="4"/>
              </w:rPr>
            </w:pPr>
            <w:r>
              <w:rPr>
                <w:sz w:val="4"/>
                <w:szCs w:val="4"/>
              </w:rPr>
            </w:r>
          </w:p>
        </w:tc>
        <w:tc>
          <w:tcPr>
            <w:tcW w:w="1798" w:type="dxa"/>
            <w:gridSpan w:val="4"/>
            <w:tcBorders/>
            <w:shd w:fill="auto" w:val="clear"/>
            <w:vAlign w:val="center"/>
          </w:tcPr>
          <w:p>
            <w:pPr>
              <w:pStyle w:val="TableContents"/>
              <w:spacing w:before="0" w:after="283"/>
              <w:rPr>
                <w:sz w:val="4"/>
                <w:szCs w:val="4"/>
              </w:rPr>
            </w:pPr>
            <w:r>
              <w:rPr>
                <w:sz w:val="4"/>
                <w:szCs w:val="4"/>
              </w:rPr>
            </w:r>
          </w:p>
        </w:tc>
      </w:tr>
      <w:tr>
        <w:trPr/>
        <w:tc>
          <w:tcPr>
            <w:tcW w:w="2704" w:type="dxa"/>
            <w:tcBorders/>
            <w:shd w:fill="auto" w:val="clear"/>
          </w:tcPr>
          <w:p>
            <w:pPr>
              <w:pStyle w:val="TableContents"/>
              <w:spacing w:before="0" w:after="0"/>
              <w:rPr>
                <w:rFonts w:ascii="arial" w:hAnsi="arial"/>
                <w:sz w:val="16"/>
              </w:rPr>
            </w:pPr>
            <w:r>
              <w:rPr>
                <w:rFonts w:ascii="arial" w:hAnsi="arial"/>
                <w:sz w:val="16"/>
              </w:rPr>
              <w:t>Cynthia L. Walker</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$50,000</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$90,000</w:t>
            </w:r>
          </w:p>
        </w:tc>
        <w:tc>
          <w:tcPr>
            <w:tcW w:w="60"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        </w:t>
            </w:r>
            <w:r>
              <w:rPr/>
              <w:t></w:t>
            </w:r>
          </w:p>
        </w:tc>
        <w:tc>
          <w:tcPr>
            <w:tcW w:w="59"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3" w:type="dxa"/>
            <w:tcBorders/>
            <w:shd w:fill="auto" w:val="clear"/>
            <w:vAlign w:val="bottom"/>
          </w:tcPr>
          <w:p>
            <w:pPr>
              <w:pStyle w:val="TableContents"/>
              <w:spacing w:before="0" w:after="283"/>
              <w:jc w:val="right"/>
              <w:rPr/>
            </w:pPr>
            <w:r>
              <w:rPr/>
              <w:t>140,000</w:t>
            </w:r>
          </w:p>
        </w:tc>
        <w:tc>
          <w:tcPr>
            <w:tcW w:w="108" w:type="dxa"/>
            <w:tcBorders/>
            <w:shd w:fill="auto" w:val="clear"/>
            <w:vAlign w:val="bottom"/>
          </w:tcPr>
          <w:p>
            <w:pPr>
              <w:pStyle w:val="TableContents"/>
              <w:spacing w:before="0" w:after="283"/>
              <w:rPr/>
            </w:pPr>
            <w:r>
              <w:rPr/>
              <w:t> </w:t>
            </w:r>
          </w:p>
        </w:tc>
      </w:tr>
      <w:tr>
        <w:trPr>
          <w:trHeight w:val="75" w:hRule="atLeast"/>
        </w:trPr>
        <w:tc>
          <w:tcPr>
            <w:tcW w:w="2704" w:type="dxa"/>
            <w:tcBorders/>
            <w:shd w:fill="E5E5E5" w:val="clear"/>
            <w:vAlign w:val="center"/>
          </w:tcPr>
          <w:p>
            <w:pPr>
              <w:pStyle w:val="TableContents"/>
              <w:spacing w:before="0" w:after="283"/>
              <w:rPr>
                <w:sz w:val="4"/>
                <w:szCs w:val="4"/>
              </w:rPr>
            </w:pPr>
            <w:r>
              <w:rPr>
                <w:sz w:val="4"/>
                <w:szCs w:val="4"/>
              </w:rPr>
            </w:r>
          </w:p>
        </w:tc>
        <w:tc>
          <w:tcPr>
            <w:tcW w:w="1889" w:type="dxa"/>
            <w:gridSpan w:val="4"/>
            <w:tcBorders/>
            <w:shd w:fill="E5E5E5" w:val="clear"/>
            <w:vAlign w:val="center"/>
          </w:tcPr>
          <w:p>
            <w:pPr>
              <w:pStyle w:val="TableContents"/>
              <w:spacing w:before="0" w:after="283"/>
              <w:rPr>
                <w:sz w:val="4"/>
                <w:szCs w:val="4"/>
              </w:rPr>
            </w:pPr>
            <w:r>
              <w:rPr>
                <w:sz w:val="4"/>
                <w:szCs w:val="4"/>
              </w:rPr>
            </w:r>
          </w:p>
        </w:tc>
        <w:tc>
          <w:tcPr>
            <w:tcW w:w="1725" w:type="dxa"/>
            <w:gridSpan w:val="4"/>
            <w:tcBorders/>
            <w:shd w:fill="E5E5E5" w:val="clear"/>
            <w:vAlign w:val="center"/>
          </w:tcPr>
          <w:p>
            <w:pPr>
              <w:pStyle w:val="TableContents"/>
              <w:spacing w:before="0" w:after="283"/>
              <w:rPr>
                <w:sz w:val="4"/>
                <w:szCs w:val="4"/>
              </w:rPr>
            </w:pPr>
            <w:r>
              <w:rPr>
                <w:sz w:val="4"/>
                <w:szCs w:val="4"/>
              </w:rPr>
            </w:r>
          </w:p>
        </w:tc>
        <w:tc>
          <w:tcPr>
            <w:tcW w:w="1782" w:type="dxa"/>
            <w:gridSpan w:val="4"/>
            <w:tcBorders/>
            <w:shd w:fill="E5E5E5" w:val="clear"/>
            <w:vAlign w:val="center"/>
          </w:tcPr>
          <w:p>
            <w:pPr>
              <w:pStyle w:val="TableContents"/>
              <w:spacing w:before="0" w:after="283"/>
              <w:rPr>
                <w:sz w:val="4"/>
                <w:szCs w:val="4"/>
              </w:rPr>
            </w:pPr>
            <w:r>
              <w:rPr>
                <w:sz w:val="4"/>
                <w:szCs w:val="4"/>
              </w:rPr>
            </w:r>
          </w:p>
        </w:tc>
        <w:tc>
          <w:tcPr>
            <w:tcW w:w="1798" w:type="dxa"/>
            <w:gridSpan w:val="4"/>
            <w:tcBorders/>
            <w:shd w:fill="E5E5E5" w:val="clear"/>
            <w:vAlign w:val="center"/>
          </w:tcPr>
          <w:p>
            <w:pPr>
              <w:pStyle w:val="TableContents"/>
              <w:spacing w:before="0" w:after="283"/>
              <w:rPr>
                <w:sz w:val="4"/>
                <w:szCs w:val="4"/>
              </w:rPr>
            </w:pPr>
            <w:r>
              <w:rPr>
                <w:sz w:val="4"/>
                <w:szCs w:val="4"/>
              </w:rPr>
            </w:r>
          </w:p>
        </w:tc>
      </w:tr>
      <w:tr>
        <w:trPr/>
        <w:tc>
          <w:tcPr>
            <w:tcW w:w="2704" w:type="dxa"/>
            <w:tcBorders/>
            <w:shd w:fill="E5E5E5" w:val="clear"/>
          </w:tcPr>
          <w:p>
            <w:pPr>
              <w:pStyle w:val="TableContents"/>
              <w:spacing w:before="0" w:after="0"/>
              <w:rPr>
                <w:rFonts w:ascii="arial" w:hAnsi="arial"/>
                <w:sz w:val="16"/>
              </w:rPr>
            </w:pPr>
            <w:r>
              <w:rPr>
                <w:rFonts w:ascii="arial" w:hAnsi="arial"/>
                <w:sz w:val="16"/>
              </w:rPr>
              <w:t>Cynthia J. Warner</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7" w:type="dxa"/>
            <w:tcBorders/>
            <w:shd w:fill="E5E5E5" w:val="clear"/>
            <w:vAlign w:val="bottom"/>
          </w:tcPr>
          <w:p>
            <w:pPr>
              <w:pStyle w:val="TableContents"/>
              <w:spacing w:before="0" w:after="283"/>
              <w:jc w:val="right"/>
              <w:rPr/>
            </w:pPr>
            <w:r>
              <w:rPr/>
              <w:t>$50,000</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23"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782"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76" w:type="dxa"/>
            <w:tcBorders/>
            <w:shd w:fill="E5E5E5" w:val="clear"/>
            <w:vAlign w:val="bottom"/>
          </w:tcPr>
          <w:p>
            <w:pPr>
              <w:pStyle w:val="TableContents"/>
              <w:spacing w:before="0" w:after="283"/>
              <w:jc w:val="right"/>
              <w:rPr/>
            </w:pPr>
            <w:r>
              <w:rPr/>
              <w:t>$90,060</w:t>
            </w:r>
          </w:p>
        </w:tc>
        <w:tc>
          <w:tcPr>
            <w:tcW w:w="5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23" w:type="dxa"/>
            <w:tcBorders/>
            <w:shd w:fill="E5E5E5" w:val="clear"/>
            <w:vAlign w:val="bottom"/>
          </w:tcPr>
          <w:p>
            <w:pPr>
              <w:pStyle w:val="TableContents"/>
              <w:spacing w:before="0" w:after="283"/>
              <w:jc w:val="right"/>
              <w:rPr/>
            </w:pPr>
            <w:r>
              <w:rPr/>
              <w:t>140,060</w:t>
            </w:r>
          </w:p>
        </w:tc>
        <w:tc>
          <w:tcPr>
            <w:tcW w:w="108" w:type="dxa"/>
            <w:tcBorders/>
            <w:shd w:fill="E5E5E5" w:val="clear"/>
            <w:vAlign w:val="bottom"/>
          </w:tcPr>
          <w:p>
            <w:pPr>
              <w:pStyle w:val="TableContents"/>
              <w:spacing w:before="0" w:after="283"/>
              <w:rPr/>
            </w:pPr>
            <w:r>
              <w:rPr/>
              <w:t> </w:t>
            </w:r>
          </w:p>
        </w:tc>
      </w:tr>
      <w:tr>
        <w:trPr>
          <w:trHeight w:val="75" w:hRule="atLeast"/>
        </w:trPr>
        <w:tc>
          <w:tcPr>
            <w:tcW w:w="2704" w:type="dxa"/>
            <w:tcBorders/>
            <w:shd w:fill="auto" w:val="clear"/>
            <w:vAlign w:val="center"/>
          </w:tcPr>
          <w:p>
            <w:pPr>
              <w:pStyle w:val="TableContents"/>
              <w:spacing w:before="0" w:after="283"/>
              <w:rPr>
                <w:sz w:val="4"/>
                <w:szCs w:val="4"/>
              </w:rPr>
            </w:pPr>
            <w:r>
              <w:rPr>
                <w:sz w:val="4"/>
                <w:szCs w:val="4"/>
              </w:rPr>
            </w:r>
          </w:p>
        </w:tc>
        <w:tc>
          <w:tcPr>
            <w:tcW w:w="1889" w:type="dxa"/>
            <w:gridSpan w:val="4"/>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782" w:type="dxa"/>
            <w:gridSpan w:val="4"/>
            <w:tcBorders/>
            <w:shd w:fill="auto" w:val="clear"/>
            <w:vAlign w:val="center"/>
          </w:tcPr>
          <w:p>
            <w:pPr>
              <w:pStyle w:val="TableContents"/>
              <w:spacing w:before="0" w:after="283"/>
              <w:rPr>
                <w:sz w:val="4"/>
                <w:szCs w:val="4"/>
              </w:rPr>
            </w:pPr>
            <w:r>
              <w:rPr>
                <w:sz w:val="4"/>
                <w:szCs w:val="4"/>
              </w:rPr>
            </w:r>
          </w:p>
        </w:tc>
        <w:tc>
          <w:tcPr>
            <w:tcW w:w="1798" w:type="dxa"/>
            <w:gridSpan w:val="4"/>
            <w:tcBorders/>
            <w:shd w:fill="auto" w:val="clear"/>
            <w:vAlign w:val="center"/>
          </w:tcPr>
          <w:p>
            <w:pPr>
              <w:pStyle w:val="TableContents"/>
              <w:spacing w:before="0" w:after="283"/>
              <w:rPr>
                <w:sz w:val="4"/>
                <w:szCs w:val="4"/>
              </w:rPr>
            </w:pPr>
            <w:r>
              <w:rPr>
                <w:sz w:val="4"/>
                <w:szCs w:val="4"/>
              </w:rPr>
            </w:r>
          </w:p>
        </w:tc>
      </w:tr>
      <w:tr>
        <w:trPr/>
        <w:tc>
          <w:tcPr>
            <w:tcW w:w="2704"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James C. Yardley</w:t>
            </w:r>
          </w:p>
        </w:tc>
        <w:tc>
          <w:tcPr>
            <w:tcW w:w="78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987" w:type="dxa"/>
            <w:tcBorders>
              <w:bottom w:val="single" w:sz="8" w:space="0" w:color="001C71"/>
            </w:tcBorders>
            <w:shd w:fill="auto" w:val="clear"/>
            <w:tcMar>
              <w:bottom w:w="60" w:type="dxa"/>
            </w:tcMar>
            <w:vAlign w:val="bottom"/>
          </w:tcPr>
          <w:p>
            <w:pPr>
              <w:pStyle w:val="TableContents"/>
              <w:spacing w:before="0" w:after="283"/>
              <w:jc w:val="right"/>
              <w:rPr/>
            </w:pPr>
            <w:r>
              <w:rPr/>
              <w:t>$50,000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8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823" w:type="dxa"/>
            <w:tcBorders>
              <w:bottom w:val="single" w:sz="8" w:space="0" w:color="001C71"/>
            </w:tcBorders>
            <w:shd w:fill="auto" w:val="clear"/>
            <w:tcMar>
              <w:bottom w:w="60" w:type="dxa"/>
            </w:tcMar>
            <w:vAlign w:val="bottom"/>
          </w:tcPr>
          <w:p>
            <w:pPr>
              <w:pStyle w:val="TableContents"/>
              <w:spacing w:before="0" w:after="283"/>
              <w:jc w:val="right"/>
              <w:rPr/>
            </w:pPr>
            <w:r>
              <w:rPr/>
              <w:t>$90,000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82" w:type="dxa"/>
            <w:tcBorders>
              <w:bottom w:val="single" w:sz="8" w:space="0" w:color="001C71"/>
            </w:tcBorders>
            <w:shd w:fill="auto" w:val="clear"/>
            <w:tcMar>
              <w:bottom w:w="28" w:type="dxa"/>
            </w:tcMar>
            <w:vAlign w:val="bottom"/>
          </w:tcPr>
          <w:p>
            <w:pPr>
              <w:pStyle w:val="TableContents"/>
              <w:spacing w:before="0" w:after="283"/>
              <w:rPr/>
            </w:pPr>
            <w:r>
              <w:rPr/>
              <w:t>    </w:t>
            </w:r>
          </w:p>
        </w:tc>
        <w:tc>
          <w:tcPr>
            <w:tcW w:w="65" w:type="dxa"/>
            <w:tcBorders>
              <w:bottom w:val="single" w:sz="8" w:space="0" w:color="001C71"/>
            </w:tcBorders>
            <w:shd w:fill="auto" w:val="clear"/>
            <w:tcMar>
              <w:bottom w:w="60" w:type="dxa"/>
            </w:tcMar>
            <w:vAlign w:val="bottom"/>
          </w:tcPr>
          <w:p>
            <w:pPr>
              <w:pStyle w:val="TableContents"/>
              <w:spacing w:before="0" w:after="283"/>
              <w:rPr/>
            </w:pPr>
            <w:r>
              <w:rPr/>
              <w:t> </w:t>
            </w:r>
          </w:p>
        </w:tc>
        <w:tc>
          <w:tcPr>
            <w:tcW w:w="876" w:type="dxa"/>
            <w:tcBorders>
              <w:bottom w:val="single" w:sz="8" w:space="0" w:color="001C71"/>
            </w:tcBorders>
            <w:shd w:fill="auto" w:val="clear"/>
            <w:tcMar>
              <w:bottom w:w="60" w:type="dxa"/>
            </w:tcMar>
            <w:vAlign w:val="bottom"/>
          </w:tcPr>
          <w:p>
            <w:pPr>
              <w:pStyle w:val="TableContents"/>
              <w:spacing w:before="0" w:after="283"/>
              <w:jc w:val="right"/>
              <w:rPr/>
            </w:pPr>
            <w:r>
              <w:rPr/>
              <w:t>        </w:t>
            </w:r>
            <w:r>
              <w:rPr/>
              <w:t></w:t>
            </w:r>
          </w:p>
        </w:tc>
        <w:tc>
          <w:tcPr>
            <w:tcW w:w="59" w:type="dxa"/>
            <w:tcBorders>
              <w:bottom w:val="single" w:sz="8" w:space="0" w:color="001C71"/>
            </w:tcBorders>
            <w:shd w:fill="auto" w:val="clear"/>
            <w:tcMar>
              <w:bottom w:w="60" w:type="dxa"/>
            </w:tcMar>
            <w:vAlign w:val="bottom"/>
          </w:tcPr>
          <w:p>
            <w:pPr>
              <w:pStyle w:val="TableContents"/>
              <w:spacing w:before="0" w:after="283"/>
              <w:rPr/>
            </w:pPr>
            <w:r>
              <w:rPr/>
              <w:t> </w:t>
            </w:r>
          </w:p>
        </w:tc>
        <w:tc>
          <w:tcPr>
            <w:tcW w:w="727"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60" w:type="dxa"/>
            </w:tcMar>
            <w:vAlign w:val="bottom"/>
          </w:tcPr>
          <w:p>
            <w:pPr>
              <w:pStyle w:val="TableContents"/>
              <w:spacing w:before="0" w:after="283"/>
              <w:rPr/>
            </w:pPr>
            <w:r>
              <w:rPr/>
              <w:t>$</w:t>
            </w:r>
          </w:p>
        </w:tc>
        <w:tc>
          <w:tcPr>
            <w:tcW w:w="823" w:type="dxa"/>
            <w:tcBorders>
              <w:bottom w:val="single" w:sz="8" w:space="0" w:color="001C71"/>
            </w:tcBorders>
            <w:shd w:fill="auto" w:val="clear"/>
            <w:tcMar>
              <w:bottom w:w="60" w:type="dxa"/>
            </w:tcMar>
            <w:vAlign w:val="bottom"/>
          </w:tcPr>
          <w:p>
            <w:pPr>
              <w:pStyle w:val="TableContents"/>
              <w:spacing w:before="0" w:after="283"/>
              <w:jc w:val="right"/>
              <w:rPr/>
            </w:pPr>
            <w:r>
              <w:rPr/>
              <w:t>140,000</w:t>
            </w:r>
          </w:p>
        </w:tc>
        <w:tc>
          <w:tcPr>
            <w:tcW w:w="108"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Mandatory deferred equity was prorated for Mr. Rusnack and Ms. Schenk, who retired effective May 5, 2020. Restricted stock units are rounded up to the next whole number of units. </w:t>
            </w:r>
          </w:p>
        </w:tc>
      </w:tr>
    </w:tbl>
    <w:p>
      <w:pPr>
        <w:pStyle w:val="TextBody"/>
        <w:spacing w:before="240" w:after="0"/>
        <w:jc w:val="left"/>
        <w:rPr>
          <w:rFonts w:ascii="arial" w:hAnsi="arial"/>
          <w:i/>
          <w:sz w:val="14"/>
        </w:rPr>
      </w:pPr>
      <w:r>
        <w:rPr>
          <w:rFonts w:ascii="arial" w:hAnsi="arial"/>
          <w:i/>
          <w:sz w:val="14"/>
        </w:rPr>
        <w:t xml:space="preserve">The following table summarizes outstanding equity balances for each non-employee director at December 31, 2020: </w:t>
      </w:r>
    </w:p>
    <w:p>
      <w:pPr>
        <w:pStyle w:val="TextBody"/>
        <w:spacing w:before="0" w:after="0"/>
        <w:jc w:val="left"/>
        <w:rPr/>
      </w:pPr>
      <w:r>
        <w:rPr/>
        <w:t> </w:t>
      </w:r>
    </w:p>
    <w:tbl>
      <w:tblPr>
        <w:tblW w:w="4850" w:type="pct"/>
        <w:jc w:val="right"/>
        <w:tblInd w:w="0" w:type="dxa"/>
        <w:tblCellMar>
          <w:top w:w="0" w:type="dxa"/>
          <w:left w:w="0" w:type="dxa"/>
          <w:bottom w:w="0" w:type="dxa"/>
          <w:right w:w="0" w:type="dxa"/>
        </w:tblCellMar>
      </w:tblPr>
      <w:tblGrid>
        <w:gridCol w:w="5835"/>
        <w:gridCol w:w="362"/>
        <w:gridCol w:w="60"/>
        <w:gridCol w:w="681"/>
        <w:gridCol w:w="60"/>
        <w:gridCol w:w="655"/>
        <w:gridCol w:w="127"/>
        <w:gridCol w:w="840"/>
        <w:gridCol w:w="60"/>
        <w:gridCol w:w="362"/>
        <w:gridCol w:w="60"/>
        <w:gridCol w:w="681"/>
        <w:gridCol w:w="115"/>
      </w:tblGrid>
      <w:tr>
        <w:trPr/>
        <w:tc>
          <w:tcPr>
            <w:tcW w:w="583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r>
      <w:tr>
        <w:trPr>
          <w:trHeight w:val="15" w:hRule="atLeast"/>
        </w:trPr>
        <w:tc>
          <w:tcPr>
            <w:tcW w:w="5835" w:type="dxa"/>
            <w:tcBorders/>
            <w:shd w:fill="001C71" w:val="clear"/>
            <w:vAlign w:val="center"/>
          </w:tcPr>
          <w:p>
            <w:pPr>
              <w:pStyle w:val="TableContents"/>
              <w:spacing w:before="0" w:after="283"/>
              <w:rPr>
                <w:sz w:val="4"/>
                <w:szCs w:val="4"/>
              </w:rPr>
            </w:pPr>
            <w:r>
              <w:rPr>
                <w:sz w:val="4"/>
                <w:szCs w:val="4"/>
              </w:rPr>
            </w:r>
          </w:p>
        </w:tc>
        <w:tc>
          <w:tcPr>
            <w:tcW w:w="1163" w:type="dxa"/>
            <w:gridSpan w:val="4"/>
            <w:tcBorders/>
            <w:shd w:fill="001C71" w:val="clear"/>
            <w:vAlign w:val="center"/>
          </w:tcPr>
          <w:p>
            <w:pPr>
              <w:pStyle w:val="TableContents"/>
              <w:spacing w:before="0" w:after="283"/>
              <w:rPr>
                <w:sz w:val="4"/>
                <w:szCs w:val="4"/>
              </w:rPr>
            </w:pPr>
            <w:r>
              <w:rPr>
                <w:sz w:val="4"/>
                <w:szCs w:val="4"/>
              </w:rPr>
            </w:r>
          </w:p>
        </w:tc>
        <w:tc>
          <w:tcPr>
            <w:tcW w:w="1682" w:type="dxa"/>
            <w:gridSpan w:val="4"/>
            <w:tcBorders/>
            <w:shd w:fill="001C71" w:val="clear"/>
            <w:vAlign w:val="center"/>
          </w:tcPr>
          <w:p>
            <w:pPr>
              <w:pStyle w:val="TableContents"/>
              <w:spacing w:before="0" w:after="283"/>
              <w:rPr>
                <w:sz w:val="4"/>
                <w:szCs w:val="4"/>
              </w:rPr>
            </w:pPr>
            <w:r>
              <w:rPr>
                <w:sz w:val="4"/>
                <w:szCs w:val="4"/>
              </w:rPr>
            </w:r>
          </w:p>
        </w:tc>
        <w:tc>
          <w:tcPr>
            <w:tcW w:w="1218" w:type="dxa"/>
            <w:gridSpan w:val="4"/>
            <w:tcBorders/>
            <w:shd w:fill="001C71" w:val="clear"/>
            <w:vAlign w:val="center"/>
          </w:tcPr>
          <w:p>
            <w:pPr>
              <w:pStyle w:val="TableContents"/>
              <w:spacing w:before="0" w:after="283"/>
              <w:rPr>
                <w:sz w:val="4"/>
                <w:szCs w:val="4"/>
              </w:rPr>
            </w:pPr>
            <w:r>
              <w:rPr>
                <w:sz w:val="4"/>
                <w:szCs w:val="4"/>
              </w:rPr>
            </w:r>
          </w:p>
        </w:tc>
      </w:tr>
      <w:tr>
        <w:trPr/>
        <w:tc>
          <w:tcPr>
            <w:tcW w:w="5835" w:type="dxa"/>
            <w:tcBorders/>
            <w:shd w:fill="001C71" w:val="clear"/>
            <w:vAlign w:val="bottom"/>
          </w:tcPr>
          <w:p>
            <w:pPr>
              <w:pStyle w:val="TableContents"/>
              <w:spacing w:before="0" w:after="0"/>
              <w:rPr>
                <w:color w:val="FFFFFF"/>
              </w:rPr>
            </w:pPr>
            <w:r>
              <w:rPr>
                <w:color w:val="FFFFFF"/>
              </w:rPr>
              <w:t>    </w:t>
            </w:r>
          </w:p>
          <w:p>
            <w:pPr>
              <w:pStyle w:val="TableContents"/>
              <w:spacing w:before="0" w:after="20"/>
              <w:rPr/>
            </w:pPr>
            <w:r>
              <w:rPr/>
              <w:t> </w:t>
            </w:r>
          </w:p>
        </w:tc>
        <w:tc>
          <w:tcPr>
            <w:tcW w:w="362" w:type="dxa"/>
            <w:tcBorders/>
            <w:shd w:fill="001C71" w:val="clear"/>
            <w:vAlign w:val="bottom"/>
          </w:tcPr>
          <w:p>
            <w:pPr>
              <w:pStyle w:val="TableContents"/>
              <w:spacing w:before="0" w:after="283"/>
              <w:rPr/>
            </w:pPr>
            <w:r>
              <w:rPr/>
              <w:t>  </w:t>
            </w:r>
          </w:p>
        </w:tc>
        <w:tc>
          <w:tcPr>
            <w:tcW w:w="741"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Phantom</w:t>
              <w:br/>
              <w:t>Shares</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655" w:type="dxa"/>
            <w:tcBorders/>
            <w:shd w:fill="001C71" w:val="clear"/>
            <w:vAlign w:val="bottom"/>
          </w:tcPr>
          <w:p>
            <w:pPr>
              <w:pStyle w:val="TableContents"/>
              <w:spacing w:before="0" w:after="283"/>
              <w:rPr/>
            </w:pPr>
            <w:r>
              <w:rPr/>
              <w:t>    </w:t>
            </w:r>
          </w:p>
        </w:tc>
        <w:tc>
          <w:tcPr>
            <w:tcW w:w="967"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Restricted</w:t>
              <w:br/>
              <w:t>Stock Units</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362" w:type="dxa"/>
            <w:tcBorders/>
            <w:shd w:fill="001C71" w:val="clear"/>
            <w:vAlign w:val="bottom"/>
          </w:tcPr>
          <w:p>
            <w:pPr>
              <w:pStyle w:val="TableContents"/>
              <w:spacing w:before="0" w:after="283"/>
              <w:rPr/>
            </w:pPr>
            <w:r>
              <w:rPr/>
              <w:t>  </w:t>
            </w:r>
          </w:p>
        </w:tc>
        <w:tc>
          <w:tcPr>
            <w:tcW w:w="741"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Total</w:t>
            </w:r>
          </w:p>
          <w:p>
            <w:pPr>
              <w:pStyle w:val="TableContents"/>
              <w:spacing w:before="0" w:after="20"/>
              <w:jc w:val="left"/>
              <w:rPr/>
            </w:pPr>
            <w:r>
              <w:rPr/>
              <w:t> </w:t>
            </w:r>
          </w:p>
        </w:tc>
        <w:tc>
          <w:tcPr>
            <w:tcW w:w="115" w:type="dxa"/>
            <w:tcBorders/>
            <w:shd w:fill="001C71" w:val="clear"/>
            <w:vAlign w:val="bottom"/>
          </w:tcPr>
          <w:p>
            <w:pPr>
              <w:pStyle w:val="TableContents"/>
              <w:spacing w:before="0" w:after="283"/>
              <w:rPr/>
            </w:pPr>
            <w:r>
              <w:rPr/>
              <w:t> </w:t>
            </w:r>
          </w:p>
        </w:tc>
      </w:tr>
      <w:tr>
        <w:trPr>
          <w:trHeight w:val="75" w:hRule="atLeast"/>
        </w:trPr>
        <w:tc>
          <w:tcPr>
            <w:tcW w:w="5835" w:type="dxa"/>
            <w:tcBorders/>
            <w:shd w:fill="E5E5E5" w:val="clear"/>
            <w:vAlign w:val="center"/>
          </w:tcPr>
          <w:p>
            <w:pPr>
              <w:pStyle w:val="TableContents"/>
              <w:spacing w:before="0" w:after="283"/>
              <w:rPr>
                <w:sz w:val="4"/>
                <w:szCs w:val="4"/>
              </w:rPr>
            </w:pPr>
            <w:r>
              <w:rPr>
                <w:sz w:val="4"/>
                <w:szCs w:val="4"/>
              </w:rPr>
            </w:r>
          </w:p>
        </w:tc>
        <w:tc>
          <w:tcPr>
            <w:tcW w:w="1163" w:type="dxa"/>
            <w:gridSpan w:val="4"/>
            <w:tcBorders/>
            <w:shd w:fill="E5E5E5" w:val="clear"/>
            <w:vAlign w:val="center"/>
          </w:tcPr>
          <w:p>
            <w:pPr>
              <w:pStyle w:val="TableContents"/>
              <w:spacing w:before="0" w:after="283"/>
              <w:rPr>
                <w:sz w:val="4"/>
                <w:szCs w:val="4"/>
              </w:rPr>
            </w:pPr>
            <w:r>
              <w:rPr>
                <w:sz w:val="4"/>
                <w:szCs w:val="4"/>
              </w:rPr>
            </w:r>
          </w:p>
        </w:tc>
        <w:tc>
          <w:tcPr>
            <w:tcW w:w="1682" w:type="dxa"/>
            <w:gridSpan w:val="4"/>
            <w:tcBorders/>
            <w:shd w:fill="E5E5E5" w:val="clear"/>
            <w:vAlign w:val="center"/>
          </w:tcPr>
          <w:p>
            <w:pPr>
              <w:pStyle w:val="TableContents"/>
              <w:spacing w:before="0" w:after="283"/>
              <w:rPr>
                <w:sz w:val="4"/>
                <w:szCs w:val="4"/>
              </w:rPr>
            </w:pPr>
            <w:r>
              <w:rPr>
                <w:sz w:val="4"/>
                <w:szCs w:val="4"/>
              </w:rPr>
            </w:r>
          </w:p>
        </w:tc>
        <w:tc>
          <w:tcPr>
            <w:tcW w:w="1218" w:type="dxa"/>
            <w:gridSpan w:val="4"/>
            <w:tcBorders/>
            <w:shd w:fill="E5E5E5" w:val="clear"/>
            <w:vAlign w:val="center"/>
          </w:tcPr>
          <w:p>
            <w:pPr>
              <w:pStyle w:val="TableContents"/>
              <w:spacing w:before="0" w:after="283"/>
              <w:rPr>
                <w:sz w:val="4"/>
                <w:szCs w:val="4"/>
              </w:rPr>
            </w:pPr>
            <w:r>
              <w:rPr>
                <w:sz w:val="4"/>
                <w:szCs w:val="4"/>
              </w:rPr>
            </w:r>
          </w:p>
        </w:tc>
      </w:tr>
      <w:tr>
        <w:trPr/>
        <w:tc>
          <w:tcPr>
            <w:tcW w:w="5835" w:type="dxa"/>
            <w:tcBorders/>
            <w:shd w:fill="E5E5E5" w:val="clear"/>
          </w:tcPr>
          <w:p>
            <w:pPr>
              <w:pStyle w:val="TableContents"/>
              <w:spacing w:before="0" w:after="20"/>
              <w:rPr>
                <w:rFonts w:ascii="arial" w:hAnsi="arial"/>
                <w:sz w:val="16"/>
              </w:rPr>
            </w:pPr>
            <w:r>
              <w:rPr>
                <w:rFonts w:ascii="arial" w:hAnsi="arial"/>
                <w:sz w:val="16"/>
              </w:rPr>
              <w:t>Alan L. Boeckmann</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22,771</w:t>
            </w:r>
          </w:p>
        </w:tc>
        <w:tc>
          <w:tcPr>
            <w:tcW w:w="6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4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22,771</w:t>
            </w:r>
          </w:p>
        </w:tc>
        <w:tc>
          <w:tcPr>
            <w:tcW w:w="115" w:type="dxa"/>
            <w:tcBorders/>
            <w:shd w:fill="E5E5E5" w:val="clear"/>
            <w:vAlign w:val="bottom"/>
          </w:tcPr>
          <w:p>
            <w:pPr>
              <w:pStyle w:val="TableContents"/>
              <w:spacing w:before="0" w:after="283"/>
              <w:rPr/>
            </w:pPr>
            <w:r>
              <w:rPr/>
              <w:t> </w:t>
            </w:r>
          </w:p>
        </w:tc>
      </w:tr>
      <w:tr>
        <w:trPr>
          <w:trHeight w:val="75" w:hRule="atLeast"/>
        </w:trPr>
        <w:tc>
          <w:tcPr>
            <w:tcW w:w="5835" w:type="dxa"/>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682" w:type="dxa"/>
            <w:gridSpan w:val="4"/>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r>
      <w:tr>
        <w:trPr/>
        <w:tc>
          <w:tcPr>
            <w:tcW w:w="5835" w:type="dxa"/>
            <w:tcBorders/>
            <w:shd w:fill="auto" w:val="clear"/>
          </w:tcPr>
          <w:p>
            <w:pPr>
              <w:pStyle w:val="TableContents"/>
              <w:spacing w:before="0" w:after="20"/>
              <w:rPr>
                <w:rFonts w:ascii="arial" w:hAnsi="arial"/>
                <w:sz w:val="16"/>
              </w:rPr>
            </w:pPr>
            <w:r>
              <w:rPr>
                <w:rFonts w:ascii="arial" w:hAnsi="arial"/>
                <w:sz w:val="16"/>
              </w:rPr>
              <w:t>Kathleen L. Brown</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10,248</w:t>
            </w:r>
          </w:p>
        </w:tc>
        <w:tc>
          <w:tcPr>
            <w:tcW w:w="6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737</w:t>
            </w:r>
          </w:p>
        </w:tc>
        <w:tc>
          <w:tcPr>
            <w:tcW w:w="6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10,985</w:t>
            </w:r>
          </w:p>
        </w:tc>
        <w:tc>
          <w:tcPr>
            <w:tcW w:w="115" w:type="dxa"/>
            <w:tcBorders/>
            <w:shd w:fill="auto" w:val="clear"/>
            <w:vAlign w:val="bottom"/>
          </w:tcPr>
          <w:p>
            <w:pPr>
              <w:pStyle w:val="TableContents"/>
              <w:spacing w:before="0" w:after="283"/>
              <w:rPr/>
            </w:pPr>
            <w:r>
              <w:rPr/>
              <w:t> </w:t>
            </w:r>
          </w:p>
        </w:tc>
      </w:tr>
      <w:tr>
        <w:trPr>
          <w:trHeight w:val="75" w:hRule="atLeast"/>
        </w:trPr>
        <w:tc>
          <w:tcPr>
            <w:tcW w:w="5835" w:type="dxa"/>
            <w:tcBorders/>
            <w:shd w:fill="E5E5E5" w:val="clear"/>
            <w:vAlign w:val="center"/>
          </w:tcPr>
          <w:p>
            <w:pPr>
              <w:pStyle w:val="TableContents"/>
              <w:spacing w:before="0" w:after="283"/>
              <w:rPr>
                <w:sz w:val="4"/>
                <w:szCs w:val="4"/>
              </w:rPr>
            </w:pPr>
            <w:r>
              <w:rPr>
                <w:sz w:val="4"/>
                <w:szCs w:val="4"/>
              </w:rPr>
            </w:r>
          </w:p>
        </w:tc>
        <w:tc>
          <w:tcPr>
            <w:tcW w:w="1163" w:type="dxa"/>
            <w:gridSpan w:val="4"/>
            <w:tcBorders/>
            <w:shd w:fill="E5E5E5" w:val="clear"/>
            <w:vAlign w:val="center"/>
          </w:tcPr>
          <w:p>
            <w:pPr>
              <w:pStyle w:val="TableContents"/>
              <w:spacing w:before="0" w:after="283"/>
              <w:rPr>
                <w:sz w:val="4"/>
                <w:szCs w:val="4"/>
              </w:rPr>
            </w:pPr>
            <w:r>
              <w:rPr>
                <w:sz w:val="4"/>
                <w:szCs w:val="4"/>
              </w:rPr>
            </w:r>
          </w:p>
        </w:tc>
        <w:tc>
          <w:tcPr>
            <w:tcW w:w="1682" w:type="dxa"/>
            <w:gridSpan w:val="4"/>
            <w:tcBorders/>
            <w:shd w:fill="E5E5E5" w:val="clear"/>
            <w:vAlign w:val="center"/>
          </w:tcPr>
          <w:p>
            <w:pPr>
              <w:pStyle w:val="TableContents"/>
              <w:spacing w:before="0" w:after="283"/>
              <w:rPr>
                <w:sz w:val="4"/>
                <w:szCs w:val="4"/>
              </w:rPr>
            </w:pPr>
            <w:r>
              <w:rPr>
                <w:sz w:val="4"/>
                <w:szCs w:val="4"/>
              </w:rPr>
            </w:r>
          </w:p>
        </w:tc>
        <w:tc>
          <w:tcPr>
            <w:tcW w:w="1218" w:type="dxa"/>
            <w:gridSpan w:val="4"/>
            <w:tcBorders/>
            <w:shd w:fill="E5E5E5" w:val="clear"/>
            <w:vAlign w:val="center"/>
          </w:tcPr>
          <w:p>
            <w:pPr>
              <w:pStyle w:val="TableContents"/>
              <w:spacing w:before="0" w:after="283"/>
              <w:rPr>
                <w:sz w:val="4"/>
                <w:szCs w:val="4"/>
              </w:rPr>
            </w:pPr>
            <w:r>
              <w:rPr>
                <w:sz w:val="4"/>
                <w:szCs w:val="4"/>
              </w:rPr>
            </w:r>
          </w:p>
        </w:tc>
      </w:tr>
      <w:tr>
        <w:trPr/>
        <w:tc>
          <w:tcPr>
            <w:tcW w:w="5835" w:type="dxa"/>
            <w:tcBorders/>
            <w:shd w:fill="E5E5E5" w:val="clear"/>
          </w:tcPr>
          <w:p>
            <w:pPr>
              <w:pStyle w:val="TableContents"/>
              <w:spacing w:before="0" w:after="20"/>
              <w:rPr>
                <w:rFonts w:ascii="arial" w:hAnsi="arial"/>
                <w:sz w:val="16"/>
              </w:rPr>
            </w:pPr>
            <w:r>
              <w:rPr>
                <w:rFonts w:ascii="arial" w:hAnsi="arial"/>
                <w:sz w:val="16"/>
              </w:rPr>
              <w:t>Andrés Conesa</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3,187</w:t>
            </w:r>
          </w:p>
        </w:tc>
        <w:tc>
          <w:tcPr>
            <w:tcW w:w="6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40" w:type="dxa"/>
            <w:tcBorders/>
            <w:shd w:fill="E5E5E5" w:val="clear"/>
            <w:vAlign w:val="bottom"/>
          </w:tcPr>
          <w:p>
            <w:pPr>
              <w:pStyle w:val="TableContents"/>
              <w:spacing w:before="0" w:after="283"/>
              <w:jc w:val="right"/>
              <w:rPr/>
            </w:pPr>
            <w:r>
              <w:rPr/>
              <w:t>737</w:t>
            </w:r>
          </w:p>
        </w:tc>
        <w:tc>
          <w:tcPr>
            <w:tcW w:w="60" w:type="dxa"/>
            <w:tcBorders/>
            <w:shd w:fill="E5E5E5" w:val="clear"/>
            <w:vAlign w:val="bottom"/>
          </w:tcPr>
          <w:p>
            <w:pPr>
              <w:pStyle w:val="TableContents"/>
              <w:spacing w:before="0" w:after="283"/>
              <w:rPr/>
            </w:pPr>
            <w:r>
              <w:rPr/>
              <w:t> </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3,924</w:t>
            </w:r>
          </w:p>
        </w:tc>
        <w:tc>
          <w:tcPr>
            <w:tcW w:w="115" w:type="dxa"/>
            <w:tcBorders/>
            <w:shd w:fill="E5E5E5" w:val="clear"/>
            <w:vAlign w:val="bottom"/>
          </w:tcPr>
          <w:p>
            <w:pPr>
              <w:pStyle w:val="TableContents"/>
              <w:spacing w:before="0" w:after="283"/>
              <w:rPr/>
            </w:pPr>
            <w:r>
              <w:rPr/>
              <w:t> </w:t>
            </w:r>
          </w:p>
        </w:tc>
      </w:tr>
      <w:tr>
        <w:trPr>
          <w:trHeight w:val="75" w:hRule="atLeast"/>
        </w:trPr>
        <w:tc>
          <w:tcPr>
            <w:tcW w:w="5835" w:type="dxa"/>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682" w:type="dxa"/>
            <w:gridSpan w:val="4"/>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r>
      <w:tr>
        <w:trPr/>
        <w:tc>
          <w:tcPr>
            <w:tcW w:w="5835" w:type="dxa"/>
            <w:tcBorders/>
            <w:shd w:fill="auto" w:val="clear"/>
          </w:tcPr>
          <w:p>
            <w:pPr>
              <w:pStyle w:val="TableContents"/>
              <w:spacing w:before="0" w:after="20"/>
              <w:rPr>
                <w:rFonts w:ascii="arial" w:hAnsi="arial"/>
                <w:sz w:val="16"/>
              </w:rPr>
            </w:pPr>
            <w:r>
              <w:rPr>
                <w:rFonts w:ascii="arial" w:hAnsi="arial"/>
                <w:sz w:val="16"/>
              </w:rPr>
              <w:t>Maria Contreras-Sweet</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1,689</w:t>
            </w:r>
          </w:p>
        </w:tc>
        <w:tc>
          <w:tcPr>
            <w:tcW w:w="6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737</w:t>
            </w:r>
          </w:p>
        </w:tc>
        <w:tc>
          <w:tcPr>
            <w:tcW w:w="6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2,426</w:t>
            </w:r>
          </w:p>
        </w:tc>
        <w:tc>
          <w:tcPr>
            <w:tcW w:w="115" w:type="dxa"/>
            <w:tcBorders/>
            <w:shd w:fill="auto" w:val="clear"/>
            <w:vAlign w:val="bottom"/>
          </w:tcPr>
          <w:p>
            <w:pPr>
              <w:pStyle w:val="TableContents"/>
              <w:spacing w:before="0" w:after="283"/>
              <w:rPr/>
            </w:pPr>
            <w:r>
              <w:rPr/>
              <w:t> </w:t>
            </w:r>
          </w:p>
        </w:tc>
      </w:tr>
      <w:tr>
        <w:trPr>
          <w:trHeight w:val="75" w:hRule="atLeast"/>
        </w:trPr>
        <w:tc>
          <w:tcPr>
            <w:tcW w:w="5835" w:type="dxa"/>
            <w:tcBorders/>
            <w:shd w:fill="E5E5E5" w:val="clear"/>
            <w:vAlign w:val="center"/>
          </w:tcPr>
          <w:p>
            <w:pPr>
              <w:pStyle w:val="TableContents"/>
              <w:spacing w:before="0" w:after="283"/>
              <w:rPr>
                <w:sz w:val="4"/>
                <w:szCs w:val="4"/>
              </w:rPr>
            </w:pPr>
            <w:r>
              <w:rPr>
                <w:sz w:val="4"/>
                <w:szCs w:val="4"/>
              </w:rPr>
            </w:r>
          </w:p>
        </w:tc>
        <w:tc>
          <w:tcPr>
            <w:tcW w:w="1163" w:type="dxa"/>
            <w:gridSpan w:val="4"/>
            <w:tcBorders/>
            <w:shd w:fill="E5E5E5" w:val="clear"/>
            <w:vAlign w:val="center"/>
          </w:tcPr>
          <w:p>
            <w:pPr>
              <w:pStyle w:val="TableContents"/>
              <w:spacing w:before="0" w:after="283"/>
              <w:rPr>
                <w:sz w:val="4"/>
                <w:szCs w:val="4"/>
              </w:rPr>
            </w:pPr>
            <w:r>
              <w:rPr>
                <w:sz w:val="4"/>
                <w:szCs w:val="4"/>
              </w:rPr>
            </w:r>
          </w:p>
        </w:tc>
        <w:tc>
          <w:tcPr>
            <w:tcW w:w="1682" w:type="dxa"/>
            <w:gridSpan w:val="4"/>
            <w:tcBorders/>
            <w:shd w:fill="E5E5E5" w:val="clear"/>
            <w:vAlign w:val="center"/>
          </w:tcPr>
          <w:p>
            <w:pPr>
              <w:pStyle w:val="TableContents"/>
              <w:spacing w:before="0" w:after="283"/>
              <w:rPr>
                <w:sz w:val="4"/>
                <w:szCs w:val="4"/>
              </w:rPr>
            </w:pPr>
            <w:r>
              <w:rPr>
                <w:sz w:val="4"/>
                <w:szCs w:val="4"/>
              </w:rPr>
            </w:r>
          </w:p>
        </w:tc>
        <w:tc>
          <w:tcPr>
            <w:tcW w:w="1218" w:type="dxa"/>
            <w:gridSpan w:val="4"/>
            <w:tcBorders/>
            <w:shd w:fill="E5E5E5" w:val="clear"/>
            <w:vAlign w:val="center"/>
          </w:tcPr>
          <w:p>
            <w:pPr>
              <w:pStyle w:val="TableContents"/>
              <w:spacing w:before="0" w:after="283"/>
              <w:rPr>
                <w:sz w:val="4"/>
                <w:szCs w:val="4"/>
              </w:rPr>
            </w:pPr>
            <w:r>
              <w:rPr>
                <w:sz w:val="4"/>
                <w:szCs w:val="4"/>
              </w:rPr>
            </w:r>
          </w:p>
        </w:tc>
      </w:tr>
      <w:tr>
        <w:trPr/>
        <w:tc>
          <w:tcPr>
            <w:tcW w:w="5835" w:type="dxa"/>
            <w:tcBorders/>
            <w:shd w:fill="E5E5E5" w:val="clear"/>
          </w:tcPr>
          <w:p>
            <w:pPr>
              <w:pStyle w:val="TableContents"/>
              <w:spacing w:before="0" w:after="20"/>
              <w:rPr>
                <w:rFonts w:ascii="arial" w:hAnsi="arial"/>
                <w:sz w:val="16"/>
              </w:rPr>
            </w:pPr>
            <w:r>
              <w:rPr>
                <w:rFonts w:ascii="arial" w:hAnsi="arial"/>
                <w:sz w:val="16"/>
              </w:rPr>
              <w:t>Pablo A. Ferrero</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3,655</w:t>
            </w:r>
          </w:p>
        </w:tc>
        <w:tc>
          <w:tcPr>
            <w:tcW w:w="6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40" w:type="dxa"/>
            <w:tcBorders/>
            <w:shd w:fill="E5E5E5" w:val="clear"/>
            <w:vAlign w:val="bottom"/>
          </w:tcPr>
          <w:p>
            <w:pPr>
              <w:pStyle w:val="TableContents"/>
              <w:spacing w:before="0" w:after="283"/>
              <w:jc w:val="right"/>
              <w:rPr/>
            </w:pPr>
            <w:r>
              <w:rPr/>
              <w:t>737</w:t>
            </w:r>
          </w:p>
        </w:tc>
        <w:tc>
          <w:tcPr>
            <w:tcW w:w="60" w:type="dxa"/>
            <w:tcBorders/>
            <w:shd w:fill="E5E5E5" w:val="clear"/>
            <w:vAlign w:val="bottom"/>
          </w:tcPr>
          <w:p>
            <w:pPr>
              <w:pStyle w:val="TableContents"/>
              <w:spacing w:before="0" w:after="283"/>
              <w:rPr/>
            </w:pPr>
            <w:r>
              <w:rPr/>
              <w:t> </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4,392</w:t>
            </w:r>
          </w:p>
        </w:tc>
        <w:tc>
          <w:tcPr>
            <w:tcW w:w="115" w:type="dxa"/>
            <w:tcBorders/>
            <w:shd w:fill="E5E5E5" w:val="clear"/>
            <w:vAlign w:val="bottom"/>
          </w:tcPr>
          <w:p>
            <w:pPr>
              <w:pStyle w:val="TableContents"/>
              <w:spacing w:before="0" w:after="283"/>
              <w:rPr/>
            </w:pPr>
            <w:r>
              <w:rPr/>
              <w:t> </w:t>
            </w:r>
          </w:p>
        </w:tc>
      </w:tr>
      <w:tr>
        <w:trPr>
          <w:trHeight w:val="75" w:hRule="atLeast"/>
        </w:trPr>
        <w:tc>
          <w:tcPr>
            <w:tcW w:w="5835" w:type="dxa"/>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682" w:type="dxa"/>
            <w:gridSpan w:val="4"/>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r>
      <w:tr>
        <w:trPr/>
        <w:tc>
          <w:tcPr>
            <w:tcW w:w="5835" w:type="dxa"/>
            <w:tcBorders/>
            <w:shd w:fill="auto" w:val="clear"/>
          </w:tcPr>
          <w:p>
            <w:pPr>
              <w:pStyle w:val="TableContents"/>
              <w:spacing w:before="0" w:after="20"/>
              <w:rPr>
                <w:rFonts w:ascii="arial" w:hAnsi="arial"/>
                <w:sz w:val="16"/>
              </w:rPr>
            </w:pPr>
            <w:r>
              <w:rPr>
                <w:rFonts w:ascii="arial" w:hAnsi="arial"/>
                <w:sz w:val="16"/>
              </w:rPr>
              <w:t>William D. Jones</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33,829</w:t>
            </w:r>
          </w:p>
        </w:tc>
        <w:tc>
          <w:tcPr>
            <w:tcW w:w="6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33,829</w:t>
            </w:r>
          </w:p>
        </w:tc>
        <w:tc>
          <w:tcPr>
            <w:tcW w:w="115" w:type="dxa"/>
            <w:tcBorders/>
            <w:shd w:fill="auto" w:val="clear"/>
            <w:vAlign w:val="bottom"/>
          </w:tcPr>
          <w:p>
            <w:pPr>
              <w:pStyle w:val="TableContents"/>
              <w:spacing w:before="0" w:after="283"/>
              <w:rPr/>
            </w:pPr>
            <w:r>
              <w:rPr/>
              <w:t> </w:t>
            </w:r>
          </w:p>
        </w:tc>
      </w:tr>
      <w:tr>
        <w:trPr>
          <w:trHeight w:val="75" w:hRule="atLeast"/>
        </w:trPr>
        <w:tc>
          <w:tcPr>
            <w:tcW w:w="5835" w:type="dxa"/>
            <w:tcBorders/>
            <w:shd w:fill="E5E5E5" w:val="clear"/>
            <w:vAlign w:val="center"/>
          </w:tcPr>
          <w:p>
            <w:pPr>
              <w:pStyle w:val="TableContents"/>
              <w:spacing w:before="0" w:after="283"/>
              <w:rPr>
                <w:sz w:val="4"/>
                <w:szCs w:val="4"/>
              </w:rPr>
            </w:pPr>
            <w:r>
              <w:rPr>
                <w:sz w:val="4"/>
                <w:szCs w:val="4"/>
              </w:rPr>
            </w:r>
          </w:p>
        </w:tc>
        <w:tc>
          <w:tcPr>
            <w:tcW w:w="1163" w:type="dxa"/>
            <w:gridSpan w:val="4"/>
            <w:tcBorders/>
            <w:shd w:fill="E5E5E5" w:val="clear"/>
            <w:vAlign w:val="center"/>
          </w:tcPr>
          <w:p>
            <w:pPr>
              <w:pStyle w:val="TableContents"/>
              <w:spacing w:before="0" w:after="283"/>
              <w:rPr>
                <w:sz w:val="4"/>
                <w:szCs w:val="4"/>
              </w:rPr>
            </w:pPr>
            <w:r>
              <w:rPr>
                <w:sz w:val="4"/>
                <w:szCs w:val="4"/>
              </w:rPr>
            </w:r>
          </w:p>
        </w:tc>
        <w:tc>
          <w:tcPr>
            <w:tcW w:w="1682" w:type="dxa"/>
            <w:gridSpan w:val="4"/>
            <w:tcBorders/>
            <w:shd w:fill="E5E5E5" w:val="clear"/>
            <w:vAlign w:val="center"/>
          </w:tcPr>
          <w:p>
            <w:pPr>
              <w:pStyle w:val="TableContents"/>
              <w:spacing w:before="0" w:after="283"/>
              <w:rPr>
                <w:sz w:val="4"/>
                <w:szCs w:val="4"/>
              </w:rPr>
            </w:pPr>
            <w:r>
              <w:rPr>
                <w:sz w:val="4"/>
                <w:szCs w:val="4"/>
              </w:rPr>
            </w:r>
          </w:p>
        </w:tc>
        <w:tc>
          <w:tcPr>
            <w:tcW w:w="1218" w:type="dxa"/>
            <w:gridSpan w:val="4"/>
            <w:tcBorders/>
            <w:shd w:fill="E5E5E5" w:val="clear"/>
            <w:vAlign w:val="center"/>
          </w:tcPr>
          <w:p>
            <w:pPr>
              <w:pStyle w:val="TableContents"/>
              <w:spacing w:before="0" w:after="283"/>
              <w:rPr>
                <w:sz w:val="4"/>
                <w:szCs w:val="4"/>
              </w:rPr>
            </w:pPr>
            <w:r>
              <w:rPr>
                <w:sz w:val="4"/>
                <w:szCs w:val="4"/>
              </w:rPr>
            </w:r>
          </w:p>
        </w:tc>
      </w:tr>
      <w:tr>
        <w:trPr/>
        <w:tc>
          <w:tcPr>
            <w:tcW w:w="5835" w:type="dxa"/>
            <w:tcBorders/>
            <w:shd w:fill="E5E5E5" w:val="clear"/>
          </w:tcPr>
          <w:p>
            <w:pPr>
              <w:pStyle w:val="TableContents"/>
              <w:spacing w:before="0" w:after="20"/>
              <w:rPr>
                <w:rFonts w:ascii="arial" w:hAnsi="arial"/>
                <w:sz w:val="16"/>
              </w:rPr>
            </w:pPr>
            <w:r>
              <w:rPr>
                <w:rFonts w:ascii="arial" w:hAnsi="arial"/>
                <w:sz w:val="16"/>
              </w:rPr>
              <w:t>Bethany J. Mayer</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1,338</w:t>
            </w:r>
          </w:p>
        </w:tc>
        <w:tc>
          <w:tcPr>
            <w:tcW w:w="6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4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1,338</w:t>
            </w:r>
          </w:p>
        </w:tc>
        <w:tc>
          <w:tcPr>
            <w:tcW w:w="115" w:type="dxa"/>
            <w:tcBorders/>
            <w:shd w:fill="E5E5E5" w:val="clear"/>
            <w:vAlign w:val="bottom"/>
          </w:tcPr>
          <w:p>
            <w:pPr>
              <w:pStyle w:val="TableContents"/>
              <w:spacing w:before="0" w:after="283"/>
              <w:rPr/>
            </w:pPr>
            <w:r>
              <w:rPr/>
              <w:t> </w:t>
            </w:r>
          </w:p>
        </w:tc>
      </w:tr>
      <w:tr>
        <w:trPr>
          <w:trHeight w:val="75" w:hRule="atLeast"/>
        </w:trPr>
        <w:tc>
          <w:tcPr>
            <w:tcW w:w="5835" w:type="dxa"/>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682" w:type="dxa"/>
            <w:gridSpan w:val="4"/>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r>
      <w:tr>
        <w:trPr/>
        <w:tc>
          <w:tcPr>
            <w:tcW w:w="5835" w:type="dxa"/>
            <w:tcBorders/>
            <w:shd w:fill="auto" w:val="clear"/>
          </w:tcPr>
          <w:p>
            <w:pPr>
              <w:pStyle w:val="TableContents"/>
              <w:spacing w:before="0" w:after="20"/>
              <w:rPr>
                <w:rFonts w:ascii="arial" w:hAnsi="arial"/>
                <w:sz w:val="16"/>
              </w:rPr>
            </w:pPr>
            <w:r>
              <w:rPr>
                <w:rFonts w:ascii="arial" w:hAnsi="arial"/>
                <w:sz w:val="16"/>
              </w:rPr>
              <w:t>Michael N. Mears</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3,317</w:t>
            </w:r>
          </w:p>
        </w:tc>
        <w:tc>
          <w:tcPr>
            <w:tcW w:w="6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3,317</w:t>
            </w:r>
          </w:p>
        </w:tc>
        <w:tc>
          <w:tcPr>
            <w:tcW w:w="115" w:type="dxa"/>
            <w:tcBorders/>
            <w:shd w:fill="auto" w:val="clear"/>
            <w:vAlign w:val="bottom"/>
          </w:tcPr>
          <w:p>
            <w:pPr>
              <w:pStyle w:val="TableContents"/>
              <w:spacing w:before="0" w:after="283"/>
              <w:rPr/>
            </w:pPr>
            <w:r>
              <w:rPr/>
              <w:t> </w:t>
            </w:r>
          </w:p>
        </w:tc>
      </w:tr>
      <w:tr>
        <w:trPr>
          <w:trHeight w:val="75" w:hRule="atLeast"/>
        </w:trPr>
        <w:tc>
          <w:tcPr>
            <w:tcW w:w="5835" w:type="dxa"/>
            <w:tcBorders/>
            <w:shd w:fill="E5E5E5" w:val="clear"/>
            <w:vAlign w:val="center"/>
          </w:tcPr>
          <w:p>
            <w:pPr>
              <w:pStyle w:val="TableContents"/>
              <w:spacing w:before="0" w:after="283"/>
              <w:rPr>
                <w:sz w:val="4"/>
                <w:szCs w:val="4"/>
              </w:rPr>
            </w:pPr>
            <w:r>
              <w:rPr>
                <w:sz w:val="4"/>
                <w:szCs w:val="4"/>
              </w:rPr>
            </w:r>
          </w:p>
        </w:tc>
        <w:tc>
          <w:tcPr>
            <w:tcW w:w="1163" w:type="dxa"/>
            <w:gridSpan w:val="4"/>
            <w:tcBorders/>
            <w:shd w:fill="E5E5E5" w:val="clear"/>
            <w:vAlign w:val="center"/>
          </w:tcPr>
          <w:p>
            <w:pPr>
              <w:pStyle w:val="TableContents"/>
              <w:spacing w:before="0" w:after="283"/>
              <w:rPr>
                <w:sz w:val="4"/>
                <w:szCs w:val="4"/>
              </w:rPr>
            </w:pPr>
            <w:r>
              <w:rPr>
                <w:sz w:val="4"/>
                <w:szCs w:val="4"/>
              </w:rPr>
            </w:r>
          </w:p>
        </w:tc>
        <w:tc>
          <w:tcPr>
            <w:tcW w:w="1682" w:type="dxa"/>
            <w:gridSpan w:val="4"/>
            <w:tcBorders/>
            <w:shd w:fill="E5E5E5" w:val="clear"/>
            <w:vAlign w:val="center"/>
          </w:tcPr>
          <w:p>
            <w:pPr>
              <w:pStyle w:val="TableContents"/>
              <w:spacing w:before="0" w:after="283"/>
              <w:rPr>
                <w:sz w:val="4"/>
                <w:szCs w:val="4"/>
              </w:rPr>
            </w:pPr>
            <w:r>
              <w:rPr>
                <w:sz w:val="4"/>
                <w:szCs w:val="4"/>
              </w:rPr>
            </w:r>
          </w:p>
        </w:tc>
        <w:tc>
          <w:tcPr>
            <w:tcW w:w="1218" w:type="dxa"/>
            <w:gridSpan w:val="4"/>
            <w:tcBorders/>
            <w:shd w:fill="E5E5E5" w:val="clear"/>
            <w:vAlign w:val="center"/>
          </w:tcPr>
          <w:p>
            <w:pPr>
              <w:pStyle w:val="TableContents"/>
              <w:spacing w:before="0" w:after="283"/>
              <w:rPr>
                <w:sz w:val="4"/>
                <w:szCs w:val="4"/>
              </w:rPr>
            </w:pPr>
            <w:r>
              <w:rPr>
                <w:sz w:val="4"/>
                <w:szCs w:val="4"/>
              </w:rPr>
            </w:r>
          </w:p>
        </w:tc>
      </w:tr>
      <w:tr>
        <w:trPr/>
        <w:tc>
          <w:tcPr>
            <w:tcW w:w="5835" w:type="dxa"/>
            <w:tcBorders/>
            <w:shd w:fill="E5E5E5" w:val="clear"/>
          </w:tcPr>
          <w:p>
            <w:pPr>
              <w:pStyle w:val="TableContents"/>
              <w:spacing w:before="0" w:after="20"/>
              <w:rPr>
                <w:rFonts w:ascii="arial" w:hAnsi="arial"/>
                <w:sz w:val="16"/>
              </w:rPr>
            </w:pPr>
            <w:r>
              <w:rPr>
                <w:rFonts w:ascii="arial" w:hAnsi="arial"/>
                <w:sz w:val="16"/>
              </w:rPr>
              <w:t>William C. Rusnack</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15,592</w:t>
            </w:r>
          </w:p>
        </w:tc>
        <w:tc>
          <w:tcPr>
            <w:tcW w:w="6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4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15,592</w:t>
            </w:r>
          </w:p>
        </w:tc>
        <w:tc>
          <w:tcPr>
            <w:tcW w:w="115" w:type="dxa"/>
            <w:tcBorders/>
            <w:shd w:fill="E5E5E5" w:val="clear"/>
            <w:vAlign w:val="bottom"/>
          </w:tcPr>
          <w:p>
            <w:pPr>
              <w:pStyle w:val="TableContents"/>
              <w:spacing w:before="0" w:after="283"/>
              <w:rPr/>
            </w:pPr>
            <w:r>
              <w:rPr/>
              <w:t> </w:t>
            </w:r>
          </w:p>
        </w:tc>
      </w:tr>
      <w:tr>
        <w:trPr>
          <w:trHeight w:val="75" w:hRule="atLeast"/>
        </w:trPr>
        <w:tc>
          <w:tcPr>
            <w:tcW w:w="5835" w:type="dxa"/>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682" w:type="dxa"/>
            <w:gridSpan w:val="4"/>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r>
      <w:tr>
        <w:trPr/>
        <w:tc>
          <w:tcPr>
            <w:tcW w:w="5835" w:type="dxa"/>
            <w:tcBorders/>
            <w:shd w:fill="auto" w:val="clear"/>
          </w:tcPr>
          <w:p>
            <w:pPr>
              <w:pStyle w:val="TableContents"/>
              <w:spacing w:before="0" w:after="20"/>
              <w:rPr>
                <w:rFonts w:ascii="arial" w:hAnsi="arial"/>
                <w:sz w:val="16"/>
              </w:rPr>
            </w:pPr>
            <w:r>
              <w:rPr>
                <w:rFonts w:ascii="arial" w:hAnsi="arial"/>
                <w:sz w:val="16"/>
              </w:rPr>
              <w:t>Lynn Schenk</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16,052</w:t>
            </w:r>
          </w:p>
        </w:tc>
        <w:tc>
          <w:tcPr>
            <w:tcW w:w="6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16,052</w:t>
            </w:r>
          </w:p>
        </w:tc>
        <w:tc>
          <w:tcPr>
            <w:tcW w:w="115" w:type="dxa"/>
            <w:tcBorders/>
            <w:shd w:fill="auto" w:val="clear"/>
            <w:vAlign w:val="bottom"/>
          </w:tcPr>
          <w:p>
            <w:pPr>
              <w:pStyle w:val="TableContents"/>
              <w:spacing w:before="0" w:after="283"/>
              <w:rPr/>
            </w:pPr>
            <w:r>
              <w:rPr/>
              <w:t> </w:t>
            </w:r>
          </w:p>
        </w:tc>
      </w:tr>
      <w:tr>
        <w:trPr>
          <w:trHeight w:val="75" w:hRule="atLeast"/>
        </w:trPr>
        <w:tc>
          <w:tcPr>
            <w:tcW w:w="5835" w:type="dxa"/>
            <w:tcBorders/>
            <w:shd w:fill="E5E5E5" w:val="clear"/>
            <w:vAlign w:val="center"/>
          </w:tcPr>
          <w:p>
            <w:pPr>
              <w:pStyle w:val="TableContents"/>
              <w:spacing w:before="0" w:after="283"/>
              <w:rPr>
                <w:sz w:val="4"/>
                <w:szCs w:val="4"/>
              </w:rPr>
            </w:pPr>
            <w:r>
              <w:rPr>
                <w:sz w:val="4"/>
                <w:szCs w:val="4"/>
              </w:rPr>
            </w:r>
          </w:p>
        </w:tc>
        <w:tc>
          <w:tcPr>
            <w:tcW w:w="1163" w:type="dxa"/>
            <w:gridSpan w:val="4"/>
            <w:tcBorders/>
            <w:shd w:fill="E5E5E5" w:val="clear"/>
            <w:vAlign w:val="center"/>
          </w:tcPr>
          <w:p>
            <w:pPr>
              <w:pStyle w:val="TableContents"/>
              <w:spacing w:before="0" w:after="283"/>
              <w:rPr>
                <w:sz w:val="4"/>
                <w:szCs w:val="4"/>
              </w:rPr>
            </w:pPr>
            <w:r>
              <w:rPr>
                <w:sz w:val="4"/>
                <w:szCs w:val="4"/>
              </w:rPr>
            </w:r>
          </w:p>
        </w:tc>
        <w:tc>
          <w:tcPr>
            <w:tcW w:w="1682" w:type="dxa"/>
            <w:gridSpan w:val="4"/>
            <w:tcBorders/>
            <w:shd w:fill="E5E5E5" w:val="clear"/>
            <w:vAlign w:val="center"/>
          </w:tcPr>
          <w:p>
            <w:pPr>
              <w:pStyle w:val="TableContents"/>
              <w:spacing w:before="0" w:after="283"/>
              <w:rPr>
                <w:sz w:val="4"/>
                <w:szCs w:val="4"/>
              </w:rPr>
            </w:pPr>
            <w:r>
              <w:rPr>
                <w:sz w:val="4"/>
                <w:szCs w:val="4"/>
              </w:rPr>
            </w:r>
          </w:p>
        </w:tc>
        <w:tc>
          <w:tcPr>
            <w:tcW w:w="1218" w:type="dxa"/>
            <w:gridSpan w:val="4"/>
            <w:tcBorders/>
            <w:shd w:fill="E5E5E5" w:val="clear"/>
            <w:vAlign w:val="center"/>
          </w:tcPr>
          <w:p>
            <w:pPr>
              <w:pStyle w:val="TableContents"/>
              <w:spacing w:before="0" w:after="283"/>
              <w:rPr>
                <w:sz w:val="4"/>
                <w:szCs w:val="4"/>
              </w:rPr>
            </w:pPr>
            <w:r>
              <w:rPr>
                <w:sz w:val="4"/>
                <w:szCs w:val="4"/>
              </w:rPr>
            </w:r>
          </w:p>
        </w:tc>
      </w:tr>
      <w:tr>
        <w:trPr/>
        <w:tc>
          <w:tcPr>
            <w:tcW w:w="5835" w:type="dxa"/>
            <w:tcBorders/>
            <w:shd w:fill="E5E5E5" w:val="clear"/>
          </w:tcPr>
          <w:p>
            <w:pPr>
              <w:pStyle w:val="TableContents"/>
              <w:spacing w:before="0" w:after="20"/>
              <w:rPr>
                <w:rFonts w:ascii="arial" w:hAnsi="arial"/>
                <w:sz w:val="16"/>
              </w:rPr>
            </w:pPr>
            <w:r>
              <w:rPr>
                <w:rFonts w:ascii="arial" w:hAnsi="arial"/>
                <w:sz w:val="16"/>
              </w:rPr>
              <w:t>Jack T. Taylor</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12,152</w:t>
            </w:r>
          </w:p>
        </w:tc>
        <w:tc>
          <w:tcPr>
            <w:tcW w:w="6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4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12,152</w:t>
            </w:r>
          </w:p>
        </w:tc>
        <w:tc>
          <w:tcPr>
            <w:tcW w:w="115" w:type="dxa"/>
            <w:tcBorders/>
            <w:shd w:fill="E5E5E5" w:val="clear"/>
            <w:vAlign w:val="bottom"/>
          </w:tcPr>
          <w:p>
            <w:pPr>
              <w:pStyle w:val="TableContents"/>
              <w:spacing w:before="0" w:after="283"/>
              <w:rPr/>
            </w:pPr>
            <w:r>
              <w:rPr/>
              <w:t> </w:t>
            </w:r>
          </w:p>
        </w:tc>
      </w:tr>
      <w:tr>
        <w:trPr>
          <w:trHeight w:val="75" w:hRule="atLeast"/>
        </w:trPr>
        <w:tc>
          <w:tcPr>
            <w:tcW w:w="5835" w:type="dxa"/>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682" w:type="dxa"/>
            <w:gridSpan w:val="4"/>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r>
      <w:tr>
        <w:trPr/>
        <w:tc>
          <w:tcPr>
            <w:tcW w:w="5835" w:type="dxa"/>
            <w:tcBorders/>
            <w:shd w:fill="auto" w:val="clear"/>
          </w:tcPr>
          <w:p>
            <w:pPr>
              <w:pStyle w:val="TableContents"/>
              <w:spacing w:before="0" w:after="20"/>
              <w:rPr>
                <w:rFonts w:ascii="arial" w:hAnsi="arial"/>
                <w:sz w:val="16"/>
              </w:rPr>
            </w:pPr>
            <w:r>
              <w:rPr>
                <w:rFonts w:ascii="arial" w:hAnsi="arial"/>
                <w:sz w:val="16"/>
              </w:rPr>
              <w:t>Cynthia L. Walker</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1,656</w:t>
            </w:r>
          </w:p>
        </w:tc>
        <w:tc>
          <w:tcPr>
            <w:tcW w:w="6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553</w:t>
            </w:r>
          </w:p>
        </w:tc>
        <w:tc>
          <w:tcPr>
            <w:tcW w:w="6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2,209</w:t>
            </w:r>
          </w:p>
        </w:tc>
        <w:tc>
          <w:tcPr>
            <w:tcW w:w="115" w:type="dxa"/>
            <w:tcBorders/>
            <w:shd w:fill="auto" w:val="clear"/>
            <w:vAlign w:val="bottom"/>
          </w:tcPr>
          <w:p>
            <w:pPr>
              <w:pStyle w:val="TableContents"/>
              <w:spacing w:before="0" w:after="283"/>
              <w:rPr/>
            </w:pPr>
            <w:r>
              <w:rPr/>
              <w:t> </w:t>
            </w:r>
          </w:p>
        </w:tc>
      </w:tr>
      <w:tr>
        <w:trPr>
          <w:trHeight w:val="75" w:hRule="atLeast"/>
        </w:trPr>
        <w:tc>
          <w:tcPr>
            <w:tcW w:w="5835" w:type="dxa"/>
            <w:tcBorders/>
            <w:shd w:fill="E5E5E5" w:val="clear"/>
            <w:vAlign w:val="center"/>
          </w:tcPr>
          <w:p>
            <w:pPr>
              <w:pStyle w:val="TableContents"/>
              <w:spacing w:before="0" w:after="283"/>
              <w:rPr>
                <w:sz w:val="4"/>
                <w:szCs w:val="4"/>
              </w:rPr>
            </w:pPr>
            <w:r>
              <w:rPr>
                <w:sz w:val="4"/>
                <w:szCs w:val="4"/>
              </w:rPr>
            </w:r>
          </w:p>
        </w:tc>
        <w:tc>
          <w:tcPr>
            <w:tcW w:w="1163" w:type="dxa"/>
            <w:gridSpan w:val="4"/>
            <w:tcBorders/>
            <w:shd w:fill="E5E5E5" w:val="clear"/>
            <w:vAlign w:val="center"/>
          </w:tcPr>
          <w:p>
            <w:pPr>
              <w:pStyle w:val="TableContents"/>
              <w:spacing w:before="0" w:after="283"/>
              <w:rPr>
                <w:sz w:val="4"/>
                <w:szCs w:val="4"/>
              </w:rPr>
            </w:pPr>
            <w:r>
              <w:rPr>
                <w:sz w:val="4"/>
                <w:szCs w:val="4"/>
              </w:rPr>
            </w:r>
          </w:p>
        </w:tc>
        <w:tc>
          <w:tcPr>
            <w:tcW w:w="1682" w:type="dxa"/>
            <w:gridSpan w:val="4"/>
            <w:tcBorders/>
            <w:shd w:fill="E5E5E5" w:val="clear"/>
            <w:vAlign w:val="center"/>
          </w:tcPr>
          <w:p>
            <w:pPr>
              <w:pStyle w:val="TableContents"/>
              <w:spacing w:before="0" w:after="283"/>
              <w:rPr>
                <w:sz w:val="4"/>
                <w:szCs w:val="4"/>
              </w:rPr>
            </w:pPr>
            <w:r>
              <w:rPr>
                <w:sz w:val="4"/>
                <w:szCs w:val="4"/>
              </w:rPr>
            </w:r>
          </w:p>
        </w:tc>
        <w:tc>
          <w:tcPr>
            <w:tcW w:w="1218" w:type="dxa"/>
            <w:gridSpan w:val="4"/>
            <w:tcBorders/>
            <w:shd w:fill="E5E5E5" w:val="clear"/>
            <w:vAlign w:val="center"/>
          </w:tcPr>
          <w:p>
            <w:pPr>
              <w:pStyle w:val="TableContents"/>
              <w:spacing w:before="0" w:after="283"/>
              <w:rPr>
                <w:sz w:val="4"/>
                <w:szCs w:val="4"/>
              </w:rPr>
            </w:pPr>
            <w:r>
              <w:rPr>
                <w:sz w:val="4"/>
                <w:szCs w:val="4"/>
              </w:rPr>
            </w:r>
          </w:p>
        </w:tc>
      </w:tr>
      <w:tr>
        <w:trPr/>
        <w:tc>
          <w:tcPr>
            <w:tcW w:w="5835" w:type="dxa"/>
            <w:tcBorders/>
            <w:shd w:fill="E5E5E5" w:val="clear"/>
          </w:tcPr>
          <w:p>
            <w:pPr>
              <w:pStyle w:val="TableContents"/>
              <w:spacing w:before="0" w:after="20"/>
              <w:rPr>
                <w:rFonts w:ascii="arial" w:hAnsi="arial"/>
                <w:sz w:val="16"/>
              </w:rPr>
            </w:pPr>
            <w:r>
              <w:rPr>
                <w:rFonts w:ascii="arial" w:hAnsi="arial"/>
                <w:sz w:val="16"/>
              </w:rPr>
              <w:t>Cynthia J. Warner</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1,343</w:t>
            </w:r>
          </w:p>
        </w:tc>
        <w:tc>
          <w:tcPr>
            <w:tcW w:w="6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40" w:type="dxa"/>
            <w:tcBorders/>
            <w:shd w:fill="E5E5E5" w:val="clear"/>
            <w:vAlign w:val="bottom"/>
          </w:tcPr>
          <w:p>
            <w:pPr>
              <w:pStyle w:val="TableContents"/>
              <w:spacing w:before="0" w:after="283"/>
              <w:jc w:val="right"/>
              <w:rPr/>
            </w:pPr>
            <w:r>
              <w:rPr/>
              <w:t>737</w:t>
            </w:r>
          </w:p>
        </w:tc>
        <w:tc>
          <w:tcPr>
            <w:tcW w:w="60" w:type="dxa"/>
            <w:tcBorders/>
            <w:shd w:fill="E5E5E5" w:val="clear"/>
            <w:vAlign w:val="bottom"/>
          </w:tcPr>
          <w:p>
            <w:pPr>
              <w:pStyle w:val="TableContents"/>
              <w:spacing w:before="0" w:after="283"/>
              <w:rPr/>
            </w:pPr>
            <w:r>
              <w:rPr/>
              <w:t> </w:t>
            </w:r>
          </w:p>
        </w:tc>
        <w:tc>
          <w:tcPr>
            <w:tcW w:w="362"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2,080</w:t>
            </w:r>
          </w:p>
        </w:tc>
        <w:tc>
          <w:tcPr>
            <w:tcW w:w="115" w:type="dxa"/>
            <w:tcBorders/>
            <w:shd w:fill="E5E5E5" w:val="clear"/>
            <w:vAlign w:val="bottom"/>
          </w:tcPr>
          <w:p>
            <w:pPr>
              <w:pStyle w:val="TableContents"/>
              <w:spacing w:before="0" w:after="283"/>
              <w:rPr/>
            </w:pPr>
            <w:r>
              <w:rPr/>
              <w:t> </w:t>
            </w:r>
          </w:p>
        </w:tc>
      </w:tr>
      <w:tr>
        <w:trPr>
          <w:trHeight w:val="75" w:hRule="atLeast"/>
        </w:trPr>
        <w:tc>
          <w:tcPr>
            <w:tcW w:w="5835" w:type="dxa"/>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682" w:type="dxa"/>
            <w:gridSpan w:val="4"/>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r>
      <w:tr>
        <w:trPr/>
        <w:tc>
          <w:tcPr>
            <w:tcW w:w="5835" w:type="dxa"/>
            <w:tcBorders>
              <w:bottom w:val="single" w:sz="8" w:space="0" w:color="001C71"/>
            </w:tcBorders>
            <w:shd w:fill="auto" w:val="clear"/>
            <w:tcMar>
              <w:bottom w:w="60" w:type="dxa"/>
            </w:tcMar>
          </w:tcPr>
          <w:p>
            <w:pPr>
              <w:pStyle w:val="TableContents"/>
              <w:spacing w:before="0" w:after="20"/>
              <w:rPr>
                <w:rFonts w:ascii="arial" w:hAnsi="arial"/>
                <w:sz w:val="16"/>
              </w:rPr>
            </w:pPr>
            <w:r>
              <w:rPr>
                <w:rFonts w:ascii="arial" w:hAnsi="arial"/>
                <w:sz w:val="16"/>
              </w:rPr>
              <w:t>James C. Yardley</w:t>
            </w:r>
          </w:p>
        </w:tc>
        <w:tc>
          <w:tcPr>
            <w:tcW w:w="36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681" w:type="dxa"/>
            <w:tcBorders>
              <w:bottom w:val="single" w:sz="8" w:space="0" w:color="001C71"/>
            </w:tcBorders>
            <w:shd w:fill="auto" w:val="clear"/>
            <w:tcMar>
              <w:bottom w:w="60" w:type="dxa"/>
            </w:tcMar>
            <w:vAlign w:val="bottom"/>
          </w:tcPr>
          <w:p>
            <w:pPr>
              <w:pStyle w:val="TableContents"/>
              <w:spacing w:before="0" w:after="283"/>
              <w:jc w:val="right"/>
              <w:rPr/>
            </w:pPr>
            <w:r>
              <w:rPr/>
              <w:t>11,904</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655" w:type="dxa"/>
            <w:tcBorders>
              <w:bottom w:val="single" w:sz="8" w:space="0" w:color="001C71"/>
            </w:tcBorders>
            <w:shd w:fill="auto" w:val="clear"/>
            <w:tcMar>
              <w:bottom w:w="28" w:type="dxa"/>
            </w:tcMar>
            <w:vAlign w:val="bottom"/>
          </w:tcPr>
          <w:p>
            <w:pPr>
              <w:pStyle w:val="TableContents"/>
              <w:spacing w:before="0" w:after="283"/>
              <w:rPr/>
            </w:pPr>
            <w:r>
              <w:rPr/>
              <w:t>    </w:t>
            </w:r>
          </w:p>
        </w:tc>
        <w:tc>
          <w:tcPr>
            <w:tcW w:w="127" w:type="dxa"/>
            <w:tcBorders>
              <w:bottom w:val="single" w:sz="8" w:space="0" w:color="001C71"/>
            </w:tcBorders>
            <w:shd w:fill="auto" w:val="clear"/>
            <w:tcMar>
              <w:bottom w:w="60" w:type="dxa"/>
            </w:tcMar>
            <w:vAlign w:val="bottom"/>
          </w:tcPr>
          <w:p>
            <w:pPr>
              <w:pStyle w:val="TableContents"/>
              <w:spacing w:before="0" w:after="283"/>
              <w:rPr/>
            </w:pPr>
            <w:r>
              <w:rPr/>
              <w:t> </w:t>
            </w:r>
          </w:p>
        </w:tc>
        <w:tc>
          <w:tcPr>
            <w:tcW w:w="840"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36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681" w:type="dxa"/>
            <w:tcBorders>
              <w:bottom w:val="single" w:sz="8" w:space="0" w:color="001C71"/>
            </w:tcBorders>
            <w:shd w:fill="auto" w:val="clear"/>
            <w:tcMar>
              <w:bottom w:w="60" w:type="dxa"/>
            </w:tcMar>
            <w:vAlign w:val="bottom"/>
          </w:tcPr>
          <w:p>
            <w:pPr>
              <w:pStyle w:val="TableContents"/>
              <w:spacing w:before="0" w:after="283"/>
              <w:jc w:val="right"/>
              <w:rPr/>
            </w:pPr>
            <w:r>
              <w:rPr/>
              <w:t>11,904</w:t>
            </w:r>
          </w:p>
        </w:tc>
        <w:tc>
          <w:tcPr>
            <w:tcW w:w="115"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22</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Corporate Governance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(C)</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Consists of (i) the aggregate change in the actuarial value of accumulated benefits under defined benefit pension plans and (ii) above-market interest (interest in excess of 120% of the federal long-term rate) on deferred compensation. The 2020 amounts are: </w:t>
            </w:r>
          </w:p>
        </w:tc>
      </w:tr>
    </w:tbl>
    <w:p>
      <w:pPr>
        <w:pStyle w:val="TextBody"/>
        <w:spacing w:before="0" w:after="0"/>
        <w:jc w:val="left"/>
        <w:rPr/>
      </w:pPr>
      <w:r>
        <w:rPr/>
        <w:t> </w:t>
      </w:r>
    </w:p>
    <w:tbl>
      <w:tblPr>
        <w:tblW w:w="4850" w:type="pct"/>
        <w:jc w:val="right"/>
        <w:tblInd w:w="0" w:type="dxa"/>
        <w:tblCellMar>
          <w:top w:w="0" w:type="dxa"/>
          <w:left w:w="0" w:type="dxa"/>
          <w:bottom w:w="0" w:type="dxa"/>
          <w:right w:w="0" w:type="dxa"/>
        </w:tblCellMar>
      </w:tblPr>
      <w:tblGrid>
        <w:gridCol w:w="3788"/>
        <w:gridCol w:w="488"/>
        <w:gridCol w:w="866"/>
        <w:gridCol w:w="693"/>
        <w:gridCol w:w="60"/>
        <w:gridCol w:w="728"/>
        <w:gridCol w:w="866"/>
        <w:gridCol w:w="923"/>
        <w:gridCol w:w="60"/>
        <w:gridCol w:w="447"/>
        <w:gridCol w:w="140"/>
        <w:gridCol w:w="693"/>
        <w:gridCol w:w="146"/>
      </w:tblGrid>
      <w:tr>
        <w:trPr/>
        <w:tc>
          <w:tcPr>
            <w:tcW w:w="37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r>
      <w:tr>
        <w:trPr>
          <w:trHeight w:val="15" w:hRule="atLeast"/>
        </w:trPr>
        <w:tc>
          <w:tcPr>
            <w:tcW w:w="3788" w:type="dxa"/>
            <w:tcBorders/>
            <w:shd w:fill="001C71" w:val="clear"/>
            <w:vAlign w:val="center"/>
          </w:tcPr>
          <w:p>
            <w:pPr>
              <w:pStyle w:val="TableContents"/>
              <w:spacing w:before="0" w:after="283"/>
              <w:rPr>
                <w:sz w:val="4"/>
                <w:szCs w:val="4"/>
              </w:rPr>
            </w:pPr>
            <w:r>
              <w:rPr>
                <w:sz w:val="4"/>
                <w:szCs w:val="4"/>
              </w:rPr>
            </w:r>
          </w:p>
        </w:tc>
        <w:tc>
          <w:tcPr>
            <w:tcW w:w="2107" w:type="dxa"/>
            <w:gridSpan w:val="4"/>
            <w:tcBorders/>
            <w:shd w:fill="001C71" w:val="clear"/>
            <w:vAlign w:val="center"/>
          </w:tcPr>
          <w:p>
            <w:pPr>
              <w:pStyle w:val="TableContents"/>
              <w:spacing w:before="0" w:after="283"/>
              <w:rPr>
                <w:sz w:val="4"/>
                <w:szCs w:val="4"/>
              </w:rPr>
            </w:pPr>
            <w:r>
              <w:rPr>
                <w:sz w:val="4"/>
                <w:szCs w:val="4"/>
              </w:rPr>
            </w:r>
          </w:p>
        </w:tc>
        <w:tc>
          <w:tcPr>
            <w:tcW w:w="2577" w:type="dxa"/>
            <w:gridSpan w:val="4"/>
            <w:tcBorders/>
            <w:shd w:fill="001C71" w:val="clear"/>
            <w:vAlign w:val="center"/>
          </w:tcPr>
          <w:p>
            <w:pPr>
              <w:pStyle w:val="TableContents"/>
              <w:spacing w:before="0" w:after="283"/>
              <w:rPr>
                <w:sz w:val="4"/>
                <w:szCs w:val="4"/>
              </w:rPr>
            </w:pPr>
            <w:r>
              <w:rPr>
                <w:sz w:val="4"/>
                <w:szCs w:val="4"/>
              </w:rPr>
            </w:r>
          </w:p>
        </w:tc>
        <w:tc>
          <w:tcPr>
            <w:tcW w:w="1426" w:type="dxa"/>
            <w:gridSpan w:val="4"/>
            <w:tcBorders/>
            <w:shd w:fill="001C71" w:val="clear"/>
            <w:vAlign w:val="center"/>
          </w:tcPr>
          <w:p>
            <w:pPr>
              <w:pStyle w:val="TableContents"/>
              <w:spacing w:before="0" w:after="283"/>
              <w:rPr>
                <w:sz w:val="4"/>
                <w:szCs w:val="4"/>
              </w:rPr>
            </w:pPr>
            <w:r>
              <w:rPr>
                <w:sz w:val="4"/>
                <w:szCs w:val="4"/>
              </w:rPr>
            </w:r>
          </w:p>
        </w:tc>
      </w:tr>
      <w:tr>
        <w:trPr/>
        <w:tc>
          <w:tcPr>
            <w:tcW w:w="3788" w:type="dxa"/>
            <w:tcBorders/>
            <w:shd w:fill="001C71" w:val="clear"/>
            <w:vAlign w:val="bottom"/>
          </w:tcPr>
          <w:p>
            <w:pPr>
              <w:pStyle w:val="TableContents"/>
              <w:spacing w:before="0" w:after="0"/>
              <w:rPr>
                <w:color w:val="FFFFFF"/>
              </w:rPr>
            </w:pPr>
            <w:r>
              <w:rPr>
                <w:color w:val="FFFFFF"/>
              </w:rPr>
              <w:t>    </w:t>
            </w:r>
          </w:p>
          <w:p>
            <w:pPr>
              <w:pStyle w:val="TableContents"/>
              <w:spacing w:before="0" w:after="20"/>
              <w:rPr/>
            </w:pPr>
            <w:r>
              <w:rPr/>
              <w:t> </w:t>
            </w:r>
          </w:p>
        </w:tc>
        <w:tc>
          <w:tcPr>
            <w:tcW w:w="488" w:type="dxa"/>
            <w:tcBorders/>
            <w:shd w:fill="001C71" w:val="clear"/>
            <w:vAlign w:val="bottom"/>
          </w:tcPr>
          <w:p>
            <w:pPr>
              <w:pStyle w:val="TableContents"/>
              <w:spacing w:before="0" w:after="283"/>
              <w:rPr/>
            </w:pPr>
            <w:r>
              <w:rPr/>
              <w:t>  </w:t>
            </w:r>
          </w:p>
        </w:tc>
        <w:tc>
          <w:tcPr>
            <w:tcW w:w="1559"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Change in</w:t>
            </w:r>
          </w:p>
          <w:p>
            <w:pPr>
              <w:pStyle w:val="TableContents"/>
              <w:spacing w:before="0" w:after="0"/>
              <w:jc w:val="center"/>
              <w:rPr>
                <w:rFonts w:ascii="arial" w:hAnsi="arial"/>
                <w:b/>
                <w:color w:val="FFFFFF"/>
                <w:sz w:val="16"/>
              </w:rPr>
            </w:pPr>
            <w:r>
              <w:rPr>
                <w:rFonts w:ascii="arial" w:hAnsi="arial"/>
                <w:b/>
                <w:color w:val="FFFFFF"/>
                <w:sz w:val="16"/>
              </w:rPr>
              <w:t>Accumulated</w:t>
            </w:r>
          </w:p>
          <w:p>
            <w:pPr>
              <w:pStyle w:val="TableContents"/>
              <w:spacing w:before="0" w:after="0"/>
              <w:jc w:val="center"/>
              <w:rPr>
                <w:rFonts w:ascii="arial" w:hAnsi="arial"/>
                <w:b/>
                <w:color w:val="FFFFFF"/>
                <w:sz w:val="16"/>
              </w:rPr>
            </w:pPr>
            <w:r>
              <w:rPr>
                <w:rFonts w:ascii="arial" w:hAnsi="arial"/>
                <w:b/>
                <w:color w:val="FFFFFF"/>
                <w:sz w:val="16"/>
              </w:rPr>
              <w:t>Benefits</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728" w:type="dxa"/>
            <w:tcBorders/>
            <w:shd w:fill="001C71" w:val="clear"/>
            <w:vAlign w:val="bottom"/>
          </w:tcPr>
          <w:p>
            <w:pPr>
              <w:pStyle w:val="TableContents"/>
              <w:spacing w:before="0" w:after="283"/>
              <w:rPr/>
            </w:pPr>
            <w:r>
              <w:rPr/>
              <w:t>    </w:t>
            </w:r>
          </w:p>
        </w:tc>
        <w:tc>
          <w:tcPr>
            <w:tcW w:w="1789"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Above-Market</w:t>
            </w:r>
          </w:p>
          <w:p>
            <w:pPr>
              <w:pStyle w:val="TableContents"/>
              <w:spacing w:before="0" w:after="0"/>
              <w:jc w:val="center"/>
              <w:rPr>
                <w:rFonts w:ascii="arial" w:hAnsi="arial"/>
                <w:b/>
                <w:color w:val="FFFFFF"/>
                <w:sz w:val="16"/>
              </w:rPr>
            </w:pPr>
            <w:r>
              <w:rPr>
                <w:rFonts w:ascii="arial" w:hAnsi="arial"/>
                <w:b/>
                <w:color w:val="FFFFFF"/>
                <w:sz w:val="16"/>
              </w:rPr>
              <w:t>Interest</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447" w:type="dxa"/>
            <w:tcBorders/>
            <w:shd w:fill="001C71" w:val="clear"/>
            <w:vAlign w:val="bottom"/>
          </w:tcPr>
          <w:p>
            <w:pPr>
              <w:pStyle w:val="TableContents"/>
              <w:spacing w:before="0" w:after="283"/>
              <w:rPr/>
            </w:pPr>
            <w:r>
              <w:rPr/>
              <w:t>  </w:t>
            </w:r>
          </w:p>
        </w:tc>
        <w:tc>
          <w:tcPr>
            <w:tcW w:w="833"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Total</w:t>
            </w:r>
          </w:p>
          <w:p>
            <w:pPr>
              <w:pStyle w:val="TableContents"/>
              <w:spacing w:before="0" w:after="20"/>
              <w:jc w:val="left"/>
              <w:rPr/>
            </w:pPr>
            <w:r>
              <w:rPr/>
              <w:t> </w:t>
            </w:r>
          </w:p>
        </w:tc>
        <w:tc>
          <w:tcPr>
            <w:tcW w:w="146" w:type="dxa"/>
            <w:tcBorders/>
            <w:shd w:fill="001C71" w:val="clear"/>
            <w:vAlign w:val="bottom"/>
          </w:tcPr>
          <w:p>
            <w:pPr>
              <w:pStyle w:val="TableContents"/>
              <w:spacing w:before="0" w:after="283"/>
              <w:rPr/>
            </w:pPr>
            <w:r>
              <w:rPr/>
              <w:t> </w:t>
            </w:r>
          </w:p>
        </w:tc>
      </w:tr>
      <w:tr>
        <w:trPr>
          <w:trHeight w:val="75" w:hRule="atLeast"/>
        </w:trPr>
        <w:tc>
          <w:tcPr>
            <w:tcW w:w="3788" w:type="dxa"/>
            <w:tcBorders/>
            <w:shd w:fill="E5E5E5" w:val="clear"/>
            <w:vAlign w:val="center"/>
          </w:tcPr>
          <w:p>
            <w:pPr>
              <w:pStyle w:val="TableContents"/>
              <w:spacing w:before="0" w:after="283"/>
              <w:rPr>
                <w:sz w:val="4"/>
                <w:szCs w:val="4"/>
              </w:rPr>
            </w:pPr>
            <w:r>
              <w:rPr>
                <w:sz w:val="4"/>
                <w:szCs w:val="4"/>
              </w:rPr>
            </w:r>
          </w:p>
        </w:tc>
        <w:tc>
          <w:tcPr>
            <w:tcW w:w="2107" w:type="dxa"/>
            <w:gridSpan w:val="4"/>
            <w:tcBorders/>
            <w:shd w:fill="E5E5E5" w:val="clear"/>
            <w:vAlign w:val="center"/>
          </w:tcPr>
          <w:p>
            <w:pPr>
              <w:pStyle w:val="TableContents"/>
              <w:spacing w:before="0" w:after="283"/>
              <w:rPr>
                <w:sz w:val="4"/>
                <w:szCs w:val="4"/>
              </w:rPr>
            </w:pPr>
            <w:r>
              <w:rPr>
                <w:sz w:val="4"/>
                <w:szCs w:val="4"/>
              </w:rPr>
            </w:r>
          </w:p>
        </w:tc>
        <w:tc>
          <w:tcPr>
            <w:tcW w:w="2577" w:type="dxa"/>
            <w:gridSpan w:val="4"/>
            <w:tcBorders/>
            <w:shd w:fill="E5E5E5" w:val="clear"/>
            <w:vAlign w:val="center"/>
          </w:tcPr>
          <w:p>
            <w:pPr>
              <w:pStyle w:val="TableContents"/>
              <w:spacing w:before="0" w:after="283"/>
              <w:rPr>
                <w:sz w:val="4"/>
                <w:szCs w:val="4"/>
              </w:rPr>
            </w:pPr>
            <w:r>
              <w:rPr>
                <w:sz w:val="4"/>
                <w:szCs w:val="4"/>
              </w:rPr>
            </w:r>
          </w:p>
        </w:tc>
        <w:tc>
          <w:tcPr>
            <w:tcW w:w="1426" w:type="dxa"/>
            <w:gridSpan w:val="4"/>
            <w:tcBorders/>
            <w:shd w:fill="E5E5E5" w:val="clear"/>
            <w:vAlign w:val="center"/>
          </w:tcPr>
          <w:p>
            <w:pPr>
              <w:pStyle w:val="TableContents"/>
              <w:spacing w:before="0" w:after="283"/>
              <w:rPr>
                <w:sz w:val="4"/>
                <w:szCs w:val="4"/>
              </w:rPr>
            </w:pPr>
            <w:r>
              <w:rPr>
                <w:sz w:val="4"/>
                <w:szCs w:val="4"/>
              </w:rPr>
            </w:r>
          </w:p>
        </w:tc>
      </w:tr>
      <w:tr>
        <w:trPr/>
        <w:tc>
          <w:tcPr>
            <w:tcW w:w="3788" w:type="dxa"/>
            <w:tcBorders/>
            <w:shd w:fill="E5E5E5" w:val="clear"/>
          </w:tcPr>
          <w:p>
            <w:pPr>
              <w:pStyle w:val="TableContents"/>
              <w:spacing w:before="0" w:after="0"/>
              <w:rPr>
                <w:rFonts w:ascii="arial" w:hAnsi="arial"/>
                <w:sz w:val="16"/>
              </w:rPr>
            </w:pPr>
            <w:r>
              <w:rPr>
                <w:rFonts w:ascii="arial" w:hAnsi="arial"/>
                <w:sz w:val="16"/>
              </w:rPr>
              <w:t>Alan L. Boeckmann</w:t>
            </w:r>
          </w:p>
        </w:tc>
        <w:tc>
          <w:tcPr>
            <w:tcW w:w="48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sz w:val="4"/>
                <w:szCs w:val="4"/>
              </w:rPr>
            </w:pPr>
            <w:r>
              <w:rPr>
                <w:sz w:val="4"/>
                <w:szCs w:val="4"/>
              </w:rPr>
            </w:r>
          </w:p>
        </w:tc>
        <w:tc>
          <w:tcPr>
            <w:tcW w:w="69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72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pPr>
            <w:r>
              <w:rPr/>
              <w:t>            </w:t>
            </w:r>
            <w:r>
              <w:rPr/>
              <w:t>$</w:t>
            </w:r>
          </w:p>
        </w:tc>
        <w:tc>
          <w:tcPr>
            <w:tcW w:w="923" w:type="dxa"/>
            <w:tcBorders/>
            <w:shd w:fill="E5E5E5" w:val="clear"/>
            <w:vAlign w:val="bottom"/>
          </w:tcPr>
          <w:p>
            <w:pPr>
              <w:pStyle w:val="TableContents"/>
              <w:spacing w:before="0" w:after="283"/>
              <w:jc w:val="right"/>
              <w:rPr/>
            </w:pPr>
            <w:r>
              <w:rPr/>
              <w:t>515</w:t>
            </w:r>
          </w:p>
        </w:tc>
        <w:tc>
          <w:tcPr>
            <w:tcW w:w="60" w:type="dxa"/>
            <w:tcBorders/>
            <w:shd w:fill="E5E5E5" w:val="clear"/>
            <w:vAlign w:val="bottom"/>
          </w:tcPr>
          <w:p>
            <w:pPr>
              <w:pStyle w:val="TableContents"/>
              <w:spacing w:before="0" w:after="283"/>
              <w:rPr/>
            </w:pPr>
            <w:r>
              <w:rPr/>
              <w:t> </w:t>
            </w:r>
          </w:p>
        </w:tc>
        <w:tc>
          <w:tcPr>
            <w:tcW w:w="44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93" w:type="dxa"/>
            <w:tcBorders/>
            <w:shd w:fill="E5E5E5" w:val="clear"/>
            <w:vAlign w:val="bottom"/>
          </w:tcPr>
          <w:p>
            <w:pPr>
              <w:pStyle w:val="TableContents"/>
              <w:spacing w:before="0" w:after="283"/>
              <w:jc w:val="right"/>
              <w:rPr/>
            </w:pPr>
            <w:r>
              <w:rPr/>
              <w:t>515</w:t>
            </w:r>
          </w:p>
        </w:tc>
        <w:tc>
          <w:tcPr>
            <w:tcW w:w="146" w:type="dxa"/>
            <w:tcBorders/>
            <w:shd w:fill="E5E5E5" w:val="clear"/>
            <w:vAlign w:val="bottom"/>
          </w:tcPr>
          <w:p>
            <w:pPr>
              <w:pStyle w:val="TableContents"/>
              <w:spacing w:before="0" w:after="283"/>
              <w:rPr/>
            </w:pPr>
            <w:r>
              <w:rPr/>
              <w:t> </w:t>
            </w:r>
          </w:p>
        </w:tc>
      </w:tr>
      <w:tr>
        <w:trPr>
          <w:trHeight w:val="75" w:hRule="atLeast"/>
        </w:trPr>
        <w:tc>
          <w:tcPr>
            <w:tcW w:w="3788" w:type="dxa"/>
            <w:tcBorders/>
            <w:shd w:fill="auto" w:val="clear"/>
            <w:vAlign w:val="center"/>
          </w:tcPr>
          <w:p>
            <w:pPr>
              <w:pStyle w:val="TableContents"/>
              <w:spacing w:before="0" w:after="283"/>
              <w:rPr>
                <w:sz w:val="4"/>
                <w:szCs w:val="4"/>
              </w:rPr>
            </w:pPr>
            <w:r>
              <w:rPr>
                <w:sz w:val="4"/>
                <w:szCs w:val="4"/>
              </w:rPr>
            </w:r>
          </w:p>
        </w:tc>
        <w:tc>
          <w:tcPr>
            <w:tcW w:w="2107" w:type="dxa"/>
            <w:gridSpan w:val="4"/>
            <w:tcBorders/>
            <w:shd w:fill="auto" w:val="clear"/>
            <w:vAlign w:val="center"/>
          </w:tcPr>
          <w:p>
            <w:pPr>
              <w:pStyle w:val="TableContents"/>
              <w:spacing w:before="0" w:after="283"/>
              <w:rPr>
                <w:sz w:val="4"/>
                <w:szCs w:val="4"/>
              </w:rPr>
            </w:pPr>
            <w:r>
              <w:rPr>
                <w:sz w:val="4"/>
                <w:szCs w:val="4"/>
              </w:rPr>
            </w:r>
          </w:p>
        </w:tc>
        <w:tc>
          <w:tcPr>
            <w:tcW w:w="2577" w:type="dxa"/>
            <w:gridSpan w:val="4"/>
            <w:tcBorders/>
            <w:shd w:fill="auto" w:val="clear"/>
            <w:vAlign w:val="center"/>
          </w:tcPr>
          <w:p>
            <w:pPr>
              <w:pStyle w:val="TableContents"/>
              <w:spacing w:before="0" w:after="283"/>
              <w:rPr>
                <w:sz w:val="4"/>
                <w:szCs w:val="4"/>
              </w:rPr>
            </w:pPr>
            <w:r>
              <w:rPr>
                <w:sz w:val="4"/>
                <w:szCs w:val="4"/>
              </w:rPr>
            </w:r>
          </w:p>
        </w:tc>
        <w:tc>
          <w:tcPr>
            <w:tcW w:w="1426" w:type="dxa"/>
            <w:gridSpan w:val="4"/>
            <w:tcBorders/>
            <w:shd w:fill="auto" w:val="clear"/>
            <w:vAlign w:val="center"/>
          </w:tcPr>
          <w:p>
            <w:pPr>
              <w:pStyle w:val="TableContents"/>
              <w:spacing w:before="0" w:after="283"/>
              <w:rPr>
                <w:sz w:val="4"/>
                <w:szCs w:val="4"/>
              </w:rPr>
            </w:pPr>
            <w:r>
              <w:rPr>
                <w:sz w:val="4"/>
                <w:szCs w:val="4"/>
              </w:rPr>
            </w:r>
          </w:p>
        </w:tc>
      </w:tr>
      <w:tr>
        <w:trPr/>
        <w:tc>
          <w:tcPr>
            <w:tcW w:w="3788" w:type="dxa"/>
            <w:tcBorders/>
            <w:shd w:fill="auto" w:val="clear"/>
          </w:tcPr>
          <w:p>
            <w:pPr>
              <w:pStyle w:val="TableContents"/>
              <w:spacing w:before="0" w:after="0"/>
              <w:rPr>
                <w:rFonts w:ascii="arial" w:hAnsi="arial"/>
                <w:sz w:val="16"/>
              </w:rPr>
            </w:pPr>
            <w:r>
              <w:rPr>
                <w:rFonts w:ascii="arial" w:hAnsi="arial"/>
                <w:sz w:val="16"/>
              </w:rPr>
              <w:t>Kathleen L. Brown</w:t>
            </w:r>
          </w:p>
        </w:tc>
        <w:tc>
          <w:tcPr>
            <w:tcW w:w="48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            </w:t>
            </w:r>
            <w:r>
              <w:rPr/>
              <w:t></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46" w:type="dxa"/>
            <w:tcBorders/>
            <w:shd w:fill="auto" w:val="clear"/>
            <w:vAlign w:val="bottom"/>
          </w:tcPr>
          <w:p>
            <w:pPr>
              <w:pStyle w:val="TableContents"/>
              <w:spacing w:before="0" w:after="283"/>
              <w:rPr/>
            </w:pPr>
            <w:r>
              <w:rPr/>
              <w:t> </w:t>
            </w:r>
          </w:p>
        </w:tc>
      </w:tr>
      <w:tr>
        <w:trPr>
          <w:trHeight w:val="75" w:hRule="atLeast"/>
        </w:trPr>
        <w:tc>
          <w:tcPr>
            <w:tcW w:w="3788" w:type="dxa"/>
            <w:tcBorders/>
            <w:shd w:fill="E5E5E5" w:val="clear"/>
            <w:vAlign w:val="center"/>
          </w:tcPr>
          <w:p>
            <w:pPr>
              <w:pStyle w:val="TableContents"/>
              <w:spacing w:before="0" w:after="283"/>
              <w:rPr>
                <w:sz w:val="4"/>
                <w:szCs w:val="4"/>
              </w:rPr>
            </w:pPr>
            <w:r>
              <w:rPr>
                <w:sz w:val="4"/>
                <w:szCs w:val="4"/>
              </w:rPr>
            </w:r>
          </w:p>
        </w:tc>
        <w:tc>
          <w:tcPr>
            <w:tcW w:w="2107" w:type="dxa"/>
            <w:gridSpan w:val="4"/>
            <w:tcBorders/>
            <w:shd w:fill="E5E5E5" w:val="clear"/>
            <w:vAlign w:val="center"/>
          </w:tcPr>
          <w:p>
            <w:pPr>
              <w:pStyle w:val="TableContents"/>
              <w:spacing w:before="0" w:after="283"/>
              <w:rPr>
                <w:sz w:val="4"/>
                <w:szCs w:val="4"/>
              </w:rPr>
            </w:pPr>
            <w:r>
              <w:rPr>
                <w:sz w:val="4"/>
                <w:szCs w:val="4"/>
              </w:rPr>
            </w:r>
          </w:p>
        </w:tc>
        <w:tc>
          <w:tcPr>
            <w:tcW w:w="2577" w:type="dxa"/>
            <w:gridSpan w:val="4"/>
            <w:tcBorders/>
            <w:shd w:fill="E5E5E5" w:val="clear"/>
            <w:vAlign w:val="center"/>
          </w:tcPr>
          <w:p>
            <w:pPr>
              <w:pStyle w:val="TableContents"/>
              <w:spacing w:before="0" w:after="283"/>
              <w:rPr>
                <w:sz w:val="4"/>
                <w:szCs w:val="4"/>
              </w:rPr>
            </w:pPr>
            <w:r>
              <w:rPr>
                <w:sz w:val="4"/>
                <w:szCs w:val="4"/>
              </w:rPr>
            </w:r>
          </w:p>
        </w:tc>
        <w:tc>
          <w:tcPr>
            <w:tcW w:w="1426" w:type="dxa"/>
            <w:gridSpan w:val="4"/>
            <w:tcBorders/>
            <w:shd w:fill="E5E5E5" w:val="clear"/>
            <w:vAlign w:val="center"/>
          </w:tcPr>
          <w:p>
            <w:pPr>
              <w:pStyle w:val="TableContents"/>
              <w:spacing w:before="0" w:after="283"/>
              <w:rPr>
                <w:sz w:val="4"/>
                <w:szCs w:val="4"/>
              </w:rPr>
            </w:pPr>
            <w:r>
              <w:rPr>
                <w:sz w:val="4"/>
                <w:szCs w:val="4"/>
              </w:rPr>
            </w:r>
          </w:p>
        </w:tc>
      </w:tr>
      <w:tr>
        <w:trPr/>
        <w:tc>
          <w:tcPr>
            <w:tcW w:w="3788" w:type="dxa"/>
            <w:tcBorders/>
            <w:shd w:fill="E5E5E5" w:val="clear"/>
          </w:tcPr>
          <w:p>
            <w:pPr>
              <w:pStyle w:val="TableContents"/>
              <w:spacing w:before="0" w:after="0"/>
              <w:rPr>
                <w:rFonts w:ascii="arial" w:hAnsi="arial"/>
                <w:sz w:val="16"/>
              </w:rPr>
            </w:pPr>
            <w:r>
              <w:rPr>
                <w:rFonts w:ascii="arial" w:hAnsi="arial"/>
                <w:sz w:val="16"/>
              </w:rPr>
              <w:t>Andrés Conesa</w:t>
            </w:r>
          </w:p>
        </w:tc>
        <w:tc>
          <w:tcPr>
            <w:tcW w:w="48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sz w:val="4"/>
                <w:szCs w:val="4"/>
              </w:rPr>
            </w:pPr>
            <w:r>
              <w:rPr>
                <w:sz w:val="4"/>
                <w:szCs w:val="4"/>
              </w:rPr>
            </w:r>
          </w:p>
        </w:tc>
        <w:tc>
          <w:tcPr>
            <w:tcW w:w="69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72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pPr>
            <w:r>
              <w:rPr/>
              <w:t> </w:t>
            </w:r>
          </w:p>
        </w:tc>
        <w:tc>
          <w:tcPr>
            <w:tcW w:w="923"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44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93" w:type="dxa"/>
            <w:tcBorders/>
            <w:shd w:fill="E5E5E5" w:val="clear"/>
            <w:vAlign w:val="bottom"/>
          </w:tcPr>
          <w:p>
            <w:pPr>
              <w:pStyle w:val="TableContents"/>
              <w:spacing w:before="0" w:after="283"/>
              <w:jc w:val="right"/>
              <w:rPr/>
            </w:pPr>
            <w:r>
              <w:rPr/>
              <w:t></w:t>
            </w:r>
          </w:p>
        </w:tc>
        <w:tc>
          <w:tcPr>
            <w:tcW w:w="146" w:type="dxa"/>
            <w:tcBorders/>
            <w:shd w:fill="E5E5E5" w:val="clear"/>
            <w:vAlign w:val="bottom"/>
          </w:tcPr>
          <w:p>
            <w:pPr>
              <w:pStyle w:val="TableContents"/>
              <w:spacing w:before="0" w:after="283"/>
              <w:rPr/>
            </w:pPr>
            <w:r>
              <w:rPr/>
              <w:t> </w:t>
            </w:r>
          </w:p>
        </w:tc>
      </w:tr>
      <w:tr>
        <w:trPr>
          <w:trHeight w:val="75" w:hRule="atLeast"/>
        </w:trPr>
        <w:tc>
          <w:tcPr>
            <w:tcW w:w="3788" w:type="dxa"/>
            <w:tcBorders/>
            <w:shd w:fill="auto" w:val="clear"/>
            <w:vAlign w:val="center"/>
          </w:tcPr>
          <w:p>
            <w:pPr>
              <w:pStyle w:val="TableContents"/>
              <w:spacing w:before="0" w:after="283"/>
              <w:rPr>
                <w:sz w:val="4"/>
                <w:szCs w:val="4"/>
              </w:rPr>
            </w:pPr>
            <w:r>
              <w:rPr>
                <w:sz w:val="4"/>
                <w:szCs w:val="4"/>
              </w:rPr>
            </w:r>
          </w:p>
        </w:tc>
        <w:tc>
          <w:tcPr>
            <w:tcW w:w="2107" w:type="dxa"/>
            <w:gridSpan w:val="4"/>
            <w:tcBorders/>
            <w:shd w:fill="auto" w:val="clear"/>
            <w:vAlign w:val="center"/>
          </w:tcPr>
          <w:p>
            <w:pPr>
              <w:pStyle w:val="TableContents"/>
              <w:spacing w:before="0" w:after="283"/>
              <w:rPr>
                <w:sz w:val="4"/>
                <w:szCs w:val="4"/>
              </w:rPr>
            </w:pPr>
            <w:r>
              <w:rPr>
                <w:sz w:val="4"/>
                <w:szCs w:val="4"/>
              </w:rPr>
            </w:r>
          </w:p>
        </w:tc>
        <w:tc>
          <w:tcPr>
            <w:tcW w:w="2577" w:type="dxa"/>
            <w:gridSpan w:val="4"/>
            <w:tcBorders/>
            <w:shd w:fill="auto" w:val="clear"/>
            <w:vAlign w:val="center"/>
          </w:tcPr>
          <w:p>
            <w:pPr>
              <w:pStyle w:val="TableContents"/>
              <w:spacing w:before="0" w:after="283"/>
              <w:rPr>
                <w:sz w:val="4"/>
                <w:szCs w:val="4"/>
              </w:rPr>
            </w:pPr>
            <w:r>
              <w:rPr>
                <w:sz w:val="4"/>
                <w:szCs w:val="4"/>
              </w:rPr>
            </w:r>
          </w:p>
        </w:tc>
        <w:tc>
          <w:tcPr>
            <w:tcW w:w="1426" w:type="dxa"/>
            <w:gridSpan w:val="4"/>
            <w:tcBorders/>
            <w:shd w:fill="auto" w:val="clear"/>
            <w:vAlign w:val="center"/>
          </w:tcPr>
          <w:p>
            <w:pPr>
              <w:pStyle w:val="TableContents"/>
              <w:spacing w:before="0" w:after="283"/>
              <w:rPr>
                <w:sz w:val="4"/>
                <w:szCs w:val="4"/>
              </w:rPr>
            </w:pPr>
            <w:r>
              <w:rPr>
                <w:sz w:val="4"/>
                <w:szCs w:val="4"/>
              </w:rPr>
            </w:r>
          </w:p>
        </w:tc>
      </w:tr>
      <w:tr>
        <w:trPr/>
        <w:tc>
          <w:tcPr>
            <w:tcW w:w="3788" w:type="dxa"/>
            <w:tcBorders/>
            <w:shd w:fill="auto" w:val="clear"/>
          </w:tcPr>
          <w:p>
            <w:pPr>
              <w:pStyle w:val="TableContents"/>
              <w:spacing w:before="0" w:after="0"/>
              <w:rPr>
                <w:rFonts w:ascii="arial" w:hAnsi="arial"/>
                <w:sz w:val="16"/>
              </w:rPr>
            </w:pPr>
            <w:r>
              <w:rPr>
                <w:rFonts w:ascii="arial" w:hAnsi="arial"/>
                <w:sz w:val="16"/>
              </w:rPr>
              <w:t>Maria Contreras-Sweet</w:t>
            </w:r>
          </w:p>
        </w:tc>
        <w:tc>
          <w:tcPr>
            <w:tcW w:w="48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r>
              <w:rPr/>
              <w:t>$</w:t>
            </w:r>
          </w:p>
        </w:tc>
        <w:tc>
          <w:tcPr>
            <w:tcW w:w="923" w:type="dxa"/>
            <w:tcBorders/>
            <w:shd w:fill="auto" w:val="clear"/>
            <w:vAlign w:val="bottom"/>
          </w:tcPr>
          <w:p>
            <w:pPr>
              <w:pStyle w:val="TableContents"/>
              <w:spacing w:before="0" w:after="283"/>
              <w:jc w:val="right"/>
              <w:rPr/>
            </w:pPr>
            <w:r>
              <w:rPr/>
              <w:t>191</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93" w:type="dxa"/>
            <w:tcBorders/>
            <w:shd w:fill="auto" w:val="clear"/>
            <w:vAlign w:val="bottom"/>
          </w:tcPr>
          <w:p>
            <w:pPr>
              <w:pStyle w:val="TableContents"/>
              <w:spacing w:before="0" w:after="283"/>
              <w:jc w:val="right"/>
              <w:rPr/>
            </w:pPr>
            <w:r>
              <w:rPr/>
              <w:t>191</w:t>
            </w:r>
          </w:p>
        </w:tc>
        <w:tc>
          <w:tcPr>
            <w:tcW w:w="146" w:type="dxa"/>
            <w:tcBorders/>
            <w:shd w:fill="auto" w:val="clear"/>
            <w:vAlign w:val="bottom"/>
          </w:tcPr>
          <w:p>
            <w:pPr>
              <w:pStyle w:val="TableContents"/>
              <w:spacing w:before="0" w:after="283"/>
              <w:rPr/>
            </w:pPr>
            <w:r>
              <w:rPr/>
              <w:t> </w:t>
            </w:r>
          </w:p>
        </w:tc>
      </w:tr>
      <w:tr>
        <w:trPr>
          <w:trHeight w:val="75" w:hRule="atLeast"/>
        </w:trPr>
        <w:tc>
          <w:tcPr>
            <w:tcW w:w="3788" w:type="dxa"/>
            <w:tcBorders/>
            <w:shd w:fill="E5E5E5" w:val="clear"/>
            <w:vAlign w:val="center"/>
          </w:tcPr>
          <w:p>
            <w:pPr>
              <w:pStyle w:val="TableContents"/>
              <w:spacing w:before="0" w:after="283"/>
              <w:rPr>
                <w:sz w:val="4"/>
                <w:szCs w:val="4"/>
              </w:rPr>
            </w:pPr>
            <w:r>
              <w:rPr>
                <w:sz w:val="4"/>
                <w:szCs w:val="4"/>
              </w:rPr>
            </w:r>
          </w:p>
        </w:tc>
        <w:tc>
          <w:tcPr>
            <w:tcW w:w="2107" w:type="dxa"/>
            <w:gridSpan w:val="4"/>
            <w:tcBorders/>
            <w:shd w:fill="E5E5E5" w:val="clear"/>
            <w:vAlign w:val="center"/>
          </w:tcPr>
          <w:p>
            <w:pPr>
              <w:pStyle w:val="TableContents"/>
              <w:spacing w:before="0" w:after="283"/>
              <w:rPr>
                <w:sz w:val="4"/>
                <w:szCs w:val="4"/>
              </w:rPr>
            </w:pPr>
            <w:r>
              <w:rPr>
                <w:sz w:val="4"/>
                <w:szCs w:val="4"/>
              </w:rPr>
            </w:r>
          </w:p>
        </w:tc>
        <w:tc>
          <w:tcPr>
            <w:tcW w:w="2577" w:type="dxa"/>
            <w:gridSpan w:val="4"/>
            <w:tcBorders/>
            <w:shd w:fill="E5E5E5" w:val="clear"/>
            <w:vAlign w:val="center"/>
          </w:tcPr>
          <w:p>
            <w:pPr>
              <w:pStyle w:val="TableContents"/>
              <w:spacing w:before="0" w:after="283"/>
              <w:rPr>
                <w:sz w:val="4"/>
                <w:szCs w:val="4"/>
              </w:rPr>
            </w:pPr>
            <w:r>
              <w:rPr>
                <w:sz w:val="4"/>
                <w:szCs w:val="4"/>
              </w:rPr>
            </w:r>
          </w:p>
        </w:tc>
        <w:tc>
          <w:tcPr>
            <w:tcW w:w="1426" w:type="dxa"/>
            <w:gridSpan w:val="4"/>
            <w:tcBorders/>
            <w:shd w:fill="E5E5E5" w:val="clear"/>
            <w:vAlign w:val="center"/>
          </w:tcPr>
          <w:p>
            <w:pPr>
              <w:pStyle w:val="TableContents"/>
              <w:spacing w:before="0" w:after="283"/>
              <w:rPr>
                <w:sz w:val="4"/>
                <w:szCs w:val="4"/>
              </w:rPr>
            </w:pPr>
            <w:r>
              <w:rPr>
                <w:sz w:val="4"/>
                <w:szCs w:val="4"/>
              </w:rPr>
            </w:r>
          </w:p>
        </w:tc>
      </w:tr>
      <w:tr>
        <w:trPr/>
        <w:tc>
          <w:tcPr>
            <w:tcW w:w="3788" w:type="dxa"/>
            <w:tcBorders/>
            <w:shd w:fill="E5E5E5" w:val="clear"/>
          </w:tcPr>
          <w:p>
            <w:pPr>
              <w:pStyle w:val="TableContents"/>
              <w:spacing w:before="0" w:after="0"/>
              <w:rPr>
                <w:rFonts w:ascii="arial" w:hAnsi="arial"/>
                <w:sz w:val="16"/>
              </w:rPr>
            </w:pPr>
            <w:r>
              <w:rPr>
                <w:rFonts w:ascii="arial" w:hAnsi="arial"/>
                <w:sz w:val="16"/>
              </w:rPr>
              <w:t>Pablo A. Ferrero</w:t>
            </w:r>
          </w:p>
        </w:tc>
        <w:tc>
          <w:tcPr>
            <w:tcW w:w="48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sz w:val="4"/>
                <w:szCs w:val="4"/>
              </w:rPr>
            </w:pPr>
            <w:r>
              <w:rPr>
                <w:sz w:val="4"/>
                <w:szCs w:val="4"/>
              </w:rPr>
            </w:r>
          </w:p>
        </w:tc>
        <w:tc>
          <w:tcPr>
            <w:tcW w:w="69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72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pPr>
            <w:r>
              <w:rPr/>
              <w:t> </w:t>
            </w:r>
          </w:p>
        </w:tc>
        <w:tc>
          <w:tcPr>
            <w:tcW w:w="923"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44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93" w:type="dxa"/>
            <w:tcBorders/>
            <w:shd w:fill="E5E5E5" w:val="clear"/>
            <w:vAlign w:val="bottom"/>
          </w:tcPr>
          <w:p>
            <w:pPr>
              <w:pStyle w:val="TableContents"/>
              <w:spacing w:before="0" w:after="283"/>
              <w:jc w:val="right"/>
              <w:rPr/>
            </w:pPr>
            <w:r>
              <w:rPr/>
              <w:t></w:t>
            </w:r>
          </w:p>
        </w:tc>
        <w:tc>
          <w:tcPr>
            <w:tcW w:w="146" w:type="dxa"/>
            <w:tcBorders/>
            <w:shd w:fill="E5E5E5" w:val="clear"/>
            <w:vAlign w:val="bottom"/>
          </w:tcPr>
          <w:p>
            <w:pPr>
              <w:pStyle w:val="TableContents"/>
              <w:spacing w:before="0" w:after="283"/>
              <w:rPr/>
            </w:pPr>
            <w:r>
              <w:rPr/>
              <w:t> </w:t>
            </w:r>
          </w:p>
        </w:tc>
      </w:tr>
      <w:tr>
        <w:trPr>
          <w:trHeight w:val="75" w:hRule="atLeast"/>
        </w:trPr>
        <w:tc>
          <w:tcPr>
            <w:tcW w:w="3788" w:type="dxa"/>
            <w:tcBorders/>
            <w:shd w:fill="auto" w:val="clear"/>
            <w:vAlign w:val="center"/>
          </w:tcPr>
          <w:p>
            <w:pPr>
              <w:pStyle w:val="TableContents"/>
              <w:spacing w:before="0" w:after="283"/>
              <w:rPr>
                <w:sz w:val="4"/>
                <w:szCs w:val="4"/>
              </w:rPr>
            </w:pPr>
            <w:r>
              <w:rPr>
                <w:sz w:val="4"/>
                <w:szCs w:val="4"/>
              </w:rPr>
            </w:r>
          </w:p>
        </w:tc>
        <w:tc>
          <w:tcPr>
            <w:tcW w:w="2107" w:type="dxa"/>
            <w:gridSpan w:val="4"/>
            <w:tcBorders/>
            <w:shd w:fill="auto" w:val="clear"/>
            <w:vAlign w:val="center"/>
          </w:tcPr>
          <w:p>
            <w:pPr>
              <w:pStyle w:val="TableContents"/>
              <w:spacing w:before="0" w:after="283"/>
              <w:rPr>
                <w:sz w:val="4"/>
                <w:szCs w:val="4"/>
              </w:rPr>
            </w:pPr>
            <w:r>
              <w:rPr>
                <w:sz w:val="4"/>
                <w:szCs w:val="4"/>
              </w:rPr>
            </w:r>
          </w:p>
        </w:tc>
        <w:tc>
          <w:tcPr>
            <w:tcW w:w="2577" w:type="dxa"/>
            <w:gridSpan w:val="4"/>
            <w:tcBorders/>
            <w:shd w:fill="auto" w:val="clear"/>
            <w:vAlign w:val="center"/>
          </w:tcPr>
          <w:p>
            <w:pPr>
              <w:pStyle w:val="TableContents"/>
              <w:spacing w:before="0" w:after="283"/>
              <w:rPr>
                <w:sz w:val="4"/>
                <w:szCs w:val="4"/>
              </w:rPr>
            </w:pPr>
            <w:r>
              <w:rPr>
                <w:sz w:val="4"/>
                <w:szCs w:val="4"/>
              </w:rPr>
            </w:r>
          </w:p>
        </w:tc>
        <w:tc>
          <w:tcPr>
            <w:tcW w:w="1426" w:type="dxa"/>
            <w:gridSpan w:val="4"/>
            <w:tcBorders/>
            <w:shd w:fill="auto" w:val="clear"/>
            <w:vAlign w:val="center"/>
          </w:tcPr>
          <w:p>
            <w:pPr>
              <w:pStyle w:val="TableContents"/>
              <w:spacing w:before="0" w:after="283"/>
              <w:rPr>
                <w:sz w:val="4"/>
                <w:szCs w:val="4"/>
              </w:rPr>
            </w:pPr>
            <w:r>
              <w:rPr>
                <w:sz w:val="4"/>
                <w:szCs w:val="4"/>
              </w:rPr>
            </w:r>
          </w:p>
        </w:tc>
      </w:tr>
      <w:tr>
        <w:trPr/>
        <w:tc>
          <w:tcPr>
            <w:tcW w:w="3788" w:type="dxa"/>
            <w:tcBorders/>
            <w:shd w:fill="auto" w:val="clear"/>
          </w:tcPr>
          <w:p>
            <w:pPr>
              <w:pStyle w:val="TableContents"/>
              <w:spacing w:before="0" w:after="0"/>
              <w:rPr>
                <w:rFonts w:ascii="arial" w:hAnsi="arial"/>
                <w:sz w:val="16"/>
              </w:rPr>
            </w:pPr>
            <w:r>
              <w:rPr>
                <w:rFonts w:ascii="arial" w:hAnsi="arial"/>
                <w:sz w:val="16"/>
              </w:rPr>
              <w:t>William D. Jones</w:t>
            </w:r>
          </w:p>
        </w:tc>
        <w:tc>
          <w:tcPr>
            <w:tcW w:w="48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r>
              <w:rPr/>
              <w:t>$</w:t>
            </w:r>
          </w:p>
        </w:tc>
        <w:tc>
          <w:tcPr>
            <w:tcW w:w="693" w:type="dxa"/>
            <w:tcBorders/>
            <w:shd w:fill="auto" w:val="clear"/>
            <w:vAlign w:val="bottom"/>
          </w:tcPr>
          <w:p>
            <w:pPr>
              <w:pStyle w:val="TableContents"/>
              <w:spacing w:before="0" w:after="283"/>
              <w:jc w:val="right"/>
              <w:rPr/>
            </w:pPr>
            <w:r>
              <w:rPr/>
              <w:t>88,244</w:t>
            </w:r>
          </w:p>
        </w:tc>
        <w:tc>
          <w:tcPr>
            <w:tcW w:w="60"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r>
              <w:rPr/>
              <w:t>$</w:t>
            </w:r>
          </w:p>
        </w:tc>
        <w:tc>
          <w:tcPr>
            <w:tcW w:w="923" w:type="dxa"/>
            <w:tcBorders/>
            <w:shd w:fill="auto" w:val="clear"/>
            <w:vAlign w:val="bottom"/>
          </w:tcPr>
          <w:p>
            <w:pPr>
              <w:pStyle w:val="TableContents"/>
              <w:spacing w:before="0" w:after="283"/>
              <w:jc w:val="right"/>
              <w:rPr/>
            </w:pPr>
            <w:r>
              <w:rPr/>
              <w:t>1,914</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93" w:type="dxa"/>
            <w:tcBorders/>
            <w:shd w:fill="auto" w:val="clear"/>
            <w:vAlign w:val="bottom"/>
          </w:tcPr>
          <w:p>
            <w:pPr>
              <w:pStyle w:val="TableContents"/>
              <w:spacing w:before="0" w:after="283"/>
              <w:jc w:val="right"/>
              <w:rPr/>
            </w:pPr>
            <w:r>
              <w:rPr/>
              <w:t>90,158</w:t>
            </w:r>
          </w:p>
        </w:tc>
        <w:tc>
          <w:tcPr>
            <w:tcW w:w="146" w:type="dxa"/>
            <w:tcBorders/>
            <w:shd w:fill="auto" w:val="clear"/>
            <w:vAlign w:val="bottom"/>
          </w:tcPr>
          <w:p>
            <w:pPr>
              <w:pStyle w:val="TableContents"/>
              <w:spacing w:before="0" w:after="283"/>
              <w:rPr/>
            </w:pPr>
            <w:r>
              <w:rPr/>
              <w:t> </w:t>
            </w:r>
          </w:p>
        </w:tc>
      </w:tr>
      <w:tr>
        <w:trPr>
          <w:trHeight w:val="75" w:hRule="atLeast"/>
        </w:trPr>
        <w:tc>
          <w:tcPr>
            <w:tcW w:w="3788" w:type="dxa"/>
            <w:tcBorders/>
            <w:shd w:fill="E5E5E5" w:val="clear"/>
            <w:vAlign w:val="center"/>
          </w:tcPr>
          <w:p>
            <w:pPr>
              <w:pStyle w:val="TableContents"/>
              <w:spacing w:before="0" w:after="283"/>
              <w:rPr>
                <w:sz w:val="4"/>
                <w:szCs w:val="4"/>
              </w:rPr>
            </w:pPr>
            <w:r>
              <w:rPr>
                <w:sz w:val="4"/>
                <w:szCs w:val="4"/>
              </w:rPr>
            </w:r>
          </w:p>
        </w:tc>
        <w:tc>
          <w:tcPr>
            <w:tcW w:w="2107" w:type="dxa"/>
            <w:gridSpan w:val="4"/>
            <w:tcBorders/>
            <w:shd w:fill="E5E5E5" w:val="clear"/>
            <w:vAlign w:val="center"/>
          </w:tcPr>
          <w:p>
            <w:pPr>
              <w:pStyle w:val="TableContents"/>
              <w:spacing w:before="0" w:after="283"/>
              <w:rPr>
                <w:sz w:val="4"/>
                <w:szCs w:val="4"/>
              </w:rPr>
            </w:pPr>
            <w:r>
              <w:rPr>
                <w:sz w:val="4"/>
                <w:szCs w:val="4"/>
              </w:rPr>
            </w:r>
          </w:p>
        </w:tc>
        <w:tc>
          <w:tcPr>
            <w:tcW w:w="2577" w:type="dxa"/>
            <w:gridSpan w:val="4"/>
            <w:tcBorders/>
            <w:shd w:fill="E5E5E5" w:val="clear"/>
            <w:vAlign w:val="center"/>
          </w:tcPr>
          <w:p>
            <w:pPr>
              <w:pStyle w:val="TableContents"/>
              <w:spacing w:before="0" w:after="283"/>
              <w:rPr>
                <w:sz w:val="4"/>
                <w:szCs w:val="4"/>
              </w:rPr>
            </w:pPr>
            <w:r>
              <w:rPr>
                <w:sz w:val="4"/>
                <w:szCs w:val="4"/>
              </w:rPr>
            </w:r>
          </w:p>
        </w:tc>
        <w:tc>
          <w:tcPr>
            <w:tcW w:w="1426" w:type="dxa"/>
            <w:gridSpan w:val="4"/>
            <w:tcBorders/>
            <w:shd w:fill="E5E5E5" w:val="clear"/>
            <w:vAlign w:val="center"/>
          </w:tcPr>
          <w:p>
            <w:pPr>
              <w:pStyle w:val="TableContents"/>
              <w:spacing w:before="0" w:after="283"/>
              <w:rPr>
                <w:sz w:val="4"/>
                <w:szCs w:val="4"/>
              </w:rPr>
            </w:pPr>
            <w:r>
              <w:rPr>
                <w:sz w:val="4"/>
                <w:szCs w:val="4"/>
              </w:rPr>
            </w:r>
          </w:p>
        </w:tc>
      </w:tr>
      <w:tr>
        <w:trPr/>
        <w:tc>
          <w:tcPr>
            <w:tcW w:w="3788" w:type="dxa"/>
            <w:tcBorders/>
            <w:shd w:fill="E5E5E5" w:val="clear"/>
          </w:tcPr>
          <w:p>
            <w:pPr>
              <w:pStyle w:val="TableContents"/>
              <w:spacing w:before="0" w:after="0"/>
              <w:rPr>
                <w:rFonts w:ascii="arial" w:hAnsi="arial"/>
                <w:sz w:val="16"/>
              </w:rPr>
            </w:pPr>
            <w:r>
              <w:rPr>
                <w:rFonts w:ascii="arial" w:hAnsi="arial"/>
                <w:sz w:val="16"/>
              </w:rPr>
              <w:t>Bethany J. Mayer</w:t>
            </w:r>
          </w:p>
        </w:tc>
        <w:tc>
          <w:tcPr>
            <w:tcW w:w="48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sz w:val="4"/>
                <w:szCs w:val="4"/>
              </w:rPr>
            </w:pPr>
            <w:r>
              <w:rPr>
                <w:sz w:val="4"/>
                <w:szCs w:val="4"/>
              </w:rPr>
            </w:r>
          </w:p>
        </w:tc>
        <w:tc>
          <w:tcPr>
            <w:tcW w:w="69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72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pPr>
            <w:r>
              <w:rPr/>
              <w:t> </w:t>
            </w:r>
          </w:p>
        </w:tc>
        <w:tc>
          <w:tcPr>
            <w:tcW w:w="923"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44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93" w:type="dxa"/>
            <w:tcBorders/>
            <w:shd w:fill="E5E5E5" w:val="clear"/>
            <w:vAlign w:val="bottom"/>
          </w:tcPr>
          <w:p>
            <w:pPr>
              <w:pStyle w:val="TableContents"/>
              <w:spacing w:before="0" w:after="283"/>
              <w:jc w:val="right"/>
              <w:rPr/>
            </w:pPr>
            <w:r>
              <w:rPr/>
              <w:t></w:t>
            </w:r>
          </w:p>
        </w:tc>
        <w:tc>
          <w:tcPr>
            <w:tcW w:w="146" w:type="dxa"/>
            <w:tcBorders/>
            <w:shd w:fill="E5E5E5" w:val="clear"/>
            <w:vAlign w:val="bottom"/>
          </w:tcPr>
          <w:p>
            <w:pPr>
              <w:pStyle w:val="TableContents"/>
              <w:spacing w:before="0" w:after="283"/>
              <w:rPr/>
            </w:pPr>
            <w:r>
              <w:rPr/>
              <w:t> </w:t>
            </w:r>
          </w:p>
        </w:tc>
      </w:tr>
      <w:tr>
        <w:trPr>
          <w:trHeight w:val="75" w:hRule="atLeast"/>
        </w:trPr>
        <w:tc>
          <w:tcPr>
            <w:tcW w:w="3788" w:type="dxa"/>
            <w:tcBorders/>
            <w:shd w:fill="auto" w:val="clear"/>
            <w:vAlign w:val="center"/>
          </w:tcPr>
          <w:p>
            <w:pPr>
              <w:pStyle w:val="TableContents"/>
              <w:spacing w:before="0" w:after="283"/>
              <w:rPr>
                <w:sz w:val="4"/>
                <w:szCs w:val="4"/>
              </w:rPr>
            </w:pPr>
            <w:r>
              <w:rPr>
                <w:sz w:val="4"/>
                <w:szCs w:val="4"/>
              </w:rPr>
            </w:r>
          </w:p>
        </w:tc>
        <w:tc>
          <w:tcPr>
            <w:tcW w:w="2107" w:type="dxa"/>
            <w:gridSpan w:val="4"/>
            <w:tcBorders/>
            <w:shd w:fill="auto" w:val="clear"/>
            <w:vAlign w:val="center"/>
          </w:tcPr>
          <w:p>
            <w:pPr>
              <w:pStyle w:val="TableContents"/>
              <w:spacing w:before="0" w:after="283"/>
              <w:rPr>
                <w:sz w:val="4"/>
                <w:szCs w:val="4"/>
              </w:rPr>
            </w:pPr>
            <w:r>
              <w:rPr>
                <w:sz w:val="4"/>
                <w:szCs w:val="4"/>
              </w:rPr>
            </w:r>
          </w:p>
        </w:tc>
        <w:tc>
          <w:tcPr>
            <w:tcW w:w="2577" w:type="dxa"/>
            <w:gridSpan w:val="4"/>
            <w:tcBorders/>
            <w:shd w:fill="auto" w:val="clear"/>
            <w:vAlign w:val="center"/>
          </w:tcPr>
          <w:p>
            <w:pPr>
              <w:pStyle w:val="TableContents"/>
              <w:spacing w:before="0" w:after="283"/>
              <w:rPr>
                <w:sz w:val="4"/>
                <w:szCs w:val="4"/>
              </w:rPr>
            </w:pPr>
            <w:r>
              <w:rPr>
                <w:sz w:val="4"/>
                <w:szCs w:val="4"/>
              </w:rPr>
            </w:r>
          </w:p>
        </w:tc>
        <w:tc>
          <w:tcPr>
            <w:tcW w:w="1426" w:type="dxa"/>
            <w:gridSpan w:val="4"/>
            <w:tcBorders/>
            <w:shd w:fill="auto" w:val="clear"/>
            <w:vAlign w:val="center"/>
          </w:tcPr>
          <w:p>
            <w:pPr>
              <w:pStyle w:val="TableContents"/>
              <w:spacing w:before="0" w:after="283"/>
              <w:rPr>
                <w:sz w:val="4"/>
                <w:szCs w:val="4"/>
              </w:rPr>
            </w:pPr>
            <w:r>
              <w:rPr>
                <w:sz w:val="4"/>
                <w:szCs w:val="4"/>
              </w:rPr>
            </w:r>
          </w:p>
        </w:tc>
      </w:tr>
      <w:tr>
        <w:trPr/>
        <w:tc>
          <w:tcPr>
            <w:tcW w:w="3788" w:type="dxa"/>
            <w:tcBorders/>
            <w:shd w:fill="auto" w:val="clear"/>
          </w:tcPr>
          <w:p>
            <w:pPr>
              <w:pStyle w:val="TableContents"/>
              <w:spacing w:before="0" w:after="0"/>
              <w:rPr>
                <w:rFonts w:ascii="arial" w:hAnsi="arial"/>
                <w:sz w:val="16"/>
              </w:rPr>
            </w:pPr>
            <w:r>
              <w:rPr>
                <w:rFonts w:ascii="arial" w:hAnsi="arial"/>
                <w:sz w:val="16"/>
              </w:rPr>
              <w:t>Michael N. Mears</w:t>
            </w:r>
          </w:p>
        </w:tc>
        <w:tc>
          <w:tcPr>
            <w:tcW w:w="48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r>
              <w:rPr/>
              <w:t>$</w:t>
            </w:r>
          </w:p>
        </w:tc>
        <w:tc>
          <w:tcPr>
            <w:tcW w:w="923" w:type="dxa"/>
            <w:tcBorders/>
            <w:shd w:fill="auto" w:val="clear"/>
            <w:vAlign w:val="bottom"/>
          </w:tcPr>
          <w:p>
            <w:pPr>
              <w:pStyle w:val="TableContents"/>
              <w:spacing w:before="0" w:after="283"/>
              <w:jc w:val="right"/>
              <w:rPr/>
            </w:pPr>
            <w:r>
              <w:rPr/>
              <w:t>1,350</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93" w:type="dxa"/>
            <w:tcBorders/>
            <w:shd w:fill="auto" w:val="clear"/>
            <w:vAlign w:val="bottom"/>
          </w:tcPr>
          <w:p>
            <w:pPr>
              <w:pStyle w:val="TableContents"/>
              <w:spacing w:before="0" w:after="283"/>
              <w:jc w:val="right"/>
              <w:rPr/>
            </w:pPr>
            <w:r>
              <w:rPr/>
              <w:t>1,350</w:t>
            </w:r>
          </w:p>
        </w:tc>
        <w:tc>
          <w:tcPr>
            <w:tcW w:w="146" w:type="dxa"/>
            <w:tcBorders/>
            <w:shd w:fill="auto" w:val="clear"/>
            <w:vAlign w:val="bottom"/>
          </w:tcPr>
          <w:p>
            <w:pPr>
              <w:pStyle w:val="TableContents"/>
              <w:spacing w:before="0" w:after="283"/>
              <w:rPr/>
            </w:pPr>
            <w:r>
              <w:rPr/>
              <w:t> </w:t>
            </w:r>
          </w:p>
        </w:tc>
      </w:tr>
      <w:tr>
        <w:trPr>
          <w:trHeight w:val="75" w:hRule="atLeast"/>
        </w:trPr>
        <w:tc>
          <w:tcPr>
            <w:tcW w:w="3788" w:type="dxa"/>
            <w:tcBorders/>
            <w:shd w:fill="E5E5E5" w:val="clear"/>
            <w:vAlign w:val="center"/>
          </w:tcPr>
          <w:p>
            <w:pPr>
              <w:pStyle w:val="TableContents"/>
              <w:spacing w:before="0" w:after="283"/>
              <w:rPr>
                <w:sz w:val="4"/>
                <w:szCs w:val="4"/>
              </w:rPr>
            </w:pPr>
            <w:r>
              <w:rPr>
                <w:sz w:val="4"/>
                <w:szCs w:val="4"/>
              </w:rPr>
            </w:r>
          </w:p>
        </w:tc>
        <w:tc>
          <w:tcPr>
            <w:tcW w:w="2107" w:type="dxa"/>
            <w:gridSpan w:val="4"/>
            <w:tcBorders/>
            <w:shd w:fill="E5E5E5" w:val="clear"/>
            <w:vAlign w:val="center"/>
          </w:tcPr>
          <w:p>
            <w:pPr>
              <w:pStyle w:val="TableContents"/>
              <w:spacing w:before="0" w:after="283"/>
              <w:rPr>
                <w:sz w:val="4"/>
                <w:szCs w:val="4"/>
              </w:rPr>
            </w:pPr>
            <w:r>
              <w:rPr>
                <w:sz w:val="4"/>
                <w:szCs w:val="4"/>
              </w:rPr>
            </w:r>
          </w:p>
        </w:tc>
        <w:tc>
          <w:tcPr>
            <w:tcW w:w="2577" w:type="dxa"/>
            <w:gridSpan w:val="4"/>
            <w:tcBorders/>
            <w:shd w:fill="E5E5E5" w:val="clear"/>
            <w:vAlign w:val="center"/>
          </w:tcPr>
          <w:p>
            <w:pPr>
              <w:pStyle w:val="TableContents"/>
              <w:spacing w:before="0" w:after="283"/>
              <w:rPr>
                <w:sz w:val="4"/>
                <w:szCs w:val="4"/>
              </w:rPr>
            </w:pPr>
            <w:r>
              <w:rPr>
                <w:sz w:val="4"/>
                <w:szCs w:val="4"/>
              </w:rPr>
            </w:r>
          </w:p>
        </w:tc>
        <w:tc>
          <w:tcPr>
            <w:tcW w:w="1426" w:type="dxa"/>
            <w:gridSpan w:val="4"/>
            <w:tcBorders/>
            <w:shd w:fill="E5E5E5" w:val="clear"/>
            <w:vAlign w:val="center"/>
          </w:tcPr>
          <w:p>
            <w:pPr>
              <w:pStyle w:val="TableContents"/>
              <w:spacing w:before="0" w:after="283"/>
              <w:rPr>
                <w:sz w:val="4"/>
                <w:szCs w:val="4"/>
              </w:rPr>
            </w:pPr>
            <w:r>
              <w:rPr>
                <w:sz w:val="4"/>
                <w:szCs w:val="4"/>
              </w:rPr>
            </w:r>
          </w:p>
        </w:tc>
      </w:tr>
      <w:tr>
        <w:trPr/>
        <w:tc>
          <w:tcPr>
            <w:tcW w:w="3788" w:type="dxa"/>
            <w:tcBorders/>
            <w:shd w:fill="E5E5E5" w:val="clear"/>
          </w:tcPr>
          <w:p>
            <w:pPr>
              <w:pStyle w:val="TableContents"/>
              <w:spacing w:before="0" w:after="0"/>
              <w:rPr>
                <w:rFonts w:ascii="arial" w:hAnsi="arial"/>
                <w:sz w:val="16"/>
              </w:rPr>
            </w:pPr>
            <w:r>
              <w:rPr>
                <w:rFonts w:ascii="arial" w:hAnsi="arial"/>
                <w:sz w:val="16"/>
              </w:rPr>
              <w:t>William C. Rusnack</w:t>
            </w:r>
          </w:p>
        </w:tc>
        <w:tc>
          <w:tcPr>
            <w:tcW w:w="48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sz w:val="4"/>
                <w:szCs w:val="4"/>
              </w:rPr>
            </w:pPr>
            <w:r>
              <w:rPr>
                <w:sz w:val="4"/>
                <w:szCs w:val="4"/>
              </w:rPr>
            </w:r>
          </w:p>
        </w:tc>
        <w:tc>
          <w:tcPr>
            <w:tcW w:w="69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72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pPr>
            <w:r>
              <w:rPr/>
              <w:t>            </w:t>
            </w:r>
            <w:r>
              <w:rPr/>
              <w:t>$</w:t>
            </w:r>
          </w:p>
        </w:tc>
        <w:tc>
          <w:tcPr>
            <w:tcW w:w="923" w:type="dxa"/>
            <w:tcBorders/>
            <w:shd w:fill="E5E5E5" w:val="clear"/>
            <w:vAlign w:val="bottom"/>
          </w:tcPr>
          <w:p>
            <w:pPr>
              <w:pStyle w:val="TableContents"/>
              <w:spacing w:before="0" w:after="283"/>
              <w:jc w:val="right"/>
              <w:rPr/>
            </w:pPr>
            <w:r>
              <w:rPr/>
              <w:t>59,895</w:t>
            </w:r>
          </w:p>
        </w:tc>
        <w:tc>
          <w:tcPr>
            <w:tcW w:w="60" w:type="dxa"/>
            <w:tcBorders/>
            <w:shd w:fill="E5E5E5" w:val="clear"/>
            <w:vAlign w:val="bottom"/>
          </w:tcPr>
          <w:p>
            <w:pPr>
              <w:pStyle w:val="TableContents"/>
              <w:spacing w:before="0" w:after="283"/>
              <w:rPr/>
            </w:pPr>
            <w:r>
              <w:rPr/>
              <w:t> </w:t>
            </w:r>
          </w:p>
        </w:tc>
        <w:tc>
          <w:tcPr>
            <w:tcW w:w="44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93" w:type="dxa"/>
            <w:tcBorders/>
            <w:shd w:fill="E5E5E5" w:val="clear"/>
            <w:vAlign w:val="bottom"/>
          </w:tcPr>
          <w:p>
            <w:pPr>
              <w:pStyle w:val="TableContents"/>
              <w:spacing w:before="0" w:after="283"/>
              <w:jc w:val="right"/>
              <w:rPr/>
            </w:pPr>
            <w:r>
              <w:rPr/>
              <w:t>59,895</w:t>
            </w:r>
          </w:p>
        </w:tc>
        <w:tc>
          <w:tcPr>
            <w:tcW w:w="146" w:type="dxa"/>
            <w:tcBorders/>
            <w:shd w:fill="E5E5E5" w:val="clear"/>
            <w:vAlign w:val="bottom"/>
          </w:tcPr>
          <w:p>
            <w:pPr>
              <w:pStyle w:val="TableContents"/>
              <w:spacing w:before="0" w:after="283"/>
              <w:rPr/>
            </w:pPr>
            <w:r>
              <w:rPr/>
              <w:t> </w:t>
            </w:r>
          </w:p>
        </w:tc>
      </w:tr>
      <w:tr>
        <w:trPr>
          <w:trHeight w:val="75" w:hRule="atLeast"/>
        </w:trPr>
        <w:tc>
          <w:tcPr>
            <w:tcW w:w="3788" w:type="dxa"/>
            <w:tcBorders/>
            <w:shd w:fill="auto" w:val="clear"/>
            <w:vAlign w:val="center"/>
          </w:tcPr>
          <w:p>
            <w:pPr>
              <w:pStyle w:val="TableContents"/>
              <w:spacing w:before="0" w:after="283"/>
              <w:rPr>
                <w:sz w:val="4"/>
                <w:szCs w:val="4"/>
              </w:rPr>
            </w:pPr>
            <w:r>
              <w:rPr>
                <w:sz w:val="4"/>
                <w:szCs w:val="4"/>
              </w:rPr>
            </w:r>
          </w:p>
        </w:tc>
        <w:tc>
          <w:tcPr>
            <w:tcW w:w="2107" w:type="dxa"/>
            <w:gridSpan w:val="4"/>
            <w:tcBorders/>
            <w:shd w:fill="auto" w:val="clear"/>
            <w:vAlign w:val="center"/>
          </w:tcPr>
          <w:p>
            <w:pPr>
              <w:pStyle w:val="TableContents"/>
              <w:spacing w:before="0" w:after="283"/>
              <w:rPr>
                <w:sz w:val="4"/>
                <w:szCs w:val="4"/>
              </w:rPr>
            </w:pPr>
            <w:r>
              <w:rPr>
                <w:sz w:val="4"/>
                <w:szCs w:val="4"/>
              </w:rPr>
            </w:r>
          </w:p>
        </w:tc>
        <w:tc>
          <w:tcPr>
            <w:tcW w:w="2577" w:type="dxa"/>
            <w:gridSpan w:val="4"/>
            <w:tcBorders/>
            <w:shd w:fill="auto" w:val="clear"/>
            <w:vAlign w:val="center"/>
          </w:tcPr>
          <w:p>
            <w:pPr>
              <w:pStyle w:val="TableContents"/>
              <w:spacing w:before="0" w:after="283"/>
              <w:rPr>
                <w:sz w:val="4"/>
                <w:szCs w:val="4"/>
              </w:rPr>
            </w:pPr>
            <w:r>
              <w:rPr>
                <w:sz w:val="4"/>
                <w:szCs w:val="4"/>
              </w:rPr>
            </w:r>
          </w:p>
        </w:tc>
        <w:tc>
          <w:tcPr>
            <w:tcW w:w="1426" w:type="dxa"/>
            <w:gridSpan w:val="4"/>
            <w:tcBorders/>
            <w:shd w:fill="auto" w:val="clear"/>
            <w:vAlign w:val="center"/>
          </w:tcPr>
          <w:p>
            <w:pPr>
              <w:pStyle w:val="TableContents"/>
              <w:spacing w:before="0" w:after="283"/>
              <w:rPr>
                <w:sz w:val="4"/>
                <w:szCs w:val="4"/>
              </w:rPr>
            </w:pPr>
            <w:r>
              <w:rPr>
                <w:sz w:val="4"/>
                <w:szCs w:val="4"/>
              </w:rPr>
            </w:r>
          </w:p>
        </w:tc>
      </w:tr>
      <w:tr>
        <w:trPr/>
        <w:tc>
          <w:tcPr>
            <w:tcW w:w="3788" w:type="dxa"/>
            <w:tcBorders/>
            <w:shd w:fill="auto" w:val="clear"/>
          </w:tcPr>
          <w:p>
            <w:pPr>
              <w:pStyle w:val="TableContents"/>
              <w:spacing w:before="0" w:after="0"/>
              <w:rPr>
                <w:rFonts w:ascii="arial" w:hAnsi="arial"/>
                <w:sz w:val="16"/>
              </w:rPr>
            </w:pPr>
            <w:r>
              <w:rPr>
                <w:rFonts w:ascii="arial" w:hAnsi="arial"/>
                <w:sz w:val="16"/>
              </w:rPr>
              <w:t>Lynn Schenk</w:t>
            </w:r>
          </w:p>
        </w:tc>
        <w:tc>
          <w:tcPr>
            <w:tcW w:w="48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            </w:t>
            </w:r>
            <w:r>
              <w:rPr/>
              <w:t></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46" w:type="dxa"/>
            <w:tcBorders/>
            <w:shd w:fill="auto" w:val="clear"/>
            <w:vAlign w:val="bottom"/>
          </w:tcPr>
          <w:p>
            <w:pPr>
              <w:pStyle w:val="TableContents"/>
              <w:spacing w:before="0" w:after="283"/>
              <w:rPr/>
            </w:pPr>
            <w:r>
              <w:rPr/>
              <w:t> </w:t>
            </w:r>
          </w:p>
        </w:tc>
      </w:tr>
      <w:tr>
        <w:trPr>
          <w:trHeight w:val="75" w:hRule="atLeast"/>
        </w:trPr>
        <w:tc>
          <w:tcPr>
            <w:tcW w:w="3788" w:type="dxa"/>
            <w:tcBorders/>
            <w:shd w:fill="E5E5E5" w:val="clear"/>
            <w:vAlign w:val="center"/>
          </w:tcPr>
          <w:p>
            <w:pPr>
              <w:pStyle w:val="TableContents"/>
              <w:spacing w:before="0" w:after="283"/>
              <w:rPr>
                <w:sz w:val="4"/>
                <w:szCs w:val="4"/>
              </w:rPr>
            </w:pPr>
            <w:r>
              <w:rPr>
                <w:sz w:val="4"/>
                <w:szCs w:val="4"/>
              </w:rPr>
            </w:r>
          </w:p>
        </w:tc>
        <w:tc>
          <w:tcPr>
            <w:tcW w:w="2107" w:type="dxa"/>
            <w:gridSpan w:val="4"/>
            <w:tcBorders/>
            <w:shd w:fill="E5E5E5" w:val="clear"/>
            <w:vAlign w:val="center"/>
          </w:tcPr>
          <w:p>
            <w:pPr>
              <w:pStyle w:val="TableContents"/>
              <w:spacing w:before="0" w:after="283"/>
              <w:rPr>
                <w:sz w:val="4"/>
                <w:szCs w:val="4"/>
              </w:rPr>
            </w:pPr>
            <w:r>
              <w:rPr>
                <w:sz w:val="4"/>
                <w:szCs w:val="4"/>
              </w:rPr>
            </w:r>
          </w:p>
        </w:tc>
        <w:tc>
          <w:tcPr>
            <w:tcW w:w="2577" w:type="dxa"/>
            <w:gridSpan w:val="4"/>
            <w:tcBorders/>
            <w:shd w:fill="E5E5E5" w:val="clear"/>
            <w:vAlign w:val="center"/>
          </w:tcPr>
          <w:p>
            <w:pPr>
              <w:pStyle w:val="TableContents"/>
              <w:spacing w:before="0" w:after="283"/>
              <w:rPr>
                <w:sz w:val="4"/>
                <w:szCs w:val="4"/>
              </w:rPr>
            </w:pPr>
            <w:r>
              <w:rPr>
                <w:sz w:val="4"/>
                <w:szCs w:val="4"/>
              </w:rPr>
            </w:r>
          </w:p>
        </w:tc>
        <w:tc>
          <w:tcPr>
            <w:tcW w:w="1426" w:type="dxa"/>
            <w:gridSpan w:val="4"/>
            <w:tcBorders/>
            <w:shd w:fill="E5E5E5" w:val="clear"/>
            <w:vAlign w:val="center"/>
          </w:tcPr>
          <w:p>
            <w:pPr>
              <w:pStyle w:val="TableContents"/>
              <w:spacing w:before="0" w:after="283"/>
              <w:rPr>
                <w:sz w:val="4"/>
                <w:szCs w:val="4"/>
              </w:rPr>
            </w:pPr>
            <w:r>
              <w:rPr>
                <w:sz w:val="4"/>
                <w:szCs w:val="4"/>
              </w:rPr>
            </w:r>
          </w:p>
        </w:tc>
      </w:tr>
      <w:tr>
        <w:trPr/>
        <w:tc>
          <w:tcPr>
            <w:tcW w:w="3788" w:type="dxa"/>
            <w:tcBorders/>
            <w:shd w:fill="E5E5E5" w:val="clear"/>
          </w:tcPr>
          <w:p>
            <w:pPr>
              <w:pStyle w:val="TableContents"/>
              <w:spacing w:before="0" w:after="0"/>
              <w:rPr>
                <w:rFonts w:ascii="arial" w:hAnsi="arial"/>
                <w:sz w:val="16"/>
              </w:rPr>
            </w:pPr>
            <w:r>
              <w:rPr>
                <w:rFonts w:ascii="arial" w:hAnsi="arial"/>
                <w:sz w:val="16"/>
              </w:rPr>
              <w:t>Jack T. Taylor</w:t>
            </w:r>
          </w:p>
        </w:tc>
        <w:tc>
          <w:tcPr>
            <w:tcW w:w="48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sz w:val="4"/>
                <w:szCs w:val="4"/>
              </w:rPr>
            </w:pPr>
            <w:r>
              <w:rPr>
                <w:sz w:val="4"/>
                <w:szCs w:val="4"/>
              </w:rPr>
            </w:r>
          </w:p>
        </w:tc>
        <w:tc>
          <w:tcPr>
            <w:tcW w:w="69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72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pPr>
            <w:r>
              <w:rPr/>
              <w:t>            </w:t>
            </w:r>
            <w:r>
              <w:rPr/>
              <w:t>$</w:t>
            </w:r>
          </w:p>
        </w:tc>
        <w:tc>
          <w:tcPr>
            <w:tcW w:w="923" w:type="dxa"/>
            <w:tcBorders/>
            <w:shd w:fill="E5E5E5" w:val="clear"/>
            <w:vAlign w:val="bottom"/>
          </w:tcPr>
          <w:p>
            <w:pPr>
              <w:pStyle w:val="TableContents"/>
              <w:spacing w:before="0" w:after="283"/>
              <w:jc w:val="right"/>
              <w:rPr/>
            </w:pPr>
            <w:r>
              <w:rPr/>
              <w:t>5,540</w:t>
            </w:r>
          </w:p>
        </w:tc>
        <w:tc>
          <w:tcPr>
            <w:tcW w:w="60" w:type="dxa"/>
            <w:tcBorders/>
            <w:shd w:fill="E5E5E5" w:val="clear"/>
            <w:vAlign w:val="bottom"/>
          </w:tcPr>
          <w:p>
            <w:pPr>
              <w:pStyle w:val="TableContents"/>
              <w:spacing w:before="0" w:after="283"/>
              <w:rPr/>
            </w:pPr>
            <w:r>
              <w:rPr/>
              <w:t> </w:t>
            </w:r>
          </w:p>
        </w:tc>
        <w:tc>
          <w:tcPr>
            <w:tcW w:w="44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93" w:type="dxa"/>
            <w:tcBorders/>
            <w:shd w:fill="E5E5E5" w:val="clear"/>
            <w:vAlign w:val="bottom"/>
          </w:tcPr>
          <w:p>
            <w:pPr>
              <w:pStyle w:val="TableContents"/>
              <w:spacing w:before="0" w:after="283"/>
              <w:jc w:val="right"/>
              <w:rPr/>
            </w:pPr>
            <w:r>
              <w:rPr/>
              <w:t>5,540</w:t>
            </w:r>
          </w:p>
        </w:tc>
        <w:tc>
          <w:tcPr>
            <w:tcW w:w="146" w:type="dxa"/>
            <w:tcBorders/>
            <w:shd w:fill="E5E5E5" w:val="clear"/>
            <w:vAlign w:val="bottom"/>
          </w:tcPr>
          <w:p>
            <w:pPr>
              <w:pStyle w:val="TableContents"/>
              <w:spacing w:before="0" w:after="283"/>
              <w:rPr/>
            </w:pPr>
            <w:r>
              <w:rPr/>
              <w:t> </w:t>
            </w:r>
          </w:p>
        </w:tc>
      </w:tr>
      <w:tr>
        <w:trPr>
          <w:trHeight w:val="75" w:hRule="atLeast"/>
        </w:trPr>
        <w:tc>
          <w:tcPr>
            <w:tcW w:w="3788" w:type="dxa"/>
            <w:tcBorders/>
            <w:shd w:fill="auto" w:val="clear"/>
            <w:vAlign w:val="center"/>
          </w:tcPr>
          <w:p>
            <w:pPr>
              <w:pStyle w:val="TableContents"/>
              <w:spacing w:before="0" w:after="283"/>
              <w:rPr>
                <w:sz w:val="4"/>
                <w:szCs w:val="4"/>
              </w:rPr>
            </w:pPr>
            <w:r>
              <w:rPr>
                <w:sz w:val="4"/>
                <w:szCs w:val="4"/>
              </w:rPr>
            </w:r>
          </w:p>
        </w:tc>
        <w:tc>
          <w:tcPr>
            <w:tcW w:w="2107" w:type="dxa"/>
            <w:gridSpan w:val="4"/>
            <w:tcBorders/>
            <w:shd w:fill="auto" w:val="clear"/>
            <w:vAlign w:val="center"/>
          </w:tcPr>
          <w:p>
            <w:pPr>
              <w:pStyle w:val="TableContents"/>
              <w:spacing w:before="0" w:after="283"/>
              <w:rPr>
                <w:sz w:val="4"/>
                <w:szCs w:val="4"/>
              </w:rPr>
            </w:pPr>
            <w:r>
              <w:rPr>
                <w:sz w:val="4"/>
                <w:szCs w:val="4"/>
              </w:rPr>
            </w:r>
          </w:p>
        </w:tc>
        <w:tc>
          <w:tcPr>
            <w:tcW w:w="2577" w:type="dxa"/>
            <w:gridSpan w:val="4"/>
            <w:tcBorders/>
            <w:shd w:fill="auto" w:val="clear"/>
            <w:vAlign w:val="center"/>
          </w:tcPr>
          <w:p>
            <w:pPr>
              <w:pStyle w:val="TableContents"/>
              <w:spacing w:before="0" w:after="283"/>
              <w:rPr>
                <w:sz w:val="4"/>
                <w:szCs w:val="4"/>
              </w:rPr>
            </w:pPr>
            <w:r>
              <w:rPr>
                <w:sz w:val="4"/>
                <w:szCs w:val="4"/>
              </w:rPr>
            </w:r>
          </w:p>
        </w:tc>
        <w:tc>
          <w:tcPr>
            <w:tcW w:w="1426" w:type="dxa"/>
            <w:gridSpan w:val="4"/>
            <w:tcBorders/>
            <w:shd w:fill="auto" w:val="clear"/>
            <w:vAlign w:val="center"/>
          </w:tcPr>
          <w:p>
            <w:pPr>
              <w:pStyle w:val="TableContents"/>
              <w:spacing w:before="0" w:after="283"/>
              <w:rPr>
                <w:sz w:val="4"/>
                <w:szCs w:val="4"/>
              </w:rPr>
            </w:pPr>
            <w:r>
              <w:rPr>
                <w:sz w:val="4"/>
                <w:szCs w:val="4"/>
              </w:rPr>
            </w:r>
          </w:p>
        </w:tc>
      </w:tr>
      <w:tr>
        <w:trPr/>
        <w:tc>
          <w:tcPr>
            <w:tcW w:w="3788" w:type="dxa"/>
            <w:tcBorders/>
            <w:shd w:fill="auto" w:val="clear"/>
          </w:tcPr>
          <w:p>
            <w:pPr>
              <w:pStyle w:val="TableContents"/>
              <w:spacing w:before="0" w:after="0"/>
              <w:rPr>
                <w:rFonts w:ascii="arial" w:hAnsi="arial"/>
                <w:sz w:val="16"/>
              </w:rPr>
            </w:pPr>
            <w:r>
              <w:rPr>
                <w:rFonts w:ascii="arial" w:hAnsi="arial"/>
                <w:sz w:val="16"/>
              </w:rPr>
              <w:t>Cynthia L. Walker</w:t>
            </w:r>
          </w:p>
        </w:tc>
        <w:tc>
          <w:tcPr>
            <w:tcW w:w="48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            </w:t>
            </w:r>
            <w:r>
              <w:rPr/>
              <w:t></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46" w:type="dxa"/>
            <w:tcBorders/>
            <w:shd w:fill="auto" w:val="clear"/>
            <w:vAlign w:val="bottom"/>
          </w:tcPr>
          <w:p>
            <w:pPr>
              <w:pStyle w:val="TableContents"/>
              <w:spacing w:before="0" w:after="283"/>
              <w:rPr/>
            </w:pPr>
            <w:r>
              <w:rPr/>
              <w:t> </w:t>
            </w:r>
          </w:p>
        </w:tc>
      </w:tr>
      <w:tr>
        <w:trPr>
          <w:trHeight w:val="75" w:hRule="atLeast"/>
        </w:trPr>
        <w:tc>
          <w:tcPr>
            <w:tcW w:w="3788" w:type="dxa"/>
            <w:tcBorders/>
            <w:shd w:fill="E5E5E5" w:val="clear"/>
            <w:vAlign w:val="center"/>
          </w:tcPr>
          <w:p>
            <w:pPr>
              <w:pStyle w:val="TableContents"/>
              <w:spacing w:before="0" w:after="283"/>
              <w:rPr>
                <w:sz w:val="4"/>
                <w:szCs w:val="4"/>
              </w:rPr>
            </w:pPr>
            <w:r>
              <w:rPr>
                <w:sz w:val="4"/>
                <w:szCs w:val="4"/>
              </w:rPr>
            </w:r>
          </w:p>
        </w:tc>
        <w:tc>
          <w:tcPr>
            <w:tcW w:w="2107" w:type="dxa"/>
            <w:gridSpan w:val="4"/>
            <w:tcBorders/>
            <w:shd w:fill="E5E5E5" w:val="clear"/>
            <w:vAlign w:val="center"/>
          </w:tcPr>
          <w:p>
            <w:pPr>
              <w:pStyle w:val="TableContents"/>
              <w:spacing w:before="0" w:after="283"/>
              <w:rPr>
                <w:sz w:val="4"/>
                <w:szCs w:val="4"/>
              </w:rPr>
            </w:pPr>
            <w:r>
              <w:rPr>
                <w:sz w:val="4"/>
                <w:szCs w:val="4"/>
              </w:rPr>
            </w:r>
          </w:p>
        </w:tc>
        <w:tc>
          <w:tcPr>
            <w:tcW w:w="2577" w:type="dxa"/>
            <w:gridSpan w:val="4"/>
            <w:tcBorders/>
            <w:shd w:fill="E5E5E5" w:val="clear"/>
            <w:vAlign w:val="center"/>
          </w:tcPr>
          <w:p>
            <w:pPr>
              <w:pStyle w:val="TableContents"/>
              <w:spacing w:before="0" w:after="283"/>
              <w:rPr>
                <w:sz w:val="4"/>
                <w:szCs w:val="4"/>
              </w:rPr>
            </w:pPr>
            <w:r>
              <w:rPr>
                <w:sz w:val="4"/>
                <w:szCs w:val="4"/>
              </w:rPr>
            </w:r>
          </w:p>
        </w:tc>
        <w:tc>
          <w:tcPr>
            <w:tcW w:w="1426" w:type="dxa"/>
            <w:gridSpan w:val="4"/>
            <w:tcBorders/>
            <w:shd w:fill="E5E5E5" w:val="clear"/>
            <w:vAlign w:val="center"/>
          </w:tcPr>
          <w:p>
            <w:pPr>
              <w:pStyle w:val="TableContents"/>
              <w:spacing w:before="0" w:after="283"/>
              <w:rPr>
                <w:sz w:val="4"/>
                <w:szCs w:val="4"/>
              </w:rPr>
            </w:pPr>
            <w:r>
              <w:rPr>
                <w:sz w:val="4"/>
                <w:szCs w:val="4"/>
              </w:rPr>
            </w:r>
          </w:p>
        </w:tc>
      </w:tr>
      <w:tr>
        <w:trPr/>
        <w:tc>
          <w:tcPr>
            <w:tcW w:w="3788" w:type="dxa"/>
            <w:tcBorders/>
            <w:shd w:fill="E5E5E5" w:val="clear"/>
          </w:tcPr>
          <w:p>
            <w:pPr>
              <w:pStyle w:val="TableContents"/>
              <w:spacing w:before="0" w:after="0"/>
              <w:rPr>
                <w:rFonts w:ascii="arial" w:hAnsi="arial"/>
                <w:sz w:val="16"/>
              </w:rPr>
            </w:pPr>
            <w:r>
              <w:rPr>
                <w:rFonts w:ascii="arial" w:hAnsi="arial"/>
                <w:sz w:val="16"/>
              </w:rPr>
              <w:t>Cynthia J. Warner</w:t>
            </w:r>
          </w:p>
        </w:tc>
        <w:tc>
          <w:tcPr>
            <w:tcW w:w="48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sz w:val="4"/>
                <w:szCs w:val="4"/>
              </w:rPr>
            </w:pPr>
            <w:r>
              <w:rPr>
                <w:sz w:val="4"/>
                <w:szCs w:val="4"/>
              </w:rPr>
            </w:r>
          </w:p>
        </w:tc>
        <w:tc>
          <w:tcPr>
            <w:tcW w:w="69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728" w:type="dxa"/>
            <w:tcBorders/>
            <w:shd w:fill="E5E5E5" w:val="clear"/>
            <w:vAlign w:val="bottom"/>
          </w:tcPr>
          <w:p>
            <w:pPr>
              <w:pStyle w:val="TableContents"/>
              <w:spacing w:before="0" w:after="283"/>
              <w:rPr/>
            </w:pPr>
            <w:r>
              <w:rPr/>
              <w:t>    </w:t>
            </w:r>
          </w:p>
        </w:tc>
        <w:tc>
          <w:tcPr>
            <w:tcW w:w="866" w:type="dxa"/>
            <w:tcBorders/>
            <w:shd w:fill="E5E5E5" w:val="clear"/>
            <w:vAlign w:val="bottom"/>
          </w:tcPr>
          <w:p>
            <w:pPr>
              <w:pStyle w:val="TableContents"/>
              <w:spacing w:before="0" w:after="283"/>
              <w:rPr/>
            </w:pPr>
            <w:r>
              <w:rPr/>
              <w:t> </w:t>
            </w:r>
          </w:p>
        </w:tc>
        <w:tc>
          <w:tcPr>
            <w:tcW w:w="923" w:type="dxa"/>
            <w:tcBorders/>
            <w:shd w:fill="E5E5E5" w:val="clear"/>
            <w:vAlign w:val="bottom"/>
          </w:tcPr>
          <w:p>
            <w:pPr>
              <w:pStyle w:val="TableContents"/>
              <w:spacing w:before="0" w:after="283"/>
              <w:jc w:val="right"/>
              <w:rPr/>
            </w:pPr>
            <w:r>
              <w:rPr/>
              <w:t>            </w:t>
            </w:r>
            <w:r>
              <w:rPr/>
              <w:t></w:t>
            </w:r>
          </w:p>
        </w:tc>
        <w:tc>
          <w:tcPr>
            <w:tcW w:w="60" w:type="dxa"/>
            <w:tcBorders/>
            <w:shd w:fill="E5E5E5" w:val="clear"/>
            <w:vAlign w:val="bottom"/>
          </w:tcPr>
          <w:p>
            <w:pPr>
              <w:pStyle w:val="TableContents"/>
              <w:spacing w:before="0" w:after="283"/>
              <w:rPr/>
            </w:pPr>
            <w:r>
              <w:rPr/>
              <w:t> </w:t>
            </w:r>
          </w:p>
        </w:tc>
        <w:tc>
          <w:tcPr>
            <w:tcW w:w="44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93" w:type="dxa"/>
            <w:tcBorders/>
            <w:shd w:fill="E5E5E5" w:val="clear"/>
            <w:vAlign w:val="bottom"/>
          </w:tcPr>
          <w:p>
            <w:pPr>
              <w:pStyle w:val="TableContents"/>
              <w:spacing w:before="0" w:after="283"/>
              <w:jc w:val="right"/>
              <w:rPr/>
            </w:pPr>
            <w:r>
              <w:rPr/>
              <w:t></w:t>
            </w:r>
          </w:p>
        </w:tc>
        <w:tc>
          <w:tcPr>
            <w:tcW w:w="146" w:type="dxa"/>
            <w:tcBorders/>
            <w:shd w:fill="E5E5E5" w:val="clear"/>
            <w:vAlign w:val="bottom"/>
          </w:tcPr>
          <w:p>
            <w:pPr>
              <w:pStyle w:val="TableContents"/>
              <w:spacing w:before="0" w:after="283"/>
              <w:rPr/>
            </w:pPr>
            <w:r>
              <w:rPr/>
              <w:t> </w:t>
            </w:r>
          </w:p>
        </w:tc>
      </w:tr>
      <w:tr>
        <w:trPr>
          <w:trHeight w:val="75" w:hRule="atLeast"/>
        </w:trPr>
        <w:tc>
          <w:tcPr>
            <w:tcW w:w="3788" w:type="dxa"/>
            <w:tcBorders/>
            <w:shd w:fill="auto" w:val="clear"/>
            <w:vAlign w:val="center"/>
          </w:tcPr>
          <w:p>
            <w:pPr>
              <w:pStyle w:val="TableContents"/>
              <w:spacing w:before="0" w:after="283"/>
              <w:rPr>
                <w:sz w:val="4"/>
                <w:szCs w:val="4"/>
              </w:rPr>
            </w:pPr>
            <w:r>
              <w:rPr>
                <w:sz w:val="4"/>
                <w:szCs w:val="4"/>
              </w:rPr>
            </w:r>
          </w:p>
        </w:tc>
        <w:tc>
          <w:tcPr>
            <w:tcW w:w="2107" w:type="dxa"/>
            <w:gridSpan w:val="4"/>
            <w:tcBorders/>
            <w:shd w:fill="auto" w:val="clear"/>
            <w:vAlign w:val="center"/>
          </w:tcPr>
          <w:p>
            <w:pPr>
              <w:pStyle w:val="TableContents"/>
              <w:spacing w:before="0" w:after="283"/>
              <w:rPr>
                <w:sz w:val="4"/>
                <w:szCs w:val="4"/>
              </w:rPr>
            </w:pPr>
            <w:r>
              <w:rPr>
                <w:sz w:val="4"/>
                <w:szCs w:val="4"/>
              </w:rPr>
            </w:r>
          </w:p>
        </w:tc>
        <w:tc>
          <w:tcPr>
            <w:tcW w:w="2577" w:type="dxa"/>
            <w:gridSpan w:val="4"/>
            <w:tcBorders/>
            <w:shd w:fill="auto" w:val="clear"/>
            <w:vAlign w:val="center"/>
          </w:tcPr>
          <w:p>
            <w:pPr>
              <w:pStyle w:val="TableContents"/>
              <w:spacing w:before="0" w:after="283"/>
              <w:rPr>
                <w:sz w:val="4"/>
                <w:szCs w:val="4"/>
              </w:rPr>
            </w:pPr>
            <w:r>
              <w:rPr>
                <w:sz w:val="4"/>
                <w:szCs w:val="4"/>
              </w:rPr>
            </w:r>
          </w:p>
        </w:tc>
        <w:tc>
          <w:tcPr>
            <w:tcW w:w="1426" w:type="dxa"/>
            <w:gridSpan w:val="4"/>
            <w:tcBorders/>
            <w:shd w:fill="auto" w:val="clear"/>
            <w:vAlign w:val="center"/>
          </w:tcPr>
          <w:p>
            <w:pPr>
              <w:pStyle w:val="TableContents"/>
              <w:spacing w:before="0" w:after="283"/>
              <w:rPr>
                <w:sz w:val="4"/>
                <w:szCs w:val="4"/>
              </w:rPr>
            </w:pPr>
            <w:r>
              <w:rPr>
                <w:sz w:val="4"/>
                <w:szCs w:val="4"/>
              </w:rPr>
            </w:r>
          </w:p>
        </w:tc>
      </w:tr>
      <w:tr>
        <w:trPr/>
        <w:tc>
          <w:tcPr>
            <w:tcW w:w="3788"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James C. Yardley</w:t>
            </w:r>
          </w:p>
        </w:tc>
        <w:tc>
          <w:tcPr>
            <w:tcW w:w="488" w:type="dxa"/>
            <w:tcBorders>
              <w:bottom w:val="single" w:sz="8" w:space="0" w:color="001C71"/>
            </w:tcBorders>
            <w:shd w:fill="auto" w:val="clear"/>
            <w:tcMar>
              <w:bottom w:w="28" w:type="dxa"/>
            </w:tcMar>
            <w:vAlign w:val="bottom"/>
          </w:tcPr>
          <w:p>
            <w:pPr>
              <w:pStyle w:val="TableContents"/>
              <w:spacing w:before="0" w:after="283"/>
              <w:rPr/>
            </w:pPr>
            <w:r>
              <w:rPr/>
              <w:t>  </w:t>
            </w:r>
          </w:p>
        </w:tc>
        <w:tc>
          <w:tcPr>
            <w:tcW w:w="866" w:type="dxa"/>
            <w:tcBorders>
              <w:bottom w:val="single" w:sz="8" w:space="0" w:color="001C71"/>
            </w:tcBorders>
            <w:shd w:fill="auto" w:val="clear"/>
            <w:tcMar>
              <w:bottom w:w="28" w:type="dxa"/>
            </w:tcMar>
            <w:vAlign w:val="bottom"/>
          </w:tcPr>
          <w:p>
            <w:pPr>
              <w:pStyle w:val="TableContents"/>
              <w:spacing w:before="0" w:after="283"/>
              <w:rPr/>
            </w:pPr>
            <w:r>
              <w:rPr/>
              <w:t> </w:t>
            </w:r>
          </w:p>
        </w:tc>
        <w:tc>
          <w:tcPr>
            <w:tcW w:w="69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28" w:type="dxa"/>
            <w:tcBorders>
              <w:bottom w:val="single" w:sz="8" w:space="0" w:color="001C71"/>
            </w:tcBorders>
            <w:shd w:fill="auto" w:val="clear"/>
            <w:tcMar>
              <w:bottom w:w="28" w:type="dxa"/>
            </w:tcMar>
            <w:vAlign w:val="bottom"/>
          </w:tcPr>
          <w:p>
            <w:pPr>
              <w:pStyle w:val="TableContents"/>
              <w:spacing w:before="0" w:after="283"/>
              <w:rPr/>
            </w:pPr>
            <w:r>
              <w:rPr/>
              <w:t>    </w:t>
            </w:r>
          </w:p>
        </w:tc>
        <w:tc>
          <w:tcPr>
            <w:tcW w:w="866" w:type="dxa"/>
            <w:tcBorders>
              <w:bottom w:val="single" w:sz="8" w:space="0" w:color="001C71"/>
            </w:tcBorders>
            <w:shd w:fill="auto" w:val="clear"/>
            <w:tcMar>
              <w:bottom w:w="60" w:type="dxa"/>
            </w:tcMar>
            <w:vAlign w:val="bottom"/>
          </w:tcPr>
          <w:p>
            <w:pPr>
              <w:pStyle w:val="TableContents"/>
              <w:spacing w:before="0" w:after="283"/>
              <w:rPr/>
            </w:pPr>
            <w:r>
              <w:rPr/>
              <w:t> </w:t>
            </w:r>
          </w:p>
        </w:tc>
        <w:tc>
          <w:tcPr>
            <w:tcW w:w="923" w:type="dxa"/>
            <w:tcBorders>
              <w:bottom w:val="single" w:sz="8" w:space="0" w:color="001C71"/>
            </w:tcBorders>
            <w:shd w:fill="auto" w:val="clear"/>
            <w:tcMar>
              <w:bottom w:w="60" w:type="dxa"/>
            </w:tcMar>
            <w:vAlign w:val="bottom"/>
          </w:tcPr>
          <w:p>
            <w:pPr>
              <w:pStyle w:val="TableContents"/>
              <w:spacing w:before="0" w:after="283"/>
              <w:jc w:val="right"/>
              <w:rPr/>
            </w:pPr>
            <w:r>
              <w:rPr/>
              <w:t>            </w:t>
            </w:r>
            <w:r>
              <w:rPr/>
              <w:t></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447"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60" w:type="dxa"/>
            </w:tcMar>
            <w:vAlign w:val="bottom"/>
          </w:tcPr>
          <w:p>
            <w:pPr>
              <w:pStyle w:val="TableContents"/>
              <w:spacing w:before="0" w:after="283"/>
              <w:rPr/>
            </w:pPr>
            <w:r>
              <w:rPr/>
              <w:t> </w:t>
            </w:r>
          </w:p>
        </w:tc>
        <w:tc>
          <w:tcPr>
            <w:tcW w:w="693"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146"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    </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Only Mr. Jones is entitled to receive grandfathered pension benefits and he has attained the maximum years of service credit. The annual benefit is based on the annual board retainer at the date the benefit is paid. It commences upon the latter of the conclusion of board service or attaining age 65 and continues for a period not to exceed the directors years of service as a director of predecessor companies plus up to 10 years of service as a director of the company. The actuarial equivalent of the total retirement benefit is paid to the retiring director in a single lump sum upon the conclusion of board service, unless the director has elected to receive the annual benefit. As of December 31, 2020, the aggregate actuarial present value of the accumulated benefit under the grandfathered pension plan for Mr. Jones was $824,853.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(D)</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Consists of our contributions to charitable, educational and other non-profit organizations to match those of directors on a dollar-for-dollar basis up to an annual maximum match of $25,000 for each director. </w:t>
            </w:r>
          </w:p>
        </w:tc>
      </w:tr>
    </w:tbl>
    <w:p>
      <w:pPr>
        <w:pStyle w:val="TextBody"/>
        <w:spacing w:before="160" w:after="0"/>
        <w:jc w:val="left"/>
        <w:rPr>
          <w:rFonts w:ascii="arial" w:hAnsi="arial"/>
          <w:sz w:val="16"/>
        </w:rPr>
      </w:pPr>
      <w:r>
        <w:rPr>
          <w:rFonts w:ascii="arial" w:hAnsi="arial"/>
          <w:sz w:val="16"/>
        </w:rPr>
        <w:t xml:space="preserve">In addition to the compensation for non-employee directors set forth above, Sempra Energy has agreements with these directors that provide for indemnification for monetary damages to the fullest extent permissible under California law, which are intended to mitigate concern about personal liability in connection with their service for the company.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23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1C71"/>
          <w:sz w:val="44"/>
        </w:rPr>
      </w:pPr>
      <w:bookmarkStart w:id="10" w:name="toc108157_8"/>
      <w:bookmarkEnd w:id="10"/>
      <w:r>
        <w:rPr>
          <w:rFonts w:ascii="arial" w:hAnsi="arial"/>
          <w:b/>
          <w:color w:val="001C71"/>
          <w:sz w:val="44"/>
        </w:rPr>
        <w:t xml:space="preserve">Audit Committee Report </w:t>
      </w:r>
    </w:p>
    <w:p>
      <w:pPr>
        <w:pStyle w:val="TextBody"/>
        <w:spacing w:before="360" w:after="0"/>
        <w:jc w:val="left"/>
        <w:rPr>
          <w:rFonts w:ascii="arial" w:hAnsi="arial"/>
          <w:sz w:val="16"/>
        </w:rPr>
      </w:pPr>
      <w:r>
        <w:rPr>
          <w:rFonts w:ascii="arial" w:hAnsi="arial"/>
          <w:sz w:val="16"/>
        </w:rPr>
        <w:t xml:space="preserve">The Audit Committee of the Board of Directors is composed of the six directors named below, all of whom have been determined by the board to be independent directors. The board also has determined that all members of the committee are financially literate and that Mr. Taylor, the Chair of the committee, and Ms. Walker, a member of the committee, are audit committee financial experts as defined by the rules of the Securities and Exchange Commission. The committees charter, adopted by the board, is posted on the companys website at www.sempra.com under the Investors and Governance tabs. </w:t>
      </w:r>
    </w:p>
    <w:p>
      <w:pPr>
        <w:pStyle w:val="TextBody"/>
        <w:spacing w:before="160" w:after="0"/>
        <w:jc w:val="left"/>
        <w:rPr>
          <w:rFonts w:ascii="arial" w:hAnsi="arial"/>
          <w:sz w:val="16"/>
        </w:rPr>
      </w:pPr>
      <w:r>
        <w:rPr>
          <w:rFonts w:ascii="arial" w:hAnsi="arial"/>
          <w:sz w:val="16"/>
        </w:rPr>
        <w:t xml:space="preserve">The committees responsibilities include appointing the companys independent registered public accounting firm, pre-approving both audit and non-audit services to be provided by the firm and assisting the board in providing oversight of the companys financial reporting process. In fulfilling its oversight responsibilities, the committee meets with the companys independent registered public accounting firm, internal auditors and management to review accounting, auditing, internal control and financial reporting matters. </w:t>
      </w:r>
    </w:p>
    <w:p>
      <w:pPr>
        <w:pStyle w:val="TextBody"/>
        <w:spacing w:before="160" w:after="0"/>
        <w:jc w:val="left"/>
        <w:rPr>
          <w:rFonts w:ascii="arial" w:hAnsi="arial"/>
          <w:sz w:val="16"/>
        </w:rPr>
      </w:pPr>
      <w:r>
        <w:rPr>
          <w:rFonts w:ascii="arial" w:hAnsi="arial"/>
          <w:sz w:val="16"/>
        </w:rPr>
        <w:t xml:space="preserve">It is not the committees responsibility to plan or conduct audits or to determine that the companys financial statements and disclosures are complete, accurate and in accordance with accounting principles generally accepted in the United States and applicable laws, rules and regulations. Management is responsible for the companys financial statements, including the estimates and judgments on which they are based, as well as the companys financial reporting process, accounting policies, internal audit function, internal control over financial reporting, disclosure controls and procedures, and risk management. The companys independent registered public accounting firm, Deloitte &amp; Touche LLP, is responsible for performing an audit of the companys annual financial statements, expressing an opinion as to the conformity of the annual financial statements with accounting principles generally accepted in the United States, expressing an opinion as to the effectiveness of the companys internal control over financial reporting and reviewing the companys quarterly financial statements. </w:t>
      </w:r>
    </w:p>
    <w:p>
      <w:pPr>
        <w:pStyle w:val="TextBody"/>
        <w:spacing w:before="160" w:after="0"/>
        <w:jc w:val="left"/>
        <w:rPr>
          <w:rFonts w:ascii="arial" w:hAnsi="arial"/>
          <w:sz w:val="16"/>
        </w:rPr>
      </w:pPr>
      <w:r>
        <w:rPr>
          <w:rFonts w:ascii="arial" w:hAnsi="arial"/>
          <w:sz w:val="16"/>
        </w:rPr>
        <w:t xml:space="preserve">The committee has discussed with Deloitte &amp; Touche LLP the matters required to be discussed by the applicable requirements of the Public Company Accounting Oversight Board and the Securities and Exchange Commission, which require the independent registered public accounting firm to communicate information to the committee regarding the scope and results of its audit of the companys financial statements, including information with respect to the firms responsibilities under auditing standards generally accepted in the United States, significant accounting policies, management judgments and estimates, any significant unusual transactions or audit adjustments, any disagreements with management and any difficulties encountered in performing the audit and other such matters required to be discussed with the committee by those standards. </w:t>
      </w:r>
    </w:p>
    <w:p>
      <w:pPr>
        <w:pStyle w:val="TextBody"/>
        <w:spacing w:before="160" w:after="0"/>
        <w:jc w:val="left"/>
        <w:rPr>
          <w:rFonts w:ascii="arial" w:hAnsi="arial"/>
          <w:sz w:val="16"/>
        </w:rPr>
      </w:pPr>
      <w:r>
        <w:rPr>
          <w:rFonts w:ascii="arial" w:hAnsi="arial"/>
          <w:sz w:val="16"/>
        </w:rPr>
        <w:t xml:space="preserve">The committee also has received from Deloitte &amp; Touche LLP a report providing the disclosures required by the applicable requirements of the Public Company Accounting Oversight Board regarding the independent accountants communications with the Audit Committee concerning independence. Deloitte &amp; Touche LLP also has discussed its independence with the committee and confirmed in the report that, in its professional judgment, it is independent of the company within the meaning of the federal securities laws. The committee also considered whether Deloitte &amp; Touche LLPs provision of non-audit services to the company and its affiliates is compatible with its independence. </w:t>
      </w:r>
    </w:p>
    <w:p>
      <w:pPr>
        <w:pStyle w:val="TextBody"/>
        <w:spacing w:before="160" w:after="0"/>
        <w:jc w:val="left"/>
        <w:rPr>
          <w:rFonts w:ascii="arial" w:hAnsi="arial"/>
          <w:sz w:val="16"/>
        </w:rPr>
      </w:pPr>
      <w:r>
        <w:rPr>
          <w:rFonts w:ascii="arial" w:hAnsi="arial"/>
          <w:sz w:val="16"/>
        </w:rPr>
        <w:t xml:space="preserve">The committee also has reviewed and discussed with the companys management the audited financial statements included in the companys Annual Report on Form 10-K for the year ended December 31, 2020, and managements reports on the financial statements and internal control over financial reporting. Management has confirmed to the committee that the financial statements have been prepared with integrity and objectivity and that management has maintained an effective system of internal control over financial reporting. Deloitte &amp; Touche LLP has expressed its professional opinions that the financial statements conform with accounting principles generally accepted in the United States of America and that management has maintained an effective system of internal control over financial reporting. In addition, the companys Chief Executive Officer and Chief Financial Officer have reviewed with the committee the certifications that each will file with the Securities and Exchange Commission pursuant to the requirements of the Sarbanes-Oxley Act of 2002 and the policies and procedures management has adopted to support the certifications. </w:t>
      </w:r>
    </w:p>
    <w:p>
      <w:pPr>
        <w:pStyle w:val="TextBody"/>
        <w:spacing w:before="160" w:after="0"/>
        <w:jc w:val="left"/>
        <w:rPr>
          <w:rFonts w:ascii="arial" w:hAnsi="arial"/>
          <w:sz w:val="16"/>
        </w:rPr>
      </w:pPr>
      <w:r>
        <w:rPr>
          <w:rFonts w:ascii="arial" w:hAnsi="arial"/>
          <w:sz w:val="16"/>
        </w:rPr>
        <w:t xml:space="preserve">Based on these considerations, the Audit Committee has recommended to the Board of Directors that the companys audited financial statements be included in the companys Annual Report on Form 10-K for the year ended December 31, 2020, for filing with the Securities and Exchange Commission. </w:t>
      </w:r>
    </w:p>
    <w:p>
      <w:pPr>
        <w:pStyle w:val="TextBody"/>
        <w:spacing w:before="160" w:after="0"/>
        <w:jc w:val="right"/>
        <w:rPr>
          <w:rFonts w:ascii="arial" w:hAnsi="arial"/>
          <w:b/>
          <w:sz w:val="16"/>
        </w:rPr>
      </w:pPr>
      <w:r>
        <w:rPr>
          <w:rFonts w:ascii="arial" w:hAnsi="arial"/>
          <w:b/>
          <w:sz w:val="16"/>
        </w:rPr>
        <w:t xml:space="preserve">Audit Committee </w:t>
      </w:r>
    </w:p>
    <w:p>
      <w:pPr>
        <w:pStyle w:val="TextBody"/>
        <w:spacing w:before="80" w:after="0"/>
        <w:jc w:val="right"/>
        <w:rPr>
          <w:rFonts w:ascii="arial" w:hAnsi="arial"/>
          <w:sz w:val="16"/>
        </w:rPr>
      </w:pPr>
      <w:r>
        <w:rPr>
          <w:rFonts w:ascii="arial" w:hAnsi="arial"/>
          <w:sz w:val="16"/>
        </w:rPr>
        <w:t xml:space="preserve">Jack T. Taylor, </w:t>
      </w:r>
      <w:r>
        <w:rPr>
          <w:rFonts w:ascii="arial" w:hAnsi="arial"/>
          <w:i/>
          <w:sz w:val="16"/>
        </w:rPr>
        <w:t>Chair</w:t>
      </w:r>
      <w:r>
        <w:rPr>
          <w:rFonts w:ascii="arial" w:hAnsi="arial"/>
          <w:sz w:val="16"/>
        </w:rPr>
        <w:t xml:space="preserve"> </w:t>
      </w:r>
    </w:p>
    <w:p>
      <w:pPr>
        <w:pStyle w:val="TextBody"/>
        <w:spacing w:before="0" w:after="0"/>
        <w:jc w:val="right"/>
        <w:rPr>
          <w:rFonts w:ascii="arial" w:hAnsi="arial"/>
          <w:sz w:val="16"/>
        </w:rPr>
      </w:pPr>
      <w:r>
        <w:rPr>
          <w:rFonts w:ascii="arial" w:hAnsi="arial"/>
          <w:sz w:val="16"/>
        </w:rPr>
        <w:t xml:space="preserve">Andrés Conesa </w:t>
      </w:r>
    </w:p>
    <w:p>
      <w:pPr>
        <w:pStyle w:val="TextBody"/>
        <w:spacing w:before="0" w:after="0"/>
        <w:jc w:val="right"/>
        <w:rPr>
          <w:rFonts w:ascii="arial" w:hAnsi="arial"/>
          <w:sz w:val="16"/>
        </w:rPr>
      </w:pPr>
      <w:r>
        <w:rPr>
          <w:rFonts w:ascii="arial" w:hAnsi="arial"/>
          <w:sz w:val="16"/>
        </w:rPr>
        <w:t xml:space="preserve">Maria Contreras-Sweet </w:t>
      </w:r>
    </w:p>
    <w:p>
      <w:pPr>
        <w:pStyle w:val="TextBody"/>
        <w:spacing w:before="0" w:after="0"/>
        <w:jc w:val="right"/>
        <w:rPr>
          <w:rFonts w:ascii="arial" w:hAnsi="arial"/>
          <w:sz w:val="16"/>
        </w:rPr>
      </w:pPr>
      <w:r>
        <w:rPr>
          <w:rFonts w:ascii="arial" w:hAnsi="arial"/>
          <w:sz w:val="16"/>
        </w:rPr>
        <w:t xml:space="preserve">Michael N. Mears </w:t>
      </w:r>
    </w:p>
    <w:p>
      <w:pPr>
        <w:pStyle w:val="TextBody"/>
        <w:spacing w:before="0" w:after="0"/>
        <w:jc w:val="right"/>
        <w:rPr>
          <w:rFonts w:ascii="arial" w:hAnsi="arial"/>
          <w:sz w:val="16"/>
        </w:rPr>
      </w:pPr>
      <w:r>
        <w:rPr>
          <w:rFonts w:ascii="arial" w:hAnsi="arial"/>
          <w:sz w:val="16"/>
        </w:rPr>
        <w:t xml:space="preserve">Cynthia L. Walker </w:t>
      </w:r>
    </w:p>
    <w:p>
      <w:pPr>
        <w:pStyle w:val="TextBody"/>
        <w:spacing w:before="0" w:after="0"/>
        <w:jc w:val="right"/>
        <w:rPr>
          <w:rFonts w:ascii="arial" w:hAnsi="arial"/>
          <w:sz w:val="16"/>
        </w:rPr>
      </w:pPr>
      <w:r>
        <w:rPr>
          <w:rFonts w:ascii="arial" w:hAnsi="arial"/>
          <w:sz w:val="16"/>
        </w:rPr>
        <w:t xml:space="preserve">James C. Yardley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24</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arial" w:hAnsi="arial"/>
          <w:b/>
          <w:color w:val="001C71"/>
          <w:sz w:val="44"/>
        </w:rPr>
      </w:pPr>
      <w:bookmarkStart w:id="11" w:name="toc108157_9"/>
      <w:bookmarkEnd w:id="11"/>
      <w:r>
        <w:rPr>
          <w:rFonts w:ascii="arial" w:hAnsi="arial"/>
          <w:b/>
          <w:color w:val="001C71"/>
          <w:sz w:val="44"/>
        </w:rPr>
        <w:t xml:space="preserve">Share Ownership </w:t>
      </w:r>
    </w:p>
    <w:p>
      <w:pPr>
        <w:pStyle w:val="TextBody"/>
        <w:spacing w:before="360" w:after="0"/>
        <w:jc w:val="left"/>
        <w:rPr>
          <w:rFonts w:ascii="arial" w:hAnsi="arial"/>
          <w:sz w:val="16"/>
        </w:rPr>
      </w:pPr>
      <w:r>
        <w:rPr>
          <w:rFonts w:ascii="arial" w:hAnsi="arial"/>
          <w:sz w:val="16"/>
        </w:rPr>
        <w:t xml:space="preserve">The following table shows the number of shares of our common stock beneficially owned at March 1, 2021, by each of our directors, by each of our executive officers named in the executive compensation tables in this proxy statement (named executive officers), and by all of our directors and executive officers as a group. The shares of common stock beneficially owned by each of our directors and named executive officers and by our directors and executive officers as a group in each case total less than 1% of our outstanding shares of common stock. In calculating these percentages, shares under the heading Phantom Shares are not included because these phantom shares cannot be voted and may be settled only for cash. In addition, in calculating these percentages we used the 302,705,890 shares of our common stock that were outstanding as of March 1,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13"/>
        <w:gridCol w:w="211"/>
        <w:gridCol w:w="68"/>
        <w:gridCol w:w="912"/>
        <w:gridCol w:w="60"/>
        <w:gridCol w:w="211"/>
        <w:gridCol w:w="84"/>
        <w:gridCol w:w="1123"/>
        <w:gridCol w:w="60"/>
        <w:gridCol w:w="211"/>
        <w:gridCol w:w="92"/>
        <w:gridCol w:w="1246"/>
        <w:gridCol w:w="60"/>
        <w:gridCol w:w="211"/>
        <w:gridCol w:w="60"/>
        <w:gridCol w:w="809"/>
        <w:gridCol w:w="60"/>
        <w:gridCol w:w="191"/>
        <w:gridCol w:w="92"/>
        <w:gridCol w:w="1246"/>
        <w:gridCol w:w="85"/>
      </w:tblGrid>
      <w:tr>
        <w:trPr/>
        <w:tc>
          <w:tcPr>
            <w:tcW w:w="31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113" w:type="dxa"/>
            <w:tcBorders/>
            <w:shd w:fill="001C71" w:val="clear"/>
            <w:vAlign w:val="center"/>
          </w:tcPr>
          <w:p>
            <w:pPr>
              <w:pStyle w:val="TableContents"/>
              <w:spacing w:before="0" w:after="283"/>
              <w:rPr>
                <w:sz w:val="4"/>
                <w:szCs w:val="4"/>
              </w:rPr>
            </w:pPr>
            <w:r>
              <w:rPr>
                <w:sz w:val="4"/>
                <w:szCs w:val="4"/>
              </w:rPr>
            </w:r>
          </w:p>
        </w:tc>
        <w:tc>
          <w:tcPr>
            <w:tcW w:w="1251" w:type="dxa"/>
            <w:gridSpan w:val="4"/>
            <w:tcBorders/>
            <w:shd w:fill="001C71" w:val="clear"/>
            <w:vAlign w:val="center"/>
          </w:tcPr>
          <w:p>
            <w:pPr>
              <w:pStyle w:val="TableContents"/>
              <w:spacing w:before="0" w:after="283"/>
              <w:rPr>
                <w:sz w:val="4"/>
                <w:szCs w:val="4"/>
              </w:rPr>
            </w:pPr>
            <w:r>
              <w:rPr>
                <w:sz w:val="4"/>
                <w:szCs w:val="4"/>
              </w:rPr>
            </w:r>
          </w:p>
        </w:tc>
        <w:tc>
          <w:tcPr>
            <w:tcW w:w="1478" w:type="dxa"/>
            <w:gridSpan w:val="4"/>
            <w:tcBorders/>
            <w:shd w:fill="001C71" w:val="clear"/>
            <w:vAlign w:val="center"/>
          </w:tcPr>
          <w:p>
            <w:pPr>
              <w:pStyle w:val="TableContents"/>
              <w:spacing w:before="0" w:after="283"/>
              <w:rPr>
                <w:sz w:val="4"/>
                <w:szCs w:val="4"/>
              </w:rPr>
            </w:pPr>
            <w:r>
              <w:rPr>
                <w:sz w:val="4"/>
                <w:szCs w:val="4"/>
              </w:rPr>
            </w:r>
          </w:p>
        </w:tc>
        <w:tc>
          <w:tcPr>
            <w:tcW w:w="1609" w:type="dxa"/>
            <w:gridSpan w:val="4"/>
            <w:tcBorders/>
            <w:shd w:fill="001C71" w:val="clear"/>
            <w:vAlign w:val="center"/>
          </w:tcPr>
          <w:p>
            <w:pPr>
              <w:pStyle w:val="TableContents"/>
              <w:spacing w:before="0" w:after="283"/>
              <w:rPr>
                <w:sz w:val="4"/>
                <w:szCs w:val="4"/>
              </w:rPr>
            </w:pPr>
            <w:r>
              <w:rPr>
                <w:sz w:val="4"/>
                <w:szCs w:val="4"/>
              </w:rPr>
            </w:r>
          </w:p>
        </w:tc>
        <w:tc>
          <w:tcPr>
            <w:tcW w:w="1140" w:type="dxa"/>
            <w:gridSpan w:val="4"/>
            <w:tcBorders/>
            <w:shd w:fill="001C71" w:val="clear"/>
            <w:vAlign w:val="center"/>
          </w:tcPr>
          <w:p>
            <w:pPr>
              <w:pStyle w:val="TableContents"/>
              <w:spacing w:before="0" w:after="283"/>
              <w:rPr>
                <w:sz w:val="4"/>
                <w:szCs w:val="4"/>
              </w:rPr>
            </w:pPr>
            <w:r>
              <w:rPr>
                <w:sz w:val="4"/>
                <w:szCs w:val="4"/>
              </w:rPr>
            </w:r>
          </w:p>
        </w:tc>
        <w:tc>
          <w:tcPr>
            <w:tcW w:w="1614" w:type="dxa"/>
            <w:gridSpan w:val="4"/>
            <w:tcBorders/>
            <w:shd w:fill="001C71" w:val="clear"/>
            <w:vAlign w:val="center"/>
          </w:tcPr>
          <w:p>
            <w:pPr>
              <w:pStyle w:val="TableContents"/>
              <w:spacing w:before="0" w:after="283"/>
              <w:rPr>
                <w:sz w:val="4"/>
                <w:szCs w:val="4"/>
              </w:rPr>
            </w:pPr>
            <w:r>
              <w:rPr>
                <w:sz w:val="4"/>
                <w:szCs w:val="4"/>
              </w:rPr>
            </w:r>
          </w:p>
        </w:tc>
      </w:tr>
      <w:tr>
        <w:trPr/>
        <w:tc>
          <w:tcPr>
            <w:tcW w:w="3113" w:type="dxa"/>
            <w:tcBorders/>
            <w:shd w:fill="001C71" w:val="clear"/>
            <w:vAlign w:val="bottom"/>
          </w:tcPr>
          <w:p>
            <w:pPr>
              <w:pStyle w:val="TableContents"/>
              <w:spacing w:before="0" w:after="0"/>
              <w:rPr/>
            </w:pPr>
            <w:r>
              <w:rPr/>
              <w:t> </w:t>
            </w:r>
          </w:p>
          <w:p>
            <w:pPr>
              <w:pStyle w:val="TableContents"/>
              <w:spacing w:before="0" w:after="0"/>
              <w:rPr>
                <w:rFonts w:ascii="arial" w:hAnsi="arial"/>
                <w:b/>
                <w:color w:val="FFFFFF"/>
                <w:sz w:val="16"/>
              </w:rPr>
            </w:pPr>
            <w:r>
              <w:rPr>
                <w:rFonts w:ascii="arial" w:hAnsi="arial"/>
                <w:b/>
                <w:color w:val="FFFFFF"/>
                <w:sz w:val="16"/>
              </w:rPr>
              <w:t>Name</w:t>
            </w:r>
          </w:p>
          <w:p>
            <w:pPr>
              <w:pStyle w:val="TableContents"/>
              <w:spacing w:before="0" w:after="20"/>
              <w:rPr/>
            </w:pPr>
            <w:r>
              <w:rPr/>
              <w:t> </w:t>
            </w:r>
          </w:p>
        </w:tc>
        <w:tc>
          <w:tcPr>
            <w:tcW w:w="211" w:type="dxa"/>
            <w:tcBorders/>
            <w:shd w:fill="001C71" w:val="clear"/>
            <w:vAlign w:val="bottom"/>
          </w:tcPr>
          <w:p>
            <w:pPr>
              <w:pStyle w:val="TableContents"/>
              <w:spacing w:before="0" w:after="283"/>
              <w:rPr/>
            </w:pPr>
            <w:r>
              <w:rPr/>
              <w:t>  </w:t>
            </w:r>
          </w:p>
        </w:tc>
        <w:tc>
          <w:tcPr>
            <w:tcW w:w="980"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Beneficial</w:t>
              <w:br/>
              <w:t>Holdings(C)</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211" w:type="dxa"/>
            <w:tcBorders/>
            <w:shd w:fill="001C71" w:val="clear"/>
            <w:vAlign w:val="bottom"/>
          </w:tcPr>
          <w:p>
            <w:pPr>
              <w:pStyle w:val="TableContents"/>
              <w:spacing w:before="0" w:after="283"/>
              <w:rPr/>
            </w:pPr>
            <w:r>
              <w:rPr/>
              <w:t>  </w:t>
            </w:r>
          </w:p>
        </w:tc>
        <w:tc>
          <w:tcPr>
            <w:tcW w:w="1207"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Shares Subject</w:t>
              <w:br/>
              <w:t>to  Exercisable</w:t>
              <w:br/>
              <w:t>Options(D)</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211" w:type="dxa"/>
            <w:tcBorders/>
            <w:shd w:fill="001C71" w:val="clear"/>
            <w:vAlign w:val="bottom"/>
          </w:tcPr>
          <w:p>
            <w:pPr>
              <w:pStyle w:val="TableContents"/>
              <w:spacing w:before="0" w:after="283"/>
              <w:rPr/>
            </w:pPr>
            <w:r>
              <w:rPr/>
              <w:t>  </w:t>
            </w:r>
          </w:p>
        </w:tc>
        <w:tc>
          <w:tcPr>
            <w:tcW w:w="1338"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Total Without</w:t>
              <w:br/>
              <w:t>Phantom Shares</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211" w:type="dxa"/>
            <w:tcBorders/>
            <w:shd w:fill="001C71" w:val="clear"/>
            <w:vAlign w:val="bottom"/>
          </w:tcPr>
          <w:p>
            <w:pPr>
              <w:pStyle w:val="TableContents"/>
              <w:spacing w:before="0" w:after="283"/>
              <w:rPr/>
            </w:pPr>
            <w:r>
              <w:rPr/>
              <w:t>  </w:t>
            </w:r>
          </w:p>
        </w:tc>
        <w:tc>
          <w:tcPr>
            <w:tcW w:w="869"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Phantom</w:t>
            </w:r>
          </w:p>
          <w:p>
            <w:pPr>
              <w:pStyle w:val="TableContents"/>
              <w:spacing w:before="0" w:after="0"/>
              <w:jc w:val="right"/>
              <w:rPr>
                <w:rFonts w:ascii="arial" w:hAnsi="arial"/>
                <w:b/>
                <w:color w:val="FFFFFF"/>
                <w:sz w:val="16"/>
              </w:rPr>
            </w:pPr>
            <w:r>
              <w:rPr>
                <w:rFonts w:ascii="arial" w:hAnsi="arial"/>
                <w:b/>
                <w:color w:val="FFFFFF"/>
                <w:sz w:val="16"/>
              </w:rPr>
              <w:t>Shares(E)</w:t>
            </w:r>
          </w:p>
          <w:p>
            <w:pPr>
              <w:pStyle w:val="TableContents"/>
              <w:spacing w:before="0" w:after="20"/>
              <w:jc w:val="left"/>
              <w:rPr/>
            </w:pPr>
            <w:r>
              <w:rPr/>
              <w:t> </w:t>
            </w:r>
          </w:p>
        </w:tc>
        <w:tc>
          <w:tcPr>
            <w:tcW w:w="60" w:type="dxa"/>
            <w:tcBorders/>
            <w:shd w:fill="001C71" w:val="clear"/>
            <w:vAlign w:val="bottom"/>
          </w:tcPr>
          <w:p>
            <w:pPr>
              <w:pStyle w:val="TableContents"/>
              <w:spacing w:before="0" w:after="283"/>
              <w:rPr/>
            </w:pPr>
            <w:r>
              <w:rPr/>
              <w:t> </w:t>
            </w:r>
          </w:p>
        </w:tc>
        <w:tc>
          <w:tcPr>
            <w:tcW w:w="191" w:type="dxa"/>
            <w:tcBorders/>
            <w:shd w:fill="001C71" w:val="clear"/>
            <w:vAlign w:val="bottom"/>
          </w:tcPr>
          <w:p>
            <w:pPr>
              <w:pStyle w:val="TableContents"/>
              <w:spacing w:before="0" w:after="283"/>
              <w:rPr/>
            </w:pPr>
            <w:r>
              <w:rPr/>
              <w:t>  </w:t>
            </w:r>
          </w:p>
        </w:tc>
        <w:tc>
          <w:tcPr>
            <w:tcW w:w="1338" w:type="dxa"/>
            <w:gridSpan w:val="2"/>
            <w:tcBorders/>
            <w:shd w:fill="001C71"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Total</w:t>
            </w:r>
          </w:p>
          <w:p>
            <w:pPr>
              <w:pStyle w:val="TableContents"/>
              <w:spacing w:before="0" w:after="0"/>
              <w:jc w:val="center"/>
              <w:rPr>
                <w:rFonts w:ascii="arial" w:hAnsi="arial"/>
                <w:b/>
                <w:color w:val="FFFFFF"/>
                <w:sz w:val="16"/>
              </w:rPr>
            </w:pPr>
            <w:r>
              <w:rPr>
                <w:rFonts w:ascii="arial" w:hAnsi="arial"/>
                <w:b/>
                <w:color w:val="FFFFFF"/>
                <w:sz w:val="16"/>
              </w:rPr>
              <w:t>Including</w:t>
              <w:br/>
              <w:t>Phantom Shares</w:t>
            </w:r>
          </w:p>
          <w:p>
            <w:pPr>
              <w:pStyle w:val="TableContents"/>
              <w:spacing w:before="0" w:after="20"/>
              <w:jc w:val="left"/>
              <w:rPr/>
            </w:pPr>
            <w:r>
              <w:rPr/>
              <w:t> </w:t>
            </w:r>
          </w:p>
        </w:tc>
        <w:tc>
          <w:tcPr>
            <w:tcW w:w="85" w:type="dxa"/>
            <w:tcBorders/>
            <w:shd w:fill="001C71"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shd w:fill="E5E5E5" w:val="clear"/>
          </w:tcPr>
          <w:p>
            <w:pPr>
              <w:pStyle w:val="TableContents"/>
              <w:spacing w:before="0" w:after="0"/>
              <w:rPr>
                <w:rFonts w:ascii="arial" w:hAnsi="arial"/>
                <w:sz w:val="16"/>
              </w:rPr>
            </w:pPr>
            <w:r>
              <w:rPr>
                <w:rFonts w:ascii="arial" w:hAnsi="arial"/>
                <w:sz w:val="16"/>
              </w:rPr>
              <w:t>Dennis V. Arriola (A)</w:t>
            </w:r>
          </w:p>
        </w:tc>
        <w:tc>
          <w:tcPr>
            <w:tcW w:w="211" w:type="dxa"/>
            <w:tcBorders/>
            <w:shd w:fill="E5E5E5" w:val="clear"/>
            <w:vAlign w:val="bottom"/>
          </w:tcPr>
          <w:p>
            <w:pPr>
              <w:pStyle w:val="TableContents"/>
              <w:spacing w:before="0" w:after="283"/>
              <w:rPr/>
            </w:pPr>
            <w:r>
              <w:rPr/>
              <w:t>  </w:t>
            </w:r>
          </w:p>
        </w:tc>
        <w:tc>
          <w:tcPr>
            <w:tcW w:w="68" w:type="dxa"/>
            <w:tcBorders/>
            <w:shd w:fill="E5E5E5" w:val="clear"/>
            <w:vAlign w:val="bottom"/>
          </w:tcPr>
          <w:p>
            <w:pPr>
              <w:pStyle w:val="TableContents"/>
              <w:spacing w:before="0" w:after="283"/>
              <w:rPr/>
            </w:pPr>
            <w:r>
              <w:rPr/>
              <w:t> </w:t>
            </w:r>
          </w:p>
        </w:tc>
        <w:tc>
          <w:tcPr>
            <w:tcW w:w="912" w:type="dxa"/>
            <w:tcBorders/>
            <w:shd w:fill="E5E5E5" w:val="clear"/>
            <w:vAlign w:val="bottom"/>
          </w:tcPr>
          <w:p>
            <w:pPr>
              <w:pStyle w:val="TableContents"/>
              <w:spacing w:before="0" w:after="283"/>
              <w:jc w:val="right"/>
              <w:rPr/>
            </w:pPr>
            <w:r>
              <w:rPr/>
              <w:t>51,699</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123" w:type="dxa"/>
            <w:tcBorders/>
            <w:shd w:fill="E5E5E5" w:val="clear"/>
            <w:vAlign w:val="bottom"/>
          </w:tcPr>
          <w:p>
            <w:pPr>
              <w:pStyle w:val="TableContents"/>
              <w:spacing w:before="0" w:after="283"/>
              <w:jc w:val="right"/>
              <w:rPr/>
            </w:pPr>
            <w:r>
              <w:rPr/>
              <w:t>10,197</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61,896</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9"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19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61,896</w:t>
            </w:r>
          </w:p>
        </w:tc>
        <w:tc>
          <w:tcPr>
            <w:tcW w:w="85" w:type="dxa"/>
            <w:tcBorders/>
            <w:shd w:fill="E5E5E5" w:val="clear"/>
            <w:vAlign w:val="bottom"/>
          </w:tcPr>
          <w:p>
            <w:pPr>
              <w:pStyle w:val="TableContents"/>
              <w:spacing w:before="0" w:after="283"/>
              <w:rPr/>
            </w:pPr>
            <w:r>
              <w:rPr/>
              <w:t> </w:t>
            </w:r>
          </w:p>
        </w:tc>
      </w:tr>
      <w:tr>
        <w:trPr>
          <w:trHeight w:val="75" w:hRule="atLeast"/>
        </w:trPr>
        <w:tc>
          <w:tcPr>
            <w:tcW w:w="311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478"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140" w:type="dxa"/>
            <w:gridSpan w:val="4"/>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tcPr>
          <w:p>
            <w:pPr>
              <w:pStyle w:val="TableContents"/>
              <w:spacing w:before="0" w:after="0"/>
              <w:rPr>
                <w:rFonts w:ascii="arial" w:hAnsi="arial"/>
                <w:sz w:val="16"/>
              </w:rPr>
            </w:pPr>
            <w:r>
              <w:rPr>
                <w:rFonts w:ascii="arial" w:hAnsi="arial"/>
                <w:sz w:val="16"/>
              </w:rPr>
              <w:t>George W. Bilicic (A)</w:t>
            </w:r>
          </w:p>
        </w:tc>
        <w:tc>
          <w:tcPr>
            <w:tcW w:w="21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w:t>
            </w:r>
          </w:p>
        </w:tc>
        <w:tc>
          <w:tcPr>
            <w:tcW w:w="85" w:type="dxa"/>
            <w:tcBorders/>
            <w:shd w:fill="auto"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shd w:fill="E5E5E5" w:val="clear"/>
          </w:tcPr>
          <w:p>
            <w:pPr>
              <w:pStyle w:val="TableContents"/>
              <w:spacing w:before="0" w:after="0"/>
              <w:rPr>
                <w:rFonts w:ascii="arial" w:hAnsi="arial"/>
                <w:sz w:val="16"/>
              </w:rPr>
            </w:pPr>
            <w:r>
              <w:rPr>
                <w:rFonts w:ascii="arial" w:hAnsi="arial"/>
                <w:sz w:val="16"/>
              </w:rPr>
              <w:t>Alan L. Boeckmann</w:t>
            </w:r>
          </w:p>
        </w:tc>
        <w:tc>
          <w:tcPr>
            <w:tcW w:w="211" w:type="dxa"/>
            <w:tcBorders/>
            <w:shd w:fill="E5E5E5" w:val="clear"/>
            <w:vAlign w:val="bottom"/>
          </w:tcPr>
          <w:p>
            <w:pPr>
              <w:pStyle w:val="TableContents"/>
              <w:spacing w:before="0" w:after="283"/>
              <w:rPr/>
            </w:pPr>
            <w:r>
              <w:rPr/>
              <w:t>  </w:t>
            </w:r>
          </w:p>
        </w:tc>
        <w:tc>
          <w:tcPr>
            <w:tcW w:w="68" w:type="dxa"/>
            <w:tcBorders/>
            <w:shd w:fill="E5E5E5" w:val="clear"/>
            <w:vAlign w:val="bottom"/>
          </w:tcPr>
          <w:p>
            <w:pPr>
              <w:pStyle w:val="TableContents"/>
              <w:spacing w:before="0" w:after="283"/>
              <w:rPr/>
            </w:pPr>
            <w:r>
              <w:rPr/>
              <w:t> </w:t>
            </w:r>
          </w:p>
        </w:tc>
        <w:tc>
          <w:tcPr>
            <w:tcW w:w="912" w:type="dxa"/>
            <w:tcBorders/>
            <w:shd w:fill="E5E5E5" w:val="clear"/>
            <w:vAlign w:val="bottom"/>
          </w:tcPr>
          <w:p>
            <w:pPr>
              <w:pStyle w:val="TableContents"/>
              <w:spacing w:before="0" w:after="283"/>
              <w:jc w:val="right"/>
              <w:rPr/>
            </w:pPr>
            <w:r>
              <w:rPr/>
              <w:t>6,000</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123"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6,000</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9" w:type="dxa"/>
            <w:tcBorders/>
            <w:shd w:fill="E5E5E5" w:val="clear"/>
            <w:vAlign w:val="bottom"/>
          </w:tcPr>
          <w:p>
            <w:pPr>
              <w:pStyle w:val="TableContents"/>
              <w:spacing w:before="0" w:after="283"/>
              <w:jc w:val="right"/>
              <w:rPr/>
            </w:pPr>
            <w:r>
              <w:rPr/>
              <w:t>22,483</w:t>
            </w:r>
          </w:p>
        </w:tc>
        <w:tc>
          <w:tcPr>
            <w:tcW w:w="60" w:type="dxa"/>
            <w:tcBorders/>
            <w:shd w:fill="E5E5E5" w:val="clear"/>
            <w:vAlign w:val="bottom"/>
          </w:tcPr>
          <w:p>
            <w:pPr>
              <w:pStyle w:val="TableContents"/>
              <w:spacing w:before="0" w:after="283"/>
              <w:rPr/>
            </w:pPr>
            <w:r>
              <w:rPr/>
              <w:t> </w:t>
            </w:r>
          </w:p>
        </w:tc>
        <w:tc>
          <w:tcPr>
            <w:tcW w:w="19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28,483</w:t>
            </w:r>
          </w:p>
        </w:tc>
        <w:tc>
          <w:tcPr>
            <w:tcW w:w="85" w:type="dxa"/>
            <w:tcBorders/>
            <w:shd w:fill="E5E5E5" w:val="clear"/>
            <w:vAlign w:val="bottom"/>
          </w:tcPr>
          <w:p>
            <w:pPr>
              <w:pStyle w:val="TableContents"/>
              <w:spacing w:before="0" w:after="283"/>
              <w:rPr/>
            </w:pPr>
            <w:r>
              <w:rPr/>
              <w:t> </w:t>
            </w:r>
          </w:p>
        </w:tc>
      </w:tr>
      <w:tr>
        <w:trPr>
          <w:trHeight w:val="75" w:hRule="atLeast"/>
        </w:trPr>
        <w:tc>
          <w:tcPr>
            <w:tcW w:w="311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478"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140" w:type="dxa"/>
            <w:gridSpan w:val="4"/>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tcPr>
          <w:p>
            <w:pPr>
              <w:pStyle w:val="TableContents"/>
              <w:spacing w:before="0" w:after="0"/>
              <w:rPr>
                <w:rFonts w:ascii="arial" w:hAnsi="arial"/>
                <w:sz w:val="16"/>
              </w:rPr>
            </w:pPr>
            <w:r>
              <w:rPr>
                <w:rFonts w:ascii="arial" w:hAnsi="arial"/>
                <w:sz w:val="16"/>
              </w:rPr>
              <w:t>Kathleen L. Brown (B)</w:t>
            </w:r>
          </w:p>
        </w:tc>
        <w:tc>
          <w:tcPr>
            <w:tcW w:w="21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746</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746</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10,435</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11,181</w:t>
            </w:r>
          </w:p>
        </w:tc>
        <w:tc>
          <w:tcPr>
            <w:tcW w:w="85" w:type="dxa"/>
            <w:tcBorders/>
            <w:shd w:fill="auto"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shd w:fill="E5E5E5" w:val="clear"/>
          </w:tcPr>
          <w:p>
            <w:pPr>
              <w:pStyle w:val="TableContents"/>
              <w:spacing w:before="0" w:after="0"/>
              <w:rPr>
                <w:rFonts w:ascii="arial" w:hAnsi="arial"/>
                <w:sz w:val="16"/>
              </w:rPr>
            </w:pPr>
            <w:r>
              <w:rPr>
                <w:rFonts w:ascii="arial" w:hAnsi="arial"/>
                <w:sz w:val="16"/>
              </w:rPr>
              <w:t>Andrés Conesa</w:t>
            </w:r>
          </w:p>
        </w:tc>
        <w:tc>
          <w:tcPr>
            <w:tcW w:w="211" w:type="dxa"/>
            <w:tcBorders/>
            <w:shd w:fill="E5E5E5" w:val="clear"/>
            <w:vAlign w:val="bottom"/>
          </w:tcPr>
          <w:p>
            <w:pPr>
              <w:pStyle w:val="TableContents"/>
              <w:spacing w:before="0" w:after="283"/>
              <w:rPr/>
            </w:pPr>
            <w:r>
              <w:rPr/>
              <w:t>  </w:t>
            </w:r>
          </w:p>
        </w:tc>
        <w:tc>
          <w:tcPr>
            <w:tcW w:w="68" w:type="dxa"/>
            <w:tcBorders/>
            <w:shd w:fill="E5E5E5" w:val="clear"/>
            <w:vAlign w:val="bottom"/>
          </w:tcPr>
          <w:p>
            <w:pPr>
              <w:pStyle w:val="TableContents"/>
              <w:spacing w:before="0" w:after="283"/>
              <w:rPr/>
            </w:pPr>
            <w:r>
              <w:rPr/>
              <w:t> </w:t>
            </w:r>
          </w:p>
        </w:tc>
        <w:tc>
          <w:tcPr>
            <w:tcW w:w="912" w:type="dxa"/>
            <w:tcBorders/>
            <w:shd w:fill="E5E5E5" w:val="clear"/>
            <w:vAlign w:val="bottom"/>
          </w:tcPr>
          <w:p>
            <w:pPr>
              <w:pStyle w:val="TableContents"/>
              <w:spacing w:before="0" w:after="283"/>
              <w:jc w:val="right"/>
              <w:rPr/>
            </w:pPr>
            <w:r>
              <w:rPr/>
              <w:t>7,060</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123"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7,060</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9" w:type="dxa"/>
            <w:tcBorders/>
            <w:shd w:fill="E5E5E5" w:val="clear"/>
            <w:vAlign w:val="bottom"/>
          </w:tcPr>
          <w:p>
            <w:pPr>
              <w:pStyle w:val="TableContents"/>
              <w:spacing w:before="0" w:after="283"/>
              <w:jc w:val="right"/>
              <w:rPr/>
            </w:pPr>
            <w:r>
              <w:rPr/>
              <w:t>3,314</w:t>
            </w:r>
          </w:p>
        </w:tc>
        <w:tc>
          <w:tcPr>
            <w:tcW w:w="60" w:type="dxa"/>
            <w:tcBorders/>
            <w:shd w:fill="E5E5E5" w:val="clear"/>
            <w:vAlign w:val="bottom"/>
          </w:tcPr>
          <w:p>
            <w:pPr>
              <w:pStyle w:val="TableContents"/>
              <w:spacing w:before="0" w:after="283"/>
              <w:rPr/>
            </w:pPr>
            <w:r>
              <w:rPr/>
              <w:t> </w:t>
            </w:r>
          </w:p>
        </w:tc>
        <w:tc>
          <w:tcPr>
            <w:tcW w:w="19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10,374</w:t>
            </w:r>
          </w:p>
        </w:tc>
        <w:tc>
          <w:tcPr>
            <w:tcW w:w="85" w:type="dxa"/>
            <w:tcBorders/>
            <w:shd w:fill="E5E5E5" w:val="clear"/>
            <w:vAlign w:val="bottom"/>
          </w:tcPr>
          <w:p>
            <w:pPr>
              <w:pStyle w:val="TableContents"/>
              <w:spacing w:before="0" w:after="283"/>
              <w:rPr/>
            </w:pPr>
            <w:r>
              <w:rPr/>
              <w:t> </w:t>
            </w:r>
          </w:p>
        </w:tc>
      </w:tr>
      <w:tr>
        <w:trPr>
          <w:trHeight w:val="75" w:hRule="atLeast"/>
        </w:trPr>
        <w:tc>
          <w:tcPr>
            <w:tcW w:w="311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478"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140" w:type="dxa"/>
            <w:gridSpan w:val="4"/>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tcPr>
          <w:p>
            <w:pPr>
              <w:pStyle w:val="TableContents"/>
              <w:spacing w:before="0" w:after="0"/>
              <w:rPr>
                <w:rFonts w:ascii="arial" w:hAnsi="arial"/>
                <w:sz w:val="16"/>
              </w:rPr>
            </w:pPr>
            <w:r>
              <w:rPr>
                <w:rFonts w:ascii="arial" w:hAnsi="arial"/>
                <w:sz w:val="16"/>
              </w:rPr>
              <w:t>Maria Contreras-Sweet</w:t>
            </w:r>
          </w:p>
        </w:tc>
        <w:tc>
          <w:tcPr>
            <w:tcW w:w="21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3,314</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3,314</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1,803</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5,117</w:t>
            </w:r>
          </w:p>
        </w:tc>
        <w:tc>
          <w:tcPr>
            <w:tcW w:w="85" w:type="dxa"/>
            <w:tcBorders/>
            <w:shd w:fill="auto"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shd w:fill="E5E5E5" w:val="clear"/>
          </w:tcPr>
          <w:p>
            <w:pPr>
              <w:pStyle w:val="TableContents"/>
              <w:spacing w:before="0" w:after="0"/>
              <w:rPr>
                <w:rFonts w:ascii="arial" w:hAnsi="arial"/>
                <w:sz w:val="16"/>
              </w:rPr>
            </w:pPr>
            <w:r>
              <w:rPr>
                <w:rFonts w:ascii="arial" w:hAnsi="arial"/>
                <w:sz w:val="16"/>
              </w:rPr>
              <w:t>Pablo A. Ferrero</w:t>
            </w:r>
          </w:p>
        </w:tc>
        <w:tc>
          <w:tcPr>
            <w:tcW w:w="211" w:type="dxa"/>
            <w:tcBorders/>
            <w:shd w:fill="E5E5E5" w:val="clear"/>
            <w:vAlign w:val="bottom"/>
          </w:tcPr>
          <w:p>
            <w:pPr>
              <w:pStyle w:val="TableContents"/>
              <w:spacing w:before="0" w:after="283"/>
              <w:rPr/>
            </w:pPr>
            <w:r>
              <w:rPr/>
              <w:t>  </w:t>
            </w:r>
          </w:p>
        </w:tc>
        <w:tc>
          <w:tcPr>
            <w:tcW w:w="68" w:type="dxa"/>
            <w:tcBorders/>
            <w:shd w:fill="E5E5E5" w:val="clear"/>
            <w:vAlign w:val="bottom"/>
          </w:tcPr>
          <w:p>
            <w:pPr>
              <w:pStyle w:val="TableContents"/>
              <w:spacing w:before="0" w:after="283"/>
              <w:rPr/>
            </w:pPr>
            <w:r>
              <w:rPr/>
              <w:t> </w:t>
            </w:r>
          </w:p>
        </w:tc>
        <w:tc>
          <w:tcPr>
            <w:tcW w:w="912" w:type="dxa"/>
            <w:tcBorders/>
            <w:shd w:fill="E5E5E5" w:val="clear"/>
            <w:vAlign w:val="bottom"/>
          </w:tcPr>
          <w:p>
            <w:pPr>
              <w:pStyle w:val="TableContents"/>
              <w:spacing w:before="0" w:after="283"/>
              <w:jc w:val="right"/>
              <w:rPr/>
            </w:pPr>
            <w:r>
              <w:rPr/>
              <w:t>4,152</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123"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4,152</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9" w:type="dxa"/>
            <w:tcBorders/>
            <w:shd w:fill="E5E5E5" w:val="clear"/>
            <w:vAlign w:val="bottom"/>
          </w:tcPr>
          <w:p>
            <w:pPr>
              <w:pStyle w:val="TableContents"/>
              <w:spacing w:before="0" w:after="283"/>
              <w:jc w:val="right"/>
              <w:rPr/>
            </w:pPr>
            <w:r>
              <w:rPr/>
              <w:t>3,787</w:t>
            </w:r>
          </w:p>
        </w:tc>
        <w:tc>
          <w:tcPr>
            <w:tcW w:w="60" w:type="dxa"/>
            <w:tcBorders/>
            <w:shd w:fill="E5E5E5" w:val="clear"/>
            <w:vAlign w:val="bottom"/>
          </w:tcPr>
          <w:p>
            <w:pPr>
              <w:pStyle w:val="TableContents"/>
              <w:spacing w:before="0" w:after="283"/>
              <w:rPr/>
            </w:pPr>
            <w:r>
              <w:rPr/>
              <w:t> </w:t>
            </w:r>
          </w:p>
        </w:tc>
        <w:tc>
          <w:tcPr>
            <w:tcW w:w="19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7,939</w:t>
            </w:r>
          </w:p>
        </w:tc>
        <w:tc>
          <w:tcPr>
            <w:tcW w:w="85" w:type="dxa"/>
            <w:tcBorders/>
            <w:shd w:fill="E5E5E5" w:val="clear"/>
            <w:vAlign w:val="bottom"/>
          </w:tcPr>
          <w:p>
            <w:pPr>
              <w:pStyle w:val="TableContents"/>
              <w:spacing w:before="0" w:after="283"/>
              <w:rPr/>
            </w:pPr>
            <w:r>
              <w:rPr/>
              <w:t> </w:t>
            </w:r>
          </w:p>
        </w:tc>
      </w:tr>
      <w:tr>
        <w:trPr>
          <w:trHeight w:val="75" w:hRule="atLeast"/>
        </w:trPr>
        <w:tc>
          <w:tcPr>
            <w:tcW w:w="311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478"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140" w:type="dxa"/>
            <w:gridSpan w:val="4"/>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tcPr>
          <w:p>
            <w:pPr>
              <w:pStyle w:val="TableContents"/>
              <w:spacing w:before="0" w:after="0"/>
              <w:rPr>
                <w:rFonts w:ascii="arial" w:hAnsi="arial"/>
                <w:sz w:val="16"/>
              </w:rPr>
            </w:pPr>
            <w:r>
              <w:rPr>
                <w:rFonts w:ascii="arial" w:hAnsi="arial"/>
                <w:sz w:val="16"/>
              </w:rPr>
              <w:t>William D. Jones</w:t>
            </w:r>
          </w:p>
        </w:tc>
        <w:tc>
          <w:tcPr>
            <w:tcW w:w="21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4,138</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4,138</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33,473</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37,611</w:t>
            </w:r>
          </w:p>
        </w:tc>
        <w:tc>
          <w:tcPr>
            <w:tcW w:w="85" w:type="dxa"/>
            <w:tcBorders/>
            <w:shd w:fill="auto"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shd w:fill="E5E5E5" w:val="clear"/>
          </w:tcPr>
          <w:p>
            <w:pPr>
              <w:pStyle w:val="TableContents"/>
              <w:spacing w:before="0" w:after="0"/>
              <w:rPr>
                <w:rFonts w:ascii="arial" w:hAnsi="arial"/>
                <w:sz w:val="16"/>
              </w:rPr>
            </w:pPr>
            <w:r>
              <w:rPr>
                <w:rFonts w:ascii="arial" w:hAnsi="arial"/>
                <w:sz w:val="16"/>
              </w:rPr>
              <w:t>Jeffrey W. Martin</w:t>
            </w:r>
          </w:p>
        </w:tc>
        <w:tc>
          <w:tcPr>
            <w:tcW w:w="211" w:type="dxa"/>
            <w:tcBorders/>
            <w:shd w:fill="E5E5E5" w:val="clear"/>
            <w:vAlign w:val="bottom"/>
          </w:tcPr>
          <w:p>
            <w:pPr>
              <w:pStyle w:val="TableContents"/>
              <w:spacing w:before="0" w:after="283"/>
              <w:rPr/>
            </w:pPr>
            <w:r>
              <w:rPr/>
              <w:t>  </w:t>
            </w:r>
          </w:p>
        </w:tc>
        <w:tc>
          <w:tcPr>
            <w:tcW w:w="68" w:type="dxa"/>
            <w:tcBorders/>
            <w:shd w:fill="E5E5E5" w:val="clear"/>
            <w:vAlign w:val="bottom"/>
          </w:tcPr>
          <w:p>
            <w:pPr>
              <w:pStyle w:val="TableContents"/>
              <w:spacing w:before="0" w:after="283"/>
              <w:rPr/>
            </w:pPr>
            <w:r>
              <w:rPr/>
              <w:t> </w:t>
            </w:r>
          </w:p>
        </w:tc>
        <w:tc>
          <w:tcPr>
            <w:tcW w:w="912" w:type="dxa"/>
            <w:tcBorders/>
            <w:shd w:fill="E5E5E5" w:val="clear"/>
            <w:vAlign w:val="bottom"/>
          </w:tcPr>
          <w:p>
            <w:pPr>
              <w:pStyle w:val="TableContents"/>
              <w:spacing w:before="0" w:after="283"/>
              <w:jc w:val="right"/>
              <w:rPr/>
            </w:pPr>
            <w:r>
              <w:rPr/>
              <w:t>36,994</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123" w:type="dxa"/>
            <w:tcBorders/>
            <w:shd w:fill="E5E5E5" w:val="clear"/>
            <w:vAlign w:val="bottom"/>
          </w:tcPr>
          <w:p>
            <w:pPr>
              <w:pStyle w:val="TableContents"/>
              <w:spacing w:before="0" w:after="283"/>
              <w:jc w:val="right"/>
              <w:rPr/>
            </w:pPr>
            <w:r>
              <w:rPr/>
              <w:t>126,336</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163,330</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9" w:type="dxa"/>
            <w:tcBorders/>
            <w:shd w:fill="E5E5E5" w:val="clear"/>
            <w:vAlign w:val="bottom"/>
          </w:tcPr>
          <w:p>
            <w:pPr>
              <w:pStyle w:val="TableContents"/>
              <w:spacing w:before="0" w:after="283"/>
              <w:jc w:val="right"/>
              <w:rPr/>
            </w:pPr>
            <w:r>
              <w:rPr/>
              <w:t>42,272</w:t>
            </w:r>
          </w:p>
        </w:tc>
        <w:tc>
          <w:tcPr>
            <w:tcW w:w="60" w:type="dxa"/>
            <w:tcBorders/>
            <w:shd w:fill="E5E5E5" w:val="clear"/>
            <w:vAlign w:val="bottom"/>
          </w:tcPr>
          <w:p>
            <w:pPr>
              <w:pStyle w:val="TableContents"/>
              <w:spacing w:before="0" w:after="283"/>
              <w:rPr/>
            </w:pPr>
            <w:r>
              <w:rPr/>
              <w:t> </w:t>
            </w:r>
          </w:p>
        </w:tc>
        <w:tc>
          <w:tcPr>
            <w:tcW w:w="19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205,602</w:t>
            </w:r>
          </w:p>
        </w:tc>
        <w:tc>
          <w:tcPr>
            <w:tcW w:w="85" w:type="dxa"/>
            <w:tcBorders/>
            <w:shd w:fill="E5E5E5" w:val="clear"/>
            <w:vAlign w:val="bottom"/>
          </w:tcPr>
          <w:p>
            <w:pPr>
              <w:pStyle w:val="TableContents"/>
              <w:spacing w:before="0" w:after="283"/>
              <w:rPr/>
            </w:pPr>
            <w:r>
              <w:rPr/>
              <w:t> </w:t>
            </w:r>
          </w:p>
        </w:tc>
      </w:tr>
      <w:tr>
        <w:trPr>
          <w:trHeight w:val="75" w:hRule="atLeast"/>
        </w:trPr>
        <w:tc>
          <w:tcPr>
            <w:tcW w:w="311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478"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140" w:type="dxa"/>
            <w:gridSpan w:val="4"/>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tcPr>
          <w:p>
            <w:pPr>
              <w:pStyle w:val="TableContents"/>
              <w:spacing w:before="0" w:after="0"/>
              <w:rPr>
                <w:rFonts w:ascii="arial" w:hAnsi="arial"/>
                <w:sz w:val="16"/>
              </w:rPr>
            </w:pPr>
            <w:r>
              <w:rPr>
                <w:rFonts w:ascii="arial" w:hAnsi="arial"/>
                <w:sz w:val="16"/>
              </w:rPr>
              <w:t>Bethany J. Mayer</w:t>
            </w:r>
          </w:p>
        </w:tc>
        <w:tc>
          <w:tcPr>
            <w:tcW w:w="21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678</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678</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949</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1,627</w:t>
            </w:r>
          </w:p>
        </w:tc>
        <w:tc>
          <w:tcPr>
            <w:tcW w:w="85" w:type="dxa"/>
            <w:tcBorders/>
            <w:shd w:fill="auto"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shd w:fill="E5E5E5" w:val="clear"/>
          </w:tcPr>
          <w:p>
            <w:pPr>
              <w:pStyle w:val="TableContents"/>
              <w:spacing w:before="0" w:after="0"/>
              <w:rPr>
                <w:rFonts w:ascii="arial" w:hAnsi="arial"/>
                <w:sz w:val="16"/>
              </w:rPr>
            </w:pPr>
            <w:r>
              <w:rPr>
                <w:rFonts w:ascii="arial" w:hAnsi="arial"/>
                <w:sz w:val="16"/>
              </w:rPr>
              <w:t>Michael N. Mears</w:t>
            </w:r>
          </w:p>
        </w:tc>
        <w:tc>
          <w:tcPr>
            <w:tcW w:w="211" w:type="dxa"/>
            <w:tcBorders/>
            <w:shd w:fill="E5E5E5" w:val="clear"/>
            <w:vAlign w:val="bottom"/>
          </w:tcPr>
          <w:p>
            <w:pPr>
              <w:pStyle w:val="TableContents"/>
              <w:spacing w:before="0" w:after="283"/>
              <w:rPr/>
            </w:pPr>
            <w:r>
              <w:rPr/>
              <w:t>  </w:t>
            </w:r>
          </w:p>
        </w:tc>
        <w:tc>
          <w:tcPr>
            <w:tcW w:w="68" w:type="dxa"/>
            <w:tcBorders/>
            <w:shd w:fill="E5E5E5" w:val="clear"/>
            <w:vAlign w:val="bottom"/>
          </w:tcPr>
          <w:p>
            <w:pPr>
              <w:pStyle w:val="TableContents"/>
              <w:spacing w:before="0" w:after="283"/>
              <w:rPr/>
            </w:pPr>
            <w:r>
              <w:rPr/>
              <w:t> </w:t>
            </w:r>
          </w:p>
        </w:tc>
        <w:tc>
          <w:tcPr>
            <w:tcW w:w="912" w:type="dxa"/>
            <w:tcBorders/>
            <w:shd w:fill="E5E5E5" w:val="clear"/>
            <w:vAlign w:val="bottom"/>
          </w:tcPr>
          <w:p>
            <w:pPr>
              <w:pStyle w:val="TableContents"/>
              <w:spacing w:before="0" w:after="283"/>
              <w:jc w:val="right"/>
              <w:rPr/>
            </w:pPr>
            <w:r>
              <w:rPr/>
              <w:t>2,000</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123"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2,000</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9" w:type="dxa"/>
            <w:tcBorders/>
            <w:shd w:fill="E5E5E5" w:val="clear"/>
            <w:vAlign w:val="bottom"/>
          </w:tcPr>
          <w:p>
            <w:pPr>
              <w:pStyle w:val="TableContents"/>
              <w:spacing w:before="0" w:after="283"/>
              <w:jc w:val="right"/>
              <w:rPr/>
            </w:pPr>
            <w:r>
              <w:rPr/>
              <w:t>2,144</w:t>
            </w:r>
          </w:p>
        </w:tc>
        <w:tc>
          <w:tcPr>
            <w:tcW w:w="60" w:type="dxa"/>
            <w:tcBorders/>
            <w:shd w:fill="E5E5E5" w:val="clear"/>
            <w:vAlign w:val="bottom"/>
          </w:tcPr>
          <w:p>
            <w:pPr>
              <w:pStyle w:val="TableContents"/>
              <w:spacing w:before="0" w:after="283"/>
              <w:rPr/>
            </w:pPr>
            <w:r>
              <w:rPr/>
              <w:t> </w:t>
            </w:r>
          </w:p>
        </w:tc>
        <w:tc>
          <w:tcPr>
            <w:tcW w:w="19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4,144</w:t>
            </w:r>
          </w:p>
        </w:tc>
        <w:tc>
          <w:tcPr>
            <w:tcW w:w="85" w:type="dxa"/>
            <w:tcBorders/>
            <w:shd w:fill="E5E5E5" w:val="clear"/>
            <w:vAlign w:val="bottom"/>
          </w:tcPr>
          <w:p>
            <w:pPr>
              <w:pStyle w:val="TableContents"/>
              <w:spacing w:before="0" w:after="283"/>
              <w:rPr/>
            </w:pPr>
            <w:r>
              <w:rPr/>
              <w:t> </w:t>
            </w:r>
          </w:p>
        </w:tc>
      </w:tr>
      <w:tr>
        <w:trPr>
          <w:trHeight w:val="75" w:hRule="atLeast"/>
        </w:trPr>
        <w:tc>
          <w:tcPr>
            <w:tcW w:w="311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478"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140" w:type="dxa"/>
            <w:gridSpan w:val="4"/>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tcPr>
          <w:p>
            <w:pPr>
              <w:pStyle w:val="TableContents"/>
              <w:spacing w:before="0" w:after="0"/>
              <w:rPr>
                <w:rFonts w:ascii="arial" w:hAnsi="arial"/>
                <w:sz w:val="16"/>
              </w:rPr>
            </w:pPr>
            <w:r>
              <w:rPr>
                <w:rFonts w:ascii="arial" w:hAnsi="arial"/>
                <w:sz w:val="16"/>
              </w:rPr>
              <w:t>Trevor I. Mihalik</w:t>
            </w:r>
          </w:p>
        </w:tc>
        <w:tc>
          <w:tcPr>
            <w:tcW w:w="21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14,506</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15,656</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30,162</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11,749</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41,911</w:t>
            </w:r>
          </w:p>
        </w:tc>
        <w:tc>
          <w:tcPr>
            <w:tcW w:w="85" w:type="dxa"/>
            <w:tcBorders/>
            <w:shd w:fill="auto"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shd w:fill="E5E5E5" w:val="clear"/>
          </w:tcPr>
          <w:p>
            <w:pPr>
              <w:pStyle w:val="TableContents"/>
              <w:spacing w:before="0" w:after="0"/>
              <w:rPr>
                <w:rFonts w:ascii="arial" w:hAnsi="arial"/>
                <w:sz w:val="16"/>
              </w:rPr>
            </w:pPr>
            <w:r>
              <w:rPr>
                <w:rFonts w:ascii="arial" w:hAnsi="arial"/>
                <w:sz w:val="16"/>
              </w:rPr>
              <w:t>Kevin C. Sagara</w:t>
            </w:r>
          </w:p>
        </w:tc>
        <w:tc>
          <w:tcPr>
            <w:tcW w:w="211" w:type="dxa"/>
            <w:tcBorders/>
            <w:shd w:fill="E5E5E5" w:val="clear"/>
            <w:vAlign w:val="bottom"/>
          </w:tcPr>
          <w:p>
            <w:pPr>
              <w:pStyle w:val="TableContents"/>
              <w:spacing w:before="0" w:after="283"/>
              <w:rPr/>
            </w:pPr>
            <w:r>
              <w:rPr/>
              <w:t>  </w:t>
            </w:r>
          </w:p>
        </w:tc>
        <w:tc>
          <w:tcPr>
            <w:tcW w:w="68" w:type="dxa"/>
            <w:tcBorders/>
            <w:shd w:fill="E5E5E5" w:val="clear"/>
            <w:vAlign w:val="bottom"/>
          </w:tcPr>
          <w:p>
            <w:pPr>
              <w:pStyle w:val="TableContents"/>
              <w:spacing w:before="0" w:after="283"/>
              <w:rPr/>
            </w:pPr>
            <w:r>
              <w:rPr/>
              <w:t> </w:t>
            </w:r>
          </w:p>
        </w:tc>
        <w:tc>
          <w:tcPr>
            <w:tcW w:w="912" w:type="dxa"/>
            <w:tcBorders/>
            <w:shd w:fill="E5E5E5" w:val="clear"/>
            <w:vAlign w:val="bottom"/>
          </w:tcPr>
          <w:p>
            <w:pPr>
              <w:pStyle w:val="TableContents"/>
              <w:spacing w:before="0" w:after="283"/>
              <w:jc w:val="right"/>
              <w:rPr/>
            </w:pPr>
            <w:r>
              <w:rPr/>
              <w:t>17,655</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123"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17,655</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9" w:type="dxa"/>
            <w:tcBorders/>
            <w:shd w:fill="E5E5E5" w:val="clear"/>
            <w:vAlign w:val="bottom"/>
          </w:tcPr>
          <w:p>
            <w:pPr>
              <w:pStyle w:val="TableContents"/>
              <w:spacing w:before="0" w:after="283"/>
              <w:jc w:val="right"/>
              <w:rPr/>
            </w:pPr>
            <w:r>
              <w:rPr/>
              <w:t>3,512</w:t>
            </w:r>
          </w:p>
        </w:tc>
        <w:tc>
          <w:tcPr>
            <w:tcW w:w="60" w:type="dxa"/>
            <w:tcBorders/>
            <w:shd w:fill="E5E5E5" w:val="clear"/>
            <w:vAlign w:val="bottom"/>
          </w:tcPr>
          <w:p>
            <w:pPr>
              <w:pStyle w:val="TableContents"/>
              <w:spacing w:before="0" w:after="283"/>
              <w:rPr/>
            </w:pPr>
            <w:r>
              <w:rPr/>
              <w:t> </w:t>
            </w:r>
          </w:p>
        </w:tc>
        <w:tc>
          <w:tcPr>
            <w:tcW w:w="19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21,167</w:t>
            </w:r>
          </w:p>
        </w:tc>
        <w:tc>
          <w:tcPr>
            <w:tcW w:w="85" w:type="dxa"/>
            <w:tcBorders/>
            <w:shd w:fill="E5E5E5" w:val="clear"/>
            <w:vAlign w:val="bottom"/>
          </w:tcPr>
          <w:p>
            <w:pPr>
              <w:pStyle w:val="TableContents"/>
              <w:spacing w:before="0" w:after="283"/>
              <w:rPr/>
            </w:pPr>
            <w:r>
              <w:rPr/>
              <w:t> </w:t>
            </w:r>
          </w:p>
        </w:tc>
      </w:tr>
      <w:tr>
        <w:trPr>
          <w:trHeight w:val="75" w:hRule="atLeast"/>
        </w:trPr>
        <w:tc>
          <w:tcPr>
            <w:tcW w:w="311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478"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140" w:type="dxa"/>
            <w:gridSpan w:val="4"/>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tcPr>
          <w:p>
            <w:pPr>
              <w:pStyle w:val="TableContents"/>
              <w:spacing w:before="0" w:after="0"/>
              <w:rPr>
                <w:rFonts w:ascii="arial" w:hAnsi="arial"/>
                <w:sz w:val="16"/>
              </w:rPr>
            </w:pPr>
            <w:r>
              <w:rPr>
                <w:rFonts w:ascii="arial" w:hAnsi="arial"/>
                <w:sz w:val="16"/>
              </w:rPr>
              <w:t>Jack T. Taylor</w:t>
            </w:r>
          </w:p>
        </w:tc>
        <w:tc>
          <w:tcPr>
            <w:tcW w:w="21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131</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131</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11,612</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11,743</w:t>
            </w:r>
          </w:p>
        </w:tc>
        <w:tc>
          <w:tcPr>
            <w:tcW w:w="85" w:type="dxa"/>
            <w:tcBorders/>
            <w:shd w:fill="auto"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shd w:fill="E5E5E5" w:val="clear"/>
          </w:tcPr>
          <w:p>
            <w:pPr>
              <w:pStyle w:val="TableContents"/>
              <w:spacing w:before="0" w:after="0"/>
              <w:rPr>
                <w:rFonts w:ascii="arial" w:hAnsi="arial"/>
                <w:sz w:val="16"/>
              </w:rPr>
            </w:pPr>
            <w:r>
              <w:rPr>
                <w:rFonts w:ascii="arial" w:hAnsi="arial"/>
                <w:sz w:val="16"/>
              </w:rPr>
              <w:t>Cynthia L. Walker</w:t>
            </w:r>
          </w:p>
        </w:tc>
        <w:tc>
          <w:tcPr>
            <w:tcW w:w="211" w:type="dxa"/>
            <w:tcBorders/>
            <w:shd w:fill="E5E5E5" w:val="clear"/>
            <w:vAlign w:val="bottom"/>
          </w:tcPr>
          <w:p>
            <w:pPr>
              <w:pStyle w:val="TableContents"/>
              <w:spacing w:before="0" w:after="283"/>
              <w:rPr/>
            </w:pPr>
            <w:r>
              <w:rPr/>
              <w:t>  </w:t>
            </w:r>
          </w:p>
        </w:tc>
        <w:tc>
          <w:tcPr>
            <w:tcW w:w="68" w:type="dxa"/>
            <w:tcBorders/>
            <w:shd w:fill="E5E5E5" w:val="clear"/>
            <w:vAlign w:val="bottom"/>
          </w:tcPr>
          <w:p>
            <w:pPr>
              <w:pStyle w:val="TableContents"/>
              <w:spacing w:before="0" w:after="283"/>
              <w:rPr/>
            </w:pPr>
            <w:r>
              <w:rPr/>
              <w:t> </w:t>
            </w:r>
          </w:p>
        </w:tc>
        <w:tc>
          <w:tcPr>
            <w:tcW w:w="912" w:type="dxa"/>
            <w:tcBorders/>
            <w:shd w:fill="E5E5E5" w:val="clear"/>
            <w:vAlign w:val="bottom"/>
          </w:tcPr>
          <w:p>
            <w:pPr>
              <w:pStyle w:val="TableContents"/>
              <w:spacing w:before="0" w:after="283"/>
              <w:jc w:val="right"/>
              <w:rPr/>
            </w:pPr>
            <w:r>
              <w:rPr/>
              <w:t>4,091</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123"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4,091</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9" w:type="dxa"/>
            <w:tcBorders/>
            <w:shd w:fill="E5E5E5" w:val="clear"/>
            <w:vAlign w:val="bottom"/>
          </w:tcPr>
          <w:p>
            <w:pPr>
              <w:pStyle w:val="TableContents"/>
              <w:spacing w:before="0" w:after="283"/>
              <w:jc w:val="right"/>
              <w:rPr/>
            </w:pPr>
            <w:r>
              <w:rPr/>
              <w:t>1,027</w:t>
            </w:r>
          </w:p>
        </w:tc>
        <w:tc>
          <w:tcPr>
            <w:tcW w:w="60" w:type="dxa"/>
            <w:tcBorders/>
            <w:shd w:fill="E5E5E5" w:val="clear"/>
            <w:vAlign w:val="bottom"/>
          </w:tcPr>
          <w:p>
            <w:pPr>
              <w:pStyle w:val="TableContents"/>
              <w:spacing w:before="0" w:after="283"/>
              <w:rPr/>
            </w:pPr>
            <w:r>
              <w:rPr/>
              <w:t> </w:t>
            </w:r>
          </w:p>
        </w:tc>
        <w:tc>
          <w:tcPr>
            <w:tcW w:w="19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5,118</w:t>
            </w:r>
          </w:p>
        </w:tc>
        <w:tc>
          <w:tcPr>
            <w:tcW w:w="85" w:type="dxa"/>
            <w:tcBorders/>
            <w:shd w:fill="E5E5E5" w:val="clear"/>
            <w:vAlign w:val="bottom"/>
          </w:tcPr>
          <w:p>
            <w:pPr>
              <w:pStyle w:val="TableContents"/>
              <w:spacing w:before="0" w:after="283"/>
              <w:rPr/>
            </w:pPr>
            <w:r>
              <w:rPr/>
              <w:t> </w:t>
            </w:r>
          </w:p>
        </w:tc>
      </w:tr>
      <w:tr>
        <w:trPr>
          <w:trHeight w:val="75" w:hRule="atLeast"/>
        </w:trPr>
        <w:tc>
          <w:tcPr>
            <w:tcW w:w="311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478"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140" w:type="dxa"/>
            <w:gridSpan w:val="4"/>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tcPr>
          <w:p>
            <w:pPr>
              <w:pStyle w:val="TableContents"/>
              <w:spacing w:before="0" w:after="0"/>
              <w:rPr>
                <w:rFonts w:ascii="arial" w:hAnsi="arial"/>
                <w:sz w:val="16"/>
              </w:rPr>
            </w:pPr>
            <w:r>
              <w:rPr>
                <w:rFonts w:ascii="arial" w:hAnsi="arial"/>
                <w:sz w:val="16"/>
              </w:rPr>
              <w:t>Peter R. Wall</w:t>
            </w:r>
          </w:p>
        </w:tc>
        <w:tc>
          <w:tcPr>
            <w:tcW w:w="21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2,834</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2,834</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2,834</w:t>
            </w:r>
          </w:p>
        </w:tc>
        <w:tc>
          <w:tcPr>
            <w:tcW w:w="85" w:type="dxa"/>
            <w:tcBorders/>
            <w:shd w:fill="auto"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shd w:fill="E5E5E5" w:val="clear"/>
          </w:tcPr>
          <w:p>
            <w:pPr>
              <w:pStyle w:val="TableContents"/>
              <w:spacing w:before="0" w:after="0"/>
              <w:rPr>
                <w:rFonts w:ascii="arial" w:hAnsi="arial"/>
                <w:sz w:val="16"/>
              </w:rPr>
            </w:pPr>
            <w:r>
              <w:rPr>
                <w:rFonts w:ascii="arial" w:hAnsi="arial"/>
                <w:sz w:val="16"/>
              </w:rPr>
              <w:t>Cynthia J. Warner</w:t>
            </w:r>
          </w:p>
        </w:tc>
        <w:tc>
          <w:tcPr>
            <w:tcW w:w="211" w:type="dxa"/>
            <w:tcBorders/>
            <w:shd w:fill="E5E5E5" w:val="clear"/>
            <w:vAlign w:val="bottom"/>
          </w:tcPr>
          <w:p>
            <w:pPr>
              <w:pStyle w:val="TableContents"/>
              <w:spacing w:before="0" w:after="283"/>
              <w:rPr/>
            </w:pPr>
            <w:r>
              <w:rPr/>
              <w:t>  </w:t>
            </w:r>
          </w:p>
        </w:tc>
        <w:tc>
          <w:tcPr>
            <w:tcW w:w="68" w:type="dxa"/>
            <w:tcBorders/>
            <w:shd w:fill="E5E5E5" w:val="clear"/>
            <w:vAlign w:val="bottom"/>
          </w:tcPr>
          <w:p>
            <w:pPr>
              <w:pStyle w:val="TableContents"/>
              <w:spacing w:before="0" w:after="283"/>
              <w:rPr/>
            </w:pPr>
            <w:r>
              <w:rPr/>
              <w:t> </w:t>
            </w:r>
          </w:p>
        </w:tc>
        <w:tc>
          <w:tcPr>
            <w:tcW w:w="912"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123"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21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9" w:type="dxa"/>
            <w:tcBorders/>
            <w:shd w:fill="E5E5E5" w:val="clear"/>
            <w:vAlign w:val="bottom"/>
          </w:tcPr>
          <w:p>
            <w:pPr>
              <w:pStyle w:val="TableContents"/>
              <w:spacing w:before="0" w:after="283"/>
              <w:jc w:val="right"/>
              <w:rPr/>
            </w:pPr>
            <w:r>
              <w:rPr/>
              <w:t>1,528</w:t>
            </w:r>
          </w:p>
        </w:tc>
        <w:tc>
          <w:tcPr>
            <w:tcW w:w="60" w:type="dxa"/>
            <w:tcBorders/>
            <w:shd w:fill="E5E5E5" w:val="clear"/>
            <w:vAlign w:val="bottom"/>
          </w:tcPr>
          <w:p>
            <w:pPr>
              <w:pStyle w:val="TableContents"/>
              <w:spacing w:before="0" w:after="283"/>
              <w:rPr/>
            </w:pPr>
            <w:r>
              <w:rPr/>
              <w:t> </w:t>
            </w:r>
          </w:p>
        </w:tc>
        <w:tc>
          <w:tcPr>
            <w:tcW w:w="191"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246" w:type="dxa"/>
            <w:tcBorders/>
            <w:shd w:fill="E5E5E5" w:val="clear"/>
            <w:vAlign w:val="bottom"/>
          </w:tcPr>
          <w:p>
            <w:pPr>
              <w:pStyle w:val="TableContents"/>
              <w:spacing w:before="0" w:after="283"/>
              <w:jc w:val="right"/>
              <w:rPr/>
            </w:pPr>
            <w:r>
              <w:rPr/>
              <w:t>1,528</w:t>
            </w:r>
          </w:p>
        </w:tc>
        <w:tc>
          <w:tcPr>
            <w:tcW w:w="85" w:type="dxa"/>
            <w:tcBorders/>
            <w:shd w:fill="E5E5E5" w:val="clear"/>
            <w:vAlign w:val="bottom"/>
          </w:tcPr>
          <w:p>
            <w:pPr>
              <w:pStyle w:val="TableContents"/>
              <w:spacing w:before="0" w:after="283"/>
              <w:rPr/>
            </w:pPr>
            <w:r>
              <w:rPr/>
              <w:t> </w:t>
            </w:r>
          </w:p>
        </w:tc>
      </w:tr>
      <w:tr>
        <w:trPr>
          <w:trHeight w:val="75" w:hRule="atLeast"/>
        </w:trPr>
        <w:tc>
          <w:tcPr>
            <w:tcW w:w="311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478"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140" w:type="dxa"/>
            <w:gridSpan w:val="4"/>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tcPr>
          <w:p>
            <w:pPr>
              <w:pStyle w:val="TableContents"/>
              <w:spacing w:before="0" w:after="0"/>
              <w:rPr>
                <w:rFonts w:ascii="arial" w:hAnsi="arial"/>
                <w:sz w:val="16"/>
              </w:rPr>
            </w:pPr>
            <w:r>
              <w:rPr>
                <w:rFonts w:ascii="arial" w:hAnsi="arial"/>
                <w:sz w:val="16"/>
              </w:rPr>
              <w:t>James C. Yardley</w:t>
            </w:r>
          </w:p>
        </w:tc>
        <w:tc>
          <w:tcPr>
            <w:tcW w:w="21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11,363</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11,363</w:t>
            </w:r>
          </w:p>
        </w:tc>
        <w:tc>
          <w:tcPr>
            <w:tcW w:w="85" w:type="dxa"/>
            <w:tcBorders/>
            <w:shd w:fill="auto" w:val="clear"/>
            <w:vAlign w:val="bottom"/>
          </w:tcPr>
          <w:p>
            <w:pPr>
              <w:pStyle w:val="TableContents"/>
              <w:spacing w:before="0" w:after="283"/>
              <w:rPr/>
            </w:pPr>
            <w:r>
              <w:rPr/>
              <w:t> </w:t>
            </w:r>
          </w:p>
        </w:tc>
      </w:tr>
      <w:tr>
        <w:trPr>
          <w:trHeight w:val="75" w:hRule="atLeast"/>
        </w:trPr>
        <w:tc>
          <w:tcPr>
            <w:tcW w:w="3113" w:type="dxa"/>
            <w:tcBorders/>
            <w:shd w:fill="E5E5E5" w:val="clear"/>
            <w:vAlign w:val="center"/>
          </w:tcPr>
          <w:p>
            <w:pPr>
              <w:pStyle w:val="TableContents"/>
              <w:spacing w:before="0" w:after="283"/>
              <w:rPr>
                <w:sz w:val="4"/>
                <w:szCs w:val="4"/>
              </w:rPr>
            </w:pPr>
            <w:r>
              <w:rPr>
                <w:sz w:val="4"/>
                <w:szCs w:val="4"/>
              </w:rPr>
            </w:r>
          </w:p>
        </w:tc>
        <w:tc>
          <w:tcPr>
            <w:tcW w:w="1251" w:type="dxa"/>
            <w:gridSpan w:val="4"/>
            <w:tcBorders/>
            <w:shd w:fill="E5E5E5" w:val="clear"/>
            <w:vAlign w:val="center"/>
          </w:tcPr>
          <w:p>
            <w:pPr>
              <w:pStyle w:val="TableContents"/>
              <w:spacing w:before="0" w:after="283"/>
              <w:rPr>
                <w:sz w:val="4"/>
                <w:szCs w:val="4"/>
              </w:rPr>
            </w:pPr>
            <w:r>
              <w:rPr>
                <w:sz w:val="4"/>
                <w:szCs w:val="4"/>
              </w:rPr>
            </w:r>
          </w:p>
        </w:tc>
        <w:tc>
          <w:tcPr>
            <w:tcW w:w="1478" w:type="dxa"/>
            <w:gridSpan w:val="4"/>
            <w:tcBorders/>
            <w:shd w:fill="E5E5E5" w:val="clear"/>
            <w:vAlign w:val="center"/>
          </w:tcPr>
          <w:p>
            <w:pPr>
              <w:pStyle w:val="TableContents"/>
              <w:spacing w:before="0" w:after="283"/>
              <w:rPr>
                <w:sz w:val="4"/>
                <w:szCs w:val="4"/>
              </w:rPr>
            </w:pPr>
            <w:r>
              <w:rPr>
                <w:sz w:val="4"/>
                <w:szCs w:val="4"/>
              </w:rPr>
            </w:r>
          </w:p>
        </w:tc>
        <w:tc>
          <w:tcPr>
            <w:tcW w:w="1609" w:type="dxa"/>
            <w:gridSpan w:val="4"/>
            <w:tcBorders/>
            <w:shd w:fill="E5E5E5" w:val="clear"/>
            <w:vAlign w:val="center"/>
          </w:tcPr>
          <w:p>
            <w:pPr>
              <w:pStyle w:val="TableContents"/>
              <w:spacing w:before="0" w:after="283"/>
              <w:rPr>
                <w:sz w:val="4"/>
                <w:szCs w:val="4"/>
              </w:rPr>
            </w:pPr>
            <w:r>
              <w:rPr>
                <w:sz w:val="4"/>
                <w:szCs w:val="4"/>
              </w:rPr>
            </w:r>
          </w:p>
        </w:tc>
        <w:tc>
          <w:tcPr>
            <w:tcW w:w="1140" w:type="dxa"/>
            <w:gridSpan w:val="4"/>
            <w:tcBorders/>
            <w:shd w:fill="E5E5E5" w:val="clear"/>
            <w:vAlign w:val="center"/>
          </w:tcPr>
          <w:p>
            <w:pPr>
              <w:pStyle w:val="TableContents"/>
              <w:spacing w:before="0" w:after="283"/>
              <w:rPr>
                <w:sz w:val="4"/>
                <w:szCs w:val="4"/>
              </w:rPr>
            </w:pPr>
            <w:r>
              <w:rPr>
                <w:sz w:val="4"/>
                <w:szCs w:val="4"/>
              </w:rPr>
            </w:r>
          </w:p>
        </w:tc>
        <w:tc>
          <w:tcPr>
            <w:tcW w:w="1614" w:type="dxa"/>
            <w:gridSpan w:val="4"/>
            <w:tcBorders/>
            <w:shd w:fill="E5E5E5" w:val="clear"/>
            <w:vAlign w:val="center"/>
          </w:tcPr>
          <w:p>
            <w:pPr>
              <w:pStyle w:val="TableContents"/>
              <w:spacing w:before="0" w:after="283"/>
              <w:rPr>
                <w:sz w:val="4"/>
                <w:szCs w:val="4"/>
              </w:rPr>
            </w:pPr>
            <w:r>
              <w:rPr>
                <w:sz w:val="4"/>
                <w:szCs w:val="4"/>
              </w:rPr>
            </w:r>
          </w:p>
        </w:tc>
      </w:tr>
      <w:tr>
        <w:trPr/>
        <w:tc>
          <w:tcPr>
            <w:tcW w:w="3113" w:type="dxa"/>
            <w:tcBorders>
              <w:bottom w:val="single" w:sz="8" w:space="0" w:color="001C71"/>
            </w:tcBorders>
            <w:shd w:fill="E5E5E5" w:val="clear"/>
            <w:tcMar>
              <w:bottom w:w="40" w:type="dxa"/>
            </w:tcMar>
          </w:tcPr>
          <w:p>
            <w:pPr>
              <w:pStyle w:val="TableContents"/>
              <w:spacing w:before="0" w:after="0"/>
              <w:rPr>
                <w:rFonts w:ascii="arial" w:hAnsi="arial"/>
                <w:sz w:val="16"/>
              </w:rPr>
            </w:pPr>
            <w:r>
              <w:rPr>
                <w:rFonts w:ascii="arial" w:hAnsi="arial"/>
                <w:sz w:val="16"/>
              </w:rPr>
              <w:t>Directors and Executive Officers as a Group (18 persons)</w:t>
            </w:r>
          </w:p>
        </w:tc>
        <w:tc>
          <w:tcPr>
            <w:tcW w:w="211" w:type="dxa"/>
            <w:tcBorders>
              <w:bottom w:val="single" w:sz="8" w:space="0" w:color="001C71"/>
            </w:tcBorders>
            <w:shd w:fill="E5E5E5" w:val="clear"/>
            <w:tcMar>
              <w:bottom w:w="28" w:type="dxa"/>
            </w:tcMar>
            <w:vAlign w:val="bottom"/>
          </w:tcPr>
          <w:p>
            <w:pPr>
              <w:pStyle w:val="TableContents"/>
              <w:spacing w:before="0" w:after="283"/>
              <w:rPr/>
            </w:pPr>
            <w:r>
              <w:rPr/>
              <w:t>  </w:t>
            </w:r>
          </w:p>
        </w:tc>
        <w:tc>
          <w:tcPr>
            <w:tcW w:w="68" w:type="dxa"/>
            <w:tcBorders>
              <w:bottom w:val="single" w:sz="8" w:space="0" w:color="001C71"/>
            </w:tcBorders>
            <w:shd w:fill="E5E5E5" w:val="clear"/>
            <w:tcMar>
              <w:bottom w:w="40" w:type="dxa"/>
            </w:tcMar>
            <w:vAlign w:val="bottom"/>
          </w:tcPr>
          <w:p>
            <w:pPr>
              <w:pStyle w:val="TableContents"/>
              <w:spacing w:before="0" w:after="283"/>
              <w:rPr/>
            </w:pPr>
            <w:r>
              <w:rPr/>
              <w:t> </w:t>
            </w:r>
          </w:p>
        </w:tc>
        <w:tc>
          <w:tcPr>
            <w:tcW w:w="912" w:type="dxa"/>
            <w:tcBorders>
              <w:bottom w:val="single" w:sz="8" w:space="0" w:color="001C71"/>
            </w:tcBorders>
            <w:shd w:fill="E5E5E5" w:val="clear"/>
            <w:tcMar>
              <w:bottom w:w="40" w:type="dxa"/>
            </w:tcMar>
            <w:vAlign w:val="bottom"/>
          </w:tcPr>
          <w:p>
            <w:pPr>
              <w:pStyle w:val="TableContents"/>
              <w:spacing w:before="0" w:after="283"/>
              <w:jc w:val="right"/>
              <w:rPr/>
            </w:pPr>
            <w:r>
              <w:rPr/>
              <w:t>155,998</w:t>
            </w:r>
          </w:p>
        </w:tc>
        <w:tc>
          <w:tcPr>
            <w:tcW w:w="60" w:type="dxa"/>
            <w:tcBorders>
              <w:bottom w:val="single" w:sz="8" w:space="0" w:color="001C71"/>
            </w:tcBorders>
            <w:shd w:fill="E5E5E5" w:val="clear"/>
            <w:tcMar>
              <w:bottom w:w="40" w:type="dxa"/>
            </w:tcMar>
            <w:vAlign w:val="bottom"/>
          </w:tcPr>
          <w:p>
            <w:pPr>
              <w:pStyle w:val="TableContents"/>
              <w:spacing w:before="0" w:after="283"/>
              <w:rPr/>
            </w:pPr>
            <w:r>
              <w:rPr/>
              <w:t> </w:t>
            </w:r>
          </w:p>
        </w:tc>
        <w:tc>
          <w:tcPr>
            <w:tcW w:w="211" w:type="dxa"/>
            <w:tcBorders>
              <w:bottom w:val="single" w:sz="8" w:space="0" w:color="001C71"/>
            </w:tcBorders>
            <w:shd w:fill="E5E5E5" w:val="clear"/>
            <w:tcMar>
              <w:bottom w:w="28" w:type="dxa"/>
            </w:tcMar>
            <w:vAlign w:val="bottom"/>
          </w:tcPr>
          <w:p>
            <w:pPr>
              <w:pStyle w:val="TableContents"/>
              <w:spacing w:before="0" w:after="283"/>
              <w:rPr/>
            </w:pPr>
            <w:r>
              <w:rPr/>
              <w:t>  </w:t>
            </w:r>
          </w:p>
        </w:tc>
        <w:tc>
          <w:tcPr>
            <w:tcW w:w="84" w:type="dxa"/>
            <w:tcBorders>
              <w:bottom w:val="single" w:sz="8" w:space="0" w:color="001C71"/>
            </w:tcBorders>
            <w:shd w:fill="E5E5E5" w:val="clear"/>
            <w:tcMar>
              <w:bottom w:w="40" w:type="dxa"/>
            </w:tcMar>
            <w:vAlign w:val="bottom"/>
          </w:tcPr>
          <w:p>
            <w:pPr>
              <w:pStyle w:val="TableContents"/>
              <w:spacing w:before="0" w:after="283"/>
              <w:rPr/>
            </w:pPr>
            <w:r>
              <w:rPr/>
              <w:t> </w:t>
            </w:r>
          </w:p>
        </w:tc>
        <w:tc>
          <w:tcPr>
            <w:tcW w:w="1123" w:type="dxa"/>
            <w:tcBorders>
              <w:bottom w:val="single" w:sz="8" w:space="0" w:color="001C71"/>
            </w:tcBorders>
            <w:shd w:fill="E5E5E5" w:val="clear"/>
            <w:tcMar>
              <w:bottom w:w="40" w:type="dxa"/>
            </w:tcMar>
            <w:vAlign w:val="bottom"/>
          </w:tcPr>
          <w:p>
            <w:pPr>
              <w:pStyle w:val="TableContents"/>
              <w:spacing w:before="0" w:after="283"/>
              <w:jc w:val="right"/>
              <w:rPr/>
            </w:pPr>
            <w:r>
              <w:rPr/>
              <w:t>152,189</w:t>
            </w:r>
          </w:p>
        </w:tc>
        <w:tc>
          <w:tcPr>
            <w:tcW w:w="60" w:type="dxa"/>
            <w:tcBorders>
              <w:bottom w:val="single" w:sz="8" w:space="0" w:color="001C71"/>
            </w:tcBorders>
            <w:shd w:fill="E5E5E5" w:val="clear"/>
            <w:tcMar>
              <w:bottom w:w="40" w:type="dxa"/>
            </w:tcMar>
            <w:vAlign w:val="bottom"/>
          </w:tcPr>
          <w:p>
            <w:pPr>
              <w:pStyle w:val="TableContents"/>
              <w:spacing w:before="0" w:after="283"/>
              <w:rPr/>
            </w:pPr>
            <w:r>
              <w:rPr/>
              <w:t> </w:t>
            </w:r>
          </w:p>
        </w:tc>
        <w:tc>
          <w:tcPr>
            <w:tcW w:w="211" w:type="dxa"/>
            <w:tcBorders>
              <w:bottom w:val="single" w:sz="8" w:space="0" w:color="001C71"/>
            </w:tcBorders>
            <w:shd w:fill="E5E5E5" w:val="clear"/>
            <w:tcMar>
              <w:bottom w:w="28" w:type="dxa"/>
            </w:tcMar>
            <w:vAlign w:val="bottom"/>
          </w:tcPr>
          <w:p>
            <w:pPr>
              <w:pStyle w:val="TableContents"/>
              <w:spacing w:before="0" w:after="283"/>
              <w:rPr/>
            </w:pPr>
            <w:r>
              <w:rPr/>
              <w:t>  </w:t>
            </w:r>
          </w:p>
        </w:tc>
        <w:tc>
          <w:tcPr>
            <w:tcW w:w="92" w:type="dxa"/>
            <w:tcBorders>
              <w:bottom w:val="single" w:sz="8" w:space="0" w:color="001C71"/>
            </w:tcBorders>
            <w:shd w:fill="E5E5E5" w:val="clear"/>
            <w:tcMar>
              <w:bottom w:w="40" w:type="dxa"/>
            </w:tcMar>
            <w:vAlign w:val="bottom"/>
          </w:tcPr>
          <w:p>
            <w:pPr>
              <w:pStyle w:val="TableContents"/>
              <w:spacing w:before="0" w:after="283"/>
              <w:rPr/>
            </w:pPr>
            <w:r>
              <w:rPr/>
              <w:t> </w:t>
            </w:r>
          </w:p>
        </w:tc>
        <w:tc>
          <w:tcPr>
            <w:tcW w:w="1246" w:type="dxa"/>
            <w:tcBorders>
              <w:bottom w:val="single" w:sz="8" w:space="0" w:color="001C71"/>
            </w:tcBorders>
            <w:shd w:fill="E5E5E5" w:val="clear"/>
            <w:tcMar>
              <w:bottom w:w="40" w:type="dxa"/>
            </w:tcMar>
            <w:vAlign w:val="bottom"/>
          </w:tcPr>
          <w:p>
            <w:pPr>
              <w:pStyle w:val="TableContents"/>
              <w:spacing w:before="0" w:after="283"/>
              <w:jc w:val="right"/>
              <w:rPr/>
            </w:pPr>
            <w:r>
              <w:rPr/>
              <w:t>308,187</w:t>
            </w:r>
          </w:p>
        </w:tc>
        <w:tc>
          <w:tcPr>
            <w:tcW w:w="60" w:type="dxa"/>
            <w:tcBorders>
              <w:bottom w:val="single" w:sz="8" w:space="0" w:color="001C71"/>
            </w:tcBorders>
            <w:shd w:fill="E5E5E5" w:val="clear"/>
            <w:tcMar>
              <w:bottom w:w="40" w:type="dxa"/>
            </w:tcMar>
            <w:vAlign w:val="bottom"/>
          </w:tcPr>
          <w:p>
            <w:pPr>
              <w:pStyle w:val="TableContents"/>
              <w:spacing w:before="0" w:after="283"/>
              <w:rPr/>
            </w:pPr>
            <w:r>
              <w:rPr/>
              <w:t> </w:t>
            </w:r>
          </w:p>
        </w:tc>
        <w:tc>
          <w:tcPr>
            <w:tcW w:w="211"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40" w:type="dxa"/>
            </w:tcMar>
            <w:vAlign w:val="bottom"/>
          </w:tcPr>
          <w:p>
            <w:pPr>
              <w:pStyle w:val="TableContents"/>
              <w:spacing w:before="0" w:after="283"/>
              <w:rPr/>
            </w:pPr>
            <w:r>
              <w:rPr/>
              <w:t> </w:t>
            </w:r>
          </w:p>
        </w:tc>
        <w:tc>
          <w:tcPr>
            <w:tcW w:w="809" w:type="dxa"/>
            <w:tcBorders>
              <w:bottom w:val="single" w:sz="8" w:space="0" w:color="001C71"/>
            </w:tcBorders>
            <w:shd w:fill="E5E5E5" w:val="clear"/>
            <w:tcMar>
              <w:bottom w:w="40" w:type="dxa"/>
            </w:tcMar>
            <w:vAlign w:val="bottom"/>
          </w:tcPr>
          <w:p>
            <w:pPr>
              <w:pStyle w:val="TableContents"/>
              <w:spacing w:before="0" w:after="283"/>
              <w:jc w:val="right"/>
              <w:rPr/>
            </w:pPr>
            <w:r>
              <w:rPr/>
              <w:t>161,451</w:t>
            </w:r>
          </w:p>
        </w:tc>
        <w:tc>
          <w:tcPr>
            <w:tcW w:w="60" w:type="dxa"/>
            <w:tcBorders>
              <w:bottom w:val="single" w:sz="8" w:space="0" w:color="001C71"/>
            </w:tcBorders>
            <w:shd w:fill="E5E5E5" w:val="clear"/>
            <w:tcMar>
              <w:bottom w:w="40" w:type="dxa"/>
            </w:tcMar>
            <w:vAlign w:val="bottom"/>
          </w:tcPr>
          <w:p>
            <w:pPr>
              <w:pStyle w:val="TableContents"/>
              <w:spacing w:before="0" w:after="283"/>
              <w:rPr/>
            </w:pPr>
            <w:r>
              <w:rPr/>
              <w:t> </w:t>
            </w:r>
          </w:p>
        </w:tc>
        <w:tc>
          <w:tcPr>
            <w:tcW w:w="191" w:type="dxa"/>
            <w:tcBorders>
              <w:bottom w:val="single" w:sz="8" w:space="0" w:color="001C71"/>
            </w:tcBorders>
            <w:shd w:fill="E5E5E5" w:val="clear"/>
            <w:tcMar>
              <w:bottom w:w="28" w:type="dxa"/>
            </w:tcMar>
            <w:vAlign w:val="bottom"/>
          </w:tcPr>
          <w:p>
            <w:pPr>
              <w:pStyle w:val="TableContents"/>
              <w:spacing w:before="0" w:after="283"/>
              <w:rPr/>
            </w:pPr>
            <w:r>
              <w:rPr/>
              <w:t>  </w:t>
            </w:r>
          </w:p>
        </w:tc>
        <w:tc>
          <w:tcPr>
            <w:tcW w:w="92" w:type="dxa"/>
            <w:tcBorders>
              <w:bottom w:val="single" w:sz="8" w:space="0" w:color="001C71"/>
            </w:tcBorders>
            <w:shd w:fill="E5E5E5" w:val="clear"/>
            <w:tcMar>
              <w:bottom w:w="40" w:type="dxa"/>
            </w:tcMar>
            <w:vAlign w:val="bottom"/>
          </w:tcPr>
          <w:p>
            <w:pPr>
              <w:pStyle w:val="TableContents"/>
              <w:spacing w:before="0" w:after="283"/>
              <w:rPr/>
            </w:pPr>
            <w:r>
              <w:rPr/>
              <w:t> </w:t>
            </w:r>
          </w:p>
        </w:tc>
        <w:tc>
          <w:tcPr>
            <w:tcW w:w="1246" w:type="dxa"/>
            <w:tcBorders>
              <w:bottom w:val="single" w:sz="8" w:space="0" w:color="001C71"/>
            </w:tcBorders>
            <w:shd w:fill="E5E5E5" w:val="clear"/>
            <w:tcMar>
              <w:bottom w:w="40" w:type="dxa"/>
            </w:tcMar>
            <w:vAlign w:val="bottom"/>
          </w:tcPr>
          <w:p>
            <w:pPr>
              <w:pStyle w:val="TableContents"/>
              <w:spacing w:before="0" w:after="283"/>
              <w:jc w:val="right"/>
              <w:rPr/>
            </w:pPr>
            <w:r>
              <w:rPr/>
              <w:t>469,638</w:t>
            </w:r>
          </w:p>
        </w:tc>
        <w:tc>
          <w:tcPr>
            <w:tcW w:w="85" w:type="dxa"/>
            <w:tcBorders>
              <w:bottom w:val="single" w:sz="8" w:space="0" w:color="001C71"/>
            </w:tcBorders>
            <w:shd w:fill="E5E5E5" w:val="clear"/>
            <w:tcMar>
              <w:bottom w:w="4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Arriola resigned as Executive Vice President and Group President of the company effective July 3, 2020 and Mr. Bilicic resigned as President and Chief Legal Officer of the Company effective March 30, 2020. Because Mr. Arriola met the vesting requirements under our compensation plans due to age and years of service, we refer to his separation from service as a retirement in the Compensation Discussion and Analysis and related compensation tables in this proxy statement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In keeping with our retirement policy, Ms. Brown was not nominated to stand for re-election at the Annual Shareholders Meeting and will no longer serve as a director of the Company effective as of the election of directors at the Annual Shareholders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(C)</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None of our directors or executive officers beneficially owned any shares of our 6.75% Mandatory Convertible Preferred Stock, Series B, or our 4.875% Fixed-Rate Reset Cumulative Redeemable Perpetual Preferred Stock, Series C, at March 1, 2021; therefore, no such shares are shown in this table.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(D)</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Shares which may be acquired through the exercise of stock options that currently are exercisable or will become exercisable within 60 days after March 1,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(E)</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Phantom shares represent deferred compensation deemed invested in shares of our common stock. These phantom shares track the performance of our common stock but cannot be voted and may only be settled for cash. All phantom shares are either fully vested or will vest within 60 days after March 1, 2021. </w:t>
            </w:r>
          </w:p>
        </w:tc>
      </w:tr>
    </w:tbl>
    <w:p>
      <w:pPr>
        <w:pStyle w:val="TextBody"/>
        <w:spacing w:before="120" w:after="0"/>
        <w:jc w:val="left"/>
        <w:rPr>
          <w:rFonts w:ascii="arial" w:hAnsi="arial"/>
          <w:sz w:val="16"/>
        </w:rPr>
      </w:pPr>
      <w:r>
        <w:rPr>
          <w:rFonts w:ascii="arial" w:hAnsi="arial"/>
          <w:sz w:val="16"/>
        </w:rPr>
        <w:t xml:space="preserve">For information regarding share ownership guidelines applicable to our directors and executive officers, please see Corporate GovernanceBoard of DirectorsDirector Share Ownership Guidelines and Executive CompensationCompensation Discussion and AnalysisShare Ownership Guidelines, respectively.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25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Share Ownership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Based on a review of filings made under Section 13(g) of the Securities Exchange Act of 1934, as amended (Exchange Act), as of December 31, 2020, the persons or entities known by us to be a beneficial owner of more than 5% of our common stock were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76"/>
        <w:gridCol w:w="101"/>
        <w:gridCol w:w="3674"/>
        <w:gridCol w:w="101"/>
        <w:gridCol w:w="2553"/>
      </w:tblGrid>
      <w:tr>
        <w:trPr/>
        <w:tc>
          <w:tcPr>
            <w:tcW w:w="377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67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776" w:type="dxa"/>
            <w:tcBorders/>
            <w:shd w:fill="001C71" w:val="clear"/>
            <w:vAlign w:val="center"/>
          </w:tcPr>
          <w:p>
            <w:pPr>
              <w:pStyle w:val="TableContents"/>
              <w:spacing w:before="0" w:after="283"/>
              <w:rPr>
                <w:sz w:val="4"/>
                <w:szCs w:val="4"/>
              </w:rPr>
            </w:pPr>
            <w:r>
              <w:rPr>
                <w:sz w:val="4"/>
                <w:szCs w:val="4"/>
              </w:rPr>
            </w:r>
          </w:p>
        </w:tc>
        <w:tc>
          <w:tcPr>
            <w:tcW w:w="3775" w:type="dxa"/>
            <w:gridSpan w:val="2"/>
            <w:tcBorders/>
            <w:shd w:fill="001C71" w:val="clear"/>
            <w:vAlign w:val="center"/>
          </w:tcPr>
          <w:p>
            <w:pPr>
              <w:pStyle w:val="TableContents"/>
              <w:spacing w:before="0" w:after="283"/>
              <w:rPr>
                <w:sz w:val="4"/>
                <w:szCs w:val="4"/>
              </w:rPr>
            </w:pPr>
            <w:r>
              <w:rPr>
                <w:sz w:val="4"/>
                <w:szCs w:val="4"/>
              </w:rPr>
            </w:r>
          </w:p>
        </w:tc>
        <w:tc>
          <w:tcPr>
            <w:tcW w:w="2654" w:type="dxa"/>
            <w:gridSpan w:val="2"/>
            <w:tcBorders/>
            <w:shd w:fill="001C71" w:val="clear"/>
            <w:vAlign w:val="center"/>
          </w:tcPr>
          <w:p>
            <w:pPr>
              <w:pStyle w:val="TableContents"/>
              <w:spacing w:before="0" w:after="283"/>
              <w:rPr>
                <w:sz w:val="4"/>
                <w:szCs w:val="4"/>
              </w:rPr>
            </w:pPr>
            <w:r>
              <w:rPr>
                <w:sz w:val="4"/>
                <w:szCs w:val="4"/>
              </w:rPr>
            </w:r>
          </w:p>
        </w:tc>
      </w:tr>
      <w:tr>
        <w:trPr/>
        <w:tc>
          <w:tcPr>
            <w:tcW w:w="3776"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Name and Address of Beneficial Owner</w:t>
            </w:r>
          </w:p>
        </w:tc>
        <w:tc>
          <w:tcPr>
            <w:tcW w:w="101" w:type="dxa"/>
            <w:tcBorders/>
            <w:shd w:fill="001C71" w:val="clear"/>
            <w:vAlign w:val="bottom"/>
          </w:tcPr>
          <w:p>
            <w:pPr>
              <w:pStyle w:val="TableContents"/>
              <w:spacing w:before="0" w:after="283"/>
              <w:rPr/>
            </w:pPr>
            <w:r>
              <w:rPr/>
              <w:t> </w:t>
            </w:r>
          </w:p>
        </w:tc>
        <w:tc>
          <w:tcPr>
            <w:tcW w:w="3674" w:type="dxa"/>
            <w:tcBorders/>
            <w:shd w:fill="001C71" w:val="clear"/>
            <w:vAlign w:val="bottom"/>
          </w:tcPr>
          <w:p>
            <w:pPr>
              <w:pStyle w:val="TableContents"/>
              <w:spacing w:before="0" w:after="283"/>
              <w:jc w:val="center"/>
              <w:rPr>
                <w:b/>
                <w:color w:val="FFFFFF"/>
              </w:rPr>
            </w:pPr>
            <w:r>
              <w:rPr>
                <w:b/>
                <w:color w:val="FFFFFF"/>
              </w:rPr>
              <w:t>Shares of Sempra Energy Common Stock</w:t>
            </w:r>
          </w:p>
        </w:tc>
        <w:tc>
          <w:tcPr>
            <w:tcW w:w="101" w:type="dxa"/>
            <w:tcBorders/>
            <w:shd w:fill="001C71" w:val="clear"/>
            <w:vAlign w:val="bottom"/>
          </w:tcPr>
          <w:p>
            <w:pPr>
              <w:pStyle w:val="TableContents"/>
              <w:spacing w:before="0" w:after="283"/>
              <w:rPr/>
            </w:pPr>
            <w:r>
              <w:rPr/>
              <w:t> </w:t>
            </w:r>
          </w:p>
        </w:tc>
        <w:tc>
          <w:tcPr>
            <w:tcW w:w="2553" w:type="dxa"/>
            <w:tcBorders/>
            <w:shd w:fill="001C71" w:val="clear"/>
            <w:vAlign w:val="bottom"/>
          </w:tcPr>
          <w:p>
            <w:pPr>
              <w:pStyle w:val="TableContents"/>
              <w:spacing w:before="0" w:after="283"/>
              <w:jc w:val="center"/>
              <w:rPr>
                <w:b/>
                <w:color w:val="FFFFFF"/>
              </w:rPr>
            </w:pPr>
            <w:r>
              <w:rPr>
                <w:b/>
                <w:color w:val="FFFFFF"/>
              </w:rPr>
              <w:t>Percent of Class(F)</w:t>
            </w:r>
          </w:p>
        </w:tc>
      </w:tr>
      <w:tr>
        <w:trPr>
          <w:trHeight w:val="75" w:hRule="atLeast"/>
        </w:trPr>
        <w:tc>
          <w:tcPr>
            <w:tcW w:w="3776" w:type="dxa"/>
            <w:tcBorders/>
            <w:shd w:fill="E5E5E5" w:val="clear"/>
            <w:vAlign w:val="center"/>
          </w:tcPr>
          <w:p>
            <w:pPr>
              <w:pStyle w:val="TableContents"/>
              <w:spacing w:before="0" w:after="283"/>
              <w:rPr>
                <w:sz w:val="4"/>
                <w:szCs w:val="4"/>
              </w:rPr>
            </w:pPr>
            <w:r>
              <w:rPr>
                <w:sz w:val="4"/>
                <w:szCs w:val="4"/>
              </w:rPr>
            </w:r>
          </w:p>
        </w:tc>
        <w:tc>
          <w:tcPr>
            <w:tcW w:w="3775" w:type="dxa"/>
            <w:gridSpan w:val="2"/>
            <w:tcBorders/>
            <w:shd w:fill="E5E5E5" w:val="clear"/>
            <w:vAlign w:val="center"/>
          </w:tcPr>
          <w:p>
            <w:pPr>
              <w:pStyle w:val="TableContents"/>
              <w:spacing w:before="0" w:after="283"/>
              <w:rPr>
                <w:sz w:val="4"/>
                <w:szCs w:val="4"/>
              </w:rPr>
            </w:pPr>
            <w:r>
              <w:rPr>
                <w:sz w:val="4"/>
                <w:szCs w:val="4"/>
              </w:rPr>
            </w:r>
          </w:p>
        </w:tc>
        <w:tc>
          <w:tcPr>
            <w:tcW w:w="2654" w:type="dxa"/>
            <w:gridSpan w:val="2"/>
            <w:tcBorders/>
            <w:shd w:fill="E5E5E5" w:val="clear"/>
            <w:vAlign w:val="center"/>
          </w:tcPr>
          <w:p>
            <w:pPr>
              <w:pStyle w:val="TableContents"/>
              <w:spacing w:before="0" w:after="283"/>
              <w:rPr>
                <w:sz w:val="4"/>
                <w:szCs w:val="4"/>
              </w:rPr>
            </w:pPr>
            <w:r>
              <w:rPr>
                <w:sz w:val="4"/>
                <w:szCs w:val="4"/>
              </w:rPr>
            </w:r>
          </w:p>
        </w:tc>
      </w:tr>
      <w:tr>
        <w:trPr/>
        <w:tc>
          <w:tcPr>
            <w:tcW w:w="3776" w:type="dxa"/>
            <w:tcBorders/>
            <w:shd w:fill="E5E5E5" w:val="clear"/>
          </w:tcPr>
          <w:p>
            <w:pPr>
              <w:pStyle w:val="TableContents"/>
              <w:spacing w:before="0" w:after="0"/>
              <w:rPr>
                <w:rFonts w:ascii="arial" w:hAnsi="arial"/>
                <w:sz w:val="16"/>
              </w:rPr>
            </w:pPr>
            <w:r>
              <w:rPr>
                <w:rFonts w:ascii="arial" w:hAnsi="arial"/>
                <w:sz w:val="16"/>
              </w:rPr>
              <w:t>T. Rowe Price Associates, Inc. (A)</w:t>
            </w:r>
          </w:p>
          <w:p>
            <w:pPr>
              <w:pStyle w:val="TableContents"/>
              <w:spacing w:before="0" w:after="0"/>
              <w:rPr>
                <w:rFonts w:ascii="arial" w:hAnsi="arial"/>
                <w:sz w:val="16"/>
              </w:rPr>
            </w:pPr>
            <w:r>
              <w:rPr>
                <w:rFonts w:ascii="arial" w:hAnsi="arial"/>
                <w:sz w:val="16"/>
              </w:rPr>
              <w:t>100 E. Pratt Street</w:t>
            </w:r>
          </w:p>
          <w:p>
            <w:pPr>
              <w:pStyle w:val="TableContents"/>
              <w:spacing w:before="0" w:after="20"/>
              <w:rPr>
                <w:rFonts w:ascii="arial" w:hAnsi="arial"/>
                <w:sz w:val="16"/>
              </w:rPr>
            </w:pPr>
            <w:r>
              <w:rPr>
                <w:rFonts w:ascii="arial" w:hAnsi="arial"/>
                <w:sz w:val="16"/>
              </w:rPr>
              <w:t>Baltimore, MD 21202</w:t>
            </w:r>
          </w:p>
        </w:tc>
        <w:tc>
          <w:tcPr>
            <w:tcW w:w="101" w:type="dxa"/>
            <w:tcBorders/>
            <w:shd w:fill="E5E5E5" w:val="clear"/>
            <w:vAlign w:val="bottom"/>
          </w:tcPr>
          <w:p>
            <w:pPr>
              <w:pStyle w:val="TableContents"/>
              <w:spacing w:before="0" w:after="283"/>
              <w:rPr/>
            </w:pPr>
            <w:r>
              <w:rPr/>
              <w:t> </w:t>
            </w:r>
          </w:p>
        </w:tc>
        <w:tc>
          <w:tcPr>
            <w:tcW w:w="3674" w:type="dxa"/>
            <w:tcBorders/>
            <w:shd w:fill="E5E5E5" w:val="clear"/>
            <w:vAlign w:val="center"/>
          </w:tcPr>
          <w:p>
            <w:pPr>
              <w:pStyle w:val="TableContents"/>
              <w:spacing w:before="0" w:after="283"/>
              <w:jc w:val="center"/>
              <w:rPr/>
            </w:pPr>
            <w:r>
              <w:rPr/>
              <w:t>27,413,645</w:t>
            </w:r>
          </w:p>
        </w:tc>
        <w:tc>
          <w:tcPr>
            <w:tcW w:w="101" w:type="dxa"/>
            <w:tcBorders/>
            <w:shd w:fill="E5E5E5" w:val="clear"/>
            <w:vAlign w:val="bottom"/>
          </w:tcPr>
          <w:p>
            <w:pPr>
              <w:pStyle w:val="TableContents"/>
              <w:spacing w:before="0" w:after="283"/>
              <w:rPr/>
            </w:pPr>
            <w:r>
              <w:rPr/>
              <w:t> </w:t>
            </w:r>
          </w:p>
        </w:tc>
        <w:tc>
          <w:tcPr>
            <w:tcW w:w="2553" w:type="dxa"/>
            <w:tcBorders/>
            <w:shd w:fill="E5E5E5" w:val="clear"/>
            <w:vAlign w:val="center"/>
          </w:tcPr>
          <w:p>
            <w:pPr>
              <w:pStyle w:val="TableContents"/>
              <w:spacing w:before="0" w:after="283"/>
              <w:jc w:val="center"/>
              <w:rPr/>
            </w:pPr>
            <w:r>
              <w:rPr/>
              <w:t>9.1%</w:t>
            </w:r>
          </w:p>
        </w:tc>
      </w:tr>
      <w:tr>
        <w:trPr>
          <w:trHeight w:val="75" w:hRule="atLeast"/>
        </w:trPr>
        <w:tc>
          <w:tcPr>
            <w:tcW w:w="3776"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654"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spacing w:before="0" w:after="0"/>
              <w:rPr>
                <w:rFonts w:ascii="arial" w:hAnsi="arial"/>
                <w:sz w:val="16"/>
              </w:rPr>
            </w:pPr>
            <w:r>
              <w:rPr>
                <w:rFonts w:ascii="arial" w:hAnsi="arial"/>
                <w:sz w:val="16"/>
              </w:rPr>
              <w:t>The Vanguard Group (B)</w:t>
            </w:r>
          </w:p>
          <w:p>
            <w:pPr>
              <w:pStyle w:val="TableContents"/>
              <w:spacing w:before="0" w:after="0"/>
              <w:rPr>
                <w:rFonts w:ascii="arial" w:hAnsi="arial"/>
                <w:sz w:val="16"/>
              </w:rPr>
            </w:pPr>
            <w:r>
              <w:rPr>
                <w:rFonts w:ascii="arial" w:hAnsi="arial"/>
                <w:sz w:val="16"/>
              </w:rPr>
              <w:t>100 Vanguard Blvd.</w:t>
            </w:r>
          </w:p>
          <w:p>
            <w:pPr>
              <w:pStyle w:val="TableContents"/>
              <w:spacing w:before="0" w:after="20"/>
              <w:rPr>
                <w:rFonts w:ascii="arial" w:hAnsi="arial"/>
                <w:sz w:val="16"/>
              </w:rPr>
            </w:pPr>
            <w:r>
              <w:rPr>
                <w:rFonts w:ascii="arial" w:hAnsi="arial"/>
                <w:sz w:val="16"/>
              </w:rPr>
              <w:t>Malvern, PA 19355</w:t>
            </w:r>
          </w:p>
        </w:tc>
        <w:tc>
          <w:tcPr>
            <w:tcW w:w="101" w:type="dxa"/>
            <w:tcBorders/>
            <w:shd w:fill="auto" w:val="clear"/>
            <w:vAlign w:val="bottom"/>
          </w:tcPr>
          <w:p>
            <w:pPr>
              <w:pStyle w:val="TableContents"/>
              <w:spacing w:before="0" w:after="283"/>
              <w:rPr/>
            </w:pPr>
            <w:r>
              <w:rPr/>
              <w:t> </w:t>
            </w:r>
          </w:p>
        </w:tc>
        <w:tc>
          <w:tcPr>
            <w:tcW w:w="3674" w:type="dxa"/>
            <w:tcBorders/>
            <w:shd w:fill="auto" w:val="clear"/>
            <w:vAlign w:val="center"/>
          </w:tcPr>
          <w:p>
            <w:pPr>
              <w:pStyle w:val="TableContents"/>
              <w:spacing w:before="0" w:after="283"/>
              <w:jc w:val="center"/>
              <w:rPr/>
            </w:pPr>
            <w:r>
              <w:rPr/>
              <w:t>24,946,554</w:t>
            </w:r>
          </w:p>
        </w:tc>
        <w:tc>
          <w:tcPr>
            <w:tcW w:w="101" w:type="dxa"/>
            <w:tcBorders/>
            <w:shd w:fill="auto" w:val="clear"/>
            <w:vAlign w:val="bottom"/>
          </w:tcPr>
          <w:p>
            <w:pPr>
              <w:pStyle w:val="TableContents"/>
              <w:spacing w:before="0" w:after="283"/>
              <w:rPr/>
            </w:pPr>
            <w:r>
              <w:rPr/>
              <w:t> </w:t>
            </w:r>
          </w:p>
        </w:tc>
        <w:tc>
          <w:tcPr>
            <w:tcW w:w="2553" w:type="dxa"/>
            <w:tcBorders/>
            <w:shd w:fill="auto" w:val="clear"/>
            <w:vAlign w:val="center"/>
          </w:tcPr>
          <w:p>
            <w:pPr>
              <w:pStyle w:val="TableContents"/>
              <w:spacing w:before="0" w:after="283"/>
              <w:jc w:val="center"/>
              <w:rPr/>
            </w:pPr>
            <w:r>
              <w:rPr/>
              <w:t>8.2%</w:t>
            </w:r>
          </w:p>
        </w:tc>
      </w:tr>
      <w:tr>
        <w:trPr>
          <w:trHeight w:val="75" w:hRule="atLeast"/>
        </w:trPr>
        <w:tc>
          <w:tcPr>
            <w:tcW w:w="3776" w:type="dxa"/>
            <w:tcBorders/>
            <w:shd w:fill="E5E5E5" w:val="clear"/>
            <w:vAlign w:val="center"/>
          </w:tcPr>
          <w:p>
            <w:pPr>
              <w:pStyle w:val="TableContents"/>
              <w:spacing w:before="0" w:after="283"/>
              <w:rPr>
                <w:sz w:val="4"/>
                <w:szCs w:val="4"/>
              </w:rPr>
            </w:pPr>
            <w:r>
              <w:rPr>
                <w:sz w:val="4"/>
                <w:szCs w:val="4"/>
              </w:rPr>
            </w:r>
          </w:p>
        </w:tc>
        <w:tc>
          <w:tcPr>
            <w:tcW w:w="3775" w:type="dxa"/>
            <w:gridSpan w:val="2"/>
            <w:tcBorders/>
            <w:shd w:fill="E5E5E5" w:val="clear"/>
            <w:vAlign w:val="center"/>
          </w:tcPr>
          <w:p>
            <w:pPr>
              <w:pStyle w:val="TableContents"/>
              <w:spacing w:before="0" w:after="283"/>
              <w:rPr>
                <w:sz w:val="4"/>
                <w:szCs w:val="4"/>
              </w:rPr>
            </w:pPr>
            <w:r>
              <w:rPr>
                <w:sz w:val="4"/>
                <w:szCs w:val="4"/>
              </w:rPr>
            </w:r>
          </w:p>
        </w:tc>
        <w:tc>
          <w:tcPr>
            <w:tcW w:w="2654" w:type="dxa"/>
            <w:gridSpan w:val="2"/>
            <w:tcBorders/>
            <w:shd w:fill="E5E5E5" w:val="clear"/>
            <w:vAlign w:val="center"/>
          </w:tcPr>
          <w:p>
            <w:pPr>
              <w:pStyle w:val="TableContents"/>
              <w:spacing w:before="0" w:after="283"/>
              <w:rPr>
                <w:sz w:val="4"/>
                <w:szCs w:val="4"/>
              </w:rPr>
            </w:pPr>
            <w:r>
              <w:rPr>
                <w:sz w:val="4"/>
                <w:szCs w:val="4"/>
              </w:rPr>
            </w:r>
          </w:p>
        </w:tc>
      </w:tr>
      <w:tr>
        <w:trPr/>
        <w:tc>
          <w:tcPr>
            <w:tcW w:w="3776" w:type="dxa"/>
            <w:tcBorders/>
            <w:shd w:fill="E5E5E5" w:val="clear"/>
          </w:tcPr>
          <w:p>
            <w:pPr>
              <w:pStyle w:val="TableContents"/>
              <w:spacing w:before="0" w:after="0"/>
              <w:rPr>
                <w:rFonts w:ascii="arial" w:hAnsi="arial"/>
                <w:sz w:val="16"/>
              </w:rPr>
            </w:pPr>
            <w:r>
              <w:rPr>
                <w:rFonts w:ascii="arial" w:hAnsi="arial"/>
                <w:sz w:val="16"/>
              </w:rPr>
              <w:t>BlackRock, Inc. (C)</w:t>
            </w:r>
          </w:p>
          <w:p>
            <w:pPr>
              <w:pStyle w:val="TableContents"/>
              <w:spacing w:before="0" w:after="0"/>
              <w:rPr>
                <w:rFonts w:ascii="arial" w:hAnsi="arial"/>
                <w:sz w:val="16"/>
              </w:rPr>
            </w:pPr>
            <w:r>
              <w:rPr>
                <w:rFonts w:ascii="arial" w:hAnsi="arial"/>
                <w:sz w:val="16"/>
              </w:rPr>
              <w:t>55 East 52nd Street</w:t>
            </w:r>
          </w:p>
          <w:p>
            <w:pPr>
              <w:pStyle w:val="TableContents"/>
              <w:spacing w:before="0" w:after="20"/>
              <w:rPr>
                <w:rFonts w:ascii="arial" w:hAnsi="arial"/>
                <w:sz w:val="16"/>
              </w:rPr>
            </w:pPr>
            <w:r>
              <w:rPr>
                <w:rFonts w:ascii="arial" w:hAnsi="arial"/>
                <w:sz w:val="16"/>
              </w:rPr>
              <w:t>New York, NY 10055</w:t>
            </w:r>
          </w:p>
        </w:tc>
        <w:tc>
          <w:tcPr>
            <w:tcW w:w="101" w:type="dxa"/>
            <w:tcBorders/>
            <w:shd w:fill="E5E5E5" w:val="clear"/>
            <w:vAlign w:val="bottom"/>
          </w:tcPr>
          <w:p>
            <w:pPr>
              <w:pStyle w:val="TableContents"/>
              <w:spacing w:before="0" w:after="283"/>
              <w:rPr/>
            </w:pPr>
            <w:r>
              <w:rPr/>
              <w:t> </w:t>
            </w:r>
          </w:p>
        </w:tc>
        <w:tc>
          <w:tcPr>
            <w:tcW w:w="3674" w:type="dxa"/>
            <w:tcBorders/>
            <w:shd w:fill="E5E5E5" w:val="clear"/>
            <w:vAlign w:val="center"/>
          </w:tcPr>
          <w:p>
            <w:pPr>
              <w:pStyle w:val="TableContents"/>
              <w:spacing w:before="0" w:after="283"/>
              <w:jc w:val="center"/>
              <w:rPr/>
            </w:pPr>
            <w:r>
              <w:rPr/>
              <w:t>21,816,645</w:t>
            </w:r>
          </w:p>
        </w:tc>
        <w:tc>
          <w:tcPr>
            <w:tcW w:w="101" w:type="dxa"/>
            <w:tcBorders/>
            <w:shd w:fill="E5E5E5" w:val="clear"/>
            <w:vAlign w:val="bottom"/>
          </w:tcPr>
          <w:p>
            <w:pPr>
              <w:pStyle w:val="TableContents"/>
              <w:spacing w:before="0" w:after="283"/>
              <w:rPr/>
            </w:pPr>
            <w:r>
              <w:rPr/>
              <w:t> </w:t>
            </w:r>
          </w:p>
        </w:tc>
        <w:tc>
          <w:tcPr>
            <w:tcW w:w="2553" w:type="dxa"/>
            <w:tcBorders/>
            <w:shd w:fill="E5E5E5" w:val="clear"/>
            <w:vAlign w:val="center"/>
          </w:tcPr>
          <w:p>
            <w:pPr>
              <w:pStyle w:val="TableContents"/>
              <w:spacing w:before="0" w:after="283"/>
              <w:jc w:val="center"/>
              <w:rPr/>
            </w:pPr>
            <w:r>
              <w:rPr/>
              <w:t>7.2%</w:t>
            </w:r>
          </w:p>
        </w:tc>
      </w:tr>
      <w:tr>
        <w:trPr>
          <w:trHeight w:val="75" w:hRule="atLeast"/>
        </w:trPr>
        <w:tc>
          <w:tcPr>
            <w:tcW w:w="3776"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2654"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spacing w:before="0" w:after="0"/>
              <w:rPr>
                <w:rFonts w:ascii="arial" w:hAnsi="arial"/>
                <w:sz w:val="16"/>
              </w:rPr>
            </w:pPr>
            <w:r>
              <w:rPr>
                <w:rFonts w:ascii="arial" w:hAnsi="arial"/>
                <w:sz w:val="16"/>
              </w:rPr>
              <w:t xml:space="preserve">Capital International Investors, division of </w:t>
              <w:br/>
              <w:t>Capital Research and Management Company (D)</w:t>
            </w:r>
          </w:p>
          <w:p>
            <w:pPr>
              <w:pStyle w:val="TableContents"/>
              <w:spacing w:before="0" w:after="0"/>
              <w:rPr>
                <w:rFonts w:ascii="arial" w:hAnsi="arial"/>
                <w:sz w:val="16"/>
              </w:rPr>
            </w:pPr>
            <w:r>
              <w:rPr>
                <w:rFonts w:ascii="arial" w:hAnsi="arial"/>
                <w:sz w:val="16"/>
              </w:rPr>
              <w:t>333 South Hope Street, 55th Floor</w:t>
            </w:r>
          </w:p>
          <w:p>
            <w:pPr>
              <w:pStyle w:val="TableContents"/>
              <w:spacing w:before="0" w:after="20"/>
              <w:rPr>
                <w:rFonts w:ascii="arial" w:hAnsi="arial"/>
                <w:sz w:val="16"/>
              </w:rPr>
            </w:pPr>
            <w:r>
              <w:rPr>
                <w:rFonts w:ascii="arial" w:hAnsi="arial"/>
                <w:sz w:val="16"/>
              </w:rPr>
              <w:t>Los Angeles, CA 90071</w:t>
            </w:r>
          </w:p>
        </w:tc>
        <w:tc>
          <w:tcPr>
            <w:tcW w:w="101" w:type="dxa"/>
            <w:tcBorders/>
            <w:shd w:fill="auto" w:val="clear"/>
            <w:vAlign w:val="bottom"/>
          </w:tcPr>
          <w:p>
            <w:pPr>
              <w:pStyle w:val="TableContents"/>
              <w:spacing w:before="0" w:after="283"/>
              <w:rPr/>
            </w:pPr>
            <w:r>
              <w:rPr/>
              <w:t> </w:t>
            </w:r>
          </w:p>
        </w:tc>
        <w:tc>
          <w:tcPr>
            <w:tcW w:w="3674" w:type="dxa"/>
            <w:tcBorders/>
            <w:shd w:fill="auto" w:val="clear"/>
            <w:vAlign w:val="center"/>
          </w:tcPr>
          <w:p>
            <w:pPr>
              <w:pStyle w:val="TableContents"/>
              <w:spacing w:before="0" w:after="283"/>
              <w:jc w:val="center"/>
              <w:rPr/>
            </w:pPr>
            <w:r>
              <w:rPr/>
              <w:t>20,887,964</w:t>
            </w:r>
          </w:p>
        </w:tc>
        <w:tc>
          <w:tcPr>
            <w:tcW w:w="101" w:type="dxa"/>
            <w:tcBorders/>
            <w:shd w:fill="auto" w:val="clear"/>
            <w:vAlign w:val="bottom"/>
          </w:tcPr>
          <w:p>
            <w:pPr>
              <w:pStyle w:val="TableContents"/>
              <w:spacing w:before="0" w:after="283"/>
              <w:rPr/>
            </w:pPr>
            <w:r>
              <w:rPr/>
              <w:t> </w:t>
            </w:r>
          </w:p>
        </w:tc>
        <w:tc>
          <w:tcPr>
            <w:tcW w:w="2553" w:type="dxa"/>
            <w:tcBorders/>
            <w:shd w:fill="auto" w:val="clear"/>
            <w:vAlign w:val="center"/>
          </w:tcPr>
          <w:p>
            <w:pPr>
              <w:pStyle w:val="TableContents"/>
              <w:spacing w:before="0" w:after="283"/>
              <w:jc w:val="center"/>
              <w:rPr/>
            </w:pPr>
            <w:r>
              <w:rPr/>
              <w:t>6.8%</w:t>
            </w:r>
          </w:p>
        </w:tc>
      </w:tr>
      <w:tr>
        <w:trPr>
          <w:trHeight w:val="75" w:hRule="atLeast"/>
        </w:trPr>
        <w:tc>
          <w:tcPr>
            <w:tcW w:w="3776" w:type="dxa"/>
            <w:tcBorders/>
            <w:shd w:fill="E5E5E5" w:val="clear"/>
            <w:vAlign w:val="center"/>
          </w:tcPr>
          <w:p>
            <w:pPr>
              <w:pStyle w:val="TableContents"/>
              <w:spacing w:before="0" w:after="283"/>
              <w:rPr>
                <w:sz w:val="4"/>
                <w:szCs w:val="4"/>
              </w:rPr>
            </w:pPr>
            <w:r>
              <w:rPr>
                <w:sz w:val="4"/>
                <w:szCs w:val="4"/>
              </w:rPr>
            </w:r>
          </w:p>
        </w:tc>
        <w:tc>
          <w:tcPr>
            <w:tcW w:w="3775" w:type="dxa"/>
            <w:gridSpan w:val="2"/>
            <w:tcBorders/>
            <w:shd w:fill="E5E5E5" w:val="clear"/>
            <w:vAlign w:val="center"/>
          </w:tcPr>
          <w:p>
            <w:pPr>
              <w:pStyle w:val="TableContents"/>
              <w:spacing w:before="0" w:after="283"/>
              <w:rPr>
                <w:sz w:val="4"/>
                <w:szCs w:val="4"/>
              </w:rPr>
            </w:pPr>
            <w:r>
              <w:rPr>
                <w:sz w:val="4"/>
                <w:szCs w:val="4"/>
              </w:rPr>
            </w:r>
          </w:p>
        </w:tc>
        <w:tc>
          <w:tcPr>
            <w:tcW w:w="2654" w:type="dxa"/>
            <w:gridSpan w:val="2"/>
            <w:tcBorders/>
            <w:shd w:fill="E5E5E5" w:val="clear"/>
            <w:vAlign w:val="center"/>
          </w:tcPr>
          <w:p>
            <w:pPr>
              <w:pStyle w:val="TableContents"/>
              <w:spacing w:before="0" w:after="283"/>
              <w:rPr>
                <w:sz w:val="4"/>
                <w:szCs w:val="4"/>
              </w:rPr>
            </w:pPr>
            <w:r>
              <w:rPr>
                <w:sz w:val="4"/>
                <w:szCs w:val="4"/>
              </w:rPr>
            </w:r>
          </w:p>
        </w:tc>
      </w:tr>
      <w:tr>
        <w:trPr/>
        <w:tc>
          <w:tcPr>
            <w:tcW w:w="3776" w:type="dxa"/>
            <w:tcBorders>
              <w:bottom w:val="single" w:sz="8" w:space="0" w:color="001C71"/>
            </w:tcBorders>
            <w:shd w:fill="E5E5E5" w:val="clear"/>
            <w:tcMar>
              <w:bottom w:w="40" w:type="dxa"/>
            </w:tcMar>
          </w:tcPr>
          <w:p>
            <w:pPr>
              <w:pStyle w:val="TableContents"/>
              <w:spacing w:before="0" w:after="0"/>
              <w:rPr>
                <w:rFonts w:ascii="arial" w:hAnsi="arial"/>
                <w:sz w:val="16"/>
              </w:rPr>
            </w:pPr>
            <w:r>
              <w:rPr>
                <w:rFonts w:ascii="arial" w:hAnsi="arial"/>
                <w:sz w:val="16"/>
              </w:rPr>
              <w:t>State Street Corporation (E)</w:t>
            </w:r>
          </w:p>
          <w:p>
            <w:pPr>
              <w:pStyle w:val="TableContents"/>
              <w:spacing w:before="0" w:after="0"/>
              <w:rPr>
                <w:rFonts w:ascii="arial" w:hAnsi="arial"/>
                <w:sz w:val="16"/>
              </w:rPr>
            </w:pPr>
            <w:r>
              <w:rPr>
                <w:rFonts w:ascii="arial" w:hAnsi="arial"/>
                <w:sz w:val="16"/>
              </w:rPr>
              <w:t>State Street Financial Center</w:t>
            </w:r>
          </w:p>
          <w:p>
            <w:pPr>
              <w:pStyle w:val="TableContents"/>
              <w:spacing w:before="0" w:after="0"/>
              <w:rPr>
                <w:rFonts w:ascii="arial" w:hAnsi="arial"/>
                <w:sz w:val="16"/>
              </w:rPr>
            </w:pPr>
            <w:r>
              <w:rPr>
                <w:rFonts w:ascii="arial" w:hAnsi="arial"/>
                <w:sz w:val="16"/>
              </w:rPr>
              <w:t>One Lincoln Street</w:t>
            </w:r>
          </w:p>
          <w:p>
            <w:pPr>
              <w:pStyle w:val="TableContents"/>
              <w:spacing w:before="0" w:after="20"/>
              <w:rPr>
                <w:rFonts w:ascii="arial" w:hAnsi="arial"/>
                <w:sz w:val="16"/>
              </w:rPr>
            </w:pPr>
            <w:r>
              <w:rPr>
                <w:rFonts w:ascii="arial" w:hAnsi="arial"/>
                <w:sz w:val="16"/>
              </w:rPr>
              <w:t>Boston, MA 02111</w:t>
            </w:r>
          </w:p>
        </w:tc>
        <w:tc>
          <w:tcPr>
            <w:tcW w:w="101" w:type="dxa"/>
            <w:tcBorders>
              <w:bottom w:val="single" w:sz="8" w:space="0" w:color="001C71"/>
            </w:tcBorders>
            <w:shd w:fill="E5E5E5" w:val="clear"/>
            <w:tcMar>
              <w:bottom w:w="28" w:type="dxa"/>
            </w:tcMar>
            <w:vAlign w:val="bottom"/>
          </w:tcPr>
          <w:p>
            <w:pPr>
              <w:pStyle w:val="TableContents"/>
              <w:spacing w:before="0" w:after="283"/>
              <w:rPr/>
            </w:pPr>
            <w:r>
              <w:rPr/>
              <w:t> </w:t>
            </w:r>
          </w:p>
        </w:tc>
        <w:tc>
          <w:tcPr>
            <w:tcW w:w="3674" w:type="dxa"/>
            <w:tcBorders>
              <w:bottom w:val="single" w:sz="8" w:space="0" w:color="001C71"/>
            </w:tcBorders>
            <w:shd w:fill="E5E5E5" w:val="clear"/>
            <w:tcMar>
              <w:bottom w:w="40" w:type="dxa"/>
            </w:tcMar>
            <w:vAlign w:val="center"/>
          </w:tcPr>
          <w:p>
            <w:pPr>
              <w:pStyle w:val="TableContents"/>
              <w:spacing w:before="0" w:after="283"/>
              <w:jc w:val="center"/>
              <w:rPr/>
            </w:pPr>
            <w:r>
              <w:rPr/>
              <w:t>15,712,593</w:t>
            </w:r>
          </w:p>
        </w:tc>
        <w:tc>
          <w:tcPr>
            <w:tcW w:w="101" w:type="dxa"/>
            <w:tcBorders>
              <w:bottom w:val="single" w:sz="8" w:space="0" w:color="001C71"/>
            </w:tcBorders>
            <w:shd w:fill="E5E5E5" w:val="clear"/>
            <w:tcMar>
              <w:bottom w:w="28" w:type="dxa"/>
            </w:tcMar>
            <w:vAlign w:val="bottom"/>
          </w:tcPr>
          <w:p>
            <w:pPr>
              <w:pStyle w:val="TableContents"/>
              <w:spacing w:before="0" w:after="283"/>
              <w:rPr/>
            </w:pPr>
            <w:r>
              <w:rPr/>
              <w:t> </w:t>
            </w:r>
          </w:p>
        </w:tc>
        <w:tc>
          <w:tcPr>
            <w:tcW w:w="2553" w:type="dxa"/>
            <w:tcBorders>
              <w:bottom w:val="single" w:sz="8" w:space="0" w:color="001C71"/>
            </w:tcBorders>
            <w:shd w:fill="E5E5E5" w:val="clear"/>
            <w:tcMar>
              <w:bottom w:w="40" w:type="dxa"/>
            </w:tcMar>
            <w:vAlign w:val="center"/>
          </w:tcPr>
          <w:p>
            <w:pPr>
              <w:pStyle w:val="TableContents"/>
              <w:spacing w:before="0" w:after="283"/>
              <w:jc w:val="center"/>
              <w:rPr/>
            </w:pPr>
            <w:r>
              <w:rPr/>
              <w:t>5.2%</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information regarding T. Rowe Price Associates, Inc. is based solely on a Schedule 13G/A filed by T. Rowe Price Associates, Inc. with the SEC on February 16, 2021 reflecting shares of our common stock beneficially owned as of December 31, 2020 (the TRP 13G/A). According to the TRP 13G/A, includes sole voting power with respect to 12,755,869 shares and sole dispositive power with respect to 27,413,645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information regarding The Vanguard Group is based solely on a Schedule 13G/A filed by The Vanguard Group with the SEC on February 10, 2021 reflecting shares of our common stock beneficially owned as of December 31, 2020 (the Vanguard 13G/A). According to the Vanguard 13G/A, includes sole dispositive power with respect to 23,483,469 shares, shared voting power with respect to 651,573 shares and shared dispositive power with respect to 1,463,085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(C)</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information regarding BlackRock, Inc. is based solely on a Schedule 13G/A filed by BlackRock, Inc. with the SEC on February 5, 2021 reflecting shares of our common stock beneficially owned as of December 31, 2020 (the BlackRock 13G/A). According to the BlackRock 13G/A, includes sole voting power with respect to 18,813,504 shares and sole dispositive power with respect to 21,816,645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(D)</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information regarding Capital International Investors, a division of Capital Research and Management Company, as well as certain of its investment management subsidiaries and affiliates (Capital), is based solely on a Schedule 13G/A filed by Capital with the SEC on February 16, 2021 reflecting shares of our common stock beneficially owned as of December 31, 2020 (the Capital 13G/A). According to the Capital 13G/A, includes shares of our common stock that would have resulted from the conversion of 3,052,907 shares of our convertible preferred stock, as well as sole voting power with respect to 21,366,145 shares of our common stock and sole dispositive power with respect to 21,409,401 shares of our common stock. Based on the information included in the Capital 13G/A, we have computed Capitals beneficial ownership for purposes of this table pursuant to Rule 13d-3(d)(1)(i) under the Exchange Act assuming that such shares of our convertible preferred stock were our 6% Mandatory Convertible Preferred Stock, Series A, which, if they had been converted into shares of our common stock on December 31, 2020 at the election of the holder, would have resulted in the issuance of 2,362,950 shares of our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(E)</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information regarding State Street Corporation is based solely on a Schedule 13G filed by State Street Corporation with the SEC on February 10, 2021 reflecting shares of our common stock beneficially owned as of December 31, 2020 (the State Street 13G). According to the State Street 13G, includes shared voting power with respect to 14,241,551 shares and shared dispositive power with respect to 15,710,893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(F)</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percentages are calculated based on (i) the number of shares of our common stock reflected as being beneficially owned by each beneficial owner in its filing made under Section 13(g) of the Exchange Act as described in the other footnotes to this table, and (ii) 302,705,890 shares of our common stock outstanding as of March 1, 2021. </w:t>
            </w:r>
          </w:p>
        </w:tc>
      </w:tr>
    </w:tbl>
    <w:p>
      <w:pPr>
        <w:pStyle w:val="TextBody"/>
        <w:spacing w:before="280" w:after="0"/>
        <w:jc w:val="left"/>
        <w:rPr>
          <w:rFonts w:ascii="arial" w:hAnsi="arial"/>
          <w:b/>
          <w:sz w:val="20"/>
        </w:rPr>
      </w:pPr>
      <w:r>
        <w:rPr>
          <w:rFonts w:ascii="arial" w:hAnsi="arial"/>
          <w:b/>
          <w:sz w:val="20"/>
        </w:rPr>
        <w:t xml:space="preserve">Delinquent Section 16(a) Reports </w:t>
      </w:r>
    </w:p>
    <w:p>
      <w:pPr>
        <w:pStyle w:val="TextBody"/>
        <w:spacing w:before="120" w:after="0"/>
        <w:jc w:val="left"/>
        <w:rPr>
          <w:rFonts w:ascii="arial" w:hAnsi="arial"/>
          <w:sz w:val="16"/>
        </w:rPr>
      </w:pPr>
      <w:r>
        <w:rPr>
          <w:rFonts w:ascii="arial" w:hAnsi="arial"/>
          <w:sz w:val="16"/>
        </w:rPr>
        <w:t xml:space="preserve">Our directors and executive officers, as well as persons who beneficially own more than 10% of our common stock, are required to file reports with the SEC regarding certain transactions in our equity securities. During 2020, one such transaction for an award of restricted stock units granted to Peter R. Wall was reported on one late-filed Form 4.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26</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xml:space="preserve">  </w:t>
      </w:r>
    </w:p>
    <w:p>
      <w:pPr>
        <w:pStyle w:val="TextBody"/>
        <w:spacing w:before="0" w:after="0"/>
        <w:jc w:val="left"/>
        <w:rPr>
          <w:rFonts w:ascii="arial" w:hAnsi="arial"/>
          <w:b/>
          <w:color w:val="001C71"/>
          <w:sz w:val="44"/>
        </w:rPr>
      </w:pPr>
      <w:bookmarkStart w:id="12" w:name="toc108157_10"/>
      <w:bookmarkEnd w:id="12"/>
      <w:r>
        <w:rPr>
          <w:rFonts w:ascii="arial" w:hAnsi="arial"/>
          <w:b/>
          <w:color w:val="001C71"/>
          <w:sz w:val="44"/>
        </w:rPr>
        <w:t xml:space="preserve">Proposals to be Voted On </w:t>
      </w:r>
    </w:p>
    <w:p>
      <w:pPr>
        <w:pStyle w:val="TextBody"/>
        <w:spacing w:before="360" w:after="0"/>
        <w:jc w:val="left"/>
        <w:rPr>
          <w:rFonts w:ascii="arial" w:hAnsi="arial"/>
          <w:b/>
          <w:sz w:val="35"/>
        </w:rPr>
      </w:pPr>
      <w:bookmarkStart w:id="13" w:name="toc108157_11"/>
      <w:bookmarkEnd w:id="13"/>
      <w:r>
        <w:rPr>
          <w:rFonts w:ascii="arial" w:hAnsi="arial"/>
          <w:b/>
          <w:sz w:val="35"/>
        </w:rPr>
        <w:t xml:space="preserve">Board of Directors Proposals </w:t>
      </w:r>
    </w:p>
    <w:p>
      <w:pPr>
        <w:pStyle w:val="TextBody"/>
        <w:spacing w:before="360" w:after="0"/>
        <w:jc w:val="left"/>
        <w:rPr>
          <w:rFonts w:ascii="arial" w:hAnsi="arial"/>
          <w:sz w:val="16"/>
        </w:rPr>
      </w:pPr>
      <w:r>
        <w:rPr>
          <w:rFonts w:ascii="arial" w:hAnsi="arial"/>
          <w:sz w:val="16"/>
        </w:rPr>
        <w:t xml:space="preserve">Proposals 1, 2 and 3 have been included in this proxy statement at the direction of the Board of Directors. The board recommends that you vote FOR each director nominee in Proposal 1 and FOR each of Proposals 2 and 3. </w:t>
      </w:r>
    </w:p>
    <w:p>
      <w:pPr>
        <w:pStyle w:val="TextBody"/>
        <w:spacing w:before="360" w:after="0"/>
        <w:jc w:val="left"/>
        <w:rPr>
          <w:rFonts w:ascii="arial" w:hAnsi="arial"/>
          <w:sz w:val="28"/>
        </w:rPr>
      </w:pPr>
      <w:bookmarkStart w:id="14" w:name="toc108157_12"/>
      <w:bookmarkEnd w:id="14"/>
      <w:r>
        <w:rPr>
          <w:rFonts w:ascii="arial" w:hAnsi="arial"/>
          <w:sz w:val="28"/>
        </w:rPr>
        <w:t xml:space="preserve">Proposal 1: Election of Directors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Directors are elected at each annual meeting of our shareholders for terms expiring at the next annual meeting of our shareholders. The Board of Directors has nominated the following 12 individuals to stand for election as directors, all of whom are currently directors: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040"/>
        <w:gridCol w:w="1700"/>
        <w:gridCol w:w="1671"/>
        <w:gridCol w:w="1700"/>
        <w:gridCol w:w="1461"/>
      </w:tblGrid>
      <w:tr>
        <w:trPr/>
        <w:tc>
          <w:tcPr>
            <w:tcW w:w="204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bottom"/>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bottom"/>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r>
      <w:tr>
        <w:trPr/>
        <w:tc>
          <w:tcPr>
            <w:tcW w:w="2040" w:type="dxa"/>
            <w:tcBorders/>
            <w:shd w:fill="auto" w:val="clear"/>
          </w:tcPr>
          <w:p>
            <w:pPr>
              <w:pStyle w:val="TableContents"/>
              <w:rPr/>
            </w:pPr>
            <w:r>
              <w:rPr/>
              <w:t>Alan L. Boeckmann</w:t>
            </w:r>
          </w:p>
          <w:p>
            <w:pPr>
              <w:pStyle w:val="TableContents"/>
              <w:spacing w:before="0" w:after="0"/>
              <w:rPr/>
            </w:pPr>
            <w:r>
              <w:rPr/>
              <w:t> </w:t>
            </w:r>
          </w:p>
          <w:p>
            <w:pPr>
              <w:pStyle w:val="TableContents"/>
              <w:spacing w:before="0" w:after="0"/>
              <w:rPr>
                <w:rFonts w:ascii="arial" w:hAnsi="arial"/>
                <w:sz w:val="16"/>
              </w:rPr>
            </w:pPr>
            <w:r>
              <w:rPr>
                <w:rFonts w:ascii="arial" w:hAnsi="arial"/>
                <w:sz w:val="16"/>
              </w:rPr>
              <w:t>Andrés Conesa</w:t>
            </w:r>
          </w:p>
          <w:p>
            <w:pPr>
              <w:pStyle w:val="TableContents"/>
              <w:spacing w:before="0" w:after="0"/>
              <w:rPr/>
            </w:pPr>
            <w:r>
              <w:rPr/>
              <w:t> </w:t>
            </w:r>
          </w:p>
          <w:p>
            <w:pPr>
              <w:pStyle w:val="TableContents"/>
              <w:spacing w:before="0" w:after="0"/>
              <w:rPr>
                <w:rFonts w:ascii="arial" w:hAnsi="arial"/>
                <w:sz w:val="16"/>
              </w:rPr>
            </w:pPr>
            <w:r>
              <w:rPr>
                <w:rFonts w:ascii="arial" w:hAnsi="arial"/>
                <w:sz w:val="16"/>
              </w:rPr>
              <w:t>Maria Contreras-Sweet</w:t>
            </w:r>
          </w:p>
          <w:p>
            <w:pPr>
              <w:pStyle w:val="TableContents"/>
              <w:spacing w:before="0" w:after="0"/>
              <w:rPr/>
            </w:pPr>
            <w:r>
              <w:rPr/>
              <w:t> </w:t>
            </w:r>
          </w:p>
          <w:p>
            <w:pPr>
              <w:pStyle w:val="TableContents"/>
              <w:spacing w:before="0" w:after="20"/>
              <w:rPr>
                <w:rFonts w:ascii="arial" w:hAnsi="arial"/>
                <w:sz w:val="16"/>
              </w:rPr>
            </w:pPr>
            <w:r>
              <w:rPr>
                <w:rFonts w:ascii="arial" w:hAnsi="arial"/>
                <w:sz w:val="16"/>
              </w:rPr>
              <w:t>Pablo A. Ferrero</w:t>
            </w:r>
          </w:p>
        </w:tc>
        <w:tc>
          <w:tcPr>
            <w:tcW w:w="1700" w:type="dxa"/>
            <w:tcBorders/>
            <w:shd w:fill="auto" w:val="clear"/>
            <w:vAlign w:val="bottom"/>
          </w:tcPr>
          <w:p>
            <w:pPr>
              <w:pStyle w:val="TableContents"/>
              <w:spacing w:before="0" w:after="283"/>
              <w:rPr/>
            </w:pPr>
            <w:r>
              <w:rPr/>
              <w:t> </w:t>
            </w:r>
          </w:p>
        </w:tc>
        <w:tc>
          <w:tcPr>
            <w:tcW w:w="1671" w:type="dxa"/>
            <w:tcBorders/>
            <w:shd w:fill="auto" w:val="clear"/>
          </w:tcPr>
          <w:p>
            <w:pPr>
              <w:pStyle w:val="TableContents"/>
              <w:rPr/>
            </w:pPr>
            <w:r>
              <w:rPr/>
              <w:t>William D. Jones</w:t>
            </w:r>
          </w:p>
          <w:p>
            <w:pPr>
              <w:pStyle w:val="TableContents"/>
              <w:spacing w:before="0" w:after="0"/>
              <w:rPr/>
            </w:pPr>
            <w:r>
              <w:rPr/>
              <w:t> </w:t>
            </w:r>
          </w:p>
          <w:p>
            <w:pPr>
              <w:pStyle w:val="TableContents"/>
              <w:spacing w:before="0" w:after="0"/>
              <w:rPr>
                <w:rFonts w:ascii="arial" w:hAnsi="arial"/>
                <w:sz w:val="16"/>
              </w:rPr>
            </w:pPr>
            <w:r>
              <w:rPr>
                <w:rFonts w:ascii="arial" w:hAnsi="arial"/>
                <w:sz w:val="16"/>
              </w:rPr>
              <w:t>Jeffrey W. Martin</w:t>
            </w:r>
          </w:p>
          <w:p>
            <w:pPr>
              <w:pStyle w:val="TableContents"/>
              <w:spacing w:before="0" w:after="0"/>
              <w:rPr/>
            </w:pPr>
            <w:r>
              <w:rPr/>
              <w:t> </w:t>
            </w:r>
          </w:p>
          <w:p>
            <w:pPr>
              <w:pStyle w:val="TableContents"/>
              <w:spacing w:before="0" w:after="0"/>
              <w:rPr>
                <w:rFonts w:ascii="arial" w:hAnsi="arial"/>
                <w:sz w:val="16"/>
              </w:rPr>
            </w:pPr>
            <w:r>
              <w:rPr>
                <w:rFonts w:ascii="arial" w:hAnsi="arial"/>
                <w:sz w:val="16"/>
              </w:rPr>
              <w:t>Bethany J. Mayer</w:t>
            </w:r>
          </w:p>
          <w:p>
            <w:pPr>
              <w:pStyle w:val="TableContents"/>
              <w:spacing w:before="0" w:after="0"/>
              <w:rPr/>
            </w:pPr>
            <w:r>
              <w:rPr/>
              <w:t> </w:t>
            </w:r>
          </w:p>
          <w:p>
            <w:pPr>
              <w:pStyle w:val="TableContents"/>
              <w:spacing w:before="0" w:after="20"/>
              <w:rPr>
                <w:rFonts w:ascii="arial" w:hAnsi="arial"/>
                <w:sz w:val="16"/>
              </w:rPr>
            </w:pPr>
            <w:r>
              <w:rPr>
                <w:rFonts w:ascii="arial" w:hAnsi="arial"/>
                <w:sz w:val="16"/>
              </w:rPr>
              <w:t>Michael N. Mears</w:t>
            </w:r>
          </w:p>
        </w:tc>
        <w:tc>
          <w:tcPr>
            <w:tcW w:w="1700" w:type="dxa"/>
            <w:tcBorders/>
            <w:shd w:fill="auto" w:val="clear"/>
            <w:vAlign w:val="bottom"/>
          </w:tcPr>
          <w:p>
            <w:pPr>
              <w:pStyle w:val="TableContents"/>
              <w:spacing w:before="0" w:after="283"/>
              <w:rPr/>
            </w:pPr>
            <w:r>
              <w:rPr/>
              <w:t> </w:t>
            </w:r>
          </w:p>
        </w:tc>
        <w:tc>
          <w:tcPr>
            <w:tcW w:w="1461" w:type="dxa"/>
            <w:tcBorders/>
            <w:shd w:fill="auto" w:val="clear"/>
          </w:tcPr>
          <w:p>
            <w:pPr>
              <w:pStyle w:val="TableContents"/>
              <w:rPr/>
            </w:pPr>
            <w:r>
              <w:rPr/>
              <w:t>Jack T. Taylor</w:t>
            </w:r>
          </w:p>
          <w:p>
            <w:pPr>
              <w:pStyle w:val="TableContents"/>
              <w:spacing w:before="0" w:after="0"/>
              <w:rPr/>
            </w:pPr>
            <w:r>
              <w:rPr/>
              <w:t> </w:t>
            </w:r>
          </w:p>
          <w:p>
            <w:pPr>
              <w:pStyle w:val="TableContents"/>
              <w:spacing w:before="0" w:after="0"/>
              <w:rPr>
                <w:rFonts w:ascii="arial" w:hAnsi="arial"/>
                <w:sz w:val="16"/>
              </w:rPr>
            </w:pPr>
            <w:r>
              <w:rPr>
                <w:rFonts w:ascii="arial" w:hAnsi="arial"/>
                <w:sz w:val="16"/>
              </w:rPr>
              <w:t>Cynthia L. Walker</w:t>
            </w:r>
          </w:p>
          <w:p>
            <w:pPr>
              <w:pStyle w:val="TableContents"/>
              <w:spacing w:before="0" w:after="0"/>
              <w:rPr/>
            </w:pPr>
            <w:r>
              <w:rPr/>
              <w:t> </w:t>
            </w:r>
          </w:p>
          <w:p>
            <w:pPr>
              <w:pStyle w:val="TableContents"/>
              <w:spacing w:before="0" w:after="0"/>
              <w:rPr>
                <w:rFonts w:ascii="arial" w:hAnsi="arial"/>
                <w:sz w:val="16"/>
              </w:rPr>
            </w:pPr>
            <w:r>
              <w:rPr>
                <w:rFonts w:ascii="arial" w:hAnsi="arial"/>
                <w:sz w:val="16"/>
              </w:rPr>
              <w:t>Cynthia J. Warner</w:t>
            </w:r>
          </w:p>
          <w:p>
            <w:pPr>
              <w:pStyle w:val="TableContents"/>
              <w:spacing w:before="0" w:after="0"/>
              <w:rPr/>
            </w:pPr>
            <w:r>
              <w:rPr/>
              <w:t> </w:t>
            </w:r>
          </w:p>
          <w:p>
            <w:pPr>
              <w:pStyle w:val="TableContents"/>
              <w:spacing w:before="0" w:after="20"/>
              <w:rPr>
                <w:rFonts w:ascii="arial" w:hAnsi="arial"/>
                <w:sz w:val="16"/>
              </w:rPr>
            </w:pPr>
            <w:r>
              <w:rPr>
                <w:rFonts w:ascii="arial" w:hAnsi="arial"/>
                <w:sz w:val="16"/>
              </w:rPr>
              <w:t>James C. Yardley</w:t>
            </w:r>
          </w:p>
        </w:tc>
      </w:tr>
    </w:tbl>
    <w:p>
      <w:pPr>
        <w:pStyle w:val="TextBody"/>
        <w:spacing w:before="160" w:after="0"/>
        <w:jc w:val="left"/>
        <w:rPr>
          <w:rFonts w:ascii="arial" w:hAnsi="arial"/>
          <w:sz w:val="16"/>
        </w:rPr>
      </w:pPr>
      <w:r>
        <w:rPr>
          <w:rFonts w:ascii="arial" w:hAnsi="arial"/>
          <w:sz w:val="16"/>
        </w:rPr>
        <w:t xml:space="preserve">Properly executed proxies will be voted FOR each of these 12 nominees unless other instructions are specified. If any nominee should become unavailable to serve, the proxies may be voted for a substitute nominee designated by the board, or the board may reduce the authorized number of directors. In no event may the proxies be voted for more than 12 nominees. </w:t>
      </w:r>
    </w:p>
    <w:p>
      <w:pPr>
        <w:pStyle w:val="TextBody"/>
        <w:spacing w:before="160" w:after="0"/>
        <w:jc w:val="left"/>
        <w:rPr>
          <w:rFonts w:ascii="arial" w:hAnsi="arial"/>
          <w:sz w:val="16"/>
        </w:rPr>
      </w:pPr>
      <w:r>
        <w:rPr>
          <w:rFonts w:ascii="arial" w:hAnsi="arial"/>
          <w:sz w:val="16"/>
        </w:rPr>
        <w:t xml:space="preserve">In keeping with our retirement policy, Kathleen L. Brown was not nominated to stand for re-election and, immediately following this years Annual Shareholders Meeting, as adjourned or postponed, Ms. Brown will no longer serve as a director of the company. </w:t>
      </w:r>
    </w:p>
    <w:p>
      <w:pPr>
        <w:pStyle w:val="TextBody"/>
        <w:spacing w:before="160" w:after="0"/>
        <w:jc w:val="left"/>
        <w:rPr>
          <w:rFonts w:ascii="arial" w:hAnsi="arial"/>
          <w:sz w:val="16"/>
        </w:rPr>
      </w:pPr>
      <w:r>
        <w:rPr>
          <w:rFonts w:ascii="arial" w:hAnsi="arial"/>
          <w:sz w:val="16"/>
        </w:rPr>
        <w:t xml:space="preserve">The board has determined that each non-employee nominee other than Ms. Mayer is an independent director. Information about director independence is described under Corporate GovernanceBoard of DirectorsDirector Independence.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27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Our board possesses a robust breadth and depth of experience and qualifications to oversee the companys multiple businesses and global operations. The following chart sets forth the experience, skills and qualifications of the director nominees in the aggregate in areas of particular importance to our businesses: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7850" cy="449580"/>
            <wp:effectExtent l="0" t="0" r="0" b="0"/>
            <wp:docPr id="5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7" descr=""/>
                    <pic:cNvPicPr>
                      <a:picLocks noChangeAspect="1" noChangeArrowheads="1"/>
                    </pic:cNvPicPr>
                  </pic:nvPicPr>
                  <pic:blipFill>
                    <a:blip r:embed="rId38"/>
                    <a:stretch>
                      <a:fillRect/>
                    </a:stretch>
                  </pic:blipFill>
                  <pic:spPr bwMode="auto">
                    <a:xfrm>
                      <a:off x="0" y="0"/>
                      <a:ext cx="577850" cy="449580"/>
                    </a:xfrm>
                    <a:prstGeom prst="rect">
                      <a:avLst/>
                    </a:prstGeom>
                  </pic:spPr>
                </pic:pic>
              </a:graphicData>
            </a:graphic>
          </wp:inline>
        </w:drawing>
      </w:r>
      <w:r>
        <w:rPr/>
        <w:t xml:space="preserve"> </w:t>
      </w:r>
    </w:p>
    <w:p>
      <w:pPr>
        <w:pStyle w:val="TextBody"/>
        <w:jc w:val="center"/>
        <w:rPr>
          <w:rFonts w:ascii="arial" w:hAnsi="arial"/>
          <w:color w:val="FFFFFF"/>
          <w:sz w:val="2"/>
        </w:rPr>
      </w:pPr>
      <w:r>
        <w:rPr>
          <w:rFonts w:ascii="arial" w:hAnsi="arial"/>
          <w:color w:val="FFFFFF"/>
          <w:sz w:val="2"/>
        </w:rPr>
        <w:t xml:space="preserve">Experience/Qualifications Accounting and Finance 11 Experience in accounting and financial matters, including the oversight of financial statements and operating results Business / Markets 9 Experience as a senior leader specifically in regions and markets where Sempra Energy and its operating companies have operations Corporate Governance 10 Experience on or supporting a public company board, maintaining board and management accountability, protecting shareholder interests and observing appropriate governance practices Cybersecurity 6 In-depth knowledge of technology and data security systems through industry experience or academia Diversity, Equity and Inclusion (DE&amp;I) 6 Experience participating in or leading executive DE&amp;I councils, chairing/sponsoring employee DE&amp;I councils or business resource groups, signing on to DE&amp;I commitments or mentoring talent from under-represented groups Energy Industry Experience 6 Experience in the energy industry outside of Sempra Energy Environmental, Health and Safety 10 Experience in operating responsible and sustainable businesses and oversight of environmental, health and safety systems and procedures Government, Regulatory and Public Policy 9 Experience in managing governmental and regulatory affairs, advancing public policy and community and public relations Infrastructure Development 11 Experience in the development and management or oversight of capital projects involving physical systems (e.g., transportation, water and electric systems), real estate acquisitions and construction activities Risk Management 10 Experience in oversight of risk management, or in a senior compliance or regulatory role Strategic Planning 11 Experience in developing corporate strategies and long-term business plans Technology 6 Leadership and oversight experience in technological trends, digital platforms and/or efficiency improvements through technology </w:t>
      </w:r>
    </w:p>
    <w:p>
      <w:pPr>
        <w:pStyle w:val="TextBody"/>
        <w:spacing w:before="160" w:after="0"/>
        <w:jc w:val="left"/>
        <w:rPr>
          <w:rFonts w:ascii="arial" w:hAnsi="arial"/>
          <w:sz w:val="16"/>
        </w:rPr>
      </w:pPr>
      <w:r>
        <w:rPr>
          <w:rFonts w:ascii="arial" w:hAnsi="arial"/>
          <w:sz w:val="16"/>
        </w:rPr>
        <w:t xml:space="preserve">The charts below summarize the diversity, tenure and independence of our directors nominated to stand for election at the Annual Shareholders Meeting: 58% of our director nominees are women and/or people of color; 58% of our director nominees have served less than five years, with an average tenure of 6.5 years; and 83% of our director nominees are independent.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95630" cy="185420"/>
            <wp:effectExtent l="0" t="0" r="0" b="0"/>
            <wp:docPr id="5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8" descr=""/>
                    <pic:cNvPicPr>
                      <a:picLocks noChangeAspect="1" noChangeArrowheads="1"/>
                    </pic:cNvPicPr>
                  </pic:nvPicPr>
                  <pic:blipFill>
                    <a:blip r:embed="rId39"/>
                    <a:stretch>
                      <a:fillRect/>
                    </a:stretch>
                  </pic:blipFill>
                  <pic:spPr bwMode="auto">
                    <a:xfrm>
                      <a:off x="0" y="0"/>
                      <a:ext cx="595630" cy="185420"/>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Director Nominee Composition 58% of our board nominees are diverse: 1 African American 3 Latino* 4 Women* *One director is a woman of color. Tenure (Years) Average: 6.5 / Median: 4.1 &lt; 5 5-10 &gt; 10 Years Years Years 83% Independent </w:t>
      </w:r>
    </w:p>
    <w:p>
      <w:pPr>
        <w:pStyle w:val="TextBody"/>
        <w:spacing w:before="240" w:after="0"/>
        <w:jc w:val="left"/>
        <w:rPr>
          <w:rFonts w:ascii="arial" w:hAnsi="arial"/>
          <w:sz w:val="16"/>
        </w:rPr>
      </w:pPr>
      <w:r>
        <w:rPr>
          <w:rFonts w:ascii="arial" w:hAnsi="arial"/>
          <w:sz w:val="16"/>
        </w:rPr>
        <w:t xml:space="preserve">Biographical information regarding each director nominee and his or her qualifications to serve as a director is set forth on the succeeding pages. In each biography below, unless otherwise indicated, the year shown as the beginning of each directors tenure on the board is the year during which the director was first elected or appointed as a director of Sempra Energy, and the age shown for each director is as of the date of mailing this proxy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28</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28"/>
        <w:gridCol w:w="305"/>
        <w:gridCol w:w="8472"/>
      </w:tblGrid>
      <w:tr>
        <w:trPr/>
        <w:tc>
          <w:tcPr>
            <w:tcW w:w="142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8472" w:type="dxa"/>
            <w:tcBorders/>
            <w:shd w:fill="auto" w:val="clear"/>
            <w:vAlign w:val="center"/>
          </w:tcPr>
          <w:p>
            <w:pPr>
              <w:pStyle w:val="TableContents"/>
              <w:spacing w:before="0" w:after="283"/>
              <w:rPr>
                <w:sz w:val="4"/>
                <w:szCs w:val="4"/>
              </w:rPr>
            </w:pPr>
            <w:r>
              <w:rPr>
                <w:sz w:val="4"/>
                <w:szCs w:val="4"/>
              </w:rPr>
            </w:r>
          </w:p>
        </w:tc>
      </w:tr>
      <w:tr>
        <w:trPr/>
        <w:tc>
          <w:tcPr>
            <w:tcW w:w="1428" w:type="dxa"/>
            <w:tcBorders>
              <w:top w:val="single" w:sz="2" w:space="0" w:color="001C71"/>
              <w:bottom w:val="single" w:sz="2" w:space="0" w:color="001C71"/>
            </w:tcBorders>
            <w:shd w:fill="auto" w:val="clear"/>
            <w:tcMar>
              <w:top w:w="28" w:type="dxa"/>
              <w:bottom w:w="28" w:type="dxa"/>
            </w:tcMar>
          </w:tcPr>
          <w:p>
            <w:pPr>
              <w:pStyle w:val="TableContents"/>
              <w:spacing w:before="0" w:after="0"/>
              <w:rPr/>
            </w:pPr>
            <w:r>
              <w:rPr/>
              <w:t> </w:t>
            </w:r>
          </w:p>
          <w:p>
            <w:pPr>
              <w:pStyle w:val="TableContents"/>
              <w:spacing w:before="0" w:after="0"/>
              <w:rPr/>
            </w:pPr>
            <w:r>
              <w:rPr/>
              <w:t> </w:t>
            </w:r>
          </w:p>
          <w:p>
            <w:pPr>
              <w:pStyle w:val="TableContents"/>
              <w:spacing w:before="0" w:after="20"/>
              <w:rPr/>
            </w:pPr>
            <w:r>
              <w:rPr/>
              <w:drawing>
                <wp:inline distT="0" distB="0" distL="0" distR="0">
                  <wp:extent cx="85725" cy="114935"/>
                  <wp:effectExtent l="0" t="0" r="0" b="0"/>
                  <wp:docPr id="5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9" descr=""/>
                          <pic:cNvPicPr>
                            <a:picLocks noChangeAspect="1" noChangeArrowheads="1"/>
                          </pic:cNvPicPr>
                        </pic:nvPicPr>
                        <pic:blipFill>
                          <a:blip r:embed="rId40"/>
                          <a:stretch>
                            <a:fillRect/>
                          </a:stretch>
                        </pic:blipFill>
                        <pic:spPr bwMode="auto">
                          <a:xfrm>
                            <a:off x="0" y="0"/>
                            <a:ext cx="85725" cy="114935"/>
                          </a:xfrm>
                          <a:prstGeom prst="rect">
                            <a:avLst/>
                          </a:prstGeom>
                        </pic:spPr>
                      </pic:pic>
                    </a:graphicData>
                  </a:graphic>
                </wp:inline>
              </w:drawing>
            </w:r>
            <w:r>
              <w:rPr/>
              <w:t xml:space="preserve"> </w:t>
            </w:r>
          </w:p>
        </w:tc>
        <w:tc>
          <w:tcPr>
            <w:tcW w:w="305" w:type="dxa"/>
            <w:tcBorders>
              <w:top w:val="single" w:sz="2" w:space="0" w:color="001C71"/>
              <w:bottom w:val="single" w:sz="2" w:space="0" w:color="001C71"/>
            </w:tcBorders>
            <w:shd w:fill="auto" w:val="clear"/>
            <w:tcMar>
              <w:top w:w="28" w:type="dxa"/>
              <w:bottom w:w="28" w:type="dxa"/>
            </w:tcMar>
            <w:vAlign w:val="bottom"/>
          </w:tcPr>
          <w:p>
            <w:pPr>
              <w:pStyle w:val="TableContents"/>
              <w:spacing w:before="0" w:after="283"/>
              <w:rPr/>
            </w:pPr>
            <w:r>
              <w:rPr/>
              <w:t>  </w:t>
            </w:r>
          </w:p>
        </w:tc>
        <w:tc>
          <w:tcPr>
            <w:tcW w:w="8472" w:type="dxa"/>
            <w:tcBorders>
              <w:top w:val="single" w:sz="2" w:space="0" w:color="001C71"/>
              <w:bottom w:val="single" w:sz="2" w:space="0" w:color="001C71"/>
            </w:tcBorders>
            <w:shd w:fill="auto" w:val="clear"/>
            <w:tcMar>
              <w:top w:w="28" w:type="dxa"/>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b/>
                <w:sz w:val="16"/>
              </w:rPr>
              <w:t>Alan</w:t>
            </w:r>
            <w:r>
              <w:rPr>
                <w:rFonts w:ascii="arial" w:hAnsi="arial"/>
                <w:sz w:val="16"/>
              </w:rPr>
              <w:t> </w:t>
            </w:r>
            <w:r>
              <w:rPr>
                <w:rFonts w:ascii="arial" w:hAnsi="arial"/>
                <w:b/>
                <w:sz w:val="16"/>
              </w:rPr>
              <w:t>L. Boeckmann</w:t>
            </w:r>
            <w:r>
              <w:rPr>
                <w:rFonts w:ascii="arial" w:hAnsi="arial"/>
                <w:sz w:val="16"/>
              </w:rPr>
              <w:t>, 72, has been a director since 2011. He has been the Executive Chairman and a director of Fluor Corporation, a leading engineering, procurement, construction and maintenance services company, since May 2019. In 2012, he retired as the Non-Executive Chairman of Fluor. From 2002 to early 2011, Mr. Boeckmann was the Chairman and Chief Executive Officer of Fluor. Prior to that, he held a number of senior management and operating positions at Fluor. He is a former director of Archer-Daniels-Midland Company, BHP Billiton, BP p.l.c., Burlington Northern Santa Fe Corporation and the National Petroleum Council.</w:t>
            </w:r>
          </w:p>
          <w:p>
            <w:pPr>
              <w:pStyle w:val="TableContents"/>
              <w:spacing w:before="0" w:after="0"/>
              <w:rPr/>
            </w:pPr>
            <w:r>
              <w:rPr/>
              <w:t> </w:t>
            </w:r>
          </w:p>
          <w:p>
            <w:pPr>
              <w:pStyle w:val="TableContents"/>
              <w:spacing w:before="0" w:after="0"/>
              <w:rPr>
                <w:rFonts w:ascii="arial" w:hAnsi="arial"/>
                <w:sz w:val="16"/>
              </w:rPr>
            </w:pPr>
            <w:r>
              <w:rPr>
                <w:rFonts w:ascii="arial" w:hAnsi="arial"/>
                <w:sz w:val="16"/>
              </w:rPr>
              <w:t>Mr. Boeckmann has been an outspoken business leader in promoting international standards for business ethics and was instrumental in the formation of the World Economic Forums Partnering Against Corruption Initiative in 2004. His extensive board, executive management and infrastructure construction experience, coupled with his commitment to ethical conduct in international business activities, makes him a valuable member of our board.</w:t>
            </w:r>
          </w:p>
          <w:p>
            <w:pPr>
              <w:pStyle w:val="TableContents"/>
              <w:spacing w:before="0" w:after="20"/>
              <w:rPr/>
            </w:pPr>
            <w:r>
              <w:rPr/>
              <w:t> </w:t>
            </w:r>
          </w:p>
        </w:tc>
      </w:tr>
      <w:tr>
        <w:trPr>
          <w:trHeight w:val="12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4935"/>
                  <wp:effectExtent l="0" t="0" r="0" b="0"/>
                  <wp:docPr id="5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0" descr=""/>
                          <pic:cNvPicPr>
                            <a:picLocks noChangeAspect="1" noChangeArrowheads="1"/>
                          </pic:cNvPicPr>
                        </pic:nvPicPr>
                        <pic:blipFill>
                          <a:blip r:embed="rId41"/>
                          <a:stretch>
                            <a:fillRect/>
                          </a:stretch>
                        </pic:blipFill>
                        <pic:spPr bwMode="auto">
                          <a:xfrm>
                            <a:off x="0" y="0"/>
                            <a:ext cx="85725" cy="114935"/>
                          </a:xfrm>
                          <a:prstGeom prst="rect">
                            <a:avLst/>
                          </a:prstGeom>
                        </pic:spPr>
                      </pic:pic>
                    </a:graphicData>
                  </a:graphic>
                </wp:inline>
              </w:drawing>
            </w:r>
            <w:r>
              <w:rPr/>
              <w:t xml:space="preserve"> </w:t>
            </w:r>
          </w:p>
        </w:tc>
        <w:tc>
          <w:tcPr>
            <w:tcW w:w="305" w:type="dxa"/>
            <w:tcBorders>
              <w:bottom w:val="single" w:sz="2" w:space="0" w:color="001C71"/>
            </w:tcBorders>
            <w:shd w:fill="auto" w:val="clear"/>
            <w:tcMar>
              <w:bottom w:w="28" w:type="dxa"/>
            </w:tcMar>
            <w:vAlign w:val="bottom"/>
          </w:tcPr>
          <w:p>
            <w:pPr>
              <w:pStyle w:val="TableContents"/>
              <w:spacing w:before="0" w:after="283"/>
              <w:rPr/>
            </w:pPr>
            <w:r>
              <w:rPr/>
              <w:t>  </w:t>
            </w:r>
          </w:p>
        </w:tc>
        <w:tc>
          <w:tcPr>
            <w:tcW w:w="8472"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Andrés Conesa,</w:t>
            </w:r>
            <w:r>
              <w:rPr>
                <w:rFonts w:ascii="arial" w:hAnsi="arial"/>
                <w:sz w:val="16"/>
              </w:rPr>
              <w:t xml:space="preserve"> </w:t>
            </w:r>
            <w:r>
              <w:rPr>
                <w:rFonts w:ascii="arial" w:hAnsi="arial"/>
                <w:b/>
                <w:sz w:val="16"/>
              </w:rPr>
              <w:t>Ph.D.</w:t>
            </w:r>
            <w:r>
              <w:rPr>
                <w:rFonts w:ascii="arial" w:hAnsi="arial"/>
                <w:sz w:val="16"/>
              </w:rPr>
              <w:t>, 51, has been a director since 2017. He has been the Chief Executive Officer and a director of Grupo Aeroméxico, S.A.B. de C.V., an air transportation services company, since 2005. Previously, Dr. Conesa held several positions in the Mexico Federal Government: from 2003 to 2005, he was Chairman of the Board of Directors of CINTRA (the holding company of Aeroméxico and Mexicana), and from 1991 to 2004, he served in various capacities at the Mexican Ministry of Finance, most recently as Deputy Undersecretary of Public Credit. He was a member of the Board of Governors of the International Air Transport Association from 2008 until June 2018 and served as its Chairman during the 2015 term. Dr. Conesa is a former director of IEnova, Genomma Lab International and the Mexican Stock Exchange.</w:t>
            </w:r>
          </w:p>
          <w:p>
            <w:pPr>
              <w:pStyle w:val="TableContents"/>
              <w:spacing w:before="0" w:after="0"/>
              <w:rPr/>
            </w:pPr>
            <w:r>
              <w:rPr/>
              <w:t> </w:t>
            </w:r>
          </w:p>
          <w:p>
            <w:pPr>
              <w:pStyle w:val="TableContents"/>
              <w:spacing w:before="0" w:after="0"/>
              <w:rPr>
                <w:rFonts w:ascii="arial" w:hAnsi="arial"/>
                <w:sz w:val="16"/>
              </w:rPr>
            </w:pPr>
            <w:r>
              <w:rPr>
                <w:rFonts w:ascii="arial" w:hAnsi="arial"/>
                <w:sz w:val="16"/>
              </w:rPr>
              <w:t>Dr. Conesas extensive experience and knowledge of transnational business activities and the Mexican regulatory and financial sectors make him a valuable member of our board, particularly as we look to expand our operations in Mexico.</w:t>
            </w:r>
          </w:p>
          <w:p>
            <w:pPr>
              <w:pStyle w:val="TableContents"/>
              <w:spacing w:before="0" w:after="20"/>
              <w:rPr/>
            </w:pPr>
            <w:r>
              <w:rPr/>
              <w:t> </w:t>
            </w:r>
          </w:p>
        </w:tc>
      </w:tr>
      <w:tr>
        <w:trPr>
          <w:trHeight w:val="12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4935"/>
                  <wp:effectExtent l="0" t="0" r="0" b="0"/>
                  <wp:docPr id="5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1" descr=""/>
                          <pic:cNvPicPr>
                            <a:picLocks noChangeAspect="1" noChangeArrowheads="1"/>
                          </pic:cNvPicPr>
                        </pic:nvPicPr>
                        <pic:blipFill>
                          <a:blip r:embed="rId42"/>
                          <a:stretch>
                            <a:fillRect/>
                          </a:stretch>
                        </pic:blipFill>
                        <pic:spPr bwMode="auto">
                          <a:xfrm>
                            <a:off x="0" y="0"/>
                            <a:ext cx="85725" cy="114935"/>
                          </a:xfrm>
                          <a:prstGeom prst="rect">
                            <a:avLst/>
                          </a:prstGeom>
                        </pic:spPr>
                      </pic:pic>
                    </a:graphicData>
                  </a:graphic>
                </wp:inline>
              </w:drawing>
            </w:r>
            <w:r>
              <w:rPr/>
              <w:t xml:space="preserve"> </w:t>
            </w:r>
          </w:p>
        </w:tc>
        <w:tc>
          <w:tcPr>
            <w:tcW w:w="305" w:type="dxa"/>
            <w:tcBorders>
              <w:bottom w:val="single" w:sz="2" w:space="0" w:color="001C71"/>
            </w:tcBorders>
            <w:shd w:fill="auto" w:val="clear"/>
            <w:tcMar>
              <w:bottom w:w="28" w:type="dxa"/>
            </w:tcMar>
            <w:vAlign w:val="bottom"/>
          </w:tcPr>
          <w:p>
            <w:pPr>
              <w:pStyle w:val="TableContents"/>
              <w:spacing w:before="0" w:after="283"/>
              <w:rPr/>
            </w:pPr>
            <w:r>
              <w:rPr/>
              <w:t>  </w:t>
            </w:r>
          </w:p>
        </w:tc>
        <w:tc>
          <w:tcPr>
            <w:tcW w:w="8472"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Maria Contreras-Sweet</w:t>
            </w:r>
            <w:r>
              <w:rPr>
                <w:rFonts w:ascii="arial" w:hAnsi="arial"/>
                <w:sz w:val="16"/>
              </w:rPr>
              <w:t>, 65, has been a director since 2017. She became the Managing Member of both Contreras Sweet Companies, LLC, a marketing and research solutions company, and Rockway Equity Partners, a private-equity firm that invests in technology, manufacturing and infrastructure-related companies, in October 2017. From April 7, 2014 through January 20, 2017, she served as the 24th Administrator of the U.S. Small Business Administration and as a member of President Obamas cabinet. Ms. Contreras-Sweet was a founder of ProAmerica Bank where she served as Executive Chairwoman from 2006 to 2014. She was Co-Founder and Managing Partner of Fortius Holdings from 2003 to 2006. Prior, she served as the California cabinet Secretary of the Business, Transportation and Housing Agency from 1999 to 2003. She was appointed chair to the finance committee of CA-ISO (California Independent System Operator) to help solve the states 2000-2001 energy crisis. Ms. Contreras-Sweet served as a senior executive for Westinghouse Electric Companys 7-Up/RC Bottling Company, where she became an equity partner. She is a director of Regional Management Corp., TriNet, Inc. and the Bipartisan Policy Center and is a distinguished fellow of the Larta Institute. Ms. Contreras-Sweet has received honorary doctorates from Tufts University, Whittier College, La Verne University, Mount St. Marys University and California State University, Los Angeles.</w:t>
            </w:r>
          </w:p>
          <w:p>
            <w:pPr>
              <w:pStyle w:val="TableContents"/>
              <w:spacing w:before="0" w:after="0"/>
              <w:rPr/>
            </w:pPr>
            <w:r>
              <w:rPr/>
              <w:t> </w:t>
            </w:r>
          </w:p>
          <w:p>
            <w:pPr>
              <w:pStyle w:val="TableContents"/>
              <w:spacing w:before="0" w:after="0"/>
              <w:rPr>
                <w:rFonts w:ascii="arial" w:hAnsi="arial"/>
                <w:sz w:val="16"/>
              </w:rPr>
            </w:pPr>
            <w:r>
              <w:rPr>
                <w:rFonts w:ascii="arial" w:hAnsi="arial"/>
                <w:sz w:val="16"/>
              </w:rPr>
              <w:t>Ms. Contreras-Sweet possesses extensive knowledge and executive experience in both the public and private sectors. She brings a strong understanding of banking, infrastructure, supply chains, and global innovation, as well as a deep understanding and familiarity with government and regulatory bodies in our marketplace and experience with small and medium-sized businesses, which makes her a valuable contributor to our board.</w:t>
            </w:r>
          </w:p>
          <w:p>
            <w:pPr>
              <w:pStyle w:val="TableContents"/>
              <w:spacing w:before="0" w:after="20"/>
              <w:rPr/>
            </w:pPr>
            <w:r>
              <w:rPr/>
              <w:t> </w:t>
            </w:r>
          </w:p>
        </w:tc>
      </w:tr>
      <w:tr>
        <w:trPr>
          <w:trHeight w:val="12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4935"/>
                  <wp:effectExtent l="0" t="0" r="0" b="0"/>
                  <wp:docPr id="5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2" descr=""/>
                          <pic:cNvPicPr>
                            <a:picLocks noChangeAspect="1" noChangeArrowheads="1"/>
                          </pic:cNvPicPr>
                        </pic:nvPicPr>
                        <pic:blipFill>
                          <a:blip r:embed="rId43"/>
                          <a:stretch>
                            <a:fillRect/>
                          </a:stretch>
                        </pic:blipFill>
                        <pic:spPr bwMode="auto">
                          <a:xfrm>
                            <a:off x="0" y="0"/>
                            <a:ext cx="85725" cy="114935"/>
                          </a:xfrm>
                          <a:prstGeom prst="rect">
                            <a:avLst/>
                          </a:prstGeom>
                        </pic:spPr>
                      </pic:pic>
                    </a:graphicData>
                  </a:graphic>
                </wp:inline>
              </w:drawing>
            </w:r>
            <w:r>
              <w:rPr/>
              <w:t xml:space="preserve"> </w:t>
            </w:r>
          </w:p>
        </w:tc>
        <w:tc>
          <w:tcPr>
            <w:tcW w:w="305" w:type="dxa"/>
            <w:tcBorders>
              <w:bottom w:val="single" w:sz="2" w:space="0" w:color="001C71"/>
            </w:tcBorders>
            <w:shd w:fill="auto" w:val="clear"/>
            <w:tcMar>
              <w:bottom w:w="28" w:type="dxa"/>
            </w:tcMar>
            <w:vAlign w:val="bottom"/>
          </w:tcPr>
          <w:p>
            <w:pPr>
              <w:pStyle w:val="TableContents"/>
              <w:spacing w:before="0" w:after="283"/>
              <w:rPr/>
            </w:pPr>
            <w:r>
              <w:rPr/>
              <w:t>  </w:t>
            </w:r>
          </w:p>
        </w:tc>
        <w:tc>
          <w:tcPr>
            <w:tcW w:w="8472"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Pablo A. Ferrero</w:t>
            </w:r>
            <w:r>
              <w:rPr>
                <w:rFonts w:ascii="arial" w:hAnsi="arial"/>
                <w:sz w:val="16"/>
              </w:rPr>
              <w:t>, 58, has been a director since 2013. He is an independent energy consultant. From 2006 to 2011, Mr. Ferrero served as Executive Vice President for the Southern Cone at AEI Energy, a power generation and distribution and gas transmission and distribution company. From 2004 to 2006, he was the Chief Executive Officer of Transportadora de Gas del Sur S.A. He is executive director at MSU Energy S.A. and a former director of Metrogas, Pampa Energía, RDA Renting, S.A., TGS, Transener Edesur, Petrobras Energía, Emdersa, EDESA Holding, EDEN, Emgasud, Servicios Petroleros Argentina, Refinor, Oldelval, Termap, Chilquinta Energía (Chile), Luz del Sur (Peru), Petrolera Andina (Bolivia) and Promigas (Colombia).</w:t>
            </w:r>
          </w:p>
          <w:p>
            <w:pPr>
              <w:pStyle w:val="TableContents"/>
              <w:spacing w:before="0" w:after="0"/>
              <w:rPr/>
            </w:pPr>
            <w:r>
              <w:rPr/>
              <w:t> </w:t>
            </w:r>
          </w:p>
          <w:p>
            <w:pPr>
              <w:pStyle w:val="TableContents"/>
              <w:spacing w:before="0" w:after="0"/>
              <w:rPr>
                <w:rFonts w:ascii="arial" w:hAnsi="arial"/>
                <w:sz w:val="16"/>
              </w:rPr>
            </w:pPr>
            <w:r>
              <w:rPr>
                <w:rFonts w:ascii="arial" w:hAnsi="arial"/>
                <w:sz w:val="16"/>
              </w:rPr>
              <w:t>Mr. Ferrero has a deep understanding of the energy industry and in particular international energy operations. This understanding of international energy operations along with his extensive executive and board experience make him a valuable member of our board.</w:t>
            </w:r>
          </w:p>
          <w:p>
            <w:pPr>
              <w:pStyle w:val="TableContents"/>
              <w:spacing w:before="0" w:after="2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29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28"/>
        <w:gridCol w:w="305"/>
        <w:gridCol w:w="8472"/>
      </w:tblGrid>
      <w:tr>
        <w:trPr/>
        <w:tc>
          <w:tcPr>
            <w:tcW w:w="142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8472"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428" w:type="dxa"/>
            <w:tcBorders>
              <w:top w:val="single" w:sz="2" w:space="0" w:color="001C71"/>
            </w:tcBorders>
            <w:shd w:fill="auto" w:val="clear"/>
            <w:tcMar>
              <w:top w:w="28" w:type="dxa"/>
            </w:tcMar>
            <w:vAlign w:val="center"/>
          </w:tcPr>
          <w:p>
            <w:pPr>
              <w:pStyle w:val="TableContents"/>
              <w:spacing w:before="0" w:after="283"/>
              <w:rPr/>
            </w:pPr>
            <w:r>
              <w:rPr/>
              <w:t> </w:t>
            </w:r>
          </w:p>
        </w:tc>
        <w:tc>
          <w:tcPr>
            <w:tcW w:w="8777" w:type="dxa"/>
            <w:gridSpan w:val="2"/>
            <w:tcBorders>
              <w:top w:val="single" w:sz="2" w:space="0" w:color="001C71"/>
            </w:tcBorders>
            <w:shd w:fill="auto" w:val="clear"/>
            <w:tcMar>
              <w:top w:w="28" w:type="dxa"/>
            </w:tcMar>
            <w:vAlign w:val="center"/>
          </w:tcPr>
          <w:p>
            <w:pPr>
              <w:pStyle w:val="TableContents"/>
              <w:spacing w:before="0" w:after="283"/>
              <w:rPr/>
            </w:pPr>
            <w:r>
              <w:rPr/>
              <w:t> </w:t>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4935"/>
                  <wp:effectExtent l="0" t="0" r="0" b="0"/>
                  <wp:docPr id="5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3" descr=""/>
                          <pic:cNvPicPr>
                            <a:picLocks noChangeAspect="1" noChangeArrowheads="1"/>
                          </pic:cNvPicPr>
                        </pic:nvPicPr>
                        <pic:blipFill>
                          <a:blip r:embed="rId44"/>
                          <a:stretch>
                            <a:fillRect/>
                          </a:stretch>
                        </pic:blipFill>
                        <pic:spPr bwMode="auto">
                          <a:xfrm>
                            <a:off x="0" y="0"/>
                            <a:ext cx="85725" cy="114935"/>
                          </a:xfrm>
                          <a:prstGeom prst="rect">
                            <a:avLst/>
                          </a:prstGeom>
                        </pic:spPr>
                      </pic:pic>
                    </a:graphicData>
                  </a:graphic>
                </wp:inline>
              </w:drawing>
            </w:r>
            <w:r>
              <w:rPr/>
              <w:t xml:space="preserve"> </w:t>
            </w:r>
          </w:p>
        </w:tc>
        <w:tc>
          <w:tcPr>
            <w:tcW w:w="305" w:type="dxa"/>
            <w:tcBorders>
              <w:bottom w:val="single" w:sz="2" w:space="0" w:color="001C71"/>
            </w:tcBorders>
            <w:shd w:fill="auto" w:val="clear"/>
            <w:tcMar>
              <w:bottom w:w="28" w:type="dxa"/>
            </w:tcMar>
            <w:vAlign w:val="bottom"/>
          </w:tcPr>
          <w:p>
            <w:pPr>
              <w:pStyle w:val="TableContents"/>
              <w:spacing w:before="0" w:after="283"/>
              <w:rPr/>
            </w:pPr>
            <w:r>
              <w:rPr/>
              <w:t>  </w:t>
            </w:r>
          </w:p>
        </w:tc>
        <w:tc>
          <w:tcPr>
            <w:tcW w:w="8472"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William D. Jones</w:t>
            </w:r>
            <w:r>
              <w:rPr>
                <w:rFonts w:ascii="arial" w:hAnsi="arial"/>
                <w:sz w:val="16"/>
              </w:rPr>
              <w:t>, 65, has been a director since Sempra Energys inception in 1998. He has been the President and Chief Executive Officer and a director of CityLink Investment Corporation, a commercial real estate investment and development services firm, since 1994. From 2001 through 2018, Mr. Jones was the President, Chief Executive Officer and a director of City Scene Management Company, a real estate management company. From 1989 to 1993, Mr. Jones served as General Manager/Senior Asset Manager and Investment Manager with certain real estate subsidiaries of The Prudential. Previously, he served as a San Diego City Council member and as Deputy Mayor of San Diego. Mr. Jones is a director and, in some cases, Board Chair of certain funds under management by the Capital Group and Capital Group Private Client Services. He is an NACD Board Leadership Fellow. Mr. Jones is a trustee of the University of California San Diego Foundation and its Investment Committee and the Real Estate Advisory Council. Mr. Jones is a former director of The Price Real Estate Investment Trust, Southwest Water Company, the Federal Reserve Bank of San Francisco and the San Diego Padres baseball team and is a former Chairman of the Board of the Los Angeles Branch of the Federal Reserve Bank of San Francisco, the former Chairman of the Board of Trustees of the Francis Parker School and former Board Trustee of the University of San Diego. Mr. Jones has extensive experience as a real estate developer in San Diego, where he built the City Heights Urban Village, an award-winning redevelopment project.</w:t>
            </w:r>
          </w:p>
          <w:p>
            <w:pPr>
              <w:pStyle w:val="TableContents"/>
              <w:spacing w:before="0" w:after="0"/>
              <w:rPr/>
            </w:pPr>
            <w:r>
              <w:rPr/>
              <w:t> </w:t>
            </w:r>
          </w:p>
          <w:p>
            <w:pPr>
              <w:pStyle w:val="TableContents"/>
              <w:spacing w:before="0" w:after="0"/>
              <w:rPr>
                <w:rFonts w:ascii="arial" w:hAnsi="arial"/>
                <w:sz w:val="16"/>
              </w:rPr>
            </w:pPr>
            <w:r>
              <w:rPr>
                <w:rFonts w:ascii="arial" w:hAnsi="arial"/>
                <w:sz w:val="16"/>
              </w:rPr>
              <w:t>Mr. Jones background in the public and financial arenas, along with his real estate expertise, has been helpful to our board as it considers the development of large infrastructure projects, which require extensive amounts of land and an understanding of the construction and real estate industries. He is also an experienced director of board governance matters and has earned the NACD board leadership fellow designation. His expertise in these areas makes him a vital member of our board.</w:t>
            </w:r>
          </w:p>
          <w:p>
            <w:pPr>
              <w:pStyle w:val="TableContents"/>
              <w:spacing w:before="0" w:after="20"/>
              <w:rPr/>
            </w:pPr>
            <w:r>
              <w:rPr/>
              <w:t> </w:t>
            </w:r>
          </w:p>
        </w:tc>
      </w:tr>
      <w:tr>
        <w:trPr>
          <w:trHeight w:val="12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5570"/>
                  <wp:effectExtent l="0" t="0" r="0" b="0"/>
                  <wp:docPr id="6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 descr=""/>
                          <pic:cNvPicPr>
                            <a:picLocks noChangeAspect="1" noChangeArrowheads="1"/>
                          </pic:cNvPicPr>
                        </pic:nvPicPr>
                        <pic:blipFill>
                          <a:blip r:embed="rId45"/>
                          <a:stretch>
                            <a:fillRect/>
                          </a:stretch>
                        </pic:blipFill>
                        <pic:spPr bwMode="auto">
                          <a:xfrm>
                            <a:off x="0" y="0"/>
                            <a:ext cx="85725" cy="115570"/>
                          </a:xfrm>
                          <a:prstGeom prst="rect">
                            <a:avLst/>
                          </a:prstGeom>
                        </pic:spPr>
                      </pic:pic>
                    </a:graphicData>
                  </a:graphic>
                </wp:inline>
              </w:drawing>
            </w:r>
            <w:r>
              <w:rPr/>
              <w:t xml:space="preserve"> </w:t>
            </w:r>
          </w:p>
        </w:tc>
        <w:tc>
          <w:tcPr>
            <w:tcW w:w="305" w:type="dxa"/>
            <w:tcBorders>
              <w:bottom w:val="single" w:sz="2" w:space="0" w:color="001C71"/>
            </w:tcBorders>
            <w:shd w:fill="auto" w:val="clear"/>
            <w:tcMar>
              <w:bottom w:w="28" w:type="dxa"/>
            </w:tcMar>
            <w:vAlign w:val="bottom"/>
          </w:tcPr>
          <w:p>
            <w:pPr>
              <w:pStyle w:val="TableContents"/>
              <w:spacing w:before="0" w:after="283"/>
              <w:rPr/>
            </w:pPr>
            <w:r>
              <w:rPr/>
              <w:t>  </w:t>
            </w:r>
          </w:p>
        </w:tc>
        <w:tc>
          <w:tcPr>
            <w:tcW w:w="8472"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Jeffrey W. Martin</w:t>
            </w:r>
            <w:r>
              <w:rPr>
                <w:rFonts w:ascii="arial" w:hAnsi="arial"/>
                <w:sz w:val="16"/>
              </w:rPr>
              <w:t>, 59, has been a director since 2018. Mr. Martin is the Chairman and Chief Executive Officer of the company. Previously, Mr. Martin served as Executive Vice President and Chief Financial Officer of the company since January 2017. Prior to that, he served at SDG&amp;E as the Chief Executive Officer and a director beginning in January 2014. Continuing in those roles, he also was appointed as President in October 2015 and as Chairman in November 2015, serving in each of these offices through December 2016. From 2010 to 2013, Mr. Martin served as the President and Chief Executive Officer of Sempra U.S. Gas &amp; Power (USGP), a previous business unit of the company, and USGPs predecessor organization, Sempra Generation. Before that, he served as Vice President  Investor Relations for Sempra Energy. Prior to joining the company in December 2004, Mr. Martin was chief financial officer of NewEnergy, Inc. He also formerly served as corporate counsel at UniSource Energy Corporation and was an attorney at the law firm of Snell &amp; Wilmer, LLP. Mr. Martin currently serves as a director of Oncor, of which Sempra Energy indirectly owns 80.25%. Mr. Martin serves on the board of directors of the American Petroleum Institute and on the board of trustees of the University of San Diego. He also is a governor of the Oil and Gas and Electricity communities for the World Economic Forum and is a member of the Business Roundtable. He previously served on the boards of directors of the Edison Electric Institute, California Chamber of Commerce and National Association of Manufacturers.</w:t>
            </w:r>
          </w:p>
          <w:p>
            <w:pPr>
              <w:pStyle w:val="TableContents"/>
              <w:spacing w:before="0" w:after="0"/>
              <w:rPr/>
            </w:pPr>
            <w:r>
              <w:rPr/>
              <w:t> </w:t>
            </w:r>
          </w:p>
          <w:p>
            <w:pPr>
              <w:pStyle w:val="TableContents"/>
              <w:spacing w:before="0" w:after="0"/>
              <w:rPr>
                <w:rFonts w:ascii="arial" w:hAnsi="arial"/>
                <w:sz w:val="16"/>
              </w:rPr>
            </w:pPr>
            <w:r>
              <w:rPr>
                <w:rFonts w:ascii="arial" w:hAnsi="arial"/>
                <w:sz w:val="16"/>
              </w:rPr>
              <w:t>Mr. Martin, in his position as Chairman and Chief Executive Officer of Sempra Energy, oversees the management of all aspects of our business and leads the overall activities of the Board of Directors. His performance and leadership in previous senior executive positions at Sempra Energy, his experience as an employee of the company and its subsidiaries for more than 16 years, and his broad understanding of the energy industry, make Mr. Martin a valuable member of our board.</w:t>
            </w:r>
          </w:p>
          <w:p>
            <w:pPr>
              <w:pStyle w:val="TableContents"/>
              <w:spacing w:before="0" w:after="20"/>
              <w:rPr/>
            </w:pPr>
            <w:r>
              <w:rPr/>
              <w:t> </w:t>
            </w:r>
          </w:p>
        </w:tc>
      </w:tr>
      <w:tr>
        <w:trPr>
          <w:trHeight w:val="12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5570"/>
                  <wp:effectExtent l="0" t="0" r="0" b="0"/>
                  <wp:docPr id="6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5" descr=""/>
                          <pic:cNvPicPr>
                            <a:picLocks noChangeAspect="1" noChangeArrowheads="1"/>
                          </pic:cNvPicPr>
                        </pic:nvPicPr>
                        <pic:blipFill>
                          <a:blip r:embed="rId46"/>
                          <a:stretch>
                            <a:fillRect/>
                          </a:stretch>
                        </pic:blipFill>
                        <pic:spPr bwMode="auto">
                          <a:xfrm>
                            <a:off x="0" y="0"/>
                            <a:ext cx="85725" cy="115570"/>
                          </a:xfrm>
                          <a:prstGeom prst="rect">
                            <a:avLst/>
                          </a:prstGeom>
                        </pic:spPr>
                      </pic:pic>
                    </a:graphicData>
                  </a:graphic>
                </wp:inline>
              </w:drawing>
            </w:r>
            <w:r>
              <w:rPr/>
              <w:t xml:space="preserve"> </w:t>
            </w:r>
          </w:p>
        </w:tc>
        <w:tc>
          <w:tcPr>
            <w:tcW w:w="305" w:type="dxa"/>
            <w:tcBorders>
              <w:bottom w:val="single" w:sz="2" w:space="0" w:color="001C71"/>
            </w:tcBorders>
            <w:shd w:fill="auto" w:val="clear"/>
            <w:tcMar>
              <w:bottom w:w="28" w:type="dxa"/>
            </w:tcMar>
            <w:vAlign w:val="bottom"/>
          </w:tcPr>
          <w:p>
            <w:pPr>
              <w:pStyle w:val="TableContents"/>
              <w:spacing w:before="0" w:after="283"/>
              <w:rPr/>
            </w:pPr>
            <w:r>
              <w:rPr/>
              <w:t>  </w:t>
            </w:r>
          </w:p>
        </w:tc>
        <w:tc>
          <w:tcPr>
            <w:tcW w:w="8472"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Bethany J. Mayer</w:t>
            </w:r>
            <w:r>
              <w:rPr>
                <w:rFonts w:ascii="arial" w:hAnsi="arial"/>
                <w:sz w:val="16"/>
              </w:rPr>
              <w:t>, 59, has been a director since 2019. She previously served as a director from February 2017 until October 2018 when she was appointed Executive Vice President  Corporate Development and Technology of the company effective November 26, 2018, a position from which she resigned in January 2019. In January 2018, she became an Executive Partner with Siris Capital Group LLC, a private equity firm that invests in technology companies. From April to December 2017, she was the Senior Vice President of Keysight Technologies, an electronics testing and measurement equipment and software manufacturing company, and President of its Ixia Solutions Group. From 2014 until its acquisition by Keysight Technologies in 2017 she was the President and Chief Executive Officer and a director of Ixia, a provider of testing, visibility and security solutions for physical and virtual networks. Prior to joining Ixia, Ms. Mayer held several key executive roles at HP since 2010, including as Senior Vice President and General Manager of HPs Network Business Unit. Prior to joining HP, Ms. Mayer served as Senior Vice President, Worldwide Marketing and Corporate Development at Blue Coat Systems and, before that, she held roles at Cisco Systems, Apple Computer and Lockheed Martin. Ms. Mayer is a director of Box Inc., LAM Research Corporation and Marvell Technology Group Ltd and a former director of Delphi Automotive plc.</w:t>
            </w:r>
          </w:p>
          <w:p>
            <w:pPr>
              <w:pStyle w:val="TableContents"/>
              <w:spacing w:before="0" w:after="0"/>
              <w:rPr/>
            </w:pPr>
            <w:r>
              <w:rPr/>
              <w:t> </w:t>
            </w:r>
          </w:p>
          <w:p>
            <w:pPr>
              <w:pStyle w:val="TableContents"/>
              <w:spacing w:before="0" w:after="0"/>
              <w:rPr>
                <w:rFonts w:ascii="arial" w:hAnsi="arial"/>
                <w:sz w:val="16"/>
              </w:rPr>
            </w:pPr>
            <w:r>
              <w:rPr>
                <w:rFonts w:ascii="arial" w:hAnsi="arial"/>
                <w:sz w:val="16"/>
              </w:rPr>
              <w:t>Ms. Mayers extensive technology background and deep understanding of network security, together with her executive and public company board experience, make her a valuable member of our board.</w:t>
            </w:r>
          </w:p>
          <w:p>
            <w:pPr>
              <w:pStyle w:val="TableContents"/>
              <w:spacing w:before="0" w:after="2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30</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28"/>
        <w:gridCol w:w="306"/>
        <w:gridCol w:w="8471"/>
      </w:tblGrid>
      <w:tr>
        <w:trPr/>
        <w:tc>
          <w:tcPr>
            <w:tcW w:w="142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8471"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428" w:type="dxa"/>
            <w:tcBorders>
              <w:top w:val="single" w:sz="2" w:space="0" w:color="001C71"/>
            </w:tcBorders>
            <w:shd w:fill="auto" w:val="clear"/>
            <w:tcMar>
              <w:top w:w="28" w:type="dxa"/>
            </w:tcMar>
            <w:vAlign w:val="center"/>
          </w:tcPr>
          <w:p>
            <w:pPr>
              <w:pStyle w:val="TableContents"/>
              <w:spacing w:before="0" w:after="283"/>
              <w:rPr/>
            </w:pPr>
            <w:r>
              <w:rPr/>
              <w:t> </w:t>
            </w:r>
          </w:p>
        </w:tc>
        <w:tc>
          <w:tcPr>
            <w:tcW w:w="8777" w:type="dxa"/>
            <w:gridSpan w:val="2"/>
            <w:tcBorders>
              <w:top w:val="single" w:sz="2" w:space="0" w:color="001C71"/>
            </w:tcBorders>
            <w:shd w:fill="auto" w:val="clear"/>
            <w:tcMar>
              <w:top w:w="28" w:type="dxa"/>
            </w:tcMar>
            <w:vAlign w:val="center"/>
          </w:tcPr>
          <w:p>
            <w:pPr>
              <w:pStyle w:val="TableContents"/>
              <w:spacing w:before="0" w:after="283"/>
              <w:rPr/>
            </w:pPr>
            <w:r>
              <w:rPr/>
              <w:t> </w:t>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4935"/>
                  <wp:effectExtent l="0" t="0" r="0" b="0"/>
                  <wp:docPr id="6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6" descr=""/>
                          <pic:cNvPicPr>
                            <a:picLocks noChangeAspect="1" noChangeArrowheads="1"/>
                          </pic:cNvPicPr>
                        </pic:nvPicPr>
                        <pic:blipFill>
                          <a:blip r:embed="rId47"/>
                          <a:stretch>
                            <a:fillRect/>
                          </a:stretch>
                        </pic:blipFill>
                        <pic:spPr bwMode="auto">
                          <a:xfrm>
                            <a:off x="0" y="0"/>
                            <a:ext cx="85725" cy="114935"/>
                          </a:xfrm>
                          <a:prstGeom prst="rect">
                            <a:avLst/>
                          </a:prstGeom>
                        </pic:spPr>
                      </pic:pic>
                    </a:graphicData>
                  </a:graphic>
                </wp:inline>
              </w:drawing>
            </w:r>
            <w:r>
              <w:rPr/>
              <w:t xml:space="preserve"> </w:t>
            </w:r>
          </w:p>
        </w:tc>
        <w:tc>
          <w:tcPr>
            <w:tcW w:w="306" w:type="dxa"/>
            <w:tcBorders>
              <w:bottom w:val="single" w:sz="2" w:space="0" w:color="001C71"/>
            </w:tcBorders>
            <w:shd w:fill="auto" w:val="clear"/>
            <w:tcMar>
              <w:bottom w:w="28" w:type="dxa"/>
            </w:tcMar>
            <w:vAlign w:val="bottom"/>
          </w:tcPr>
          <w:p>
            <w:pPr>
              <w:pStyle w:val="TableContents"/>
              <w:spacing w:before="0" w:after="283"/>
              <w:rPr/>
            </w:pPr>
            <w:r>
              <w:rPr/>
              <w:t>  </w:t>
            </w:r>
          </w:p>
        </w:tc>
        <w:tc>
          <w:tcPr>
            <w:tcW w:w="8471"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Michael N. Mears</w:t>
            </w:r>
            <w:r>
              <w:rPr>
                <w:rFonts w:ascii="arial" w:hAnsi="arial"/>
                <w:sz w:val="16"/>
              </w:rPr>
              <w:t>, 58, has been a director since 2018. He has been Chairman, President and Chief Executive Officer of Magellan Midstream Partners, L.P., which transports, stores and distributes petroleum and petroleum products, since 2011. From 2008 through 2011, he served as Chief Operating Officer of Magellan. Mr. Mears was a Senior Vice President of Magellan GP, LLC, general partner of Magellan, from 2007 through 2008 and a Vice President from 2004 to 2007. Prior to joining Magellan in 2004, he served as a Vice President of Subsidiaries of The Williams Companies, Inc. from 1996 to 2004. Mr. Mears also worked in various management positions with Williams Pipe Line Company (now known as Magellan Pipeline Company, L.P.) since joining Williams in 1985. He is a member of the board of directors of the Association of Oil Pipelines and is a director of the Tulsa Regional Chamber.</w:t>
            </w:r>
          </w:p>
          <w:p>
            <w:pPr>
              <w:pStyle w:val="TableContents"/>
              <w:spacing w:before="0" w:after="0"/>
              <w:rPr/>
            </w:pPr>
            <w:r>
              <w:rPr/>
              <w:t> </w:t>
            </w:r>
          </w:p>
          <w:p>
            <w:pPr>
              <w:pStyle w:val="TableContents"/>
              <w:spacing w:before="0" w:after="0"/>
              <w:rPr>
                <w:rFonts w:ascii="arial" w:hAnsi="arial"/>
                <w:sz w:val="16"/>
              </w:rPr>
            </w:pPr>
            <w:r>
              <w:rPr>
                <w:rFonts w:ascii="arial" w:hAnsi="arial"/>
                <w:sz w:val="16"/>
              </w:rPr>
              <w:t>Mr. Mears extensive knowledge of the energy industry, as well as his executive, commercial and operational experience, make him a valuable member of our board.</w:t>
            </w:r>
          </w:p>
          <w:p>
            <w:pPr>
              <w:pStyle w:val="TableContents"/>
              <w:spacing w:before="0" w:after="20"/>
              <w:rPr/>
            </w:pPr>
            <w:r>
              <w:rPr/>
              <w:t> </w:t>
            </w:r>
          </w:p>
        </w:tc>
      </w:tr>
      <w:tr>
        <w:trPr>
          <w:trHeight w:val="12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bottom w:val="single" w:sz="2" w:space="0" w:color="001C71"/>
            </w:tcBorders>
            <w:shd w:fill="auto" w:val="clear"/>
            <w:tcMar>
              <w:bottom w:w="28" w:type="dxa"/>
            </w:tcMar>
          </w:tcPr>
          <w:p>
            <w:pPr>
              <w:pStyle w:val="TableContents"/>
              <w:rPr/>
            </w:pPr>
            <w:r>
              <w:rPr/>
              <w:drawing>
                <wp:inline distT="0" distB="0" distL="0" distR="0">
                  <wp:extent cx="85725" cy="114935"/>
                  <wp:effectExtent l="0" t="0" r="0" b="0"/>
                  <wp:docPr id="6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7" descr=""/>
                          <pic:cNvPicPr>
                            <a:picLocks noChangeAspect="1" noChangeArrowheads="1"/>
                          </pic:cNvPicPr>
                        </pic:nvPicPr>
                        <pic:blipFill>
                          <a:blip r:embed="rId48"/>
                          <a:stretch>
                            <a:fillRect/>
                          </a:stretch>
                        </pic:blipFill>
                        <pic:spPr bwMode="auto">
                          <a:xfrm>
                            <a:off x="0" y="0"/>
                            <a:ext cx="85725" cy="114935"/>
                          </a:xfrm>
                          <a:prstGeom prst="rect">
                            <a:avLst/>
                          </a:prstGeom>
                        </pic:spPr>
                      </pic:pic>
                    </a:graphicData>
                  </a:graphic>
                </wp:inline>
              </w:drawing>
            </w:r>
            <w:r>
              <w:rPr/>
              <w:t xml:space="preserve"> </w:t>
            </w:r>
          </w:p>
          <w:p>
            <w:pPr>
              <w:pStyle w:val="TableContents"/>
              <w:spacing w:before="0" w:after="20"/>
              <w:rPr/>
            </w:pPr>
            <w:r>
              <w:rPr/>
              <w:t> </w:t>
            </w:r>
          </w:p>
        </w:tc>
        <w:tc>
          <w:tcPr>
            <w:tcW w:w="306" w:type="dxa"/>
            <w:tcBorders>
              <w:bottom w:val="single" w:sz="2" w:space="0" w:color="001C71"/>
            </w:tcBorders>
            <w:shd w:fill="auto" w:val="clear"/>
            <w:tcMar>
              <w:bottom w:w="28" w:type="dxa"/>
            </w:tcMar>
            <w:vAlign w:val="bottom"/>
          </w:tcPr>
          <w:p>
            <w:pPr>
              <w:pStyle w:val="TableContents"/>
              <w:spacing w:before="0" w:after="283"/>
              <w:rPr/>
            </w:pPr>
            <w:r>
              <w:rPr/>
              <w:t>  </w:t>
            </w:r>
          </w:p>
        </w:tc>
        <w:tc>
          <w:tcPr>
            <w:tcW w:w="8471"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Jack T. Taylor</w:t>
            </w:r>
            <w:r>
              <w:rPr>
                <w:rFonts w:ascii="arial" w:hAnsi="arial"/>
                <w:sz w:val="16"/>
              </w:rPr>
              <w:t>, 69, has been a director since 2013. He was the Chief Operating Officer  Americas and Executive Vice Chair of U.S. Operations for KPMG LLP from 2005 to 2010. From 2001 to 2005, he served as the Vice Chairman of U.S. Audit and Risk Advisory Services for KPMG. Mr. Taylor is an NACD Board Leadership Fellow and a member of the NACD Audit Committee Chair Advisory Council. He is a director of Genesis Energy LP and Murphy USA Inc.</w:t>
            </w:r>
          </w:p>
          <w:p>
            <w:pPr>
              <w:pStyle w:val="TableContents"/>
              <w:spacing w:before="0" w:after="0"/>
              <w:rPr/>
            </w:pPr>
            <w:r>
              <w:rPr/>
              <w:t> </w:t>
            </w:r>
          </w:p>
          <w:p>
            <w:pPr>
              <w:pStyle w:val="TableContents"/>
              <w:spacing w:before="0" w:after="0"/>
              <w:rPr>
                <w:rFonts w:ascii="arial" w:hAnsi="arial"/>
                <w:sz w:val="16"/>
              </w:rPr>
            </w:pPr>
            <w:r>
              <w:rPr>
                <w:rFonts w:ascii="arial" w:hAnsi="arial"/>
                <w:sz w:val="16"/>
              </w:rPr>
              <w:t>Mr. Taylor has extensive experience with financial and public accounting issues as well as a deep knowledge of the energy industry. He spent over 35 years as a public accountant at KPMG LLP, many of which he worked in a leadership capacity. This experience with financial and public accounting issues, together with his executive experience and knowledge of the energy industry, makes him a valuable member of our board.</w:t>
            </w:r>
          </w:p>
          <w:p>
            <w:pPr>
              <w:pStyle w:val="TableContents"/>
              <w:spacing w:before="0" w:after="20"/>
              <w:rPr/>
            </w:pPr>
            <w:r>
              <w:rPr/>
              <w:t> </w:t>
            </w:r>
          </w:p>
        </w:tc>
      </w:tr>
      <w:tr>
        <w:trPr>
          <w:trHeight w:val="12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4935"/>
                  <wp:effectExtent l="0" t="0" r="0" b="0"/>
                  <wp:docPr id="6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8" descr=""/>
                          <pic:cNvPicPr>
                            <a:picLocks noChangeAspect="1" noChangeArrowheads="1"/>
                          </pic:cNvPicPr>
                        </pic:nvPicPr>
                        <pic:blipFill>
                          <a:blip r:embed="rId49"/>
                          <a:stretch>
                            <a:fillRect/>
                          </a:stretch>
                        </pic:blipFill>
                        <pic:spPr bwMode="auto">
                          <a:xfrm>
                            <a:off x="0" y="0"/>
                            <a:ext cx="85725" cy="114935"/>
                          </a:xfrm>
                          <a:prstGeom prst="rect">
                            <a:avLst/>
                          </a:prstGeom>
                        </pic:spPr>
                      </pic:pic>
                    </a:graphicData>
                  </a:graphic>
                </wp:inline>
              </w:drawing>
            </w:r>
            <w:r>
              <w:rPr/>
              <w:t xml:space="preserve"> </w:t>
            </w:r>
          </w:p>
        </w:tc>
        <w:tc>
          <w:tcPr>
            <w:tcW w:w="306" w:type="dxa"/>
            <w:tcBorders>
              <w:bottom w:val="single" w:sz="2" w:space="0" w:color="001C71"/>
            </w:tcBorders>
            <w:shd w:fill="auto" w:val="clear"/>
            <w:tcMar>
              <w:bottom w:w="28" w:type="dxa"/>
            </w:tcMar>
            <w:vAlign w:val="bottom"/>
          </w:tcPr>
          <w:p>
            <w:pPr>
              <w:pStyle w:val="TableContents"/>
              <w:spacing w:before="0" w:after="283"/>
              <w:rPr/>
            </w:pPr>
            <w:r>
              <w:rPr/>
              <w:t>  </w:t>
            </w:r>
          </w:p>
        </w:tc>
        <w:tc>
          <w:tcPr>
            <w:tcW w:w="8471"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Cynthia L. Walker</w:t>
            </w:r>
            <w:r>
              <w:rPr>
                <w:rFonts w:ascii="arial" w:hAnsi="arial"/>
                <w:sz w:val="16"/>
              </w:rPr>
              <w:t>, 44, has been a director since 2018. She served as Senior Vice President, Midstream &amp; Marketing, for Occidental Petroleum Corporation, an integrated oil and gas exploration and production company, from 2016 until October 2019. From 2014 to 2016, she was Occidentals Senior Vice President, Strategy and Development. She joined Occidental in 2012 as Executive Vice President and Chief Financial Officer. Prior to that, Ms. Walker was a managing director at Goldman Sachs &amp; Co. where she worked for 12 years providing strategic advice in high-profile energy industry transactions as a senior member of the Global Natural Resources Group and Mergers and Acquisitions Group. She is a director of Oasis Petroleum Inc. and of the Houston Zoo and the Childrens Museum of Houston.</w:t>
            </w:r>
          </w:p>
          <w:p>
            <w:pPr>
              <w:pStyle w:val="TableContents"/>
              <w:spacing w:before="0" w:after="0"/>
              <w:rPr/>
            </w:pPr>
            <w:r>
              <w:rPr/>
              <w:t> </w:t>
            </w:r>
          </w:p>
          <w:p>
            <w:pPr>
              <w:pStyle w:val="TableContents"/>
              <w:spacing w:before="0" w:after="0"/>
              <w:rPr>
                <w:rFonts w:ascii="arial" w:hAnsi="arial"/>
                <w:sz w:val="16"/>
              </w:rPr>
            </w:pPr>
            <w:r>
              <w:rPr>
                <w:rFonts w:ascii="arial" w:hAnsi="arial"/>
                <w:sz w:val="16"/>
              </w:rPr>
              <w:t>Ms. Walkers extensive knowledge and executive experience in the natural gas and energy industries, as well as her prior experience in finance and mergers and acquisitions, make her a valuable member of our board.</w:t>
            </w:r>
          </w:p>
          <w:p>
            <w:pPr>
              <w:pStyle w:val="TableContents"/>
              <w:spacing w:before="0" w:after="20"/>
              <w:rPr/>
            </w:pPr>
            <w:r>
              <w:rPr/>
              <w:t> </w:t>
            </w:r>
          </w:p>
        </w:tc>
      </w:tr>
      <w:tr>
        <w:trPr>
          <w:trHeight w:val="12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5570"/>
                  <wp:effectExtent l="0" t="0" r="0" b="0"/>
                  <wp:docPr id="6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9" descr=""/>
                          <pic:cNvPicPr>
                            <a:picLocks noChangeAspect="1" noChangeArrowheads="1"/>
                          </pic:cNvPicPr>
                        </pic:nvPicPr>
                        <pic:blipFill>
                          <a:blip r:embed="rId50"/>
                          <a:stretch>
                            <a:fillRect/>
                          </a:stretch>
                        </pic:blipFill>
                        <pic:spPr bwMode="auto">
                          <a:xfrm>
                            <a:off x="0" y="0"/>
                            <a:ext cx="85725" cy="115570"/>
                          </a:xfrm>
                          <a:prstGeom prst="rect">
                            <a:avLst/>
                          </a:prstGeom>
                        </pic:spPr>
                      </pic:pic>
                    </a:graphicData>
                  </a:graphic>
                </wp:inline>
              </w:drawing>
            </w:r>
            <w:r>
              <w:rPr/>
              <w:t xml:space="preserve"> </w:t>
            </w:r>
          </w:p>
        </w:tc>
        <w:tc>
          <w:tcPr>
            <w:tcW w:w="306" w:type="dxa"/>
            <w:tcBorders>
              <w:bottom w:val="single" w:sz="2" w:space="0" w:color="001C71"/>
            </w:tcBorders>
            <w:shd w:fill="auto" w:val="clear"/>
            <w:tcMar>
              <w:bottom w:w="28" w:type="dxa"/>
            </w:tcMar>
            <w:vAlign w:val="bottom"/>
          </w:tcPr>
          <w:p>
            <w:pPr>
              <w:pStyle w:val="TableContents"/>
              <w:spacing w:before="0" w:after="283"/>
              <w:rPr/>
            </w:pPr>
            <w:r>
              <w:rPr/>
              <w:t>  </w:t>
            </w:r>
          </w:p>
        </w:tc>
        <w:tc>
          <w:tcPr>
            <w:tcW w:w="8471"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Cynthia J. Warner</w:t>
            </w:r>
            <w:r>
              <w:rPr>
                <w:rFonts w:ascii="arial" w:hAnsi="arial"/>
                <w:sz w:val="16"/>
              </w:rPr>
              <w:t>, 62, has been a director since 2019. She has served as President and Chief Executive Officer and a director of Renewable Energy Group, Inc., an advanced biofuel producer, since January 2019. Ms. Warner served as Executive Vice President of Operations for Andeavor (formerly Tesoro Corporation), a refiner and marketer of petroleum products, from August 2016 until October 2018, when Andeavor was acquired by Marathon Petroleum Corp. Prior to that, she served as Andeavors Executive Vice President of Strategy and Business Development from October 2014 to August 2016. Ms. Warner previously served as Chairman and Chief Executive Officer of Sapphire Energy, Inc. after a 25-year career at BP and Amoco, Inc. (prior to its acquisition by BP). Ms. Warner is a director of IDEX Corporation and is a member of the National Petroleum Council and Board of Visitors of Vanderbilt University School of Engineering. Ms. Warner will retire as a director of IDEX Corporation and will not stand for re-election at its upcoming annual shareholders meeting in May 2021.</w:t>
            </w:r>
          </w:p>
          <w:p>
            <w:pPr>
              <w:pStyle w:val="TableContents"/>
              <w:spacing w:before="0" w:after="0"/>
              <w:rPr/>
            </w:pPr>
            <w:r>
              <w:rPr/>
              <w:t> </w:t>
            </w:r>
          </w:p>
          <w:p>
            <w:pPr>
              <w:pStyle w:val="TableContents"/>
              <w:spacing w:before="0" w:after="0"/>
              <w:rPr>
                <w:rFonts w:ascii="arial" w:hAnsi="arial"/>
                <w:sz w:val="16"/>
              </w:rPr>
            </w:pPr>
            <w:r>
              <w:rPr>
                <w:rFonts w:ascii="arial" w:hAnsi="arial"/>
                <w:sz w:val="16"/>
              </w:rPr>
              <w:t>Ms. Warners extensive experience in the global energy industry, particularly with respect to clean and renewable energy, makes her a valuable member of our board.</w:t>
            </w:r>
          </w:p>
          <w:p>
            <w:pPr>
              <w:pStyle w:val="TableContents"/>
              <w:spacing w:before="0" w:after="20"/>
              <w:rPr/>
            </w:pPr>
            <w:r>
              <w:rPr/>
              <w:t> </w:t>
            </w:r>
          </w:p>
        </w:tc>
      </w:tr>
      <w:tr>
        <w:trPr>
          <w:trHeight w:val="12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bottom w:val="single" w:sz="2" w:space="0" w:color="001C71"/>
            </w:tcBorders>
            <w:shd w:fill="auto" w:val="clear"/>
            <w:tcMar>
              <w:bottom w:w="28" w:type="dxa"/>
            </w:tcMar>
          </w:tcPr>
          <w:p>
            <w:pPr>
              <w:pStyle w:val="TableContents"/>
              <w:spacing w:before="0" w:after="283"/>
              <w:rPr/>
            </w:pPr>
            <w:r>
              <w:rPr/>
              <w:drawing>
                <wp:inline distT="0" distB="0" distL="0" distR="0">
                  <wp:extent cx="85725" cy="114935"/>
                  <wp:effectExtent l="0" t="0" r="0" b="0"/>
                  <wp:docPr id="6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0" descr=""/>
                          <pic:cNvPicPr>
                            <a:picLocks noChangeAspect="1" noChangeArrowheads="1"/>
                          </pic:cNvPicPr>
                        </pic:nvPicPr>
                        <pic:blipFill>
                          <a:blip r:embed="rId51"/>
                          <a:stretch>
                            <a:fillRect/>
                          </a:stretch>
                        </pic:blipFill>
                        <pic:spPr bwMode="auto">
                          <a:xfrm>
                            <a:off x="0" y="0"/>
                            <a:ext cx="85725" cy="114935"/>
                          </a:xfrm>
                          <a:prstGeom prst="rect">
                            <a:avLst/>
                          </a:prstGeom>
                        </pic:spPr>
                      </pic:pic>
                    </a:graphicData>
                  </a:graphic>
                </wp:inline>
              </w:drawing>
            </w:r>
            <w:r>
              <w:rPr/>
              <w:t xml:space="preserve"> </w:t>
            </w:r>
          </w:p>
        </w:tc>
        <w:tc>
          <w:tcPr>
            <w:tcW w:w="306" w:type="dxa"/>
            <w:tcBorders>
              <w:bottom w:val="single" w:sz="2" w:space="0" w:color="001C71"/>
            </w:tcBorders>
            <w:shd w:fill="auto" w:val="clear"/>
            <w:tcMar>
              <w:bottom w:w="28" w:type="dxa"/>
            </w:tcMar>
            <w:vAlign w:val="bottom"/>
          </w:tcPr>
          <w:p>
            <w:pPr>
              <w:pStyle w:val="TableContents"/>
              <w:spacing w:before="0" w:after="283"/>
              <w:rPr/>
            </w:pPr>
            <w:r>
              <w:rPr/>
              <w:t>  </w:t>
            </w:r>
          </w:p>
        </w:tc>
        <w:tc>
          <w:tcPr>
            <w:tcW w:w="8471" w:type="dxa"/>
            <w:tcBorders>
              <w:bottom w:val="single" w:sz="2" w:space="0" w:color="001C71"/>
            </w:tcBorders>
            <w:shd w:fill="auto" w:val="clear"/>
            <w:tcMar>
              <w:bottom w:w="28" w:type="dxa"/>
            </w:tcMar>
          </w:tcPr>
          <w:p>
            <w:pPr>
              <w:pStyle w:val="TableContents"/>
              <w:spacing w:before="0" w:after="0"/>
              <w:rPr>
                <w:rFonts w:ascii="arial" w:hAnsi="arial"/>
                <w:sz w:val="16"/>
              </w:rPr>
            </w:pPr>
            <w:r>
              <w:rPr>
                <w:rFonts w:ascii="arial" w:hAnsi="arial"/>
                <w:b/>
                <w:sz w:val="16"/>
              </w:rPr>
              <w:t>James C. Yardley</w:t>
            </w:r>
            <w:r>
              <w:rPr>
                <w:rFonts w:ascii="arial" w:hAnsi="arial"/>
                <w:sz w:val="16"/>
              </w:rPr>
              <w:t>, 69, has been a director since 2013. He was Executive Vice President of El Paso Corporation, a natural gas pipeline company and oil and gas producer, and President of its Pipeline Group from 2006 through 2012. Mr. Yardley was also the President and Chief Executive Officer of El Paso Pipeline GP Company LLC, the general partner of El Paso Pipeline Partners, L.P., a master limited partnership that owned and operated interstate natural gas transportation pipelines, storage and other midstream assets, from 2007 through 2012. From 1998 through 2006, he was the President of Southern Natural Gas Company, previously a unit of El Paso Corporation and now a unit held jointly by Kinder Morgan Inc. and The Southern Company. Mr. Yardley is a former director of El Paso Pipeline GP Company LLC, and Scorpion Offshore Ltd.</w:t>
            </w:r>
          </w:p>
          <w:p>
            <w:pPr>
              <w:pStyle w:val="TableContents"/>
              <w:spacing w:before="0" w:after="0"/>
              <w:rPr/>
            </w:pPr>
            <w:r>
              <w:rPr/>
              <w:t> </w:t>
            </w:r>
          </w:p>
          <w:p>
            <w:pPr>
              <w:pStyle w:val="TableContents"/>
              <w:spacing w:before="0" w:after="0"/>
              <w:rPr>
                <w:rFonts w:ascii="arial" w:hAnsi="arial"/>
                <w:sz w:val="16"/>
              </w:rPr>
            </w:pPr>
            <w:r>
              <w:rPr>
                <w:rFonts w:ascii="arial" w:hAnsi="arial"/>
                <w:sz w:val="16"/>
              </w:rPr>
              <w:t>Mr. Yardley has extensive experience in the natural gas industry and in particular the midstream portion of that industry. He has spent over 34 years in the energy sector, many of which he worked in a leadership capacity, and has public company board experience. This specialized energy industry experience, together with Mr. Yardleys executive and public company board experience, makes him a valuable member of our board.</w:t>
            </w:r>
          </w:p>
          <w:p>
            <w:pPr>
              <w:pStyle w:val="TableContents"/>
              <w:spacing w:before="0" w:after="2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31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b/>
          <w:color w:val="001C71"/>
          <w:sz w:val="24"/>
        </w:rPr>
      </w:pPr>
      <w:r>
        <w:rPr>
          <w:rFonts w:ascii="arial" w:hAnsi="arial"/>
          <w:b/>
          <w:color w:val="001C71"/>
          <w:sz w:val="24"/>
        </w:rPr>
        <w:t xml:space="preserve">Proposal to be Voted on, Board Recommendation and Vote Required </w:t>
      </w:r>
    </w:p>
    <w:p>
      <w:pPr>
        <w:pStyle w:val="TextBody"/>
        <w:spacing w:before="120" w:after="0"/>
        <w:jc w:val="left"/>
        <w:rPr>
          <w:rFonts w:ascii="arial" w:hAnsi="arial"/>
          <w:sz w:val="16"/>
        </w:rPr>
      </w:pPr>
      <w:r>
        <w:rPr>
          <w:rFonts w:ascii="arial" w:hAnsi="arial"/>
          <w:sz w:val="16"/>
        </w:rPr>
        <w:t xml:space="preserve">We are asking our shareholders to elect each of the 12 nominees named in this proxy statement as directors of our company. We have not received notice of any additional candidates to be nominated to stand for election as directors at the Annual Shareholders Meeting and the deadline for notice of the nomination of additional candidates has passed. Consequently, the election of directors will be an uncontested election and our bylaw providing for majority voting in uncontested elections will apply. Under this bylaw, to be elected as a director, a nominee must receive votes FOR his or her election constituting a majority of the shares represented and voting at the Annual Shareholders Meeting at which a quorum is present, and the approving majority also must represent more than 25% of our outstanding shares. If a nominee who currently is serving as a director does not receive sufficient FOR votes to be re-elected, the director will cease to be a director not later than 90 days following the certification of the election results, and the resulting vacancy on the board may be filled by the remaining directors. If a nominee receives sufficient FOR votes, he or she will be re-elected to serve until our next annual shareholders meeting and until his or her successor has been elected and qualified or until his or her earlier resignation or removal. </w:t>
      </w:r>
    </w:p>
    <w:p>
      <w:pPr>
        <w:pStyle w:val="TextBody"/>
        <w:spacing w:before="0" w:after="0"/>
        <w:jc w:val="left"/>
        <w:rPr/>
      </w:pPr>
      <w:r>
        <w:rPr/>
        <w:t> </w:t>
      </w:r>
    </w:p>
    <w:p>
      <w:pPr>
        <w:pStyle w:val="TextBody"/>
        <w:pBdr/>
        <w:spacing w:before="0" w:after="160"/>
        <w:jc w:val="left"/>
        <w:rPr>
          <w:rFonts w:ascii="arial" w:hAnsi="arial"/>
          <w:color w:val="001C71"/>
          <w:sz w:val="24"/>
          <w:highlight w:val="white"/>
        </w:rPr>
      </w:pPr>
      <w:r>
        <w:rPr>
          <w:rFonts w:ascii="arial" w:hAnsi="arial"/>
          <w:color w:val="001C71"/>
          <w:sz w:val="24"/>
          <w:highlight w:val="white"/>
        </w:rPr>
        <w:t xml:space="preserve">The Board of Directors recommends that on Proposal 1 you vote FOR each of its nominees for election to the board.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32</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sz w:val="28"/>
        </w:rPr>
      </w:pPr>
      <w:bookmarkStart w:id="15" w:name="toc108157_13"/>
      <w:bookmarkEnd w:id="15"/>
      <w:r>
        <w:rPr>
          <w:rFonts w:ascii="arial" w:hAnsi="arial"/>
          <w:sz w:val="28"/>
        </w:rPr>
        <w:t xml:space="preserve">Proposal 2: Ratification of Appointment of Independent Registered Public Accounting Firm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The Audit Committee of the Board of Directors has retained Deloitte &amp; Touche LLP as the independent registered public accounting firm to audit our financial statements and the effectiveness of our internal control over financial reporting for 2021. Deloitte &amp; Touche LLP has served as our independent public accounting firm continuously since our inception in 1998. Deloitte &amp; Touche LLP or its predecessors have continuously served as the independent public accounting firm of SDG&amp;E and SoCalGas or their parent companies since 1935 and 1937, respectively. Representatives of Deloitte &amp; Touche LLP are expected to attend the Annual Shareholders Meeting and will have the opportunity to make a statement if they desire to do so and are expected to be available to respond to appropriate questions from shareholders. </w:t>
      </w:r>
    </w:p>
    <w:p>
      <w:pPr>
        <w:pStyle w:val="TextBody"/>
        <w:spacing w:before="240" w:after="0"/>
        <w:jc w:val="left"/>
        <w:rPr>
          <w:rFonts w:ascii="arial" w:hAnsi="arial"/>
          <w:sz w:val="16"/>
        </w:rPr>
      </w:pPr>
      <w:r>
        <w:rPr>
          <w:rFonts w:ascii="arial" w:hAnsi="arial"/>
          <w:sz w:val="16"/>
        </w:rPr>
        <w:t xml:space="preserve">The following table shows fees paid to Deloitte &amp; Touche LLP for services provided to Sempra Energy for 2020 and 2019: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137"/>
        <w:gridCol w:w="452"/>
        <w:gridCol w:w="140"/>
        <w:gridCol w:w="745"/>
        <w:gridCol w:w="60"/>
        <w:gridCol w:w="452"/>
        <w:gridCol w:w="152"/>
        <w:gridCol w:w="974"/>
        <w:gridCol w:w="60"/>
        <w:gridCol w:w="505"/>
        <w:gridCol w:w="140"/>
        <w:gridCol w:w="697"/>
        <w:gridCol w:w="60"/>
        <w:gridCol w:w="400"/>
        <w:gridCol w:w="152"/>
        <w:gridCol w:w="974"/>
        <w:gridCol w:w="105"/>
      </w:tblGrid>
      <w:tr>
        <w:trPr/>
        <w:tc>
          <w:tcPr>
            <w:tcW w:w="413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4137" w:type="dxa"/>
            <w:tcBorders/>
            <w:shd w:fill="001C71" w:val="clear"/>
            <w:vAlign w:val="center"/>
          </w:tcPr>
          <w:p>
            <w:pPr>
              <w:pStyle w:val="TableContents"/>
              <w:spacing w:before="0" w:after="283"/>
              <w:rPr>
                <w:sz w:val="4"/>
                <w:szCs w:val="4"/>
              </w:rPr>
            </w:pPr>
            <w:r>
              <w:rPr>
                <w:sz w:val="4"/>
                <w:szCs w:val="4"/>
              </w:rPr>
            </w:r>
          </w:p>
        </w:tc>
        <w:tc>
          <w:tcPr>
            <w:tcW w:w="3035" w:type="dxa"/>
            <w:gridSpan w:val="8"/>
            <w:tcBorders/>
            <w:shd w:fill="001C71" w:val="clear"/>
            <w:vAlign w:val="center"/>
          </w:tcPr>
          <w:p>
            <w:pPr>
              <w:pStyle w:val="TableContents"/>
              <w:spacing w:before="0" w:after="283"/>
              <w:rPr>
                <w:sz w:val="4"/>
                <w:szCs w:val="4"/>
              </w:rPr>
            </w:pPr>
            <w:r>
              <w:rPr>
                <w:sz w:val="4"/>
                <w:szCs w:val="4"/>
              </w:rPr>
            </w:r>
          </w:p>
        </w:tc>
        <w:tc>
          <w:tcPr>
            <w:tcW w:w="3033" w:type="dxa"/>
            <w:gridSpan w:val="8"/>
            <w:tcBorders/>
            <w:shd w:fill="001C71" w:val="clear"/>
            <w:vAlign w:val="center"/>
          </w:tcPr>
          <w:p>
            <w:pPr>
              <w:pStyle w:val="TableContents"/>
              <w:spacing w:before="0" w:after="283"/>
              <w:rPr>
                <w:sz w:val="4"/>
                <w:szCs w:val="4"/>
              </w:rPr>
            </w:pPr>
            <w:r>
              <w:rPr>
                <w:sz w:val="4"/>
                <w:szCs w:val="4"/>
              </w:rPr>
            </w:r>
          </w:p>
        </w:tc>
      </w:tr>
      <w:tr>
        <w:trPr/>
        <w:tc>
          <w:tcPr>
            <w:tcW w:w="4137" w:type="dxa"/>
            <w:tcBorders>
              <w:bottom w:val="single" w:sz="2" w:space="0" w:color="001C71"/>
            </w:tcBorders>
            <w:shd w:fill="001C71" w:val="clear"/>
            <w:tcMar>
              <w:bottom w:w="28" w:type="dxa"/>
            </w:tcMar>
            <w:vAlign w:val="bottom"/>
          </w:tcPr>
          <w:p>
            <w:pPr>
              <w:pStyle w:val="TableContents"/>
              <w:spacing w:before="0" w:after="283"/>
              <w:rPr/>
            </w:pPr>
            <w:r>
              <w:rPr/>
              <w:t>  </w:t>
            </w:r>
          </w:p>
        </w:tc>
        <w:tc>
          <w:tcPr>
            <w:tcW w:w="452" w:type="dxa"/>
            <w:tcBorders>
              <w:bottom w:val="single" w:sz="2" w:space="0" w:color="001C71"/>
            </w:tcBorders>
            <w:shd w:fill="001C71" w:val="clear"/>
            <w:tcMar>
              <w:bottom w:w="28" w:type="dxa"/>
            </w:tcMar>
            <w:vAlign w:val="bottom"/>
          </w:tcPr>
          <w:p>
            <w:pPr>
              <w:pStyle w:val="TableContents"/>
              <w:spacing w:before="0" w:after="283"/>
              <w:rPr/>
            </w:pPr>
            <w:r>
              <w:rPr/>
              <w:t>    </w:t>
            </w:r>
          </w:p>
        </w:tc>
        <w:tc>
          <w:tcPr>
            <w:tcW w:w="2523" w:type="dxa"/>
            <w:gridSpan w:val="6"/>
            <w:tcBorders>
              <w:bottom w:val="single" w:sz="2" w:space="0" w:color="FCFCFC"/>
            </w:tcBorders>
            <w:shd w:fill="001C71" w:val="clear"/>
            <w:tcMar>
              <w:bottom w:w="28" w:type="dxa"/>
            </w:tcMar>
            <w:vAlign w:val="bottom"/>
          </w:tcPr>
          <w:p>
            <w:pPr>
              <w:pStyle w:val="TableContents"/>
              <w:spacing w:before="0" w:after="283"/>
              <w:jc w:val="center"/>
              <w:rPr>
                <w:b/>
                <w:color w:val="FFFFFF"/>
              </w:rPr>
            </w:pPr>
            <w:r>
              <w:rPr>
                <w:b/>
                <w:color w:val="FFFFFF"/>
              </w:rPr>
              <w:t>2020</w:t>
            </w:r>
          </w:p>
        </w:tc>
        <w:tc>
          <w:tcPr>
            <w:tcW w:w="60" w:type="dxa"/>
            <w:tcBorders>
              <w:bottom w:val="single" w:sz="2" w:space="0" w:color="001C71"/>
            </w:tcBorders>
            <w:shd w:fill="001C71" w:val="clear"/>
            <w:tcMar>
              <w:bottom w:w="28" w:type="dxa"/>
            </w:tcMar>
            <w:vAlign w:val="bottom"/>
          </w:tcPr>
          <w:p>
            <w:pPr>
              <w:pStyle w:val="TableContents"/>
              <w:spacing w:before="0" w:after="283"/>
              <w:rPr/>
            </w:pPr>
            <w:r>
              <w:rPr/>
              <w:t> </w:t>
            </w:r>
          </w:p>
        </w:tc>
        <w:tc>
          <w:tcPr>
            <w:tcW w:w="505" w:type="dxa"/>
            <w:tcBorders>
              <w:bottom w:val="single" w:sz="2" w:space="0" w:color="001C71"/>
            </w:tcBorders>
            <w:shd w:fill="001C71" w:val="clear"/>
            <w:tcMar>
              <w:bottom w:w="28" w:type="dxa"/>
            </w:tcMar>
            <w:vAlign w:val="bottom"/>
          </w:tcPr>
          <w:p>
            <w:pPr>
              <w:pStyle w:val="TableContents"/>
              <w:spacing w:before="0" w:after="283"/>
              <w:rPr/>
            </w:pPr>
            <w:r>
              <w:rPr/>
              <w:t>    </w:t>
            </w:r>
          </w:p>
        </w:tc>
        <w:tc>
          <w:tcPr>
            <w:tcW w:w="2423" w:type="dxa"/>
            <w:gridSpan w:val="6"/>
            <w:tcBorders>
              <w:bottom w:val="single" w:sz="2" w:space="0" w:color="FCFCFC"/>
            </w:tcBorders>
            <w:shd w:fill="001C71" w:val="clear"/>
            <w:tcMar>
              <w:bottom w:w="28" w:type="dxa"/>
            </w:tcMar>
            <w:vAlign w:val="bottom"/>
          </w:tcPr>
          <w:p>
            <w:pPr>
              <w:pStyle w:val="TableContents"/>
              <w:spacing w:before="0" w:after="283"/>
              <w:jc w:val="center"/>
              <w:rPr>
                <w:b/>
                <w:color w:val="FFFFFF"/>
              </w:rPr>
            </w:pPr>
            <w:r>
              <w:rPr>
                <w:b/>
                <w:color w:val="FFFFFF"/>
              </w:rPr>
              <w:t>2019</w:t>
            </w:r>
          </w:p>
        </w:tc>
        <w:tc>
          <w:tcPr>
            <w:tcW w:w="105" w:type="dxa"/>
            <w:tcBorders>
              <w:bottom w:val="single" w:sz="2" w:space="0" w:color="001C71"/>
            </w:tcBorders>
            <w:shd w:fill="001C71" w:val="clear"/>
            <w:tcMar>
              <w:bottom w:w="28" w:type="dxa"/>
            </w:tcMar>
            <w:vAlign w:val="bottom"/>
          </w:tcPr>
          <w:p>
            <w:pPr>
              <w:pStyle w:val="TableContents"/>
              <w:spacing w:before="0" w:after="283"/>
              <w:rPr/>
            </w:pPr>
            <w:r>
              <w:rPr/>
              <w:t> </w:t>
            </w:r>
          </w:p>
        </w:tc>
      </w:tr>
      <w:tr>
        <w:trPr>
          <w:trHeight w:val="30" w:hRule="atLeast"/>
        </w:trPr>
        <w:tc>
          <w:tcPr>
            <w:tcW w:w="4137" w:type="dxa"/>
            <w:tcBorders/>
            <w:shd w:fill="001C71" w:val="clear"/>
            <w:vAlign w:val="center"/>
          </w:tcPr>
          <w:p>
            <w:pPr>
              <w:pStyle w:val="TableContents"/>
              <w:spacing w:before="0" w:after="283"/>
              <w:rPr>
                <w:sz w:val="4"/>
                <w:szCs w:val="4"/>
              </w:rPr>
            </w:pPr>
            <w:r>
              <w:rPr>
                <w:sz w:val="4"/>
                <w:szCs w:val="4"/>
              </w:rPr>
            </w:r>
          </w:p>
        </w:tc>
        <w:tc>
          <w:tcPr>
            <w:tcW w:w="1397" w:type="dxa"/>
            <w:gridSpan w:val="4"/>
            <w:tcBorders/>
            <w:shd w:fill="001C71" w:val="clear"/>
            <w:vAlign w:val="center"/>
          </w:tcPr>
          <w:p>
            <w:pPr>
              <w:pStyle w:val="TableContents"/>
              <w:spacing w:before="0" w:after="283"/>
              <w:rPr>
                <w:sz w:val="4"/>
                <w:szCs w:val="4"/>
              </w:rPr>
            </w:pPr>
            <w:r>
              <w:rPr>
                <w:sz w:val="4"/>
                <w:szCs w:val="4"/>
              </w:rPr>
            </w:r>
          </w:p>
        </w:tc>
        <w:tc>
          <w:tcPr>
            <w:tcW w:w="1638" w:type="dxa"/>
            <w:gridSpan w:val="4"/>
            <w:tcBorders/>
            <w:shd w:fill="001C71" w:val="clear"/>
            <w:vAlign w:val="center"/>
          </w:tcPr>
          <w:p>
            <w:pPr>
              <w:pStyle w:val="TableContents"/>
              <w:spacing w:before="0" w:after="283"/>
              <w:rPr>
                <w:sz w:val="4"/>
                <w:szCs w:val="4"/>
              </w:rPr>
            </w:pPr>
            <w:r>
              <w:rPr>
                <w:sz w:val="4"/>
                <w:szCs w:val="4"/>
              </w:rPr>
            </w:r>
          </w:p>
        </w:tc>
        <w:tc>
          <w:tcPr>
            <w:tcW w:w="1402" w:type="dxa"/>
            <w:gridSpan w:val="4"/>
            <w:tcBorders/>
            <w:shd w:fill="001C71" w:val="clear"/>
            <w:vAlign w:val="center"/>
          </w:tcPr>
          <w:p>
            <w:pPr>
              <w:pStyle w:val="TableContents"/>
              <w:spacing w:before="0" w:after="283"/>
              <w:rPr>
                <w:sz w:val="4"/>
                <w:szCs w:val="4"/>
              </w:rPr>
            </w:pPr>
            <w:r>
              <w:rPr>
                <w:sz w:val="4"/>
                <w:szCs w:val="4"/>
              </w:rPr>
            </w:r>
          </w:p>
        </w:tc>
        <w:tc>
          <w:tcPr>
            <w:tcW w:w="1631" w:type="dxa"/>
            <w:gridSpan w:val="4"/>
            <w:tcBorders/>
            <w:shd w:fill="001C71" w:val="clear"/>
            <w:vAlign w:val="center"/>
          </w:tcPr>
          <w:p>
            <w:pPr>
              <w:pStyle w:val="TableContents"/>
              <w:spacing w:before="0" w:after="283"/>
              <w:rPr>
                <w:sz w:val="4"/>
                <w:szCs w:val="4"/>
              </w:rPr>
            </w:pPr>
            <w:r>
              <w:rPr>
                <w:sz w:val="4"/>
                <w:szCs w:val="4"/>
              </w:rPr>
            </w:r>
          </w:p>
        </w:tc>
      </w:tr>
      <w:tr>
        <w:trPr/>
        <w:tc>
          <w:tcPr>
            <w:tcW w:w="4137"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Dollars in Thousands</w:t>
            </w:r>
          </w:p>
        </w:tc>
        <w:tc>
          <w:tcPr>
            <w:tcW w:w="452" w:type="dxa"/>
            <w:tcBorders/>
            <w:shd w:fill="001C71" w:val="clear"/>
            <w:vAlign w:val="bottom"/>
          </w:tcPr>
          <w:p>
            <w:pPr>
              <w:pStyle w:val="TableContents"/>
              <w:spacing w:before="0" w:after="283"/>
              <w:rPr/>
            </w:pPr>
            <w:r>
              <w:rPr/>
              <w:t>    </w:t>
            </w:r>
          </w:p>
        </w:tc>
        <w:tc>
          <w:tcPr>
            <w:tcW w:w="885" w:type="dxa"/>
            <w:gridSpan w:val="2"/>
            <w:tcBorders/>
            <w:shd w:fill="001C71" w:val="clear"/>
            <w:vAlign w:val="bottom"/>
          </w:tcPr>
          <w:p>
            <w:pPr>
              <w:pStyle w:val="TableContents"/>
              <w:spacing w:before="0" w:after="283"/>
              <w:jc w:val="center"/>
              <w:rPr>
                <w:b/>
                <w:color w:val="FFFFFF"/>
              </w:rPr>
            </w:pPr>
            <w:r>
              <w:rPr>
                <w:b/>
                <w:color w:val="FFFFFF"/>
              </w:rPr>
              <w:t>Fees</w:t>
            </w:r>
          </w:p>
        </w:tc>
        <w:tc>
          <w:tcPr>
            <w:tcW w:w="60" w:type="dxa"/>
            <w:tcBorders/>
            <w:shd w:fill="001C71" w:val="clear"/>
            <w:vAlign w:val="bottom"/>
          </w:tcPr>
          <w:p>
            <w:pPr>
              <w:pStyle w:val="TableContents"/>
              <w:spacing w:before="0" w:after="283"/>
              <w:rPr/>
            </w:pPr>
            <w:r>
              <w:rPr/>
              <w:t> </w:t>
            </w:r>
          </w:p>
        </w:tc>
        <w:tc>
          <w:tcPr>
            <w:tcW w:w="452" w:type="dxa"/>
            <w:tcBorders/>
            <w:shd w:fill="001C71" w:val="clear"/>
            <w:vAlign w:val="bottom"/>
          </w:tcPr>
          <w:p>
            <w:pPr>
              <w:pStyle w:val="TableContents"/>
              <w:spacing w:before="0" w:after="283"/>
              <w:rPr/>
            </w:pPr>
            <w:r>
              <w:rPr/>
              <w:t>    </w:t>
            </w:r>
          </w:p>
        </w:tc>
        <w:tc>
          <w:tcPr>
            <w:tcW w:w="1126" w:type="dxa"/>
            <w:gridSpan w:val="2"/>
            <w:tcBorders/>
            <w:shd w:fill="001C71" w:val="clear"/>
            <w:vAlign w:val="bottom"/>
          </w:tcPr>
          <w:p>
            <w:pPr>
              <w:pStyle w:val="TableContents"/>
              <w:spacing w:before="0" w:after="283"/>
              <w:jc w:val="center"/>
              <w:rPr>
                <w:b/>
                <w:color w:val="FFFFFF"/>
              </w:rPr>
            </w:pPr>
            <w:r>
              <w:rPr>
                <w:b/>
                <w:color w:val="FFFFFF"/>
              </w:rPr>
              <w:t>% of Total</w:t>
            </w:r>
          </w:p>
        </w:tc>
        <w:tc>
          <w:tcPr>
            <w:tcW w:w="60" w:type="dxa"/>
            <w:tcBorders/>
            <w:shd w:fill="001C71" w:val="clear"/>
            <w:vAlign w:val="bottom"/>
          </w:tcPr>
          <w:p>
            <w:pPr>
              <w:pStyle w:val="TableContents"/>
              <w:spacing w:before="0" w:after="283"/>
              <w:rPr/>
            </w:pPr>
            <w:r>
              <w:rPr/>
              <w:t> </w:t>
            </w:r>
          </w:p>
        </w:tc>
        <w:tc>
          <w:tcPr>
            <w:tcW w:w="505" w:type="dxa"/>
            <w:tcBorders/>
            <w:shd w:fill="001C71" w:val="clear"/>
            <w:vAlign w:val="bottom"/>
          </w:tcPr>
          <w:p>
            <w:pPr>
              <w:pStyle w:val="TableContents"/>
              <w:spacing w:before="0" w:after="283"/>
              <w:rPr/>
            </w:pPr>
            <w:r>
              <w:rPr/>
              <w:t>    </w:t>
            </w:r>
          </w:p>
        </w:tc>
        <w:tc>
          <w:tcPr>
            <w:tcW w:w="837" w:type="dxa"/>
            <w:gridSpan w:val="2"/>
            <w:tcBorders/>
            <w:shd w:fill="001C71" w:val="clear"/>
            <w:vAlign w:val="bottom"/>
          </w:tcPr>
          <w:p>
            <w:pPr>
              <w:pStyle w:val="TableContents"/>
              <w:spacing w:before="0" w:after="283"/>
              <w:jc w:val="center"/>
              <w:rPr>
                <w:b/>
                <w:color w:val="FFFFFF"/>
              </w:rPr>
            </w:pPr>
            <w:r>
              <w:rPr>
                <w:b/>
                <w:color w:val="FFFFFF"/>
              </w:rPr>
              <w:t>Fees</w:t>
            </w:r>
          </w:p>
        </w:tc>
        <w:tc>
          <w:tcPr>
            <w:tcW w:w="60" w:type="dxa"/>
            <w:tcBorders/>
            <w:shd w:fill="001C71" w:val="clear"/>
            <w:vAlign w:val="bottom"/>
          </w:tcPr>
          <w:p>
            <w:pPr>
              <w:pStyle w:val="TableContents"/>
              <w:spacing w:before="0" w:after="283"/>
              <w:rPr/>
            </w:pPr>
            <w:r>
              <w:rPr/>
              <w:t> </w:t>
            </w:r>
          </w:p>
        </w:tc>
        <w:tc>
          <w:tcPr>
            <w:tcW w:w="400" w:type="dxa"/>
            <w:tcBorders/>
            <w:shd w:fill="001C71" w:val="clear"/>
            <w:vAlign w:val="bottom"/>
          </w:tcPr>
          <w:p>
            <w:pPr>
              <w:pStyle w:val="TableContents"/>
              <w:spacing w:before="0" w:after="283"/>
              <w:rPr/>
            </w:pPr>
            <w:r>
              <w:rPr/>
              <w:t>    </w:t>
            </w:r>
          </w:p>
        </w:tc>
        <w:tc>
          <w:tcPr>
            <w:tcW w:w="1126" w:type="dxa"/>
            <w:gridSpan w:val="2"/>
            <w:tcBorders/>
            <w:shd w:fill="001C71" w:val="clear"/>
            <w:vAlign w:val="bottom"/>
          </w:tcPr>
          <w:p>
            <w:pPr>
              <w:pStyle w:val="TableContents"/>
              <w:spacing w:before="0" w:after="283"/>
              <w:jc w:val="center"/>
              <w:rPr>
                <w:b/>
                <w:color w:val="FFFFFF"/>
              </w:rPr>
            </w:pPr>
            <w:r>
              <w:rPr>
                <w:b/>
                <w:color w:val="FFFFFF"/>
              </w:rPr>
              <w:t>% of Total</w:t>
            </w:r>
          </w:p>
        </w:tc>
        <w:tc>
          <w:tcPr>
            <w:tcW w:w="105" w:type="dxa"/>
            <w:tcBorders/>
            <w:shd w:fill="001C71" w:val="clear"/>
            <w:vAlign w:val="bottom"/>
          </w:tcPr>
          <w:p>
            <w:pPr>
              <w:pStyle w:val="TableContents"/>
              <w:spacing w:before="0" w:after="283"/>
              <w:rPr/>
            </w:pPr>
            <w:r>
              <w:rPr/>
              <w:t> </w:t>
            </w:r>
          </w:p>
        </w:tc>
      </w:tr>
      <w:tr>
        <w:trPr>
          <w:trHeight w:val="30" w:hRule="atLeast"/>
        </w:trPr>
        <w:tc>
          <w:tcPr>
            <w:tcW w:w="4137" w:type="dxa"/>
            <w:tcBorders/>
            <w:shd w:fill="E5E5E5" w:val="clear"/>
            <w:vAlign w:val="center"/>
          </w:tcPr>
          <w:p>
            <w:pPr>
              <w:pStyle w:val="TableContents"/>
              <w:spacing w:before="0" w:after="283"/>
              <w:rPr>
                <w:sz w:val="4"/>
                <w:szCs w:val="4"/>
              </w:rPr>
            </w:pPr>
            <w:r>
              <w:rPr>
                <w:sz w:val="4"/>
                <w:szCs w:val="4"/>
              </w:rPr>
            </w:r>
          </w:p>
        </w:tc>
        <w:tc>
          <w:tcPr>
            <w:tcW w:w="1397" w:type="dxa"/>
            <w:gridSpan w:val="4"/>
            <w:tcBorders/>
            <w:shd w:fill="E5E5E5" w:val="clear"/>
            <w:vAlign w:val="center"/>
          </w:tcPr>
          <w:p>
            <w:pPr>
              <w:pStyle w:val="TableContents"/>
              <w:spacing w:before="0" w:after="283"/>
              <w:rPr>
                <w:sz w:val="4"/>
                <w:szCs w:val="4"/>
              </w:rPr>
            </w:pPr>
            <w:r>
              <w:rPr>
                <w:sz w:val="4"/>
                <w:szCs w:val="4"/>
              </w:rPr>
            </w:r>
          </w:p>
        </w:tc>
        <w:tc>
          <w:tcPr>
            <w:tcW w:w="1638" w:type="dxa"/>
            <w:gridSpan w:val="4"/>
            <w:tcBorders/>
            <w:shd w:fill="E5E5E5" w:val="clear"/>
            <w:vAlign w:val="center"/>
          </w:tcPr>
          <w:p>
            <w:pPr>
              <w:pStyle w:val="TableContents"/>
              <w:spacing w:before="0" w:after="283"/>
              <w:rPr>
                <w:sz w:val="4"/>
                <w:szCs w:val="4"/>
              </w:rPr>
            </w:pPr>
            <w:r>
              <w:rPr>
                <w:sz w:val="4"/>
                <w:szCs w:val="4"/>
              </w:rPr>
            </w:r>
          </w:p>
        </w:tc>
        <w:tc>
          <w:tcPr>
            <w:tcW w:w="1402" w:type="dxa"/>
            <w:gridSpan w:val="4"/>
            <w:tcBorders/>
            <w:shd w:fill="E5E5E5" w:val="clear"/>
            <w:vAlign w:val="center"/>
          </w:tcPr>
          <w:p>
            <w:pPr>
              <w:pStyle w:val="TableContents"/>
              <w:spacing w:before="0" w:after="283"/>
              <w:rPr>
                <w:sz w:val="4"/>
                <w:szCs w:val="4"/>
              </w:rPr>
            </w:pPr>
            <w:r>
              <w:rPr>
                <w:sz w:val="4"/>
                <w:szCs w:val="4"/>
              </w:rPr>
            </w:r>
          </w:p>
        </w:tc>
        <w:tc>
          <w:tcPr>
            <w:tcW w:w="1631" w:type="dxa"/>
            <w:gridSpan w:val="4"/>
            <w:tcBorders/>
            <w:shd w:fill="E5E5E5" w:val="clear"/>
            <w:vAlign w:val="center"/>
          </w:tcPr>
          <w:p>
            <w:pPr>
              <w:pStyle w:val="TableContents"/>
              <w:spacing w:before="0" w:after="283"/>
              <w:rPr>
                <w:sz w:val="4"/>
                <w:szCs w:val="4"/>
              </w:rPr>
            </w:pPr>
            <w:r>
              <w:rPr>
                <w:sz w:val="4"/>
                <w:szCs w:val="4"/>
              </w:rPr>
            </w:r>
          </w:p>
        </w:tc>
      </w:tr>
      <w:tr>
        <w:trPr/>
        <w:tc>
          <w:tcPr>
            <w:tcW w:w="4137" w:type="dxa"/>
            <w:tcBorders/>
            <w:shd w:fill="E5E5E5" w:val="clear"/>
          </w:tcPr>
          <w:p>
            <w:pPr>
              <w:pStyle w:val="TableContents"/>
              <w:spacing w:before="0" w:after="0"/>
              <w:rPr>
                <w:rFonts w:ascii="arial" w:hAnsi="arial"/>
                <w:b/>
                <w:sz w:val="16"/>
              </w:rPr>
            </w:pPr>
            <w:r>
              <w:rPr>
                <w:rFonts w:ascii="arial" w:hAnsi="arial"/>
                <w:b/>
                <w:sz w:val="16"/>
              </w:rPr>
              <w:t>Audit fees</w:t>
            </w:r>
          </w:p>
        </w:tc>
        <w:tc>
          <w:tcPr>
            <w:tcW w:w="45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74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452" w:type="dxa"/>
            <w:tcBorders/>
            <w:shd w:fill="E5E5E5" w:val="clear"/>
            <w:vAlign w:val="bottom"/>
          </w:tcPr>
          <w:p>
            <w:pPr>
              <w:pStyle w:val="TableContents"/>
              <w:spacing w:before="0" w:after="283"/>
              <w:rPr/>
            </w:pPr>
            <w:r>
              <w:rPr/>
              <w:t>    </w:t>
            </w:r>
          </w:p>
        </w:tc>
        <w:tc>
          <w:tcPr>
            <w:tcW w:w="152" w:type="dxa"/>
            <w:tcBorders/>
            <w:shd w:fill="E5E5E5" w:val="clear"/>
            <w:vAlign w:val="bottom"/>
          </w:tcPr>
          <w:p>
            <w:pPr>
              <w:pStyle w:val="TableContents"/>
              <w:spacing w:before="0" w:after="283"/>
              <w:rPr>
                <w:sz w:val="4"/>
                <w:szCs w:val="4"/>
              </w:rPr>
            </w:pPr>
            <w:r>
              <w:rPr>
                <w:sz w:val="4"/>
                <w:szCs w:val="4"/>
              </w:rPr>
            </w:r>
          </w:p>
        </w:tc>
        <w:tc>
          <w:tcPr>
            <w:tcW w:w="97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505"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400" w:type="dxa"/>
            <w:tcBorders/>
            <w:shd w:fill="E5E5E5" w:val="clear"/>
            <w:vAlign w:val="bottom"/>
          </w:tcPr>
          <w:p>
            <w:pPr>
              <w:pStyle w:val="TableContents"/>
              <w:spacing w:before="0" w:after="283"/>
              <w:rPr/>
            </w:pPr>
            <w:r>
              <w:rPr/>
              <w:t>    </w:t>
            </w:r>
          </w:p>
        </w:tc>
        <w:tc>
          <w:tcPr>
            <w:tcW w:w="152" w:type="dxa"/>
            <w:tcBorders/>
            <w:shd w:fill="E5E5E5" w:val="clear"/>
            <w:vAlign w:val="bottom"/>
          </w:tcPr>
          <w:p>
            <w:pPr>
              <w:pStyle w:val="TableContents"/>
              <w:spacing w:before="0" w:after="283"/>
              <w:rPr>
                <w:sz w:val="4"/>
                <w:szCs w:val="4"/>
              </w:rPr>
            </w:pPr>
            <w:r>
              <w:rPr>
                <w:sz w:val="4"/>
                <w:szCs w:val="4"/>
              </w:rPr>
            </w:r>
          </w:p>
        </w:tc>
        <w:tc>
          <w:tcPr>
            <w:tcW w:w="974" w:type="dxa"/>
            <w:tcBorders/>
            <w:shd w:fill="E5E5E5" w:val="clear"/>
            <w:vAlign w:val="bottom"/>
          </w:tcPr>
          <w:p>
            <w:pPr>
              <w:pStyle w:val="TableContents"/>
              <w:spacing w:before="0" w:after="283"/>
              <w:rPr>
                <w:sz w:val="4"/>
                <w:szCs w:val="4"/>
              </w:rPr>
            </w:pPr>
            <w:r>
              <w:rPr>
                <w:sz w:val="4"/>
                <w:szCs w:val="4"/>
              </w:rPr>
            </w:r>
          </w:p>
        </w:tc>
        <w:tc>
          <w:tcPr>
            <w:tcW w:w="105"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4137" w:type="dxa"/>
            <w:tcBorders/>
            <w:shd w:fill="E5E5E5" w:val="clear"/>
            <w:vAlign w:val="center"/>
          </w:tcPr>
          <w:p>
            <w:pPr>
              <w:pStyle w:val="TableContents"/>
              <w:spacing w:before="0" w:after="283"/>
              <w:rPr>
                <w:sz w:val="4"/>
                <w:szCs w:val="4"/>
              </w:rPr>
            </w:pPr>
            <w:r>
              <w:rPr>
                <w:sz w:val="4"/>
                <w:szCs w:val="4"/>
              </w:rPr>
            </w:r>
          </w:p>
        </w:tc>
        <w:tc>
          <w:tcPr>
            <w:tcW w:w="1397" w:type="dxa"/>
            <w:gridSpan w:val="4"/>
            <w:tcBorders/>
            <w:shd w:fill="E5E5E5" w:val="clear"/>
            <w:vAlign w:val="center"/>
          </w:tcPr>
          <w:p>
            <w:pPr>
              <w:pStyle w:val="TableContents"/>
              <w:spacing w:before="0" w:after="283"/>
              <w:rPr>
                <w:sz w:val="4"/>
                <w:szCs w:val="4"/>
              </w:rPr>
            </w:pPr>
            <w:r>
              <w:rPr>
                <w:sz w:val="4"/>
                <w:szCs w:val="4"/>
              </w:rPr>
            </w:r>
          </w:p>
        </w:tc>
        <w:tc>
          <w:tcPr>
            <w:tcW w:w="1638" w:type="dxa"/>
            <w:gridSpan w:val="4"/>
            <w:tcBorders/>
            <w:shd w:fill="E5E5E5" w:val="clear"/>
            <w:vAlign w:val="center"/>
          </w:tcPr>
          <w:p>
            <w:pPr>
              <w:pStyle w:val="TableContents"/>
              <w:spacing w:before="0" w:after="283"/>
              <w:rPr>
                <w:sz w:val="4"/>
                <w:szCs w:val="4"/>
              </w:rPr>
            </w:pPr>
            <w:r>
              <w:rPr>
                <w:sz w:val="4"/>
                <w:szCs w:val="4"/>
              </w:rPr>
            </w:r>
          </w:p>
        </w:tc>
        <w:tc>
          <w:tcPr>
            <w:tcW w:w="1402" w:type="dxa"/>
            <w:gridSpan w:val="4"/>
            <w:tcBorders/>
            <w:shd w:fill="E5E5E5" w:val="clear"/>
            <w:vAlign w:val="center"/>
          </w:tcPr>
          <w:p>
            <w:pPr>
              <w:pStyle w:val="TableContents"/>
              <w:spacing w:before="0" w:after="283"/>
              <w:rPr>
                <w:sz w:val="4"/>
                <w:szCs w:val="4"/>
              </w:rPr>
            </w:pPr>
            <w:r>
              <w:rPr>
                <w:sz w:val="4"/>
                <w:szCs w:val="4"/>
              </w:rPr>
            </w:r>
          </w:p>
        </w:tc>
        <w:tc>
          <w:tcPr>
            <w:tcW w:w="1631" w:type="dxa"/>
            <w:gridSpan w:val="4"/>
            <w:tcBorders/>
            <w:shd w:fill="E5E5E5" w:val="clear"/>
            <w:vAlign w:val="center"/>
          </w:tcPr>
          <w:p>
            <w:pPr>
              <w:pStyle w:val="TableContents"/>
              <w:spacing w:before="0" w:after="283"/>
              <w:rPr>
                <w:sz w:val="4"/>
                <w:szCs w:val="4"/>
              </w:rPr>
            </w:pPr>
            <w:r>
              <w:rPr>
                <w:sz w:val="4"/>
                <w:szCs w:val="4"/>
              </w:rPr>
            </w:r>
          </w:p>
        </w:tc>
      </w:tr>
      <w:tr>
        <w:trPr/>
        <w:tc>
          <w:tcPr>
            <w:tcW w:w="4137" w:type="dxa"/>
            <w:tcBorders/>
            <w:shd w:fill="E5E5E5" w:val="clear"/>
          </w:tcPr>
          <w:p>
            <w:pPr>
              <w:pStyle w:val="TableContents"/>
              <w:spacing w:before="0" w:after="0"/>
              <w:rPr>
                <w:rFonts w:ascii="arial" w:hAnsi="arial"/>
                <w:sz w:val="16"/>
              </w:rPr>
            </w:pPr>
            <w:r>
              <w:rPr>
                <w:rFonts w:ascii="arial" w:hAnsi="arial"/>
                <w:sz w:val="16"/>
              </w:rPr>
              <w:t>Consolidated financial statements, internal controls audits and subsidiary audits</w:t>
            </w:r>
          </w:p>
        </w:tc>
        <w:tc>
          <w:tcPr>
            <w:tcW w:w="45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745" w:type="dxa"/>
            <w:tcBorders/>
            <w:shd w:fill="E5E5E5" w:val="clear"/>
            <w:vAlign w:val="bottom"/>
          </w:tcPr>
          <w:p>
            <w:pPr>
              <w:pStyle w:val="TableContents"/>
              <w:spacing w:before="0" w:after="283"/>
              <w:jc w:val="right"/>
              <w:rPr/>
            </w:pPr>
            <w:r>
              <w:rPr/>
              <w:t> </w:t>
            </w:r>
            <w:r>
              <w:rPr/>
              <w:t>9,145</w:t>
            </w:r>
          </w:p>
        </w:tc>
        <w:tc>
          <w:tcPr>
            <w:tcW w:w="60" w:type="dxa"/>
            <w:tcBorders/>
            <w:shd w:fill="E5E5E5" w:val="clear"/>
            <w:vAlign w:val="bottom"/>
          </w:tcPr>
          <w:p>
            <w:pPr>
              <w:pStyle w:val="TableContents"/>
              <w:spacing w:before="0" w:after="283"/>
              <w:rPr/>
            </w:pPr>
            <w:r>
              <w:rPr/>
              <w:t> </w:t>
            </w:r>
          </w:p>
        </w:tc>
        <w:tc>
          <w:tcPr>
            <w:tcW w:w="452" w:type="dxa"/>
            <w:tcBorders/>
            <w:shd w:fill="E5E5E5" w:val="clear"/>
            <w:vAlign w:val="bottom"/>
          </w:tcPr>
          <w:p>
            <w:pPr>
              <w:pStyle w:val="TableContents"/>
              <w:spacing w:before="0" w:after="283"/>
              <w:rPr/>
            </w:pPr>
            <w:r>
              <w:rPr/>
              <w:t>    </w:t>
            </w:r>
          </w:p>
        </w:tc>
        <w:tc>
          <w:tcPr>
            <w:tcW w:w="152" w:type="dxa"/>
            <w:tcBorders/>
            <w:shd w:fill="E5E5E5" w:val="clear"/>
            <w:vAlign w:val="bottom"/>
          </w:tcPr>
          <w:p>
            <w:pPr>
              <w:pStyle w:val="TableContents"/>
              <w:spacing w:before="0" w:after="283"/>
              <w:rPr>
                <w:sz w:val="4"/>
                <w:szCs w:val="4"/>
              </w:rPr>
            </w:pPr>
            <w:r>
              <w:rPr>
                <w:sz w:val="4"/>
                <w:szCs w:val="4"/>
              </w:rPr>
            </w:r>
          </w:p>
        </w:tc>
        <w:tc>
          <w:tcPr>
            <w:tcW w:w="97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505"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97" w:type="dxa"/>
            <w:tcBorders/>
            <w:shd w:fill="E5E5E5" w:val="clear"/>
            <w:vAlign w:val="bottom"/>
          </w:tcPr>
          <w:p>
            <w:pPr>
              <w:pStyle w:val="TableContents"/>
              <w:spacing w:before="0" w:after="283"/>
              <w:jc w:val="right"/>
              <w:rPr/>
            </w:pPr>
            <w:r>
              <w:rPr/>
              <w:t>10,568</w:t>
            </w:r>
          </w:p>
        </w:tc>
        <w:tc>
          <w:tcPr>
            <w:tcW w:w="60" w:type="dxa"/>
            <w:tcBorders/>
            <w:shd w:fill="E5E5E5" w:val="clear"/>
            <w:vAlign w:val="bottom"/>
          </w:tcPr>
          <w:p>
            <w:pPr>
              <w:pStyle w:val="TableContents"/>
              <w:spacing w:before="0" w:after="283"/>
              <w:rPr/>
            </w:pPr>
            <w:r>
              <w:rPr/>
              <w:t> </w:t>
            </w:r>
          </w:p>
        </w:tc>
        <w:tc>
          <w:tcPr>
            <w:tcW w:w="400" w:type="dxa"/>
            <w:tcBorders/>
            <w:shd w:fill="E5E5E5" w:val="clear"/>
            <w:vAlign w:val="bottom"/>
          </w:tcPr>
          <w:p>
            <w:pPr>
              <w:pStyle w:val="TableContents"/>
              <w:spacing w:before="0" w:after="283"/>
              <w:rPr/>
            </w:pPr>
            <w:r>
              <w:rPr/>
              <w:t>    </w:t>
            </w:r>
          </w:p>
        </w:tc>
        <w:tc>
          <w:tcPr>
            <w:tcW w:w="152" w:type="dxa"/>
            <w:tcBorders/>
            <w:shd w:fill="E5E5E5" w:val="clear"/>
            <w:vAlign w:val="bottom"/>
          </w:tcPr>
          <w:p>
            <w:pPr>
              <w:pStyle w:val="TableContents"/>
              <w:spacing w:before="0" w:after="283"/>
              <w:rPr>
                <w:sz w:val="4"/>
                <w:szCs w:val="4"/>
              </w:rPr>
            </w:pPr>
            <w:r>
              <w:rPr>
                <w:sz w:val="4"/>
                <w:szCs w:val="4"/>
              </w:rPr>
            </w:r>
          </w:p>
        </w:tc>
        <w:tc>
          <w:tcPr>
            <w:tcW w:w="974" w:type="dxa"/>
            <w:tcBorders/>
            <w:shd w:fill="E5E5E5" w:val="clear"/>
            <w:vAlign w:val="bottom"/>
          </w:tcPr>
          <w:p>
            <w:pPr>
              <w:pStyle w:val="TableContents"/>
              <w:spacing w:before="0" w:after="283"/>
              <w:rPr>
                <w:sz w:val="4"/>
                <w:szCs w:val="4"/>
              </w:rPr>
            </w:pPr>
            <w:r>
              <w:rPr>
                <w:sz w:val="4"/>
                <w:szCs w:val="4"/>
              </w:rPr>
            </w:r>
          </w:p>
        </w:tc>
        <w:tc>
          <w:tcPr>
            <w:tcW w:w="105"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4137" w:type="dxa"/>
            <w:tcBorders/>
            <w:shd w:fill="E5E5E5" w:val="clear"/>
            <w:vAlign w:val="center"/>
          </w:tcPr>
          <w:p>
            <w:pPr>
              <w:pStyle w:val="TableContents"/>
              <w:spacing w:before="0" w:after="283"/>
              <w:rPr>
                <w:sz w:val="4"/>
                <w:szCs w:val="4"/>
              </w:rPr>
            </w:pPr>
            <w:r>
              <w:rPr>
                <w:sz w:val="4"/>
                <w:szCs w:val="4"/>
              </w:rPr>
            </w:r>
          </w:p>
        </w:tc>
        <w:tc>
          <w:tcPr>
            <w:tcW w:w="1397" w:type="dxa"/>
            <w:gridSpan w:val="4"/>
            <w:tcBorders/>
            <w:shd w:fill="E5E5E5" w:val="clear"/>
            <w:vAlign w:val="center"/>
          </w:tcPr>
          <w:p>
            <w:pPr>
              <w:pStyle w:val="TableContents"/>
              <w:spacing w:before="0" w:after="283"/>
              <w:rPr>
                <w:sz w:val="4"/>
                <w:szCs w:val="4"/>
              </w:rPr>
            </w:pPr>
            <w:r>
              <w:rPr>
                <w:sz w:val="4"/>
                <w:szCs w:val="4"/>
              </w:rPr>
            </w:r>
          </w:p>
        </w:tc>
        <w:tc>
          <w:tcPr>
            <w:tcW w:w="1638" w:type="dxa"/>
            <w:gridSpan w:val="4"/>
            <w:tcBorders/>
            <w:shd w:fill="E5E5E5" w:val="clear"/>
            <w:vAlign w:val="center"/>
          </w:tcPr>
          <w:p>
            <w:pPr>
              <w:pStyle w:val="TableContents"/>
              <w:spacing w:before="0" w:after="283"/>
              <w:rPr>
                <w:sz w:val="4"/>
                <w:szCs w:val="4"/>
              </w:rPr>
            </w:pPr>
            <w:r>
              <w:rPr>
                <w:sz w:val="4"/>
                <w:szCs w:val="4"/>
              </w:rPr>
            </w:r>
          </w:p>
        </w:tc>
        <w:tc>
          <w:tcPr>
            <w:tcW w:w="1402" w:type="dxa"/>
            <w:gridSpan w:val="4"/>
            <w:tcBorders/>
            <w:shd w:fill="E5E5E5" w:val="clear"/>
            <w:vAlign w:val="center"/>
          </w:tcPr>
          <w:p>
            <w:pPr>
              <w:pStyle w:val="TableContents"/>
              <w:spacing w:before="0" w:after="283"/>
              <w:rPr>
                <w:sz w:val="4"/>
                <w:szCs w:val="4"/>
              </w:rPr>
            </w:pPr>
            <w:r>
              <w:rPr>
                <w:sz w:val="4"/>
                <w:szCs w:val="4"/>
              </w:rPr>
            </w:r>
          </w:p>
        </w:tc>
        <w:tc>
          <w:tcPr>
            <w:tcW w:w="1631" w:type="dxa"/>
            <w:gridSpan w:val="4"/>
            <w:tcBorders/>
            <w:shd w:fill="E5E5E5" w:val="clear"/>
            <w:vAlign w:val="center"/>
          </w:tcPr>
          <w:p>
            <w:pPr>
              <w:pStyle w:val="TableContents"/>
              <w:spacing w:before="0" w:after="283"/>
              <w:rPr>
                <w:sz w:val="4"/>
                <w:szCs w:val="4"/>
              </w:rPr>
            </w:pPr>
            <w:r>
              <w:rPr>
                <w:sz w:val="4"/>
                <w:szCs w:val="4"/>
              </w:rPr>
            </w:r>
          </w:p>
        </w:tc>
      </w:tr>
      <w:tr>
        <w:trPr/>
        <w:tc>
          <w:tcPr>
            <w:tcW w:w="4137" w:type="dxa"/>
            <w:tcBorders/>
            <w:shd w:fill="E5E5E5" w:val="clear"/>
          </w:tcPr>
          <w:p>
            <w:pPr>
              <w:pStyle w:val="TableContents"/>
              <w:spacing w:before="0" w:after="0"/>
              <w:rPr>
                <w:rFonts w:ascii="arial" w:hAnsi="arial"/>
                <w:sz w:val="16"/>
              </w:rPr>
            </w:pPr>
            <w:r>
              <w:rPr>
                <w:rFonts w:ascii="arial" w:hAnsi="arial"/>
                <w:sz w:val="16"/>
              </w:rPr>
              <w:t>Regulatory filings and related services</w:t>
            </w:r>
          </w:p>
        </w:tc>
        <w:tc>
          <w:tcPr>
            <w:tcW w:w="452" w:type="dxa"/>
            <w:tcBorders>
              <w:bottom w:val="single" w:sz="2"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2" w:space="0" w:color="001C71"/>
            </w:tcBorders>
            <w:shd w:fill="E5E5E5" w:val="clear"/>
            <w:tcMar>
              <w:bottom w:w="80" w:type="dxa"/>
            </w:tcMar>
            <w:vAlign w:val="bottom"/>
          </w:tcPr>
          <w:p>
            <w:pPr>
              <w:pStyle w:val="TableContents"/>
              <w:spacing w:before="0" w:after="283"/>
              <w:rPr/>
            </w:pPr>
            <w:r>
              <w:rPr/>
              <w:t> </w:t>
            </w:r>
          </w:p>
        </w:tc>
        <w:tc>
          <w:tcPr>
            <w:tcW w:w="745" w:type="dxa"/>
            <w:tcBorders>
              <w:bottom w:val="single" w:sz="2" w:space="0" w:color="001C71"/>
            </w:tcBorders>
            <w:shd w:fill="E5E5E5" w:val="clear"/>
            <w:tcMar>
              <w:bottom w:w="80" w:type="dxa"/>
            </w:tcMar>
            <w:vAlign w:val="bottom"/>
          </w:tcPr>
          <w:p>
            <w:pPr>
              <w:pStyle w:val="TableContents"/>
              <w:spacing w:before="0" w:after="283"/>
              <w:jc w:val="right"/>
              <w:rPr/>
            </w:pPr>
            <w:r>
              <w:rPr/>
              <w:t>827</w:t>
            </w:r>
          </w:p>
        </w:tc>
        <w:tc>
          <w:tcPr>
            <w:tcW w:w="60" w:type="dxa"/>
            <w:tcBorders>
              <w:bottom w:val="single" w:sz="2" w:space="0" w:color="001C71"/>
            </w:tcBorders>
            <w:shd w:fill="E5E5E5" w:val="clear"/>
            <w:tcMar>
              <w:bottom w:w="80" w:type="dxa"/>
            </w:tcMar>
            <w:vAlign w:val="bottom"/>
          </w:tcPr>
          <w:p>
            <w:pPr>
              <w:pStyle w:val="TableContents"/>
              <w:spacing w:before="0" w:after="283"/>
              <w:rPr/>
            </w:pPr>
            <w:r>
              <w:rPr/>
              <w:t> </w:t>
            </w:r>
          </w:p>
        </w:tc>
        <w:tc>
          <w:tcPr>
            <w:tcW w:w="452"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2" w:type="dxa"/>
            <w:tcBorders>
              <w:bottom w:val="single" w:sz="2" w:space="0" w:color="001C71"/>
            </w:tcBorders>
            <w:shd w:fill="E5E5E5" w:val="clear"/>
            <w:tcMar>
              <w:bottom w:w="28" w:type="dxa"/>
            </w:tcMar>
            <w:vAlign w:val="bottom"/>
          </w:tcPr>
          <w:p>
            <w:pPr>
              <w:pStyle w:val="TableContents"/>
              <w:spacing w:before="0" w:after="283"/>
              <w:rPr/>
            </w:pPr>
            <w:r>
              <w:rPr/>
              <w:t> </w:t>
            </w:r>
          </w:p>
        </w:tc>
        <w:tc>
          <w:tcPr>
            <w:tcW w:w="974"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c>
          <w:tcPr>
            <w:tcW w:w="505" w:type="dxa"/>
            <w:tcBorders>
              <w:bottom w:val="single" w:sz="2"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2" w:space="0" w:color="001C71"/>
            </w:tcBorders>
            <w:shd w:fill="E5E5E5" w:val="clear"/>
            <w:tcMar>
              <w:bottom w:w="80" w:type="dxa"/>
            </w:tcMar>
            <w:vAlign w:val="bottom"/>
          </w:tcPr>
          <w:p>
            <w:pPr>
              <w:pStyle w:val="TableContents"/>
              <w:spacing w:before="0" w:after="283"/>
              <w:rPr/>
            </w:pPr>
            <w:r>
              <w:rPr/>
              <w:t> </w:t>
            </w:r>
          </w:p>
        </w:tc>
        <w:tc>
          <w:tcPr>
            <w:tcW w:w="697" w:type="dxa"/>
            <w:tcBorders>
              <w:bottom w:val="single" w:sz="2" w:space="0" w:color="001C71"/>
            </w:tcBorders>
            <w:shd w:fill="E5E5E5" w:val="clear"/>
            <w:tcMar>
              <w:bottom w:w="80" w:type="dxa"/>
            </w:tcMar>
            <w:vAlign w:val="bottom"/>
          </w:tcPr>
          <w:p>
            <w:pPr>
              <w:pStyle w:val="TableContents"/>
              <w:spacing w:before="0" w:after="283"/>
              <w:jc w:val="right"/>
              <w:rPr/>
            </w:pPr>
            <w:r>
              <w:rPr/>
              <w:t>466</w:t>
            </w:r>
          </w:p>
        </w:tc>
        <w:tc>
          <w:tcPr>
            <w:tcW w:w="60" w:type="dxa"/>
            <w:tcBorders>
              <w:bottom w:val="single" w:sz="2" w:space="0" w:color="001C71"/>
            </w:tcBorders>
            <w:shd w:fill="E5E5E5" w:val="clear"/>
            <w:tcMar>
              <w:bottom w:w="80" w:type="dxa"/>
            </w:tcMar>
            <w:vAlign w:val="bottom"/>
          </w:tcPr>
          <w:p>
            <w:pPr>
              <w:pStyle w:val="TableContents"/>
              <w:spacing w:before="0" w:after="283"/>
              <w:rPr/>
            </w:pPr>
            <w:r>
              <w:rPr/>
              <w:t> </w:t>
            </w:r>
          </w:p>
        </w:tc>
        <w:tc>
          <w:tcPr>
            <w:tcW w:w="400"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2" w:type="dxa"/>
            <w:tcBorders>
              <w:bottom w:val="single" w:sz="2" w:space="0" w:color="001C71"/>
            </w:tcBorders>
            <w:shd w:fill="E5E5E5" w:val="clear"/>
            <w:tcMar>
              <w:bottom w:w="28" w:type="dxa"/>
            </w:tcMar>
            <w:vAlign w:val="bottom"/>
          </w:tcPr>
          <w:p>
            <w:pPr>
              <w:pStyle w:val="TableContents"/>
              <w:spacing w:before="0" w:after="283"/>
              <w:rPr/>
            </w:pPr>
            <w:r>
              <w:rPr/>
              <w:t> </w:t>
            </w:r>
          </w:p>
        </w:tc>
        <w:tc>
          <w:tcPr>
            <w:tcW w:w="974" w:type="dxa"/>
            <w:tcBorders>
              <w:bottom w:val="single" w:sz="2" w:space="0" w:color="001C71"/>
            </w:tcBorders>
            <w:shd w:fill="E5E5E5" w:val="clear"/>
            <w:tcMar>
              <w:bottom w:w="28" w:type="dxa"/>
            </w:tcMar>
            <w:vAlign w:val="bottom"/>
          </w:tcPr>
          <w:p>
            <w:pPr>
              <w:pStyle w:val="TableContents"/>
              <w:spacing w:before="0" w:after="283"/>
              <w:rPr/>
            </w:pPr>
            <w:r>
              <w:rPr/>
              <w:t> </w:t>
            </w:r>
          </w:p>
        </w:tc>
        <w:tc>
          <w:tcPr>
            <w:tcW w:w="105" w:type="dxa"/>
            <w:tcBorders>
              <w:bottom w:val="single" w:sz="2" w:space="0" w:color="001C71"/>
            </w:tcBorders>
            <w:shd w:fill="E5E5E5" w:val="clear"/>
            <w:tcMar>
              <w:bottom w:w="28" w:type="dxa"/>
            </w:tcMar>
            <w:vAlign w:val="bottom"/>
          </w:tcPr>
          <w:p>
            <w:pPr>
              <w:pStyle w:val="TableContents"/>
              <w:spacing w:before="0" w:after="283"/>
              <w:rPr/>
            </w:pPr>
            <w:r>
              <w:rPr/>
              <w:t> </w:t>
            </w:r>
          </w:p>
        </w:tc>
      </w:tr>
      <w:tr>
        <w:trPr>
          <w:trHeight w:val="30" w:hRule="atLeast"/>
        </w:trPr>
        <w:tc>
          <w:tcPr>
            <w:tcW w:w="4137" w:type="dxa"/>
            <w:tcBorders/>
            <w:shd w:fill="E5E5E5" w:val="clear"/>
            <w:vAlign w:val="center"/>
          </w:tcPr>
          <w:p>
            <w:pPr>
              <w:pStyle w:val="TableContents"/>
              <w:spacing w:before="0" w:after="283"/>
              <w:rPr>
                <w:sz w:val="4"/>
                <w:szCs w:val="4"/>
              </w:rPr>
            </w:pPr>
            <w:r>
              <w:rPr>
                <w:sz w:val="4"/>
                <w:szCs w:val="4"/>
              </w:rPr>
            </w:r>
          </w:p>
        </w:tc>
        <w:tc>
          <w:tcPr>
            <w:tcW w:w="1397" w:type="dxa"/>
            <w:gridSpan w:val="4"/>
            <w:tcBorders/>
            <w:shd w:fill="E5E5E5" w:val="clear"/>
            <w:vAlign w:val="center"/>
          </w:tcPr>
          <w:p>
            <w:pPr>
              <w:pStyle w:val="TableContents"/>
              <w:spacing w:before="0" w:after="283"/>
              <w:rPr>
                <w:sz w:val="4"/>
                <w:szCs w:val="4"/>
              </w:rPr>
            </w:pPr>
            <w:r>
              <w:rPr>
                <w:sz w:val="4"/>
                <w:szCs w:val="4"/>
              </w:rPr>
            </w:r>
          </w:p>
        </w:tc>
        <w:tc>
          <w:tcPr>
            <w:tcW w:w="1638" w:type="dxa"/>
            <w:gridSpan w:val="4"/>
            <w:tcBorders/>
            <w:shd w:fill="E5E5E5" w:val="clear"/>
            <w:vAlign w:val="center"/>
          </w:tcPr>
          <w:p>
            <w:pPr>
              <w:pStyle w:val="TableContents"/>
              <w:spacing w:before="0" w:after="283"/>
              <w:rPr>
                <w:sz w:val="4"/>
                <w:szCs w:val="4"/>
              </w:rPr>
            </w:pPr>
            <w:r>
              <w:rPr>
                <w:sz w:val="4"/>
                <w:szCs w:val="4"/>
              </w:rPr>
            </w:r>
          </w:p>
        </w:tc>
        <w:tc>
          <w:tcPr>
            <w:tcW w:w="1402" w:type="dxa"/>
            <w:gridSpan w:val="4"/>
            <w:tcBorders/>
            <w:shd w:fill="E5E5E5" w:val="clear"/>
            <w:vAlign w:val="center"/>
          </w:tcPr>
          <w:p>
            <w:pPr>
              <w:pStyle w:val="TableContents"/>
              <w:spacing w:before="0" w:after="283"/>
              <w:rPr>
                <w:sz w:val="4"/>
                <w:szCs w:val="4"/>
              </w:rPr>
            </w:pPr>
            <w:r>
              <w:rPr>
                <w:sz w:val="4"/>
                <w:szCs w:val="4"/>
              </w:rPr>
            </w:r>
          </w:p>
        </w:tc>
        <w:tc>
          <w:tcPr>
            <w:tcW w:w="1631" w:type="dxa"/>
            <w:gridSpan w:val="4"/>
            <w:tcBorders/>
            <w:shd w:fill="E5E5E5" w:val="clear"/>
            <w:vAlign w:val="center"/>
          </w:tcPr>
          <w:p>
            <w:pPr>
              <w:pStyle w:val="TableContents"/>
              <w:spacing w:before="0" w:after="283"/>
              <w:rPr>
                <w:sz w:val="4"/>
                <w:szCs w:val="4"/>
              </w:rPr>
            </w:pPr>
            <w:r>
              <w:rPr>
                <w:sz w:val="4"/>
                <w:szCs w:val="4"/>
              </w:rPr>
            </w:r>
          </w:p>
        </w:tc>
      </w:tr>
      <w:tr>
        <w:trPr/>
        <w:tc>
          <w:tcPr>
            <w:tcW w:w="4137" w:type="dxa"/>
            <w:tcBorders/>
            <w:shd w:fill="E5E5E5" w:val="clear"/>
          </w:tcPr>
          <w:p>
            <w:pPr>
              <w:pStyle w:val="TableContents"/>
              <w:spacing w:before="0" w:after="0"/>
              <w:rPr>
                <w:rFonts w:ascii="arial" w:hAnsi="arial"/>
                <w:b/>
                <w:sz w:val="16"/>
              </w:rPr>
            </w:pPr>
            <w:r>
              <w:rPr>
                <w:rFonts w:ascii="arial" w:hAnsi="arial"/>
                <w:b/>
                <w:sz w:val="16"/>
              </w:rPr>
              <w:t>Total audit fees</w:t>
            </w:r>
          </w:p>
        </w:tc>
        <w:tc>
          <w:tcPr>
            <w:tcW w:w="452" w:type="dxa"/>
            <w:tcBorders>
              <w:bottom w:val="single" w:sz="2"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2" w:space="0" w:color="001C71"/>
            </w:tcBorders>
            <w:shd w:fill="E5E5E5" w:val="clear"/>
            <w:tcMar>
              <w:bottom w:w="80" w:type="dxa"/>
            </w:tcMar>
            <w:vAlign w:val="bottom"/>
          </w:tcPr>
          <w:p>
            <w:pPr>
              <w:pStyle w:val="TableContents"/>
              <w:spacing w:before="0" w:after="283"/>
              <w:rPr/>
            </w:pPr>
            <w:r>
              <w:rPr/>
              <w:t> </w:t>
            </w:r>
          </w:p>
        </w:tc>
        <w:tc>
          <w:tcPr>
            <w:tcW w:w="745" w:type="dxa"/>
            <w:tcBorders>
              <w:bottom w:val="single" w:sz="2" w:space="0" w:color="001C71"/>
            </w:tcBorders>
            <w:shd w:fill="E5E5E5" w:val="clear"/>
            <w:tcMar>
              <w:bottom w:w="80" w:type="dxa"/>
            </w:tcMar>
            <w:vAlign w:val="bottom"/>
          </w:tcPr>
          <w:p>
            <w:pPr>
              <w:pStyle w:val="TableContents"/>
              <w:spacing w:before="0" w:after="283"/>
              <w:jc w:val="right"/>
              <w:rPr/>
            </w:pPr>
            <w:r>
              <w:rPr/>
              <w:t>9,972</w:t>
            </w:r>
          </w:p>
        </w:tc>
        <w:tc>
          <w:tcPr>
            <w:tcW w:w="60" w:type="dxa"/>
            <w:tcBorders>
              <w:bottom w:val="single" w:sz="2" w:space="0" w:color="001C71"/>
            </w:tcBorders>
            <w:shd w:fill="E5E5E5" w:val="clear"/>
            <w:tcMar>
              <w:bottom w:w="80" w:type="dxa"/>
            </w:tcMar>
            <w:vAlign w:val="bottom"/>
          </w:tcPr>
          <w:p>
            <w:pPr>
              <w:pStyle w:val="TableContents"/>
              <w:spacing w:before="0" w:after="283"/>
              <w:rPr/>
            </w:pPr>
            <w:r>
              <w:rPr/>
              <w:t> </w:t>
            </w:r>
          </w:p>
        </w:tc>
        <w:tc>
          <w:tcPr>
            <w:tcW w:w="452"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2" w:type="dxa"/>
            <w:tcBorders>
              <w:bottom w:val="single" w:sz="2" w:space="0" w:color="001C71"/>
            </w:tcBorders>
            <w:shd w:fill="E5E5E5" w:val="clear"/>
            <w:tcMar>
              <w:bottom w:w="80" w:type="dxa"/>
            </w:tcMar>
            <w:vAlign w:val="bottom"/>
          </w:tcPr>
          <w:p>
            <w:pPr>
              <w:pStyle w:val="TableContents"/>
              <w:spacing w:before="0" w:after="283"/>
              <w:rPr/>
            </w:pPr>
            <w:r>
              <w:rPr/>
              <w:t> </w:t>
            </w:r>
          </w:p>
        </w:tc>
        <w:tc>
          <w:tcPr>
            <w:tcW w:w="974" w:type="dxa"/>
            <w:tcBorders>
              <w:bottom w:val="single" w:sz="2" w:space="0" w:color="001C71"/>
            </w:tcBorders>
            <w:shd w:fill="E5E5E5" w:val="clear"/>
            <w:tcMar>
              <w:bottom w:w="80" w:type="dxa"/>
            </w:tcMar>
            <w:vAlign w:val="bottom"/>
          </w:tcPr>
          <w:p>
            <w:pPr>
              <w:pStyle w:val="TableContents"/>
              <w:spacing w:before="0" w:after="283"/>
              <w:jc w:val="right"/>
              <w:rPr/>
            </w:pPr>
            <w:r>
              <w:rPr/>
              <w:t>82%</w:t>
            </w:r>
          </w:p>
        </w:tc>
        <w:tc>
          <w:tcPr>
            <w:tcW w:w="60" w:type="dxa"/>
            <w:tcBorders>
              <w:bottom w:val="single" w:sz="2" w:space="0" w:color="001C71"/>
            </w:tcBorders>
            <w:shd w:fill="E5E5E5" w:val="clear"/>
            <w:tcMar>
              <w:bottom w:w="80" w:type="dxa"/>
            </w:tcMar>
            <w:vAlign w:val="bottom"/>
          </w:tcPr>
          <w:p>
            <w:pPr>
              <w:pStyle w:val="TableContents"/>
              <w:spacing w:before="0" w:after="283"/>
              <w:rPr/>
            </w:pPr>
            <w:r>
              <w:rPr/>
              <w:t> </w:t>
            </w:r>
          </w:p>
        </w:tc>
        <w:tc>
          <w:tcPr>
            <w:tcW w:w="505" w:type="dxa"/>
            <w:tcBorders>
              <w:bottom w:val="single" w:sz="2"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2" w:space="0" w:color="001C71"/>
            </w:tcBorders>
            <w:shd w:fill="E5E5E5" w:val="clear"/>
            <w:tcMar>
              <w:bottom w:w="80" w:type="dxa"/>
            </w:tcMar>
            <w:vAlign w:val="bottom"/>
          </w:tcPr>
          <w:p>
            <w:pPr>
              <w:pStyle w:val="TableContents"/>
              <w:spacing w:before="0" w:after="283"/>
              <w:rPr/>
            </w:pPr>
            <w:r>
              <w:rPr/>
              <w:t> </w:t>
            </w:r>
          </w:p>
        </w:tc>
        <w:tc>
          <w:tcPr>
            <w:tcW w:w="697" w:type="dxa"/>
            <w:tcBorders>
              <w:bottom w:val="single" w:sz="2" w:space="0" w:color="001C71"/>
            </w:tcBorders>
            <w:shd w:fill="E5E5E5" w:val="clear"/>
            <w:tcMar>
              <w:bottom w:w="80" w:type="dxa"/>
            </w:tcMar>
            <w:vAlign w:val="bottom"/>
          </w:tcPr>
          <w:p>
            <w:pPr>
              <w:pStyle w:val="TableContents"/>
              <w:spacing w:before="0" w:after="283"/>
              <w:jc w:val="right"/>
              <w:rPr/>
            </w:pPr>
            <w:r>
              <w:rPr/>
              <w:t>11,034</w:t>
            </w:r>
          </w:p>
        </w:tc>
        <w:tc>
          <w:tcPr>
            <w:tcW w:w="60" w:type="dxa"/>
            <w:tcBorders>
              <w:bottom w:val="single" w:sz="2" w:space="0" w:color="001C71"/>
            </w:tcBorders>
            <w:shd w:fill="E5E5E5" w:val="clear"/>
            <w:tcMar>
              <w:bottom w:w="80" w:type="dxa"/>
            </w:tcMar>
            <w:vAlign w:val="bottom"/>
          </w:tcPr>
          <w:p>
            <w:pPr>
              <w:pStyle w:val="TableContents"/>
              <w:spacing w:before="0" w:after="283"/>
              <w:rPr/>
            </w:pPr>
            <w:r>
              <w:rPr/>
              <w:t> </w:t>
            </w:r>
          </w:p>
        </w:tc>
        <w:tc>
          <w:tcPr>
            <w:tcW w:w="400"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2" w:type="dxa"/>
            <w:tcBorders>
              <w:bottom w:val="single" w:sz="2" w:space="0" w:color="001C71"/>
            </w:tcBorders>
            <w:shd w:fill="E5E5E5" w:val="clear"/>
            <w:tcMar>
              <w:bottom w:w="80" w:type="dxa"/>
            </w:tcMar>
            <w:vAlign w:val="bottom"/>
          </w:tcPr>
          <w:p>
            <w:pPr>
              <w:pStyle w:val="TableContents"/>
              <w:spacing w:before="0" w:after="283"/>
              <w:rPr/>
            </w:pPr>
            <w:r>
              <w:rPr/>
              <w:t> </w:t>
            </w:r>
          </w:p>
        </w:tc>
        <w:tc>
          <w:tcPr>
            <w:tcW w:w="974" w:type="dxa"/>
            <w:tcBorders>
              <w:bottom w:val="single" w:sz="2" w:space="0" w:color="001C71"/>
            </w:tcBorders>
            <w:shd w:fill="E5E5E5" w:val="clear"/>
            <w:tcMar>
              <w:bottom w:w="80" w:type="dxa"/>
            </w:tcMar>
            <w:vAlign w:val="bottom"/>
          </w:tcPr>
          <w:p>
            <w:pPr>
              <w:pStyle w:val="TableContents"/>
              <w:spacing w:before="0" w:after="283"/>
              <w:jc w:val="right"/>
              <w:rPr/>
            </w:pPr>
            <w:r>
              <w:rPr/>
              <w:t>87%</w:t>
            </w:r>
          </w:p>
        </w:tc>
        <w:tc>
          <w:tcPr>
            <w:tcW w:w="105" w:type="dxa"/>
            <w:tcBorders>
              <w:bottom w:val="single" w:sz="2" w:space="0" w:color="001C71"/>
            </w:tcBorders>
            <w:shd w:fill="E5E5E5" w:val="clear"/>
            <w:tcMar>
              <w:bottom w:w="80" w:type="dxa"/>
            </w:tcMar>
            <w:vAlign w:val="bottom"/>
          </w:tcPr>
          <w:p>
            <w:pPr>
              <w:pStyle w:val="TableContents"/>
              <w:spacing w:before="0" w:after="283"/>
              <w:rPr/>
            </w:pPr>
            <w:r>
              <w:rPr/>
              <w:t> </w:t>
            </w:r>
          </w:p>
        </w:tc>
      </w:tr>
      <w:tr>
        <w:trPr>
          <w:trHeight w:val="30" w:hRule="atLeast"/>
        </w:trPr>
        <w:tc>
          <w:tcPr>
            <w:tcW w:w="4137" w:type="dxa"/>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c>
          <w:tcPr>
            <w:tcW w:w="1402" w:type="dxa"/>
            <w:gridSpan w:val="4"/>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r>
      <w:tr>
        <w:trPr/>
        <w:tc>
          <w:tcPr>
            <w:tcW w:w="4137" w:type="dxa"/>
            <w:tcBorders/>
            <w:shd w:fill="auto" w:val="clear"/>
          </w:tcPr>
          <w:p>
            <w:pPr>
              <w:pStyle w:val="TableContents"/>
              <w:spacing w:before="0" w:after="0"/>
              <w:rPr>
                <w:rFonts w:ascii="arial" w:hAnsi="arial"/>
                <w:b/>
                <w:sz w:val="16"/>
              </w:rPr>
            </w:pPr>
            <w:r>
              <w:rPr>
                <w:rFonts w:ascii="arial" w:hAnsi="arial"/>
                <w:b/>
                <w:sz w:val="16"/>
              </w:rPr>
              <w:t>Audit-related fees</w:t>
            </w:r>
          </w:p>
        </w:tc>
        <w:tc>
          <w:tcPr>
            <w:tcW w:w="4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4137" w:type="dxa"/>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c>
          <w:tcPr>
            <w:tcW w:w="1402" w:type="dxa"/>
            <w:gridSpan w:val="4"/>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r>
      <w:tr>
        <w:trPr/>
        <w:tc>
          <w:tcPr>
            <w:tcW w:w="4137" w:type="dxa"/>
            <w:tcBorders/>
            <w:shd w:fill="auto" w:val="clear"/>
          </w:tcPr>
          <w:p>
            <w:pPr>
              <w:pStyle w:val="TableContents"/>
              <w:spacing w:before="0" w:after="0"/>
              <w:rPr>
                <w:rFonts w:ascii="arial" w:hAnsi="arial"/>
                <w:sz w:val="16"/>
              </w:rPr>
            </w:pPr>
            <w:r>
              <w:rPr>
                <w:rFonts w:ascii="arial" w:hAnsi="arial"/>
                <w:sz w:val="16"/>
              </w:rPr>
              <w:t>Employee benefit plan audits</w:t>
            </w:r>
          </w:p>
        </w:tc>
        <w:tc>
          <w:tcPr>
            <w:tcW w:w="4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505</w:t>
            </w:r>
          </w:p>
        </w:tc>
        <w:tc>
          <w:tcPr>
            <w:tcW w:w="6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pPr>
            <w:r>
              <w:rPr/>
              <w:t>517</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4137" w:type="dxa"/>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c>
          <w:tcPr>
            <w:tcW w:w="1402" w:type="dxa"/>
            <w:gridSpan w:val="4"/>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r>
      <w:tr>
        <w:trPr/>
        <w:tc>
          <w:tcPr>
            <w:tcW w:w="4137" w:type="dxa"/>
            <w:tcBorders/>
            <w:shd w:fill="auto" w:val="clear"/>
          </w:tcPr>
          <w:p>
            <w:pPr>
              <w:pStyle w:val="TableContents"/>
              <w:spacing w:before="0" w:after="0"/>
              <w:rPr>
                <w:rFonts w:ascii="arial" w:hAnsi="arial"/>
                <w:sz w:val="16"/>
              </w:rPr>
            </w:pPr>
            <w:r>
              <w:rPr>
                <w:rFonts w:ascii="arial" w:hAnsi="arial"/>
                <w:sz w:val="16"/>
              </w:rPr>
              <w:t>Other audit-related services (A)</w:t>
            </w:r>
          </w:p>
        </w:tc>
        <w:tc>
          <w:tcPr>
            <w:tcW w:w="452" w:type="dxa"/>
            <w:tcBorders>
              <w:bottom w:val="single" w:sz="2" w:space="0" w:color="001C71"/>
            </w:tcBorders>
            <w:shd w:fill="auto" w:val="clear"/>
            <w:tcMar>
              <w:bottom w:w="28" w:type="dxa"/>
            </w:tcMar>
            <w:vAlign w:val="bottom"/>
          </w:tcPr>
          <w:p>
            <w:pPr>
              <w:pStyle w:val="TableContents"/>
              <w:spacing w:before="0" w:after="283"/>
              <w:rPr/>
            </w:pPr>
            <w:r>
              <w:rPr/>
              <w:t>    </w:t>
            </w:r>
          </w:p>
        </w:tc>
        <w:tc>
          <w:tcPr>
            <w:tcW w:w="140" w:type="dxa"/>
            <w:tcBorders>
              <w:bottom w:val="single" w:sz="2" w:space="0" w:color="001C71"/>
            </w:tcBorders>
            <w:shd w:fill="auto" w:val="clear"/>
            <w:tcMar>
              <w:bottom w:w="80" w:type="dxa"/>
            </w:tcMar>
            <w:vAlign w:val="bottom"/>
          </w:tcPr>
          <w:p>
            <w:pPr>
              <w:pStyle w:val="TableContents"/>
              <w:spacing w:before="0" w:after="283"/>
              <w:rPr/>
            </w:pPr>
            <w:r>
              <w:rPr/>
              <w:t> </w:t>
            </w:r>
          </w:p>
        </w:tc>
        <w:tc>
          <w:tcPr>
            <w:tcW w:w="745" w:type="dxa"/>
            <w:tcBorders>
              <w:bottom w:val="single" w:sz="2" w:space="0" w:color="001C71"/>
            </w:tcBorders>
            <w:shd w:fill="auto" w:val="clear"/>
            <w:tcMar>
              <w:bottom w:w="80" w:type="dxa"/>
            </w:tcMar>
            <w:vAlign w:val="bottom"/>
          </w:tcPr>
          <w:p>
            <w:pPr>
              <w:pStyle w:val="TableContents"/>
              <w:spacing w:before="0" w:after="283"/>
              <w:jc w:val="right"/>
              <w:rPr/>
            </w:pPr>
            <w:r>
              <w:rPr/>
              <w:t>1,494</w:t>
            </w:r>
          </w:p>
        </w:tc>
        <w:tc>
          <w:tcPr>
            <w:tcW w:w="60" w:type="dxa"/>
            <w:tcBorders>
              <w:bottom w:val="single" w:sz="2" w:space="0" w:color="001C71"/>
            </w:tcBorders>
            <w:shd w:fill="auto" w:val="clear"/>
            <w:tcMar>
              <w:bottom w:w="80" w:type="dxa"/>
            </w:tcMar>
            <w:vAlign w:val="bottom"/>
          </w:tcPr>
          <w:p>
            <w:pPr>
              <w:pStyle w:val="TableContents"/>
              <w:spacing w:before="0" w:after="283"/>
              <w:rPr/>
            </w:pPr>
            <w:r>
              <w:rPr/>
              <w:t> </w:t>
            </w:r>
          </w:p>
        </w:tc>
        <w:tc>
          <w:tcPr>
            <w:tcW w:w="452" w:type="dxa"/>
            <w:tcBorders>
              <w:bottom w:val="single" w:sz="2" w:space="0" w:color="001C71"/>
            </w:tcBorders>
            <w:shd w:fill="auto" w:val="clear"/>
            <w:tcMar>
              <w:bottom w:w="28" w:type="dxa"/>
            </w:tcMar>
            <w:vAlign w:val="bottom"/>
          </w:tcPr>
          <w:p>
            <w:pPr>
              <w:pStyle w:val="TableContents"/>
              <w:spacing w:before="0" w:after="283"/>
              <w:rPr/>
            </w:pPr>
            <w:r>
              <w:rPr/>
              <w:t>    </w:t>
            </w:r>
          </w:p>
        </w:tc>
        <w:tc>
          <w:tcPr>
            <w:tcW w:w="152" w:type="dxa"/>
            <w:tcBorders>
              <w:bottom w:val="single" w:sz="2" w:space="0" w:color="001C71"/>
            </w:tcBorders>
            <w:shd w:fill="auto" w:val="clear"/>
            <w:tcMar>
              <w:bottom w:w="28" w:type="dxa"/>
            </w:tcMar>
            <w:vAlign w:val="bottom"/>
          </w:tcPr>
          <w:p>
            <w:pPr>
              <w:pStyle w:val="TableContents"/>
              <w:spacing w:before="0" w:after="283"/>
              <w:rPr/>
            </w:pPr>
            <w:r>
              <w:rPr/>
              <w:t> </w:t>
            </w:r>
          </w:p>
        </w:tc>
        <w:tc>
          <w:tcPr>
            <w:tcW w:w="974" w:type="dxa"/>
            <w:tcBorders>
              <w:bottom w:val="single" w:sz="2" w:space="0" w:color="001C71"/>
            </w:tcBorders>
            <w:shd w:fill="auto" w:val="clear"/>
            <w:tcMar>
              <w:bottom w:w="28" w:type="dxa"/>
            </w:tcMar>
            <w:vAlign w:val="bottom"/>
          </w:tcPr>
          <w:p>
            <w:pPr>
              <w:pStyle w:val="TableContents"/>
              <w:spacing w:before="0" w:after="283"/>
              <w:rPr/>
            </w:pPr>
            <w:r>
              <w:rPr/>
              <w:t> </w:t>
            </w:r>
          </w:p>
        </w:tc>
        <w:tc>
          <w:tcPr>
            <w:tcW w:w="60" w:type="dxa"/>
            <w:tcBorders>
              <w:bottom w:val="single" w:sz="2" w:space="0" w:color="001C71"/>
            </w:tcBorders>
            <w:shd w:fill="auto" w:val="clear"/>
            <w:tcMar>
              <w:bottom w:w="28" w:type="dxa"/>
            </w:tcMar>
            <w:vAlign w:val="bottom"/>
          </w:tcPr>
          <w:p>
            <w:pPr>
              <w:pStyle w:val="TableContents"/>
              <w:spacing w:before="0" w:after="283"/>
              <w:rPr/>
            </w:pPr>
            <w:r>
              <w:rPr/>
              <w:t> </w:t>
            </w:r>
          </w:p>
        </w:tc>
        <w:tc>
          <w:tcPr>
            <w:tcW w:w="505" w:type="dxa"/>
            <w:tcBorders>
              <w:bottom w:val="single" w:sz="2" w:space="0" w:color="001C71"/>
            </w:tcBorders>
            <w:shd w:fill="auto" w:val="clear"/>
            <w:tcMar>
              <w:bottom w:w="28" w:type="dxa"/>
            </w:tcMar>
            <w:vAlign w:val="bottom"/>
          </w:tcPr>
          <w:p>
            <w:pPr>
              <w:pStyle w:val="TableContents"/>
              <w:spacing w:before="0" w:after="283"/>
              <w:rPr/>
            </w:pPr>
            <w:r>
              <w:rPr/>
              <w:t>    </w:t>
            </w:r>
          </w:p>
        </w:tc>
        <w:tc>
          <w:tcPr>
            <w:tcW w:w="140" w:type="dxa"/>
            <w:tcBorders>
              <w:bottom w:val="single" w:sz="2" w:space="0" w:color="001C71"/>
            </w:tcBorders>
            <w:shd w:fill="auto" w:val="clear"/>
            <w:tcMar>
              <w:bottom w:w="80" w:type="dxa"/>
            </w:tcMar>
            <w:vAlign w:val="bottom"/>
          </w:tcPr>
          <w:p>
            <w:pPr>
              <w:pStyle w:val="TableContents"/>
              <w:spacing w:before="0" w:after="283"/>
              <w:rPr/>
            </w:pPr>
            <w:r>
              <w:rPr/>
              <w:t> </w:t>
            </w:r>
          </w:p>
        </w:tc>
        <w:tc>
          <w:tcPr>
            <w:tcW w:w="697" w:type="dxa"/>
            <w:tcBorders>
              <w:bottom w:val="single" w:sz="2" w:space="0" w:color="001C71"/>
            </w:tcBorders>
            <w:shd w:fill="auto" w:val="clear"/>
            <w:tcMar>
              <w:bottom w:w="80" w:type="dxa"/>
            </w:tcMar>
            <w:vAlign w:val="bottom"/>
          </w:tcPr>
          <w:p>
            <w:pPr>
              <w:pStyle w:val="TableContents"/>
              <w:spacing w:before="0" w:after="283"/>
              <w:jc w:val="right"/>
              <w:rPr/>
            </w:pPr>
            <w:r>
              <w:rPr/>
              <w:t>883</w:t>
            </w:r>
          </w:p>
        </w:tc>
        <w:tc>
          <w:tcPr>
            <w:tcW w:w="60" w:type="dxa"/>
            <w:tcBorders>
              <w:bottom w:val="single" w:sz="2" w:space="0" w:color="001C71"/>
            </w:tcBorders>
            <w:shd w:fill="auto" w:val="clear"/>
            <w:tcMar>
              <w:bottom w:w="80" w:type="dxa"/>
            </w:tcMar>
            <w:vAlign w:val="bottom"/>
          </w:tcPr>
          <w:p>
            <w:pPr>
              <w:pStyle w:val="TableContents"/>
              <w:spacing w:before="0" w:after="283"/>
              <w:rPr/>
            </w:pPr>
            <w:r>
              <w:rPr/>
              <w:t> </w:t>
            </w:r>
          </w:p>
        </w:tc>
        <w:tc>
          <w:tcPr>
            <w:tcW w:w="400" w:type="dxa"/>
            <w:tcBorders>
              <w:bottom w:val="single" w:sz="2" w:space="0" w:color="001C71"/>
            </w:tcBorders>
            <w:shd w:fill="auto" w:val="clear"/>
            <w:tcMar>
              <w:bottom w:w="28" w:type="dxa"/>
            </w:tcMar>
            <w:vAlign w:val="bottom"/>
          </w:tcPr>
          <w:p>
            <w:pPr>
              <w:pStyle w:val="TableContents"/>
              <w:spacing w:before="0" w:after="283"/>
              <w:rPr/>
            </w:pPr>
            <w:r>
              <w:rPr/>
              <w:t>    </w:t>
            </w:r>
          </w:p>
        </w:tc>
        <w:tc>
          <w:tcPr>
            <w:tcW w:w="152" w:type="dxa"/>
            <w:tcBorders>
              <w:bottom w:val="single" w:sz="2" w:space="0" w:color="001C71"/>
            </w:tcBorders>
            <w:shd w:fill="auto" w:val="clear"/>
            <w:tcMar>
              <w:bottom w:w="28" w:type="dxa"/>
            </w:tcMar>
            <w:vAlign w:val="bottom"/>
          </w:tcPr>
          <w:p>
            <w:pPr>
              <w:pStyle w:val="TableContents"/>
              <w:spacing w:before="0" w:after="283"/>
              <w:rPr/>
            </w:pPr>
            <w:r>
              <w:rPr/>
              <w:t> </w:t>
            </w:r>
          </w:p>
        </w:tc>
        <w:tc>
          <w:tcPr>
            <w:tcW w:w="974" w:type="dxa"/>
            <w:tcBorders>
              <w:bottom w:val="single" w:sz="2" w:space="0" w:color="001C71"/>
            </w:tcBorders>
            <w:shd w:fill="auto" w:val="clear"/>
            <w:tcMar>
              <w:bottom w:w="28" w:type="dxa"/>
            </w:tcMar>
            <w:vAlign w:val="bottom"/>
          </w:tcPr>
          <w:p>
            <w:pPr>
              <w:pStyle w:val="TableContents"/>
              <w:spacing w:before="0" w:after="283"/>
              <w:rPr/>
            </w:pPr>
            <w:r>
              <w:rPr/>
              <w:t> </w:t>
            </w:r>
          </w:p>
        </w:tc>
        <w:tc>
          <w:tcPr>
            <w:tcW w:w="105" w:type="dxa"/>
            <w:tcBorders>
              <w:bottom w:val="single" w:sz="2" w:space="0" w:color="001C71"/>
            </w:tcBorders>
            <w:shd w:fill="auto" w:val="clear"/>
            <w:tcMar>
              <w:bottom w:w="28" w:type="dxa"/>
            </w:tcMar>
            <w:vAlign w:val="bottom"/>
          </w:tcPr>
          <w:p>
            <w:pPr>
              <w:pStyle w:val="TableContents"/>
              <w:spacing w:before="0" w:after="283"/>
              <w:rPr/>
            </w:pPr>
            <w:r>
              <w:rPr/>
              <w:t> </w:t>
            </w:r>
          </w:p>
        </w:tc>
      </w:tr>
      <w:tr>
        <w:trPr>
          <w:trHeight w:val="30" w:hRule="atLeast"/>
        </w:trPr>
        <w:tc>
          <w:tcPr>
            <w:tcW w:w="4137" w:type="dxa"/>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c>
          <w:tcPr>
            <w:tcW w:w="1402" w:type="dxa"/>
            <w:gridSpan w:val="4"/>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r>
      <w:tr>
        <w:trPr/>
        <w:tc>
          <w:tcPr>
            <w:tcW w:w="4137" w:type="dxa"/>
            <w:tcBorders/>
            <w:shd w:fill="auto" w:val="clear"/>
          </w:tcPr>
          <w:p>
            <w:pPr>
              <w:pStyle w:val="TableContents"/>
              <w:spacing w:before="0" w:after="0"/>
              <w:rPr>
                <w:rFonts w:ascii="arial" w:hAnsi="arial"/>
                <w:b/>
                <w:sz w:val="16"/>
              </w:rPr>
            </w:pPr>
            <w:r>
              <w:rPr>
                <w:rFonts w:ascii="arial" w:hAnsi="arial"/>
                <w:b/>
                <w:sz w:val="16"/>
              </w:rPr>
              <w:t>Total audit-related fees</w:t>
            </w:r>
          </w:p>
        </w:tc>
        <w:tc>
          <w:tcPr>
            <w:tcW w:w="452" w:type="dxa"/>
            <w:tcBorders>
              <w:bottom w:val="single" w:sz="2" w:space="0" w:color="001C71"/>
            </w:tcBorders>
            <w:shd w:fill="auto" w:val="clear"/>
            <w:tcMar>
              <w:bottom w:w="28" w:type="dxa"/>
            </w:tcMar>
            <w:vAlign w:val="bottom"/>
          </w:tcPr>
          <w:p>
            <w:pPr>
              <w:pStyle w:val="TableContents"/>
              <w:spacing w:before="0" w:after="283"/>
              <w:rPr/>
            </w:pPr>
            <w:r>
              <w:rPr/>
              <w:t>    </w:t>
            </w:r>
          </w:p>
        </w:tc>
        <w:tc>
          <w:tcPr>
            <w:tcW w:w="140" w:type="dxa"/>
            <w:tcBorders>
              <w:bottom w:val="single" w:sz="2" w:space="0" w:color="001C71"/>
            </w:tcBorders>
            <w:shd w:fill="auto" w:val="clear"/>
            <w:tcMar>
              <w:bottom w:w="80" w:type="dxa"/>
            </w:tcMar>
            <w:vAlign w:val="bottom"/>
          </w:tcPr>
          <w:p>
            <w:pPr>
              <w:pStyle w:val="TableContents"/>
              <w:spacing w:before="0" w:after="283"/>
              <w:rPr/>
            </w:pPr>
            <w:r>
              <w:rPr/>
              <w:t> </w:t>
            </w:r>
          </w:p>
        </w:tc>
        <w:tc>
          <w:tcPr>
            <w:tcW w:w="745" w:type="dxa"/>
            <w:tcBorders>
              <w:bottom w:val="single" w:sz="2" w:space="0" w:color="001C71"/>
            </w:tcBorders>
            <w:shd w:fill="auto" w:val="clear"/>
            <w:tcMar>
              <w:bottom w:w="80" w:type="dxa"/>
            </w:tcMar>
            <w:vAlign w:val="bottom"/>
          </w:tcPr>
          <w:p>
            <w:pPr>
              <w:pStyle w:val="TableContents"/>
              <w:spacing w:before="0" w:after="283"/>
              <w:jc w:val="right"/>
              <w:rPr/>
            </w:pPr>
            <w:r>
              <w:rPr/>
              <w:t>1,999</w:t>
            </w:r>
          </w:p>
        </w:tc>
        <w:tc>
          <w:tcPr>
            <w:tcW w:w="60" w:type="dxa"/>
            <w:tcBorders>
              <w:bottom w:val="single" w:sz="2" w:space="0" w:color="001C71"/>
            </w:tcBorders>
            <w:shd w:fill="auto" w:val="clear"/>
            <w:tcMar>
              <w:bottom w:w="80" w:type="dxa"/>
            </w:tcMar>
            <w:vAlign w:val="bottom"/>
          </w:tcPr>
          <w:p>
            <w:pPr>
              <w:pStyle w:val="TableContents"/>
              <w:spacing w:before="0" w:after="283"/>
              <w:rPr/>
            </w:pPr>
            <w:r>
              <w:rPr/>
              <w:t> </w:t>
            </w:r>
          </w:p>
        </w:tc>
        <w:tc>
          <w:tcPr>
            <w:tcW w:w="452" w:type="dxa"/>
            <w:tcBorders>
              <w:bottom w:val="single" w:sz="2" w:space="0" w:color="001C71"/>
            </w:tcBorders>
            <w:shd w:fill="auto" w:val="clear"/>
            <w:tcMar>
              <w:bottom w:w="28" w:type="dxa"/>
            </w:tcMar>
            <w:vAlign w:val="bottom"/>
          </w:tcPr>
          <w:p>
            <w:pPr>
              <w:pStyle w:val="TableContents"/>
              <w:spacing w:before="0" w:after="283"/>
              <w:rPr/>
            </w:pPr>
            <w:r>
              <w:rPr/>
              <w:t>    </w:t>
            </w:r>
          </w:p>
        </w:tc>
        <w:tc>
          <w:tcPr>
            <w:tcW w:w="152" w:type="dxa"/>
            <w:tcBorders>
              <w:bottom w:val="single" w:sz="2" w:space="0" w:color="001C71"/>
            </w:tcBorders>
            <w:shd w:fill="auto" w:val="clear"/>
            <w:tcMar>
              <w:bottom w:w="80" w:type="dxa"/>
            </w:tcMar>
            <w:vAlign w:val="bottom"/>
          </w:tcPr>
          <w:p>
            <w:pPr>
              <w:pStyle w:val="TableContents"/>
              <w:spacing w:before="0" w:after="283"/>
              <w:rPr/>
            </w:pPr>
            <w:r>
              <w:rPr/>
              <w:t> </w:t>
            </w:r>
          </w:p>
        </w:tc>
        <w:tc>
          <w:tcPr>
            <w:tcW w:w="974" w:type="dxa"/>
            <w:tcBorders>
              <w:bottom w:val="single" w:sz="2" w:space="0" w:color="001C71"/>
            </w:tcBorders>
            <w:shd w:fill="auto" w:val="clear"/>
            <w:tcMar>
              <w:bottom w:w="80" w:type="dxa"/>
            </w:tcMar>
            <w:vAlign w:val="bottom"/>
          </w:tcPr>
          <w:p>
            <w:pPr>
              <w:pStyle w:val="TableContents"/>
              <w:spacing w:before="0" w:after="283"/>
              <w:jc w:val="right"/>
              <w:rPr/>
            </w:pPr>
            <w:r>
              <w:rPr/>
              <w:t>17%</w:t>
            </w:r>
          </w:p>
        </w:tc>
        <w:tc>
          <w:tcPr>
            <w:tcW w:w="60" w:type="dxa"/>
            <w:tcBorders>
              <w:bottom w:val="single" w:sz="2" w:space="0" w:color="001C71"/>
            </w:tcBorders>
            <w:shd w:fill="auto" w:val="clear"/>
            <w:tcMar>
              <w:bottom w:w="80" w:type="dxa"/>
            </w:tcMar>
            <w:vAlign w:val="bottom"/>
          </w:tcPr>
          <w:p>
            <w:pPr>
              <w:pStyle w:val="TableContents"/>
              <w:spacing w:before="0" w:after="283"/>
              <w:rPr/>
            </w:pPr>
            <w:r>
              <w:rPr/>
              <w:t> </w:t>
            </w:r>
          </w:p>
        </w:tc>
        <w:tc>
          <w:tcPr>
            <w:tcW w:w="505" w:type="dxa"/>
            <w:tcBorders>
              <w:bottom w:val="single" w:sz="2" w:space="0" w:color="001C71"/>
            </w:tcBorders>
            <w:shd w:fill="auto" w:val="clear"/>
            <w:tcMar>
              <w:bottom w:w="28" w:type="dxa"/>
            </w:tcMar>
            <w:vAlign w:val="bottom"/>
          </w:tcPr>
          <w:p>
            <w:pPr>
              <w:pStyle w:val="TableContents"/>
              <w:spacing w:before="0" w:after="283"/>
              <w:rPr/>
            </w:pPr>
            <w:r>
              <w:rPr/>
              <w:t>    </w:t>
            </w:r>
          </w:p>
        </w:tc>
        <w:tc>
          <w:tcPr>
            <w:tcW w:w="140" w:type="dxa"/>
            <w:tcBorders>
              <w:bottom w:val="single" w:sz="2" w:space="0" w:color="001C71"/>
            </w:tcBorders>
            <w:shd w:fill="auto" w:val="clear"/>
            <w:tcMar>
              <w:bottom w:w="80" w:type="dxa"/>
            </w:tcMar>
            <w:vAlign w:val="bottom"/>
          </w:tcPr>
          <w:p>
            <w:pPr>
              <w:pStyle w:val="TableContents"/>
              <w:spacing w:before="0" w:after="283"/>
              <w:rPr/>
            </w:pPr>
            <w:r>
              <w:rPr/>
              <w:t> </w:t>
            </w:r>
          </w:p>
        </w:tc>
        <w:tc>
          <w:tcPr>
            <w:tcW w:w="697" w:type="dxa"/>
            <w:tcBorders>
              <w:bottom w:val="single" w:sz="2" w:space="0" w:color="001C71"/>
            </w:tcBorders>
            <w:shd w:fill="auto" w:val="clear"/>
            <w:tcMar>
              <w:bottom w:w="80" w:type="dxa"/>
            </w:tcMar>
            <w:vAlign w:val="bottom"/>
          </w:tcPr>
          <w:p>
            <w:pPr>
              <w:pStyle w:val="TableContents"/>
              <w:spacing w:before="0" w:after="283"/>
              <w:jc w:val="right"/>
              <w:rPr/>
            </w:pPr>
            <w:r>
              <w:rPr/>
              <w:t>1,400</w:t>
            </w:r>
          </w:p>
        </w:tc>
        <w:tc>
          <w:tcPr>
            <w:tcW w:w="60" w:type="dxa"/>
            <w:tcBorders>
              <w:bottom w:val="single" w:sz="2" w:space="0" w:color="001C71"/>
            </w:tcBorders>
            <w:shd w:fill="auto" w:val="clear"/>
            <w:tcMar>
              <w:bottom w:w="80" w:type="dxa"/>
            </w:tcMar>
            <w:vAlign w:val="bottom"/>
          </w:tcPr>
          <w:p>
            <w:pPr>
              <w:pStyle w:val="TableContents"/>
              <w:spacing w:before="0" w:after="283"/>
              <w:rPr/>
            </w:pPr>
            <w:r>
              <w:rPr/>
              <w:t> </w:t>
            </w:r>
          </w:p>
        </w:tc>
        <w:tc>
          <w:tcPr>
            <w:tcW w:w="400" w:type="dxa"/>
            <w:tcBorders>
              <w:bottom w:val="single" w:sz="2" w:space="0" w:color="001C71"/>
            </w:tcBorders>
            <w:shd w:fill="auto" w:val="clear"/>
            <w:tcMar>
              <w:bottom w:w="28" w:type="dxa"/>
            </w:tcMar>
            <w:vAlign w:val="bottom"/>
          </w:tcPr>
          <w:p>
            <w:pPr>
              <w:pStyle w:val="TableContents"/>
              <w:spacing w:before="0" w:after="283"/>
              <w:rPr/>
            </w:pPr>
            <w:r>
              <w:rPr/>
              <w:t>    </w:t>
            </w:r>
          </w:p>
        </w:tc>
        <w:tc>
          <w:tcPr>
            <w:tcW w:w="152" w:type="dxa"/>
            <w:tcBorders>
              <w:bottom w:val="single" w:sz="2" w:space="0" w:color="001C71"/>
            </w:tcBorders>
            <w:shd w:fill="auto" w:val="clear"/>
            <w:tcMar>
              <w:bottom w:w="80" w:type="dxa"/>
            </w:tcMar>
            <w:vAlign w:val="bottom"/>
          </w:tcPr>
          <w:p>
            <w:pPr>
              <w:pStyle w:val="TableContents"/>
              <w:spacing w:before="0" w:after="283"/>
              <w:rPr/>
            </w:pPr>
            <w:r>
              <w:rPr/>
              <w:t> </w:t>
            </w:r>
          </w:p>
        </w:tc>
        <w:tc>
          <w:tcPr>
            <w:tcW w:w="974" w:type="dxa"/>
            <w:tcBorders>
              <w:bottom w:val="single" w:sz="2" w:space="0" w:color="001C71"/>
            </w:tcBorders>
            <w:shd w:fill="auto" w:val="clear"/>
            <w:tcMar>
              <w:bottom w:w="80" w:type="dxa"/>
            </w:tcMar>
            <w:vAlign w:val="bottom"/>
          </w:tcPr>
          <w:p>
            <w:pPr>
              <w:pStyle w:val="TableContents"/>
              <w:spacing w:before="0" w:after="283"/>
              <w:jc w:val="right"/>
              <w:rPr/>
            </w:pPr>
            <w:r>
              <w:rPr/>
              <w:t>11%</w:t>
            </w:r>
          </w:p>
        </w:tc>
        <w:tc>
          <w:tcPr>
            <w:tcW w:w="105" w:type="dxa"/>
            <w:tcBorders>
              <w:bottom w:val="single" w:sz="2" w:space="0" w:color="001C71"/>
            </w:tcBorders>
            <w:shd w:fill="auto" w:val="clear"/>
            <w:tcMar>
              <w:bottom w:w="80" w:type="dxa"/>
            </w:tcMar>
            <w:vAlign w:val="bottom"/>
          </w:tcPr>
          <w:p>
            <w:pPr>
              <w:pStyle w:val="TableContents"/>
              <w:spacing w:before="0" w:after="283"/>
              <w:rPr/>
            </w:pPr>
            <w:r>
              <w:rPr/>
              <w:t> </w:t>
            </w:r>
          </w:p>
        </w:tc>
      </w:tr>
      <w:tr>
        <w:trPr>
          <w:trHeight w:val="30" w:hRule="atLeast"/>
        </w:trPr>
        <w:tc>
          <w:tcPr>
            <w:tcW w:w="4137" w:type="dxa"/>
            <w:tcBorders/>
            <w:shd w:fill="E5E5E5" w:val="clear"/>
            <w:vAlign w:val="center"/>
          </w:tcPr>
          <w:p>
            <w:pPr>
              <w:pStyle w:val="TableContents"/>
              <w:spacing w:before="0" w:after="283"/>
              <w:rPr>
                <w:sz w:val="4"/>
                <w:szCs w:val="4"/>
              </w:rPr>
            </w:pPr>
            <w:r>
              <w:rPr>
                <w:sz w:val="4"/>
                <w:szCs w:val="4"/>
              </w:rPr>
            </w:r>
          </w:p>
        </w:tc>
        <w:tc>
          <w:tcPr>
            <w:tcW w:w="1397" w:type="dxa"/>
            <w:gridSpan w:val="4"/>
            <w:tcBorders/>
            <w:shd w:fill="E5E5E5" w:val="clear"/>
            <w:vAlign w:val="center"/>
          </w:tcPr>
          <w:p>
            <w:pPr>
              <w:pStyle w:val="TableContents"/>
              <w:spacing w:before="0" w:after="283"/>
              <w:rPr>
                <w:sz w:val="4"/>
                <w:szCs w:val="4"/>
              </w:rPr>
            </w:pPr>
            <w:r>
              <w:rPr>
                <w:sz w:val="4"/>
                <w:szCs w:val="4"/>
              </w:rPr>
            </w:r>
          </w:p>
        </w:tc>
        <w:tc>
          <w:tcPr>
            <w:tcW w:w="1638" w:type="dxa"/>
            <w:gridSpan w:val="4"/>
            <w:tcBorders/>
            <w:shd w:fill="E5E5E5" w:val="clear"/>
            <w:vAlign w:val="center"/>
          </w:tcPr>
          <w:p>
            <w:pPr>
              <w:pStyle w:val="TableContents"/>
              <w:spacing w:before="0" w:after="283"/>
              <w:rPr>
                <w:sz w:val="4"/>
                <w:szCs w:val="4"/>
              </w:rPr>
            </w:pPr>
            <w:r>
              <w:rPr>
                <w:sz w:val="4"/>
                <w:szCs w:val="4"/>
              </w:rPr>
            </w:r>
          </w:p>
        </w:tc>
        <w:tc>
          <w:tcPr>
            <w:tcW w:w="1402" w:type="dxa"/>
            <w:gridSpan w:val="4"/>
            <w:tcBorders/>
            <w:shd w:fill="E5E5E5" w:val="clear"/>
            <w:vAlign w:val="center"/>
          </w:tcPr>
          <w:p>
            <w:pPr>
              <w:pStyle w:val="TableContents"/>
              <w:spacing w:before="0" w:after="283"/>
              <w:rPr>
                <w:sz w:val="4"/>
                <w:szCs w:val="4"/>
              </w:rPr>
            </w:pPr>
            <w:r>
              <w:rPr>
                <w:sz w:val="4"/>
                <w:szCs w:val="4"/>
              </w:rPr>
            </w:r>
          </w:p>
        </w:tc>
        <w:tc>
          <w:tcPr>
            <w:tcW w:w="1631" w:type="dxa"/>
            <w:gridSpan w:val="4"/>
            <w:tcBorders/>
            <w:shd w:fill="E5E5E5" w:val="clear"/>
            <w:vAlign w:val="center"/>
          </w:tcPr>
          <w:p>
            <w:pPr>
              <w:pStyle w:val="TableContents"/>
              <w:spacing w:before="0" w:after="283"/>
              <w:rPr>
                <w:sz w:val="4"/>
                <w:szCs w:val="4"/>
              </w:rPr>
            </w:pPr>
            <w:r>
              <w:rPr>
                <w:sz w:val="4"/>
                <w:szCs w:val="4"/>
              </w:rPr>
            </w:r>
          </w:p>
        </w:tc>
      </w:tr>
      <w:tr>
        <w:trPr/>
        <w:tc>
          <w:tcPr>
            <w:tcW w:w="4137" w:type="dxa"/>
            <w:tcBorders/>
            <w:shd w:fill="E5E5E5" w:val="clear"/>
          </w:tcPr>
          <w:p>
            <w:pPr>
              <w:pStyle w:val="TableContents"/>
              <w:spacing w:before="0" w:after="0"/>
              <w:rPr>
                <w:rFonts w:ascii="arial" w:hAnsi="arial"/>
                <w:b/>
                <w:sz w:val="16"/>
              </w:rPr>
            </w:pPr>
            <w:r>
              <w:rPr>
                <w:rFonts w:ascii="arial" w:hAnsi="arial"/>
                <w:b/>
                <w:sz w:val="16"/>
              </w:rPr>
              <w:t>Tax fees (B)</w:t>
            </w:r>
          </w:p>
        </w:tc>
        <w:tc>
          <w:tcPr>
            <w:tcW w:w="452" w:type="dxa"/>
            <w:tcBorders>
              <w:bottom w:val="single" w:sz="2"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2" w:space="0" w:color="001C71"/>
            </w:tcBorders>
            <w:shd w:fill="E5E5E5" w:val="clear"/>
            <w:tcMar>
              <w:bottom w:w="60" w:type="dxa"/>
            </w:tcMar>
            <w:vAlign w:val="bottom"/>
          </w:tcPr>
          <w:p>
            <w:pPr>
              <w:pStyle w:val="TableContents"/>
              <w:spacing w:before="0" w:after="283"/>
              <w:rPr/>
            </w:pPr>
            <w:r>
              <w:rPr/>
              <w:t> </w:t>
            </w:r>
          </w:p>
        </w:tc>
        <w:tc>
          <w:tcPr>
            <w:tcW w:w="745" w:type="dxa"/>
            <w:tcBorders>
              <w:bottom w:val="single" w:sz="2" w:space="0" w:color="001C71"/>
            </w:tcBorders>
            <w:shd w:fill="E5E5E5" w:val="clear"/>
            <w:tcMar>
              <w:bottom w:w="60" w:type="dxa"/>
            </w:tcMar>
            <w:vAlign w:val="bottom"/>
          </w:tcPr>
          <w:p>
            <w:pPr>
              <w:pStyle w:val="TableContents"/>
              <w:spacing w:before="0" w:after="283"/>
              <w:jc w:val="right"/>
              <w:rPr>
                <w:b/>
              </w:rPr>
            </w:pPr>
            <w:r>
              <w:rPr>
                <w:b/>
              </w:rPr>
              <w:t>156</w:t>
            </w:r>
          </w:p>
        </w:tc>
        <w:tc>
          <w:tcPr>
            <w:tcW w:w="60" w:type="dxa"/>
            <w:tcBorders>
              <w:bottom w:val="single" w:sz="2" w:space="0" w:color="001C71"/>
            </w:tcBorders>
            <w:shd w:fill="E5E5E5" w:val="clear"/>
            <w:tcMar>
              <w:bottom w:w="60" w:type="dxa"/>
            </w:tcMar>
            <w:vAlign w:val="bottom"/>
          </w:tcPr>
          <w:p>
            <w:pPr>
              <w:pStyle w:val="TableContents"/>
              <w:spacing w:before="0" w:after="283"/>
              <w:rPr/>
            </w:pPr>
            <w:r>
              <w:rPr/>
              <w:t> </w:t>
            </w:r>
          </w:p>
        </w:tc>
        <w:tc>
          <w:tcPr>
            <w:tcW w:w="452"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2" w:type="dxa"/>
            <w:tcBorders>
              <w:bottom w:val="single" w:sz="2" w:space="0" w:color="001C71"/>
            </w:tcBorders>
            <w:shd w:fill="E5E5E5" w:val="clear"/>
            <w:tcMar>
              <w:bottom w:w="60" w:type="dxa"/>
            </w:tcMar>
            <w:vAlign w:val="bottom"/>
          </w:tcPr>
          <w:p>
            <w:pPr>
              <w:pStyle w:val="TableContents"/>
              <w:spacing w:before="0" w:after="283"/>
              <w:rPr/>
            </w:pPr>
            <w:r>
              <w:rPr/>
              <w:t> </w:t>
            </w:r>
          </w:p>
        </w:tc>
        <w:tc>
          <w:tcPr>
            <w:tcW w:w="974" w:type="dxa"/>
            <w:tcBorders>
              <w:bottom w:val="single" w:sz="2" w:space="0" w:color="001C71"/>
            </w:tcBorders>
            <w:shd w:fill="E5E5E5" w:val="clear"/>
            <w:tcMar>
              <w:bottom w:w="60" w:type="dxa"/>
            </w:tcMar>
            <w:vAlign w:val="bottom"/>
          </w:tcPr>
          <w:p>
            <w:pPr>
              <w:pStyle w:val="TableContents"/>
              <w:spacing w:before="0" w:after="283"/>
              <w:jc w:val="right"/>
              <w:rPr>
                <w:b/>
              </w:rPr>
            </w:pPr>
            <w:r>
              <w:rPr>
                <w:b/>
              </w:rPr>
              <w:t>1%</w:t>
            </w:r>
          </w:p>
        </w:tc>
        <w:tc>
          <w:tcPr>
            <w:tcW w:w="60" w:type="dxa"/>
            <w:tcBorders>
              <w:bottom w:val="single" w:sz="2" w:space="0" w:color="001C71"/>
            </w:tcBorders>
            <w:shd w:fill="E5E5E5" w:val="clear"/>
            <w:tcMar>
              <w:bottom w:w="60" w:type="dxa"/>
            </w:tcMar>
            <w:vAlign w:val="bottom"/>
          </w:tcPr>
          <w:p>
            <w:pPr>
              <w:pStyle w:val="TableContents"/>
              <w:spacing w:before="0" w:after="283"/>
              <w:rPr/>
            </w:pPr>
            <w:r>
              <w:rPr/>
              <w:t> </w:t>
            </w:r>
          </w:p>
        </w:tc>
        <w:tc>
          <w:tcPr>
            <w:tcW w:w="505" w:type="dxa"/>
            <w:tcBorders>
              <w:bottom w:val="single" w:sz="2"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2" w:space="0" w:color="001C71"/>
            </w:tcBorders>
            <w:shd w:fill="E5E5E5" w:val="clear"/>
            <w:tcMar>
              <w:bottom w:w="60" w:type="dxa"/>
            </w:tcMar>
            <w:vAlign w:val="bottom"/>
          </w:tcPr>
          <w:p>
            <w:pPr>
              <w:pStyle w:val="TableContents"/>
              <w:spacing w:before="0" w:after="283"/>
              <w:rPr/>
            </w:pPr>
            <w:r>
              <w:rPr/>
              <w:t> </w:t>
            </w:r>
          </w:p>
        </w:tc>
        <w:tc>
          <w:tcPr>
            <w:tcW w:w="697" w:type="dxa"/>
            <w:tcBorders>
              <w:bottom w:val="single" w:sz="2" w:space="0" w:color="001C71"/>
            </w:tcBorders>
            <w:shd w:fill="E5E5E5" w:val="clear"/>
            <w:tcMar>
              <w:bottom w:w="60" w:type="dxa"/>
            </w:tcMar>
            <w:vAlign w:val="bottom"/>
          </w:tcPr>
          <w:p>
            <w:pPr>
              <w:pStyle w:val="TableContents"/>
              <w:spacing w:before="0" w:after="283"/>
              <w:jc w:val="right"/>
              <w:rPr>
                <w:b/>
              </w:rPr>
            </w:pPr>
            <w:r>
              <w:rPr>
                <w:b/>
              </w:rPr>
              <w:t>74</w:t>
            </w:r>
          </w:p>
        </w:tc>
        <w:tc>
          <w:tcPr>
            <w:tcW w:w="60" w:type="dxa"/>
            <w:tcBorders>
              <w:bottom w:val="single" w:sz="2" w:space="0" w:color="001C71"/>
            </w:tcBorders>
            <w:shd w:fill="E5E5E5" w:val="clear"/>
            <w:tcMar>
              <w:bottom w:w="60" w:type="dxa"/>
            </w:tcMar>
            <w:vAlign w:val="bottom"/>
          </w:tcPr>
          <w:p>
            <w:pPr>
              <w:pStyle w:val="TableContents"/>
              <w:spacing w:before="0" w:after="283"/>
              <w:rPr/>
            </w:pPr>
            <w:r>
              <w:rPr/>
              <w:t> </w:t>
            </w:r>
          </w:p>
        </w:tc>
        <w:tc>
          <w:tcPr>
            <w:tcW w:w="400"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2" w:type="dxa"/>
            <w:tcBorders>
              <w:bottom w:val="single" w:sz="2" w:space="0" w:color="001C71"/>
            </w:tcBorders>
            <w:shd w:fill="E5E5E5" w:val="clear"/>
            <w:tcMar>
              <w:bottom w:w="60" w:type="dxa"/>
            </w:tcMar>
            <w:vAlign w:val="bottom"/>
          </w:tcPr>
          <w:p>
            <w:pPr>
              <w:pStyle w:val="TableContents"/>
              <w:spacing w:before="0" w:after="283"/>
              <w:rPr/>
            </w:pPr>
            <w:r>
              <w:rPr/>
              <w:t> </w:t>
            </w:r>
          </w:p>
        </w:tc>
        <w:tc>
          <w:tcPr>
            <w:tcW w:w="974" w:type="dxa"/>
            <w:tcBorders>
              <w:bottom w:val="single" w:sz="2" w:space="0" w:color="001C71"/>
            </w:tcBorders>
            <w:shd w:fill="E5E5E5" w:val="clear"/>
            <w:tcMar>
              <w:bottom w:w="60" w:type="dxa"/>
            </w:tcMar>
            <w:vAlign w:val="bottom"/>
          </w:tcPr>
          <w:p>
            <w:pPr>
              <w:pStyle w:val="TableContents"/>
              <w:spacing w:before="0" w:after="283"/>
              <w:jc w:val="right"/>
              <w:rPr>
                <w:b/>
              </w:rPr>
            </w:pPr>
            <w:r>
              <w:rPr>
                <w:b/>
              </w:rPr>
              <w:t>1%</w:t>
            </w:r>
          </w:p>
        </w:tc>
        <w:tc>
          <w:tcPr>
            <w:tcW w:w="105" w:type="dxa"/>
            <w:tcBorders>
              <w:bottom w:val="single" w:sz="2" w:space="0" w:color="001C71"/>
            </w:tcBorders>
            <w:shd w:fill="E5E5E5" w:val="clear"/>
            <w:tcMar>
              <w:bottom w:w="60" w:type="dxa"/>
            </w:tcMar>
            <w:vAlign w:val="bottom"/>
          </w:tcPr>
          <w:p>
            <w:pPr>
              <w:pStyle w:val="TableContents"/>
              <w:spacing w:before="0" w:after="283"/>
              <w:rPr/>
            </w:pPr>
            <w:r>
              <w:rPr/>
              <w:t> </w:t>
            </w:r>
          </w:p>
        </w:tc>
      </w:tr>
      <w:tr>
        <w:trPr>
          <w:trHeight w:val="30" w:hRule="atLeast"/>
        </w:trPr>
        <w:tc>
          <w:tcPr>
            <w:tcW w:w="4137" w:type="dxa"/>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c>
          <w:tcPr>
            <w:tcW w:w="1402" w:type="dxa"/>
            <w:gridSpan w:val="4"/>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r>
      <w:tr>
        <w:trPr/>
        <w:tc>
          <w:tcPr>
            <w:tcW w:w="4137" w:type="dxa"/>
            <w:tcBorders/>
            <w:shd w:fill="auto" w:val="clear"/>
          </w:tcPr>
          <w:p>
            <w:pPr>
              <w:pStyle w:val="TableContents"/>
              <w:spacing w:before="0" w:after="0"/>
              <w:rPr>
                <w:rFonts w:ascii="arial" w:hAnsi="arial"/>
                <w:b/>
                <w:sz w:val="16"/>
              </w:rPr>
            </w:pPr>
            <w:r>
              <w:rPr>
                <w:rFonts w:ascii="arial" w:hAnsi="arial"/>
                <w:b/>
                <w:sz w:val="16"/>
              </w:rPr>
              <w:t>All other fees (C)</w:t>
            </w:r>
          </w:p>
        </w:tc>
        <w:tc>
          <w:tcPr>
            <w:tcW w:w="452" w:type="dxa"/>
            <w:tcBorders>
              <w:bottom w:val="single" w:sz="2" w:space="0" w:color="001C71"/>
            </w:tcBorders>
            <w:shd w:fill="auto" w:val="clear"/>
            <w:tcMar>
              <w:bottom w:w="28" w:type="dxa"/>
            </w:tcMar>
            <w:vAlign w:val="bottom"/>
          </w:tcPr>
          <w:p>
            <w:pPr>
              <w:pStyle w:val="TableContents"/>
              <w:spacing w:before="0" w:after="283"/>
              <w:rPr/>
            </w:pPr>
            <w:r>
              <w:rPr/>
              <w:t>    </w:t>
            </w:r>
          </w:p>
        </w:tc>
        <w:tc>
          <w:tcPr>
            <w:tcW w:w="140" w:type="dxa"/>
            <w:tcBorders>
              <w:bottom w:val="single" w:sz="2" w:space="0" w:color="001C71"/>
            </w:tcBorders>
            <w:shd w:fill="auto" w:val="clear"/>
            <w:tcMar>
              <w:bottom w:w="60" w:type="dxa"/>
            </w:tcMar>
            <w:vAlign w:val="bottom"/>
          </w:tcPr>
          <w:p>
            <w:pPr>
              <w:pStyle w:val="TableContents"/>
              <w:spacing w:before="0" w:after="283"/>
              <w:rPr/>
            </w:pPr>
            <w:r>
              <w:rPr/>
              <w:t> </w:t>
            </w:r>
          </w:p>
        </w:tc>
        <w:tc>
          <w:tcPr>
            <w:tcW w:w="745" w:type="dxa"/>
            <w:tcBorders>
              <w:bottom w:val="single" w:sz="2" w:space="0" w:color="001C71"/>
            </w:tcBorders>
            <w:shd w:fill="auto" w:val="clear"/>
            <w:tcMar>
              <w:bottom w:w="60" w:type="dxa"/>
            </w:tcMar>
            <w:vAlign w:val="bottom"/>
          </w:tcPr>
          <w:p>
            <w:pPr>
              <w:pStyle w:val="TableContents"/>
              <w:spacing w:before="0" w:after="283"/>
              <w:jc w:val="right"/>
              <w:rPr>
                <w:b/>
              </w:rPr>
            </w:pPr>
            <w:r>
              <w:rPr>
                <w:b/>
              </w:rPr>
              <w:t>22</w:t>
            </w:r>
          </w:p>
        </w:tc>
        <w:tc>
          <w:tcPr>
            <w:tcW w:w="60" w:type="dxa"/>
            <w:tcBorders>
              <w:bottom w:val="single" w:sz="2" w:space="0" w:color="001C71"/>
            </w:tcBorders>
            <w:shd w:fill="auto" w:val="clear"/>
            <w:tcMar>
              <w:bottom w:w="60" w:type="dxa"/>
            </w:tcMar>
            <w:vAlign w:val="bottom"/>
          </w:tcPr>
          <w:p>
            <w:pPr>
              <w:pStyle w:val="TableContents"/>
              <w:spacing w:before="0" w:after="283"/>
              <w:rPr/>
            </w:pPr>
            <w:r>
              <w:rPr/>
              <w:t> </w:t>
            </w:r>
          </w:p>
        </w:tc>
        <w:tc>
          <w:tcPr>
            <w:tcW w:w="452" w:type="dxa"/>
            <w:tcBorders>
              <w:bottom w:val="single" w:sz="2" w:space="0" w:color="001C71"/>
            </w:tcBorders>
            <w:shd w:fill="auto" w:val="clear"/>
            <w:tcMar>
              <w:bottom w:w="28" w:type="dxa"/>
            </w:tcMar>
            <w:vAlign w:val="bottom"/>
          </w:tcPr>
          <w:p>
            <w:pPr>
              <w:pStyle w:val="TableContents"/>
              <w:spacing w:before="0" w:after="283"/>
              <w:rPr/>
            </w:pPr>
            <w:r>
              <w:rPr/>
              <w:t>    </w:t>
            </w:r>
          </w:p>
        </w:tc>
        <w:tc>
          <w:tcPr>
            <w:tcW w:w="152" w:type="dxa"/>
            <w:tcBorders>
              <w:bottom w:val="single" w:sz="2" w:space="0" w:color="001C71"/>
            </w:tcBorders>
            <w:shd w:fill="auto" w:val="clear"/>
            <w:tcMar>
              <w:bottom w:w="60" w:type="dxa"/>
            </w:tcMar>
            <w:vAlign w:val="bottom"/>
          </w:tcPr>
          <w:p>
            <w:pPr>
              <w:pStyle w:val="TableContents"/>
              <w:spacing w:before="0" w:after="283"/>
              <w:rPr/>
            </w:pPr>
            <w:r>
              <w:rPr/>
              <w:t> </w:t>
            </w:r>
          </w:p>
        </w:tc>
        <w:tc>
          <w:tcPr>
            <w:tcW w:w="974" w:type="dxa"/>
            <w:tcBorders>
              <w:bottom w:val="single" w:sz="2" w:space="0" w:color="001C71"/>
            </w:tcBorders>
            <w:shd w:fill="auto" w:val="clear"/>
            <w:tcMar>
              <w:bottom w:w="60" w:type="dxa"/>
            </w:tcMar>
            <w:vAlign w:val="bottom"/>
          </w:tcPr>
          <w:p>
            <w:pPr>
              <w:pStyle w:val="TableContents"/>
              <w:spacing w:before="0" w:after="283"/>
              <w:jc w:val="right"/>
              <w:rPr>
                <w:b/>
              </w:rPr>
            </w:pPr>
            <w:r>
              <w:rPr>
                <w:b/>
              </w:rPr>
              <w:t>0%</w:t>
            </w:r>
          </w:p>
        </w:tc>
        <w:tc>
          <w:tcPr>
            <w:tcW w:w="60" w:type="dxa"/>
            <w:tcBorders>
              <w:bottom w:val="single" w:sz="2" w:space="0" w:color="001C71"/>
            </w:tcBorders>
            <w:shd w:fill="auto" w:val="clear"/>
            <w:tcMar>
              <w:bottom w:w="60" w:type="dxa"/>
            </w:tcMar>
            <w:vAlign w:val="bottom"/>
          </w:tcPr>
          <w:p>
            <w:pPr>
              <w:pStyle w:val="TableContents"/>
              <w:spacing w:before="0" w:after="283"/>
              <w:rPr/>
            </w:pPr>
            <w:r>
              <w:rPr/>
              <w:t> </w:t>
            </w:r>
          </w:p>
        </w:tc>
        <w:tc>
          <w:tcPr>
            <w:tcW w:w="505" w:type="dxa"/>
            <w:tcBorders>
              <w:bottom w:val="single" w:sz="2" w:space="0" w:color="001C71"/>
            </w:tcBorders>
            <w:shd w:fill="auto" w:val="clear"/>
            <w:tcMar>
              <w:bottom w:w="28" w:type="dxa"/>
            </w:tcMar>
            <w:vAlign w:val="bottom"/>
          </w:tcPr>
          <w:p>
            <w:pPr>
              <w:pStyle w:val="TableContents"/>
              <w:spacing w:before="0" w:after="283"/>
              <w:rPr/>
            </w:pPr>
            <w:r>
              <w:rPr/>
              <w:t>    </w:t>
            </w:r>
          </w:p>
        </w:tc>
        <w:tc>
          <w:tcPr>
            <w:tcW w:w="140" w:type="dxa"/>
            <w:tcBorders>
              <w:bottom w:val="single" w:sz="2" w:space="0" w:color="001C71"/>
            </w:tcBorders>
            <w:shd w:fill="auto" w:val="clear"/>
            <w:tcMar>
              <w:bottom w:w="60" w:type="dxa"/>
            </w:tcMar>
            <w:vAlign w:val="bottom"/>
          </w:tcPr>
          <w:p>
            <w:pPr>
              <w:pStyle w:val="TableContents"/>
              <w:spacing w:before="0" w:after="283"/>
              <w:rPr/>
            </w:pPr>
            <w:r>
              <w:rPr/>
              <w:t> </w:t>
            </w:r>
          </w:p>
        </w:tc>
        <w:tc>
          <w:tcPr>
            <w:tcW w:w="697" w:type="dxa"/>
            <w:tcBorders>
              <w:bottom w:val="single" w:sz="2" w:space="0" w:color="001C71"/>
            </w:tcBorders>
            <w:shd w:fill="auto" w:val="clear"/>
            <w:tcMar>
              <w:bottom w:w="60" w:type="dxa"/>
            </w:tcMar>
            <w:vAlign w:val="bottom"/>
          </w:tcPr>
          <w:p>
            <w:pPr>
              <w:pStyle w:val="TableContents"/>
              <w:spacing w:before="0" w:after="283"/>
              <w:jc w:val="right"/>
              <w:rPr>
                <w:b/>
              </w:rPr>
            </w:pPr>
            <w:r>
              <w:rPr>
                <w:b/>
              </w:rPr>
              <w:t>74</w:t>
            </w:r>
          </w:p>
        </w:tc>
        <w:tc>
          <w:tcPr>
            <w:tcW w:w="60" w:type="dxa"/>
            <w:tcBorders>
              <w:bottom w:val="single" w:sz="2" w:space="0" w:color="001C71"/>
            </w:tcBorders>
            <w:shd w:fill="auto" w:val="clear"/>
            <w:tcMar>
              <w:bottom w:w="60" w:type="dxa"/>
            </w:tcMar>
            <w:vAlign w:val="bottom"/>
          </w:tcPr>
          <w:p>
            <w:pPr>
              <w:pStyle w:val="TableContents"/>
              <w:spacing w:before="0" w:after="283"/>
              <w:rPr/>
            </w:pPr>
            <w:r>
              <w:rPr/>
              <w:t> </w:t>
            </w:r>
          </w:p>
        </w:tc>
        <w:tc>
          <w:tcPr>
            <w:tcW w:w="400" w:type="dxa"/>
            <w:tcBorders>
              <w:bottom w:val="single" w:sz="2" w:space="0" w:color="001C71"/>
            </w:tcBorders>
            <w:shd w:fill="auto" w:val="clear"/>
            <w:tcMar>
              <w:bottom w:w="28" w:type="dxa"/>
            </w:tcMar>
            <w:vAlign w:val="bottom"/>
          </w:tcPr>
          <w:p>
            <w:pPr>
              <w:pStyle w:val="TableContents"/>
              <w:spacing w:before="0" w:after="283"/>
              <w:rPr/>
            </w:pPr>
            <w:r>
              <w:rPr/>
              <w:t>    </w:t>
            </w:r>
          </w:p>
        </w:tc>
        <w:tc>
          <w:tcPr>
            <w:tcW w:w="152" w:type="dxa"/>
            <w:tcBorders>
              <w:bottom w:val="single" w:sz="2" w:space="0" w:color="001C71"/>
            </w:tcBorders>
            <w:shd w:fill="auto" w:val="clear"/>
            <w:tcMar>
              <w:bottom w:w="60" w:type="dxa"/>
            </w:tcMar>
            <w:vAlign w:val="bottom"/>
          </w:tcPr>
          <w:p>
            <w:pPr>
              <w:pStyle w:val="TableContents"/>
              <w:spacing w:before="0" w:after="283"/>
              <w:rPr/>
            </w:pPr>
            <w:r>
              <w:rPr/>
              <w:t> </w:t>
            </w:r>
          </w:p>
        </w:tc>
        <w:tc>
          <w:tcPr>
            <w:tcW w:w="974" w:type="dxa"/>
            <w:tcBorders>
              <w:bottom w:val="single" w:sz="2" w:space="0" w:color="001C71"/>
            </w:tcBorders>
            <w:shd w:fill="auto" w:val="clear"/>
            <w:tcMar>
              <w:bottom w:w="60" w:type="dxa"/>
            </w:tcMar>
            <w:vAlign w:val="bottom"/>
          </w:tcPr>
          <w:p>
            <w:pPr>
              <w:pStyle w:val="TableContents"/>
              <w:spacing w:before="0" w:after="283"/>
              <w:jc w:val="right"/>
              <w:rPr>
                <w:b/>
              </w:rPr>
            </w:pPr>
            <w:r>
              <w:rPr>
                <w:b/>
              </w:rPr>
              <w:t>1%</w:t>
            </w:r>
          </w:p>
        </w:tc>
        <w:tc>
          <w:tcPr>
            <w:tcW w:w="105" w:type="dxa"/>
            <w:tcBorders>
              <w:bottom w:val="single" w:sz="2" w:space="0" w:color="001C71"/>
            </w:tcBorders>
            <w:shd w:fill="auto" w:val="clear"/>
            <w:tcMar>
              <w:bottom w:w="60" w:type="dxa"/>
            </w:tcMar>
            <w:vAlign w:val="bottom"/>
          </w:tcPr>
          <w:p>
            <w:pPr>
              <w:pStyle w:val="TableContents"/>
              <w:spacing w:before="0" w:after="283"/>
              <w:rPr/>
            </w:pPr>
            <w:r>
              <w:rPr/>
              <w:t> </w:t>
            </w:r>
          </w:p>
        </w:tc>
      </w:tr>
      <w:tr>
        <w:trPr>
          <w:trHeight w:val="30" w:hRule="atLeast"/>
        </w:trPr>
        <w:tc>
          <w:tcPr>
            <w:tcW w:w="4137" w:type="dxa"/>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c>
          <w:tcPr>
            <w:tcW w:w="1402" w:type="dxa"/>
            <w:gridSpan w:val="4"/>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r>
      <w:tr>
        <w:trPr/>
        <w:tc>
          <w:tcPr>
            <w:tcW w:w="4137" w:type="dxa"/>
            <w:tcBorders>
              <w:bottom w:val="single" w:sz="8" w:space="0" w:color="001C71"/>
            </w:tcBorders>
            <w:shd w:fill="auto" w:val="clear"/>
            <w:tcMar>
              <w:bottom w:w="80" w:type="dxa"/>
            </w:tcMar>
          </w:tcPr>
          <w:p>
            <w:pPr>
              <w:pStyle w:val="TableContents"/>
              <w:spacing w:before="0" w:after="0"/>
              <w:rPr>
                <w:rFonts w:ascii="arial" w:hAnsi="arial"/>
                <w:b/>
                <w:sz w:val="16"/>
              </w:rPr>
            </w:pPr>
            <w:r>
              <w:rPr>
                <w:rFonts w:ascii="arial" w:hAnsi="arial"/>
                <w:b/>
                <w:sz w:val="16"/>
              </w:rPr>
              <w:t>Total fees</w:t>
            </w:r>
          </w:p>
        </w:tc>
        <w:tc>
          <w:tcPr>
            <w:tcW w:w="452"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80" w:type="dxa"/>
            </w:tcMar>
            <w:vAlign w:val="bottom"/>
          </w:tcPr>
          <w:p>
            <w:pPr>
              <w:pStyle w:val="TableContents"/>
              <w:spacing w:before="0" w:after="283"/>
              <w:rPr/>
            </w:pPr>
            <w:r>
              <w:rPr/>
              <w:t>$</w:t>
            </w:r>
          </w:p>
        </w:tc>
        <w:tc>
          <w:tcPr>
            <w:tcW w:w="745" w:type="dxa"/>
            <w:tcBorders>
              <w:bottom w:val="single" w:sz="8" w:space="0" w:color="001C71"/>
            </w:tcBorders>
            <w:shd w:fill="auto" w:val="clear"/>
            <w:tcMar>
              <w:bottom w:w="80" w:type="dxa"/>
            </w:tcMar>
            <w:vAlign w:val="bottom"/>
          </w:tcPr>
          <w:p>
            <w:pPr>
              <w:pStyle w:val="TableContents"/>
              <w:spacing w:before="0" w:after="283"/>
              <w:jc w:val="right"/>
              <w:rPr/>
            </w:pPr>
            <w:r>
              <w:rPr/>
              <w:t> </w:t>
            </w:r>
            <w:r>
              <w:rPr/>
              <w:t>12,149</w:t>
            </w:r>
          </w:p>
        </w:tc>
        <w:tc>
          <w:tcPr>
            <w:tcW w:w="60" w:type="dxa"/>
            <w:tcBorders>
              <w:bottom w:val="single" w:sz="8" w:space="0" w:color="001C71"/>
            </w:tcBorders>
            <w:shd w:fill="auto" w:val="clear"/>
            <w:tcMar>
              <w:bottom w:w="80" w:type="dxa"/>
            </w:tcMar>
            <w:vAlign w:val="bottom"/>
          </w:tcPr>
          <w:p>
            <w:pPr>
              <w:pStyle w:val="TableContents"/>
              <w:spacing w:before="0" w:after="283"/>
              <w:rPr/>
            </w:pPr>
            <w:r>
              <w:rPr/>
              <w:t> </w:t>
            </w:r>
          </w:p>
        </w:tc>
        <w:tc>
          <w:tcPr>
            <w:tcW w:w="452" w:type="dxa"/>
            <w:tcBorders>
              <w:bottom w:val="single" w:sz="8" w:space="0" w:color="001C71"/>
            </w:tcBorders>
            <w:shd w:fill="auto" w:val="clear"/>
            <w:tcMar>
              <w:bottom w:w="28" w:type="dxa"/>
            </w:tcMar>
            <w:vAlign w:val="bottom"/>
          </w:tcPr>
          <w:p>
            <w:pPr>
              <w:pStyle w:val="TableContents"/>
              <w:spacing w:before="0" w:after="283"/>
              <w:rPr/>
            </w:pPr>
            <w:r>
              <w:rPr/>
              <w:t>    </w:t>
            </w:r>
          </w:p>
        </w:tc>
        <w:tc>
          <w:tcPr>
            <w:tcW w:w="152" w:type="dxa"/>
            <w:tcBorders>
              <w:bottom w:val="single" w:sz="8" w:space="0" w:color="001C71"/>
            </w:tcBorders>
            <w:shd w:fill="auto" w:val="clear"/>
            <w:tcMar>
              <w:bottom w:w="80" w:type="dxa"/>
            </w:tcMar>
            <w:vAlign w:val="bottom"/>
          </w:tcPr>
          <w:p>
            <w:pPr>
              <w:pStyle w:val="TableContents"/>
              <w:spacing w:before="0" w:after="283"/>
              <w:rPr/>
            </w:pPr>
            <w:r>
              <w:rPr/>
              <w:t> </w:t>
            </w:r>
          </w:p>
        </w:tc>
        <w:tc>
          <w:tcPr>
            <w:tcW w:w="974" w:type="dxa"/>
            <w:tcBorders>
              <w:bottom w:val="single" w:sz="8" w:space="0" w:color="001C71"/>
            </w:tcBorders>
            <w:shd w:fill="auto" w:val="clear"/>
            <w:tcMar>
              <w:bottom w:w="80" w:type="dxa"/>
            </w:tcMar>
            <w:vAlign w:val="bottom"/>
          </w:tcPr>
          <w:p>
            <w:pPr>
              <w:pStyle w:val="TableContents"/>
              <w:spacing w:before="0" w:after="283"/>
              <w:jc w:val="right"/>
              <w:rPr/>
            </w:pPr>
            <w:r>
              <w:rPr/>
              <w:t>100%</w:t>
            </w:r>
          </w:p>
        </w:tc>
        <w:tc>
          <w:tcPr>
            <w:tcW w:w="60" w:type="dxa"/>
            <w:tcBorders>
              <w:bottom w:val="single" w:sz="8" w:space="0" w:color="001C71"/>
            </w:tcBorders>
            <w:shd w:fill="auto" w:val="clear"/>
            <w:tcMar>
              <w:bottom w:w="80" w:type="dxa"/>
            </w:tcMar>
            <w:vAlign w:val="bottom"/>
          </w:tcPr>
          <w:p>
            <w:pPr>
              <w:pStyle w:val="TableContents"/>
              <w:spacing w:before="0" w:after="283"/>
              <w:rPr>
                <w:sz w:val="4"/>
                <w:szCs w:val="4"/>
              </w:rPr>
            </w:pPr>
            <w:r>
              <w:rPr>
                <w:sz w:val="4"/>
                <w:szCs w:val="4"/>
              </w:rPr>
            </w:r>
          </w:p>
        </w:tc>
        <w:tc>
          <w:tcPr>
            <w:tcW w:w="505"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80" w:type="dxa"/>
            </w:tcMar>
            <w:vAlign w:val="bottom"/>
          </w:tcPr>
          <w:p>
            <w:pPr>
              <w:pStyle w:val="TableContents"/>
              <w:spacing w:before="0" w:after="283"/>
              <w:rPr/>
            </w:pPr>
            <w:r>
              <w:rPr/>
              <w:t>$</w:t>
            </w:r>
          </w:p>
        </w:tc>
        <w:tc>
          <w:tcPr>
            <w:tcW w:w="697" w:type="dxa"/>
            <w:tcBorders>
              <w:bottom w:val="single" w:sz="8" w:space="0" w:color="001C71"/>
            </w:tcBorders>
            <w:shd w:fill="auto" w:val="clear"/>
            <w:tcMar>
              <w:bottom w:w="80" w:type="dxa"/>
            </w:tcMar>
            <w:vAlign w:val="bottom"/>
          </w:tcPr>
          <w:p>
            <w:pPr>
              <w:pStyle w:val="TableContents"/>
              <w:spacing w:before="0" w:after="283"/>
              <w:jc w:val="right"/>
              <w:rPr/>
            </w:pPr>
            <w:r>
              <w:rPr/>
              <w:t>12,582</w:t>
            </w:r>
          </w:p>
        </w:tc>
        <w:tc>
          <w:tcPr>
            <w:tcW w:w="60" w:type="dxa"/>
            <w:tcBorders>
              <w:bottom w:val="single" w:sz="8" w:space="0" w:color="001C71"/>
            </w:tcBorders>
            <w:shd w:fill="auto" w:val="clear"/>
            <w:tcMar>
              <w:bottom w:w="80" w:type="dxa"/>
            </w:tcMar>
            <w:vAlign w:val="bottom"/>
          </w:tcPr>
          <w:p>
            <w:pPr>
              <w:pStyle w:val="TableContents"/>
              <w:spacing w:before="0" w:after="283"/>
              <w:rPr/>
            </w:pPr>
            <w:r>
              <w:rPr/>
              <w:t> </w:t>
            </w:r>
          </w:p>
        </w:tc>
        <w:tc>
          <w:tcPr>
            <w:tcW w:w="400" w:type="dxa"/>
            <w:tcBorders>
              <w:bottom w:val="single" w:sz="8" w:space="0" w:color="001C71"/>
            </w:tcBorders>
            <w:shd w:fill="auto" w:val="clear"/>
            <w:tcMar>
              <w:bottom w:w="28" w:type="dxa"/>
            </w:tcMar>
            <w:vAlign w:val="bottom"/>
          </w:tcPr>
          <w:p>
            <w:pPr>
              <w:pStyle w:val="TableContents"/>
              <w:spacing w:before="0" w:after="283"/>
              <w:rPr/>
            </w:pPr>
            <w:r>
              <w:rPr/>
              <w:t>    </w:t>
            </w:r>
          </w:p>
        </w:tc>
        <w:tc>
          <w:tcPr>
            <w:tcW w:w="152" w:type="dxa"/>
            <w:tcBorders>
              <w:bottom w:val="single" w:sz="8" w:space="0" w:color="001C71"/>
            </w:tcBorders>
            <w:shd w:fill="auto" w:val="clear"/>
            <w:tcMar>
              <w:bottom w:w="80" w:type="dxa"/>
            </w:tcMar>
            <w:vAlign w:val="bottom"/>
          </w:tcPr>
          <w:p>
            <w:pPr>
              <w:pStyle w:val="TableContents"/>
              <w:spacing w:before="0" w:after="283"/>
              <w:rPr/>
            </w:pPr>
            <w:r>
              <w:rPr/>
              <w:t> </w:t>
            </w:r>
          </w:p>
        </w:tc>
        <w:tc>
          <w:tcPr>
            <w:tcW w:w="974" w:type="dxa"/>
            <w:tcBorders>
              <w:bottom w:val="single" w:sz="8" w:space="0" w:color="001C71"/>
            </w:tcBorders>
            <w:shd w:fill="auto" w:val="clear"/>
            <w:tcMar>
              <w:bottom w:w="80" w:type="dxa"/>
            </w:tcMar>
            <w:vAlign w:val="bottom"/>
          </w:tcPr>
          <w:p>
            <w:pPr>
              <w:pStyle w:val="TableContents"/>
              <w:spacing w:before="0" w:after="283"/>
              <w:jc w:val="right"/>
              <w:rPr/>
            </w:pPr>
            <w:r>
              <w:rPr/>
              <w:t>100%</w:t>
            </w:r>
          </w:p>
        </w:tc>
        <w:tc>
          <w:tcPr>
            <w:tcW w:w="105" w:type="dxa"/>
            <w:tcBorders>
              <w:bottom w:val="single" w:sz="8" w:space="0" w:color="001C71"/>
            </w:tcBorders>
            <w:shd w:fill="auto" w:val="clear"/>
            <w:tcMar>
              <w:bottom w:w="8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Other audit-related services primarily relate to statutory audits, agreed upon procedures and permitted internal control advisory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Tax fees relate to tax consulting and compliance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(C)</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All other fees relate to training and conferences. </w:t>
            </w:r>
          </w:p>
        </w:tc>
      </w:tr>
    </w:tbl>
    <w:p>
      <w:pPr>
        <w:pStyle w:val="TextBody"/>
        <w:spacing w:before="240" w:after="0"/>
        <w:jc w:val="left"/>
        <w:rPr>
          <w:rFonts w:ascii="arial" w:hAnsi="arial"/>
          <w:sz w:val="16"/>
        </w:rPr>
      </w:pPr>
      <w:r>
        <w:rPr>
          <w:rFonts w:ascii="arial" w:hAnsi="arial"/>
          <w:sz w:val="16"/>
        </w:rPr>
        <w:t xml:space="preserve">The Audit Committee is directly responsible for the appointment, compensation, retention and oversight, including the oversight of the audit fee negotiations, of our independent registered public accounting firm. Except where pre-approval is not required by SEC rules, the committee pre-approves all audit, audit-related and permissible non-audit services provided by Deloitte &amp; Touche LLP for Sempra Energy and its subsidiaries, including all services provided by Deloitte &amp; Touche LLP for Sempra Energy for 2020 and 2019. The committees pre-approval policies and procedures provide for the general pre-approval of specific types of services and give detailed guidance to management as to the services that are eligible for general pre-approval, and they require specific pre-approval of all other permitted services. For both types of pre-approval, the committee considers whether the services to be provided are consistent with maintaining the firms independence. The committees policies and procedures also delegate authority to the chair of the committee to address any requests for pre-approval of services between committee meetings, with any pre-approval decisions to be reported to the committee at its next scheduled meeting. </w:t>
      </w:r>
    </w:p>
    <w:p>
      <w:pPr>
        <w:pStyle w:val="TextBody"/>
        <w:spacing w:before="160" w:after="0"/>
        <w:jc w:val="left"/>
        <w:rPr>
          <w:rFonts w:ascii="arial" w:hAnsi="arial"/>
          <w:sz w:val="16"/>
        </w:rPr>
      </w:pPr>
      <w:r>
        <w:rPr>
          <w:rFonts w:ascii="arial" w:hAnsi="arial"/>
          <w:sz w:val="16"/>
        </w:rPr>
        <w:t xml:space="preserve">The Audit Committee regularly meets in executive session with only committee members present and with Deloitte &amp; Touche LLPs lead engagement partner without members of management present. This provides an opportunity for the Audit Committee to assess Deloitte &amp; Touche LLPs effectiveness and independence for determining reappointment as well as consideration of rotating audit firms. The Audit Committee considers various factors in determining whether to reappoint Deloitte &amp; Touche LLP, including: the firms level and quality of service and professional integrity and objectivity in executing audits; professional qualifications; understanding of our businesses and industry and capability and expertise in handling the breadth and complexity of our businesses; independence policies and processes for maintaining independence; and external data such as peer reviews and recent Public Company Accounting Oversight Board reports on the firm. The Audit Committee also considers the firms tenure in serving as our independent registered public accounting firm. While the Public Company Accounting Oversight Board has acknowledged that there is no conclusive linkage between tenure and audit quality, auditor tenure may be one data point. Deloitte &amp; Touche LLPs tenure as our independent public accounting firm has allowed it to gain institutional knowledge and a deep understanding of our businesses, accounting policies, and internal control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33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over financial reporting, which the Audit Committee considers beneficial. In addition, in conjunction with mandated five-year rotation of the audit firms lead engagement partner, which most recently occurred in 2019, the Audit Committee and its Chair are directly involved in the selection of the new lead engagement partner. </w:t>
      </w:r>
    </w:p>
    <w:p>
      <w:pPr>
        <w:pStyle w:val="TextBody"/>
        <w:spacing w:before="280" w:after="0"/>
        <w:jc w:val="left"/>
        <w:rPr>
          <w:rFonts w:ascii="arial" w:hAnsi="arial"/>
          <w:b/>
          <w:color w:val="001C71"/>
          <w:sz w:val="24"/>
        </w:rPr>
      </w:pPr>
      <w:r>
        <w:rPr>
          <w:rFonts w:ascii="arial" w:hAnsi="arial"/>
          <w:b/>
          <w:color w:val="001C71"/>
          <w:sz w:val="24"/>
        </w:rPr>
        <w:t xml:space="preserve">Proposal to be Voted On, Board Recommendation and Vote Required </w:t>
      </w:r>
    </w:p>
    <w:p>
      <w:pPr>
        <w:pStyle w:val="TextBody"/>
        <w:spacing w:before="120" w:after="0"/>
        <w:jc w:val="left"/>
        <w:rPr>
          <w:rFonts w:ascii="arial" w:hAnsi="arial"/>
          <w:sz w:val="16"/>
        </w:rPr>
      </w:pPr>
      <w:r>
        <w:rPr>
          <w:rFonts w:ascii="arial" w:hAnsi="arial"/>
          <w:sz w:val="16"/>
        </w:rPr>
        <w:t xml:space="preserve">We are asking our shareholders to ratify the appointment of Deloitte &amp; Touche LLP as our independent registered public accounting firm for 2021. Ratification would be advisory only, but the Audit Committee may reconsider the appointment if it were not ratified. The members of the Audit Committee and the Board of Directors believe the continued retention of Deloitte &amp; Touche LLP as our independent registered public accounting firm is in the best interests of the company and our shareholders. Ratification requires the receipt of FOR votes constituting a majority of the shares represented and voting at the Annual Shareholders Meeting at which a quorum is present, and the approving majority also must represent more than 25% of our outstanding shares. </w:t>
      </w:r>
    </w:p>
    <w:p>
      <w:pPr>
        <w:pStyle w:val="TextBody"/>
        <w:spacing w:before="0" w:after="0"/>
        <w:jc w:val="left"/>
        <w:rPr/>
      </w:pPr>
      <w:r>
        <w:rPr/>
        <w:t> </w:t>
      </w:r>
    </w:p>
    <w:p>
      <w:pPr>
        <w:pStyle w:val="TextBody"/>
        <w:pBdr/>
        <w:spacing w:before="0" w:after="160"/>
        <w:jc w:val="left"/>
        <w:rPr>
          <w:rFonts w:ascii="arial" w:hAnsi="arial"/>
          <w:color w:val="001C71"/>
          <w:sz w:val="24"/>
          <w:highlight w:val="white"/>
        </w:rPr>
      </w:pPr>
      <w:r>
        <w:rPr>
          <w:rFonts w:ascii="arial" w:hAnsi="arial"/>
          <w:color w:val="001C71"/>
          <w:sz w:val="24"/>
          <w:highlight w:val="white"/>
        </w:rPr>
        <w:t xml:space="preserve">The Board of Directors recommends that you vote FOR Proposal 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34</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sz w:val="28"/>
        </w:rPr>
      </w:pPr>
      <w:bookmarkStart w:id="16" w:name="toc108157_14"/>
      <w:bookmarkEnd w:id="16"/>
      <w:r>
        <w:rPr>
          <w:rFonts w:ascii="arial" w:hAnsi="arial"/>
          <w:sz w:val="28"/>
        </w:rPr>
        <w:t xml:space="preserve">Proposal 3: Advisory Approval of Our Executive Compensation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Pursuant to Section 14A of the Exchange Act, we are asking our shareholders to approve an advisory resolution on the compensation of the named executive officers as reported in this proxy statement. This proposal, commonly known as a say-on-pay proposal, gives our shareholders the opportunity to express their views on our 2020 executive compensation program. We currently provide our shareholders the opportunity to vote on a say-on-pay proposal every year, and as a result, the next vote on a say-on-pay proposal following the Annual Shareholders Meeting will occur at our 2022 annual shareholders meeting. </w:t>
      </w:r>
    </w:p>
    <w:p>
      <w:pPr>
        <w:pStyle w:val="TextBody"/>
        <w:spacing w:before="280" w:after="0"/>
        <w:jc w:val="left"/>
        <w:rPr>
          <w:rFonts w:ascii="arial" w:hAnsi="arial"/>
          <w:b/>
          <w:color w:val="001C71"/>
          <w:sz w:val="24"/>
        </w:rPr>
      </w:pPr>
      <w:r>
        <w:rPr>
          <w:rFonts w:ascii="arial" w:hAnsi="arial"/>
          <w:b/>
          <w:color w:val="001C71"/>
          <w:sz w:val="24"/>
        </w:rPr>
        <w:t xml:space="preserve">Proposal to be Voted on, Board Recommendation and Vote Required </w:t>
      </w:r>
    </w:p>
    <w:p>
      <w:pPr>
        <w:pStyle w:val="TextBody"/>
        <w:spacing w:before="120" w:after="0"/>
        <w:jc w:val="left"/>
        <w:rPr>
          <w:rFonts w:ascii="arial" w:hAnsi="arial"/>
          <w:sz w:val="16"/>
        </w:rPr>
      </w:pPr>
      <w:r>
        <w:rPr>
          <w:rFonts w:ascii="arial" w:hAnsi="arial"/>
          <w:sz w:val="16"/>
        </w:rPr>
        <w:t xml:space="preserve">We are asking our shareholders to indicate their support for the compensation of our named executive officers as described in this proxy statement by voting in favor of the following resolution: </w:t>
      </w:r>
    </w:p>
    <w:p>
      <w:pPr>
        <w:pStyle w:val="TextBody"/>
        <w:spacing w:before="120" w:after="0"/>
        <w:jc w:val="left"/>
        <w:rPr>
          <w:rFonts w:ascii="arial" w:hAnsi="arial"/>
          <w:sz w:val="16"/>
        </w:rPr>
      </w:pPr>
      <w:r>
        <w:rPr>
          <w:rFonts w:ascii="arial" w:hAnsi="arial"/>
          <w:sz w:val="16"/>
        </w:rPr>
        <w:t xml:space="preserve">RESOLVED, that, as an advisory matter, the shareholders of Sempra Energy approve the compensation paid to the companys named executive officers as disclosed in this proxy statement pursuant to Item 402 of Regulation S-K promulgated by the SEC, including the Compensation Discussion and Analysis, compensation tables and narrative discussion. </w:t>
      </w:r>
    </w:p>
    <w:p>
      <w:pPr>
        <w:pStyle w:val="TextBody"/>
        <w:spacing w:before="120" w:after="0"/>
        <w:jc w:val="left"/>
        <w:rPr>
          <w:rFonts w:ascii="arial" w:hAnsi="arial"/>
          <w:sz w:val="16"/>
        </w:rPr>
      </w:pPr>
      <w:r>
        <w:rPr>
          <w:rFonts w:ascii="arial" w:hAnsi="arial"/>
          <w:sz w:val="16"/>
        </w:rPr>
        <w:t xml:space="preserve">Approval requires the receipt of FOR votes constituting a majority of the shares represented and voting at the Annual Shareholders Meeting at which a quorum is present, and the approving majority also must represent more than 25% of our outstanding shares. </w:t>
      </w:r>
    </w:p>
    <w:p>
      <w:pPr>
        <w:pStyle w:val="TextBody"/>
        <w:spacing w:before="120" w:after="0"/>
        <w:jc w:val="left"/>
        <w:rPr>
          <w:rFonts w:ascii="arial" w:hAnsi="arial"/>
          <w:sz w:val="16"/>
        </w:rPr>
      </w:pPr>
      <w:r>
        <w:rPr>
          <w:rFonts w:ascii="arial" w:hAnsi="arial"/>
          <w:sz w:val="16"/>
        </w:rPr>
        <w:t xml:space="preserve">Even though the say-on-pay vote is advisory and will not be binding on the company, the Compensation and Talent Development Committee and the Board of Directors value the opinions of our shareholders. Accordingly, to the extent there is a significant vote against the compensation of our named executive officers, we will consider our shareholders concerns, and the Compensation and Talent Development Committee will evaluate what actions may be necessary or appropriate to address those concerns. </w:t>
      </w:r>
    </w:p>
    <w:p>
      <w:pPr>
        <w:pStyle w:val="TextBody"/>
        <w:spacing w:before="0" w:after="0"/>
        <w:jc w:val="left"/>
        <w:rPr/>
      </w:pPr>
      <w:r>
        <w:rPr/>
        <w:t> </w:t>
      </w:r>
    </w:p>
    <w:p>
      <w:pPr>
        <w:pStyle w:val="TextBody"/>
        <w:pBdr/>
        <w:spacing w:before="0" w:after="160"/>
        <w:jc w:val="left"/>
        <w:rPr>
          <w:rFonts w:ascii="arial" w:hAnsi="arial"/>
          <w:color w:val="001C71"/>
          <w:sz w:val="24"/>
          <w:highlight w:val="white"/>
        </w:rPr>
      </w:pPr>
      <w:r>
        <w:rPr>
          <w:rFonts w:ascii="arial" w:hAnsi="arial"/>
          <w:color w:val="001C71"/>
          <w:sz w:val="24"/>
          <w:highlight w:val="white"/>
        </w:rPr>
        <w:t xml:space="preserve">The Board of Directors recommends that you vote FOR Proposal 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35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b/>
          <w:sz w:val="35"/>
        </w:rPr>
      </w:pPr>
      <w:bookmarkStart w:id="17" w:name="toc108157_15"/>
      <w:bookmarkEnd w:id="17"/>
      <w:r>
        <w:rPr>
          <w:rFonts w:ascii="arial" w:hAnsi="arial"/>
          <w:b/>
          <w:sz w:val="35"/>
        </w:rPr>
        <w:t xml:space="preserve">Shareholder Proposals </w:t>
      </w:r>
    </w:p>
    <w:p>
      <w:pPr>
        <w:pStyle w:val="TextBody"/>
        <w:spacing w:before="360" w:after="0"/>
        <w:jc w:val="left"/>
        <w:rPr>
          <w:rFonts w:ascii="arial" w:hAnsi="arial"/>
          <w:sz w:val="16"/>
        </w:rPr>
      </w:pPr>
      <w:r>
        <w:rPr>
          <w:rFonts w:ascii="arial" w:hAnsi="arial"/>
          <w:sz w:val="16"/>
        </w:rPr>
        <w:t xml:space="preserve">Proposals 4 and 5 were submitted for inclusion in this proxy statement at the direction of shareholders of the company and will be submitted to a vote at the Annual Shareholders Meeting if properly presented at the meeting. The board recommends that you vote AGAINST Proposal 4 and AGAINST Proposal 5. In accordance with SEC rules, the proposals and their supporting statements are being reprinted as they were submitted to Sempra Energy by the applicable proponent and Sempra Energy takes no responsibility for them. As a result, the proposals and their supporting statements may contain assertions about the company or other statements or references to websites that contain information that we do not endorse or that we believe are incorrect. Although the board has not attempted to refute all of these assertions, the board has considered the proposals and their supporting statements and has made voting recommendations based on the specific reasons described in the boards statements opposing the proposals set forth below. We have put boxes around the materials provided by the proponents so that readers can easily distinguish between material provided by the proponents and material provided by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733"/>
        <w:gridCol w:w="8472"/>
      </w:tblGrid>
      <w:tr>
        <w:trPr/>
        <w:tc>
          <w:tcPr>
            <w:tcW w:w="1733" w:type="dxa"/>
            <w:tcBorders/>
            <w:shd w:fill="auto" w:val="clear"/>
          </w:tcPr>
          <w:p>
            <w:pPr>
              <w:pStyle w:val="TableContents"/>
              <w:spacing w:before="0" w:after="283"/>
              <w:jc w:val="left"/>
              <w:rPr>
                <w:b/>
              </w:rPr>
            </w:pPr>
            <w:bookmarkStart w:id="18" w:name="toc108157_16"/>
            <w:bookmarkEnd w:id="18"/>
            <w:r>
              <w:rPr>
                <w:b/>
              </w:rPr>
              <w:t>Proposal 4:</w:t>
            </w:r>
          </w:p>
        </w:tc>
        <w:tc>
          <w:tcPr>
            <w:tcW w:w="8472" w:type="dxa"/>
            <w:tcBorders/>
            <w:shd w:fill="auto" w:val="clear"/>
          </w:tcPr>
          <w:p>
            <w:pPr>
              <w:pStyle w:val="TableContents"/>
              <w:spacing w:before="0" w:after="0"/>
              <w:jc w:val="left"/>
              <w:rPr>
                <w:rFonts w:ascii="arial" w:hAnsi="arial"/>
                <w:b/>
                <w:sz w:val="28"/>
              </w:rPr>
            </w:pPr>
            <w:r>
              <w:rPr>
                <w:rFonts w:ascii="arial" w:hAnsi="arial"/>
                <w:b/>
                <w:sz w:val="28"/>
              </w:rPr>
              <w:t xml:space="preserve">Shareholder Proposal Requesting an Amendment to Our Proxy Access Bylaw to Eliminate the Shareholder Nominating Group Limit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Proposal 4 was submitted by Mr. John Chevedden, who has advised us that he or a representative intends to introduce the proposal included below at the Annual Shareholders Meeting. Sempra Energy has been advised that Mr. Chevedden is the owner of no fewer than 100 shares of Sempra Energy common stock. The company will furnish the address of Mr. Chevedden promptly upon a shareholders oral or written request. </w:t>
      </w:r>
    </w:p>
    <w:p>
      <w:pPr>
        <w:pStyle w:val="TextBody"/>
        <w:spacing w:before="280" w:after="0"/>
        <w:jc w:val="left"/>
        <w:rPr>
          <w:rFonts w:ascii="arial" w:hAnsi="arial"/>
          <w:b/>
          <w:color w:val="001C71"/>
          <w:sz w:val="24"/>
        </w:rPr>
      </w:pPr>
      <w:r>
        <w:rPr>
          <w:rFonts w:ascii="arial" w:hAnsi="arial"/>
          <w:b/>
          <w:color w:val="001C71"/>
          <w:sz w:val="24"/>
        </w:rPr>
        <w:t xml:space="preserve">The Proposal </w:t>
      </w:r>
    </w:p>
    <w:p>
      <w:pPr>
        <w:pStyle w:val="TextBody"/>
        <w:spacing w:before="0" w:after="0"/>
        <w:jc w:val="left"/>
        <w:rPr/>
      </w:pPr>
      <w:r>
        <w:rPr/>
        <w:t> </w:t>
      </w:r>
    </w:p>
    <w:p>
      <w:pPr>
        <w:pStyle w:val="TextBody"/>
        <w:pBdr/>
        <w:spacing w:before="0" w:after="0"/>
        <w:jc w:val="left"/>
        <w:rPr>
          <w:rFonts w:ascii="arial" w:hAnsi="arial"/>
          <w:b/>
          <w:sz w:val="20"/>
          <w:bdr w:val="single" w:sz="8" w:space="2" w:color="000000"/>
        </w:rPr>
      </w:pPr>
      <w:r>
        <w:rPr>
          <w:rFonts w:ascii="arial" w:hAnsi="arial"/>
          <w:b/>
          <w:sz w:val="20"/>
          <w:bdr w:val="single" w:sz="8" w:space="2" w:color="000000"/>
        </w:rPr>
        <w:t xml:space="preserve">Proposal 4  Improve Our Catch-22 Proxy Access </w:t>
      </w:r>
    </w:p>
    <w:p>
      <w:pPr>
        <w:pStyle w:val="TextBody"/>
        <w:spacing w:before="120" w:after="0"/>
        <w:jc w:val="left"/>
        <w:rPr>
          <w:rFonts w:ascii="arial" w:hAnsi="arial"/>
          <w:sz w:val="16"/>
          <w:bdr w:val="single" w:sz="8" w:space="2" w:color="000000"/>
        </w:rPr>
      </w:pPr>
      <w:r>
        <w:rPr>
          <w:rFonts w:ascii="arial" w:hAnsi="arial"/>
          <w:sz w:val="16"/>
          <w:bdr w:val="single" w:sz="8" w:space="2" w:color="000000"/>
        </w:rPr>
        <w:t xml:space="preserve">Shareholders request that our board of directors take the steps necessary to enable as many shareholders as may be needed to aggregate their shares to equal 3% of our stock owned continuously for 3-years in order to enable shareholder proxy access. </w:t>
      </w:r>
    </w:p>
    <w:p>
      <w:pPr>
        <w:pStyle w:val="TextBody"/>
        <w:spacing w:before="160" w:after="0"/>
        <w:jc w:val="left"/>
        <w:rPr>
          <w:rFonts w:ascii="arial" w:hAnsi="arial"/>
          <w:sz w:val="16"/>
          <w:bdr w:val="single" w:sz="8" w:space="2" w:color="000000"/>
        </w:rPr>
      </w:pPr>
      <w:r>
        <w:rPr>
          <w:rFonts w:ascii="arial" w:hAnsi="arial"/>
          <w:sz w:val="16"/>
          <w:bdr w:val="single" w:sz="8" w:space="2" w:color="000000"/>
        </w:rPr>
        <w:t xml:space="preserve">The current arbitrary ration of 20 shareholders to initiate shareholder proxy access can be called Catch-22 Proxy Access. In order to assemble a group of 20 shareholders, who have owned 3% of Sempra stock for an unbroken 3-years, one would reasonably need to start with 60 activist shareholders who own 9% of Sempra stock for an unbroken 3-years because initiating proxy access is a complicated process that is easily susceptible to errors. It is a daunting process that is also highly susceptible to dropouts. </w:t>
      </w:r>
    </w:p>
    <w:p>
      <w:pPr>
        <w:pStyle w:val="TextBody"/>
        <w:spacing w:before="160" w:after="0"/>
        <w:jc w:val="left"/>
        <w:rPr>
          <w:rFonts w:ascii="arial" w:hAnsi="arial"/>
          <w:sz w:val="16"/>
          <w:bdr w:val="single" w:sz="8" w:space="2" w:color="000000"/>
        </w:rPr>
      </w:pPr>
      <w:r>
        <w:rPr>
          <w:rFonts w:ascii="arial" w:hAnsi="arial"/>
          <w:sz w:val="16"/>
          <w:bdr w:val="single" w:sz="8" w:space="2" w:color="000000"/>
        </w:rPr>
        <w:t xml:space="preserve">The 60 activist shareholders could then be whittled down to 40 shareholders because some shareholders would be unable to timely meet all the paper chase requirements. After the 40 shareholders submit their paperwork to managementthen management might arbitrarily claim that 10 shareholders do not meet the requirements figuring that shareholders do not want a battle in court and management might convince another 10 shareholders to drop outleaving 20 shareholders. But the current bylaws do not allow 40 shareholders to submit their paperwork to management to end up with 20 qualified shareholders. </w:t>
      </w:r>
    </w:p>
    <w:p>
      <w:pPr>
        <w:pStyle w:val="TextBody"/>
        <w:spacing w:before="160" w:after="0"/>
        <w:jc w:val="left"/>
        <w:rPr>
          <w:rFonts w:ascii="arial" w:hAnsi="arial"/>
          <w:sz w:val="16"/>
          <w:bdr w:val="single" w:sz="8" w:space="2" w:color="000000"/>
        </w:rPr>
      </w:pPr>
      <w:r>
        <w:rPr>
          <w:rFonts w:ascii="arial" w:hAnsi="arial"/>
          <w:sz w:val="16"/>
          <w:bdr w:val="single" w:sz="8" w:space="2" w:color="000000"/>
        </w:rPr>
        <w:t xml:space="preserve">And 60 shareholders who own 9% of company for an unbroken 3-years might determine that they own 51% of company stock when length of unbroken stock ownership is factored out. </w:t>
      </w:r>
    </w:p>
    <w:p>
      <w:pPr>
        <w:pStyle w:val="TextBody"/>
        <w:spacing w:before="160" w:after="0"/>
        <w:jc w:val="left"/>
        <w:rPr>
          <w:rFonts w:ascii="arial" w:hAnsi="arial"/>
          <w:sz w:val="16"/>
          <w:bdr w:val="single" w:sz="8" w:space="2" w:color="000000"/>
        </w:rPr>
      </w:pPr>
      <w:r>
        <w:rPr>
          <w:rFonts w:ascii="arial" w:hAnsi="arial"/>
          <w:sz w:val="16"/>
          <w:bdr w:val="single" w:sz="8" w:space="2" w:color="000000"/>
        </w:rPr>
        <w:t xml:space="preserve">But how does one begin to assemble a group of 60 potential participants if potential participants cannot even be guaranteed participant status after following the tedious rules that can easily be 1500-words of legalesebecause a single shareholder always takes the risk that one will be the 21st shareholder that could be voted off the island after a substantial investment of time by the arbitrary ration of 20     shareholders. </w:t>
      </w:r>
    </w:p>
    <w:p>
      <w:pPr>
        <w:pStyle w:val="TextBody"/>
        <w:spacing w:before="160" w:after="0"/>
        <w:jc w:val="left"/>
        <w:rPr>
          <w:rFonts w:ascii="arial" w:hAnsi="arial"/>
          <w:sz w:val="16"/>
          <w:bdr w:val="single" w:sz="8" w:space="2" w:color="000000"/>
        </w:rPr>
      </w:pPr>
      <w:r>
        <w:rPr>
          <w:rFonts w:ascii="arial" w:hAnsi="arial"/>
          <w:sz w:val="16"/>
          <w:bdr w:val="single" w:sz="8" w:space="2" w:color="000000"/>
        </w:rPr>
        <w:t xml:space="preserve">The current arbitrary ration of 20 shareholders to initiate shareholder proxy access means that shareholders of the same class of stock are treated unequally. This could violate state law. At least one court concluded that a company cannot provide different voting rights for the owners of the same class of stock. </w:t>
      </w:r>
    </w:p>
    <w:p>
      <w:pPr>
        <w:pStyle w:val="TextBody"/>
        <w:spacing w:before="160" w:after="0"/>
        <w:jc w:val="left"/>
        <w:rPr>
          <w:rFonts w:ascii="arial" w:hAnsi="arial"/>
          <w:sz w:val="16"/>
          <w:bdr w:val="single" w:sz="8" w:space="2" w:color="000000"/>
        </w:rPr>
      </w:pPr>
      <w:r>
        <w:rPr>
          <w:rFonts w:ascii="arial" w:hAnsi="arial"/>
          <w:sz w:val="16"/>
          <w:bdr w:val="single" w:sz="8" w:space="2" w:color="000000"/>
        </w:rPr>
        <w:t xml:space="preserve">Shareholders could determine that the poorest performing director is in need of replacement. For instance Cynthia Warner joined the Sempra board in 2019 and was rejected by 30% of shares in 2020 compared to less than 1% rejection in regard to some other Sempra directors. </w:t>
      </w:r>
    </w:p>
    <w:p>
      <w:pPr>
        <w:pStyle w:val="TextBody"/>
        <w:spacing w:before="160" w:after="0"/>
        <w:jc w:val="left"/>
        <w:rPr>
          <w:rFonts w:ascii="arial" w:hAnsi="arial"/>
          <w:sz w:val="16"/>
          <w:bdr w:val="single" w:sz="8" w:space="2" w:color="000000"/>
        </w:rPr>
      </w:pPr>
      <w:r>
        <w:rPr>
          <w:rFonts w:ascii="arial" w:hAnsi="arial"/>
          <w:sz w:val="16"/>
          <w:bdr w:val="single" w:sz="8" w:space="2" w:color="000000"/>
        </w:rPr>
        <w:t xml:space="preserve">More emphasis should be given to improving proxy access because we do not have the right to act by written consent and the shareholder right to call a special meeting has taken a big hit due to the avalanche of online shareholder meetings that can be tightly controlled bare bones meetings where all challenging questions and comments can be screened out by management. </w:t>
      </w:r>
    </w:p>
    <w:p>
      <w:pPr>
        <w:pStyle w:val="TextBody"/>
        <w:spacing w:before="160" w:after="0"/>
        <w:jc w:val="center"/>
        <w:rPr>
          <w:rFonts w:ascii="arial" w:hAnsi="arial"/>
          <w:b/>
          <w:sz w:val="24"/>
          <w:bdr w:val="single" w:sz="8" w:space="2" w:color="000000"/>
        </w:rPr>
      </w:pPr>
      <w:r>
        <w:rPr>
          <w:rFonts w:ascii="arial" w:hAnsi="arial"/>
          <w:b/>
          <w:sz w:val="24"/>
          <w:bdr w:val="single" w:sz="8" w:space="2" w:color="000000"/>
        </w:rPr>
        <w:t xml:space="preserve">Please vote yes: </w:t>
      </w:r>
    </w:p>
    <w:p>
      <w:pPr>
        <w:pStyle w:val="TextBody"/>
        <w:pBdr/>
        <w:spacing w:before="160" w:after="0"/>
        <w:jc w:val="center"/>
        <w:rPr>
          <w:rFonts w:ascii="arial" w:hAnsi="arial"/>
          <w:b/>
          <w:color w:val="001C71"/>
          <w:sz w:val="24"/>
          <w:bdr w:val="single" w:sz="8" w:space="2" w:color="000000"/>
        </w:rPr>
      </w:pPr>
      <w:r>
        <w:rPr>
          <w:rFonts w:ascii="arial" w:hAnsi="arial"/>
          <w:b/>
          <w:color w:val="001C71"/>
          <w:sz w:val="24"/>
          <w:bdr w:val="single" w:sz="8" w:space="2" w:color="000000"/>
        </w:rPr>
        <w:t xml:space="preserve">Improve Our Catch-22 Proxy AccessProposal 4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36</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b/>
          <w:color w:val="001C71"/>
          <w:sz w:val="24"/>
        </w:rPr>
      </w:pPr>
      <w:r>
        <w:rPr>
          <w:rFonts w:ascii="arial" w:hAnsi="arial"/>
          <w:b/>
          <w:color w:val="001C71"/>
          <w:sz w:val="24"/>
        </w:rPr>
        <w:t xml:space="preserve">Board of Directors Statement Opposing the Shareholder Proposal Requesting an Amendment to Our Proxy Access Bylaw to Eliminate the Shareholder Nominating Group Limit </w:t>
      </w:r>
    </w:p>
    <w:p>
      <w:pPr>
        <w:pStyle w:val="TextBody"/>
        <w:spacing w:before="120" w:after="0"/>
        <w:jc w:val="left"/>
        <w:rPr>
          <w:rFonts w:ascii="arial" w:hAnsi="arial"/>
          <w:sz w:val="16"/>
        </w:rPr>
      </w:pPr>
      <w:r>
        <w:rPr>
          <w:rFonts w:ascii="arial" w:hAnsi="arial"/>
          <w:sz w:val="16"/>
        </w:rPr>
        <w:t xml:space="preserve">The Board of Directors recommends a vote AGAINST this proposal because it believes our company and our shareholders are best served by our existing proxy access bylaw, which provides meaningful and appropriate proxy access rights that are aligned with current market practices and properly balance the need to protect the interests of all our shareholders. </w:t>
      </w:r>
    </w:p>
    <w:p>
      <w:pPr>
        <w:pStyle w:val="TextBody"/>
        <w:spacing w:before="280" w:after="0"/>
        <w:jc w:val="left"/>
        <w:rPr>
          <w:rFonts w:ascii="arial" w:hAnsi="arial"/>
          <w:b/>
          <w:sz w:val="20"/>
        </w:rPr>
      </w:pPr>
      <w:r>
        <w:rPr>
          <w:rFonts w:ascii="arial" w:hAnsi="arial"/>
          <w:b/>
          <w:sz w:val="20"/>
        </w:rPr>
        <w:t xml:space="preserve">Our Existing Proxy Access Bylaw </w:t>
      </w:r>
    </w:p>
    <w:p>
      <w:pPr>
        <w:pStyle w:val="TextBody"/>
        <w:spacing w:before="120" w:after="0"/>
        <w:jc w:val="left"/>
        <w:rPr>
          <w:rFonts w:ascii="arial" w:hAnsi="arial"/>
          <w:sz w:val="16"/>
        </w:rPr>
      </w:pPr>
      <w:r>
        <w:rPr>
          <w:rFonts w:ascii="arial" w:hAnsi="arial"/>
          <w:sz w:val="16"/>
        </w:rPr>
        <w:t xml:space="preserve">In December 2015, our board adopted proxy access for director nominations, which allows eligible shareholders to nominate directors and include those nominees in our proxy materials. As set forth in our bylaws, a group of up to 20 shareholders owning at least 3% of our outstanding common stock in the aggregate for at least three years may nominate and include in our proxy materials up to the greater of (i) 20% of the total number of directors in office at the deadline for nominations and (ii) two individuals, provided that the shareholder(s) and the nominee(s) satisfy the requirements specified in our bylaws. </w:t>
      </w:r>
    </w:p>
    <w:p>
      <w:pPr>
        <w:pStyle w:val="TextBody"/>
        <w:spacing w:before="280" w:after="0"/>
        <w:jc w:val="left"/>
        <w:rPr>
          <w:rFonts w:ascii="arial" w:hAnsi="arial"/>
          <w:b/>
          <w:sz w:val="20"/>
        </w:rPr>
      </w:pPr>
      <w:r>
        <w:rPr>
          <w:rFonts w:ascii="arial" w:hAnsi="arial"/>
          <w:b/>
          <w:sz w:val="20"/>
        </w:rPr>
        <w:t xml:space="preserve">Our Proxy Access Bylaws Limit on the Size of a Nominating Group Is In Line With Shareholder Feedback and Market Practice </w:t>
      </w:r>
    </w:p>
    <w:p>
      <w:pPr>
        <w:pStyle w:val="TextBody"/>
        <w:spacing w:before="120" w:after="0"/>
        <w:jc w:val="left"/>
        <w:rPr>
          <w:rFonts w:ascii="arial" w:hAnsi="arial"/>
          <w:sz w:val="16"/>
        </w:rPr>
      </w:pPr>
      <w:r>
        <w:rPr>
          <w:rFonts w:ascii="arial" w:hAnsi="arial"/>
          <w:sz w:val="16"/>
        </w:rPr>
        <w:t xml:space="preserve">In shaping our proxy access bylaw, our board evaluated various alternative proxy access formulations and engaged in extensive discussions with our major shareholders. Importantly, the 20-shareholder aggregation limit aligned with input we received from most of our shareholders and with best governance practices. Moreover, our shareholders have expressed continued support for the terms of our proxy access framework during our ongoing shareholder outreach since our proxy access bylaw was adopted. As a result, our board continues to believe the proxy access provisions set forth in our current bylaws reflect the preferences of our shareholders. </w:t>
      </w:r>
    </w:p>
    <w:p>
      <w:pPr>
        <w:pStyle w:val="TextBody"/>
        <w:spacing w:before="160" w:after="0"/>
        <w:jc w:val="left"/>
        <w:rPr>
          <w:rFonts w:ascii="arial" w:hAnsi="arial"/>
          <w:sz w:val="16"/>
        </w:rPr>
      </w:pPr>
      <w:r>
        <w:rPr>
          <w:rFonts w:ascii="arial" w:hAnsi="arial"/>
          <w:sz w:val="16"/>
        </w:rPr>
        <w:t xml:space="preserve">The terms of our proxy access rights are also consistent with overwhelming market practice. Specifically, a 20-shareholder aggregation limit has been widely adopted by companies that provide proxy access rights to their shareholders. According to a study published by Sidley Austin LLP, of the 565 public companies that adopted proxy access bylaws between 2015 and 2019, approximately 93% of them adopted an aggregation limit of 20 shareholders. </w:t>
      </w:r>
    </w:p>
    <w:p>
      <w:pPr>
        <w:pStyle w:val="TextBody"/>
        <w:spacing w:before="280" w:after="0"/>
        <w:jc w:val="left"/>
        <w:rPr>
          <w:rFonts w:ascii="arial" w:hAnsi="arial"/>
          <w:b/>
          <w:sz w:val="20"/>
        </w:rPr>
      </w:pPr>
      <w:r>
        <w:rPr>
          <w:rFonts w:ascii="arial" w:hAnsi="arial"/>
          <w:b/>
          <w:sz w:val="20"/>
        </w:rPr>
        <w:t xml:space="preserve">A Proxy Access Bylaw With No Nominating Group Limit Could Be Harmful to the Company and Its Shareholders </w:t>
      </w:r>
    </w:p>
    <w:p>
      <w:pPr>
        <w:pStyle w:val="TextBody"/>
        <w:spacing w:before="160" w:after="0"/>
        <w:jc w:val="left"/>
        <w:rPr>
          <w:rFonts w:ascii="arial" w:hAnsi="arial"/>
          <w:sz w:val="16"/>
        </w:rPr>
      </w:pPr>
      <w:r>
        <w:rPr>
          <w:rFonts w:ascii="arial" w:hAnsi="arial"/>
          <w:sz w:val="16"/>
        </w:rPr>
        <w:t xml:space="preserve">When a shareholder group submits a nominee under our proxy access bylaw, the company must verify that the eligibility and procedural requirements are satisfied by each member of the group. The absence of a reasonable limitation on the number of shareholders participating in a proxy access nomination group could require the company to make time-consuming inquiries into the nature and duration of the share ownership of a large number of shareholders, distracting our employees and creating excessive expense for the company. Moreover, the absence of a reasonable nominating group limit could allow for misuse of proxy access rights by shareholders with a narrow and short-term special interest. The shareholder aggregation limit in our proxy access bylaw strengthens the principle that we believe is shared by most of our shareholders  the right to nominate a director using the companys proxy statement should strike the balance of requiring at least one shareholder with a sufficient financial stake in the company to cause their interests to be aligned with the interests of our shareholders as a whole, while providing a reasonable opportunity for like-minded shareholders who may not have significant shareholdings to participate in the process. </w:t>
      </w:r>
    </w:p>
    <w:p>
      <w:pPr>
        <w:pStyle w:val="TextBody"/>
        <w:spacing w:before="240" w:after="0"/>
        <w:jc w:val="left"/>
        <w:rPr>
          <w:rFonts w:ascii="arial" w:hAnsi="arial"/>
          <w:sz w:val="16"/>
        </w:rPr>
      </w:pPr>
      <w:r>
        <w:rPr>
          <w:rFonts w:ascii="arial" w:hAnsi="arial"/>
          <w:sz w:val="16"/>
        </w:rPr>
        <w:t xml:space="preserve">For these reasons, the board believes, consistent with boards of directors of a substantial majority of public companies that have adopted proxy access, that its current proxy access framework strikes an appropriate balance between making proxy access available to shareholders and creating an undue burden and expense on the company to the detriment of its shareholders. </w:t>
      </w:r>
    </w:p>
    <w:p>
      <w:pPr>
        <w:pStyle w:val="TextBody"/>
        <w:spacing w:before="280" w:after="0"/>
        <w:jc w:val="left"/>
        <w:rPr>
          <w:rFonts w:ascii="arial" w:hAnsi="arial"/>
          <w:b/>
          <w:sz w:val="20"/>
        </w:rPr>
      </w:pPr>
      <w:r>
        <w:rPr>
          <w:rFonts w:ascii="arial" w:hAnsi="arial"/>
          <w:b/>
          <w:sz w:val="20"/>
        </w:rPr>
        <w:t xml:space="preserve">Removing The Limit on the Size of a Proxy Access Nominating Group Would Not Meaningfully Enhance Proxy Access At Our Company </w:t>
      </w:r>
    </w:p>
    <w:p>
      <w:pPr>
        <w:pStyle w:val="TextBody"/>
        <w:spacing w:before="120" w:after="0"/>
        <w:jc w:val="left"/>
        <w:rPr>
          <w:rFonts w:ascii="arial" w:hAnsi="arial"/>
          <w:sz w:val="16"/>
        </w:rPr>
      </w:pPr>
      <w:r>
        <w:rPr>
          <w:rFonts w:ascii="arial" w:hAnsi="arial"/>
          <w:sz w:val="16"/>
        </w:rPr>
        <w:t xml:space="preserve">We believe a 20-shareholder aggregation limit is particularly appropriate for our company in light of our shareholder base. As of December 31, 2020, our 50 largest institutional shareholders held approximately 69% of our outstanding shares, all of whom individually owned more than 0.15% of our outstanding shares (which is the average ownership needed for 20 shareholders to aggregate to 3%), and six of our shareholders individually owned more than 3% of our outstanding shares. Under our proxy access bylaw, any of our shareholders may combine with up to 19 other shareholders (provided they have all continuously held their shares for at least three years) to meet the 3% ownership requirement. Given the concentration of our shareholder base, our existing proxy access bylaw provides numerous opportunities for any of our shareholders to combine with as few as one other like-minded shareholder to satisfy such bylaws ownership requirements, and thus eliminating the 20-shareholder aggregation limit would not provide our shareholders with meaningful new rights.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37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Proxy Access Is Just One of Our Many Strong Corporate Governance Practices </w:t>
      </w:r>
    </w:p>
    <w:p>
      <w:pPr>
        <w:pStyle w:val="TextBody"/>
        <w:spacing w:before="120" w:after="0"/>
        <w:jc w:val="left"/>
        <w:rPr>
          <w:rFonts w:ascii="arial" w:hAnsi="arial"/>
          <w:sz w:val="16"/>
        </w:rPr>
      </w:pPr>
      <w:r>
        <w:rPr>
          <w:rFonts w:ascii="arial" w:hAnsi="arial"/>
          <w:sz w:val="16"/>
        </w:rPr>
        <w:t xml:space="preserve">Our board is committed to implementing corporate governance practices that operate for the benefit of our shareholders. We describe many of these practices under Proxy Statement SummaryShareholder Engagement and Governance Practices and Corporate Governance above. With respect to our shareholders ability to influence the composition of our board, in addition to our proxy access rights we have adopted: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1"/>
        <w:gridCol w:w="131"/>
        <w:gridCol w:w="9863"/>
      </w:tblGrid>
      <w:tr>
        <w:trPr/>
        <w:tc>
          <w:tcPr>
            <w:tcW w:w="211" w:type="dxa"/>
            <w:tcBorders/>
            <w:shd w:fill="auto" w:val="clear"/>
          </w:tcPr>
          <w:p>
            <w:pPr>
              <w:pStyle w:val="TableContents"/>
              <w:spacing w:before="0" w:after="283"/>
              <w:jc w:val="left"/>
              <w:rPr>
                <w:color w:val="001C71"/>
              </w:rPr>
            </w:pPr>
            <w:r>
              <w:rPr>
                <w:color w:val="001C71"/>
              </w:rPr>
              <w:t></w:t>
            </w:r>
          </w:p>
        </w:tc>
        <w:tc>
          <w:tcPr>
            <w:tcW w:w="131" w:type="dxa"/>
            <w:tcBorders/>
            <w:shd w:fill="auto" w:val="clear"/>
          </w:tcPr>
          <w:p>
            <w:pPr>
              <w:pStyle w:val="TableContents"/>
              <w:spacing w:before="0" w:after="283"/>
              <w:rPr/>
            </w:pPr>
            <w:r>
              <w:rPr/>
              <w:t> </w:t>
            </w:r>
          </w:p>
        </w:tc>
        <w:tc>
          <w:tcPr>
            <w:tcW w:w="9863" w:type="dxa"/>
            <w:tcBorders/>
            <w:shd w:fill="auto" w:val="clear"/>
          </w:tcPr>
          <w:p>
            <w:pPr>
              <w:pStyle w:val="TableContents"/>
              <w:spacing w:before="0" w:after="0"/>
              <w:jc w:val="left"/>
              <w:rPr>
                <w:rFonts w:ascii="arial" w:hAnsi="arial"/>
                <w:sz w:val="16"/>
              </w:rPr>
            </w:pPr>
            <w:r>
              <w:rPr>
                <w:rFonts w:ascii="arial" w:hAnsi="arial"/>
                <w:sz w:val="16"/>
              </w:rPr>
              <w:t xml:space="preserve">Annual elections of all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0"/>
        <w:gridCol w:w="127"/>
        <w:gridCol w:w="9878"/>
      </w:tblGrid>
      <w:tr>
        <w:trPr/>
        <w:tc>
          <w:tcPr>
            <w:tcW w:w="200"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8" w:type="dxa"/>
            <w:tcBorders/>
            <w:shd w:fill="auto" w:val="clear"/>
          </w:tcPr>
          <w:p>
            <w:pPr>
              <w:pStyle w:val="TableContents"/>
              <w:spacing w:before="0" w:after="0"/>
              <w:jc w:val="left"/>
              <w:rPr>
                <w:rFonts w:ascii="arial" w:hAnsi="arial"/>
                <w:sz w:val="16"/>
              </w:rPr>
            </w:pPr>
            <w:r>
              <w:rPr>
                <w:rFonts w:ascii="arial" w:hAnsi="arial"/>
                <w:sz w:val="16"/>
              </w:rPr>
              <w:t xml:space="preserve">A majority-vote and director resignation policy for directors in uncontested elections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1"/>
        <w:gridCol w:w="127"/>
        <w:gridCol w:w="9877"/>
      </w:tblGrid>
      <w:tr>
        <w:trPr/>
        <w:tc>
          <w:tcPr>
            <w:tcW w:w="201"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7" w:type="dxa"/>
            <w:tcBorders/>
            <w:shd w:fill="auto" w:val="clear"/>
          </w:tcPr>
          <w:p>
            <w:pPr>
              <w:pStyle w:val="TableContents"/>
              <w:spacing w:before="0" w:after="0"/>
              <w:jc w:val="left"/>
              <w:rPr>
                <w:rFonts w:ascii="arial" w:hAnsi="arial"/>
                <w:sz w:val="16"/>
              </w:rPr>
            </w:pPr>
            <w:r>
              <w:rPr>
                <w:rFonts w:ascii="arial" w:hAnsi="arial"/>
                <w:sz w:val="16"/>
              </w:rPr>
              <w:t xml:space="preserve">A process for shareholders to recommend director candidates for nomination by our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1"/>
        <w:gridCol w:w="127"/>
        <w:gridCol w:w="9877"/>
      </w:tblGrid>
      <w:tr>
        <w:trPr/>
        <w:tc>
          <w:tcPr>
            <w:tcW w:w="201"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7" w:type="dxa"/>
            <w:tcBorders/>
            <w:shd w:fill="auto" w:val="clear"/>
          </w:tcPr>
          <w:p>
            <w:pPr>
              <w:pStyle w:val="TableContents"/>
              <w:spacing w:before="0" w:after="0"/>
              <w:jc w:val="left"/>
              <w:rPr>
                <w:rFonts w:ascii="arial" w:hAnsi="arial"/>
                <w:sz w:val="16"/>
              </w:rPr>
            </w:pPr>
            <w:r>
              <w:rPr>
                <w:rFonts w:ascii="arial" w:hAnsi="arial"/>
                <w:sz w:val="16"/>
              </w:rPr>
              <w:t xml:space="preserve">A process by which shareholders may nominate director candidates for election to the board outside of our proxy materials by complying with our advance notice bylaw provisions </w:t>
            </w:r>
          </w:p>
        </w:tc>
      </w:tr>
    </w:tbl>
    <w:p>
      <w:pPr>
        <w:pStyle w:val="TextBody"/>
        <w:spacing w:before="280" w:after="0"/>
        <w:jc w:val="left"/>
        <w:rPr>
          <w:rFonts w:ascii="arial" w:hAnsi="arial"/>
          <w:b/>
          <w:sz w:val="20"/>
        </w:rPr>
      </w:pPr>
      <w:r>
        <w:rPr>
          <w:rFonts w:ascii="arial" w:hAnsi="arial"/>
          <w:b/>
          <w:sz w:val="20"/>
        </w:rPr>
        <w:t xml:space="preserve">Summary </w:t>
      </w:r>
    </w:p>
    <w:p>
      <w:pPr>
        <w:pStyle w:val="TextBody"/>
        <w:spacing w:before="120" w:after="0"/>
        <w:jc w:val="left"/>
        <w:rPr>
          <w:rFonts w:ascii="arial" w:hAnsi="arial"/>
          <w:sz w:val="16"/>
        </w:rPr>
      </w:pPr>
      <w:r>
        <w:rPr>
          <w:rFonts w:ascii="arial" w:hAnsi="arial"/>
          <w:sz w:val="16"/>
        </w:rPr>
        <w:t xml:space="preserve">The 20-shareholder aggregation limit in our proxy access bylaw reflects the results of engagement with our shareholders and consideration of prevailing market practices. A proxy access bylaw with no nominating group limit, as Proposal 4 requires, could impose significant burdens on the company without providing any meaningful enhanced benefits to our shareholders. Therefore, the board believes our existing proxy access rights best serve the interests of our company and all our shareholders, and are one of the many strong corporate governance practices our board has adopted. </w:t>
      </w:r>
    </w:p>
    <w:p>
      <w:pPr>
        <w:pStyle w:val="TextBody"/>
        <w:spacing w:before="280" w:after="0"/>
        <w:jc w:val="left"/>
        <w:rPr>
          <w:rFonts w:ascii="arial" w:hAnsi="arial"/>
          <w:b/>
          <w:color w:val="001C71"/>
          <w:sz w:val="24"/>
        </w:rPr>
      </w:pPr>
      <w:r>
        <w:rPr>
          <w:rFonts w:ascii="arial" w:hAnsi="arial"/>
          <w:b/>
          <w:color w:val="001C71"/>
          <w:sz w:val="24"/>
        </w:rPr>
        <w:t xml:space="preserve">Proposal to be Voted On, Board Recommendation and Vote Required </w:t>
      </w:r>
    </w:p>
    <w:p>
      <w:pPr>
        <w:pStyle w:val="TextBody"/>
        <w:spacing w:before="120" w:after="0"/>
        <w:jc w:val="left"/>
        <w:rPr>
          <w:rFonts w:ascii="arial" w:hAnsi="arial"/>
          <w:sz w:val="16"/>
        </w:rPr>
      </w:pPr>
      <w:r>
        <w:rPr>
          <w:rFonts w:ascii="arial" w:hAnsi="arial"/>
          <w:sz w:val="16"/>
        </w:rPr>
        <w:t xml:space="preserve">At the request of Mr. Chevedden, our shareholders are being asked to vote on the proposal set forth above requesting an amendment to our proxy access bylaw to eliminate the shareholder nominating group limit, and we are recommending that shareholders vote against this proposal. This proposal will not be approved unless it receives FOR votes constituting a majority of the shares represented and voting at the Annual Shareholders Meeting at which a quorum is present, and the approving majority represents more than 25% of our outstanding shares. </w:t>
      </w:r>
    </w:p>
    <w:p>
      <w:pPr>
        <w:pStyle w:val="TextBody"/>
        <w:spacing w:before="0" w:after="0"/>
        <w:jc w:val="left"/>
        <w:rPr/>
      </w:pPr>
      <w:r>
        <w:rPr/>
        <w:t> </w:t>
      </w:r>
    </w:p>
    <w:p>
      <w:pPr>
        <w:pStyle w:val="TextBody"/>
        <w:pBdr/>
        <w:spacing w:before="0" w:after="160"/>
        <w:jc w:val="left"/>
        <w:rPr>
          <w:rFonts w:ascii="arial" w:hAnsi="arial"/>
          <w:color w:val="001C71"/>
          <w:sz w:val="24"/>
          <w:highlight w:val="white"/>
        </w:rPr>
      </w:pPr>
      <w:r>
        <w:rPr>
          <w:rFonts w:ascii="arial" w:hAnsi="arial"/>
          <w:color w:val="001C71"/>
          <w:sz w:val="24"/>
          <w:highlight w:val="white"/>
        </w:rPr>
        <w:t xml:space="preserve">The Board of Directors recommends that you vote AGAINST Proposal 4.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38</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733"/>
        <w:gridCol w:w="8472"/>
      </w:tblGrid>
      <w:tr>
        <w:trPr/>
        <w:tc>
          <w:tcPr>
            <w:tcW w:w="1733" w:type="dxa"/>
            <w:tcBorders/>
            <w:shd w:fill="auto" w:val="clear"/>
          </w:tcPr>
          <w:p>
            <w:pPr>
              <w:pStyle w:val="TableContents"/>
              <w:spacing w:before="0" w:after="283"/>
              <w:jc w:val="left"/>
              <w:rPr>
                <w:b/>
              </w:rPr>
            </w:pPr>
            <w:bookmarkStart w:id="19" w:name="toc108157_17"/>
            <w:bookmarkEnd w:id="19"/>
            <w:r>
              <w:rPr>
                <w:b/>
              </w:rPr>
              <w:t>Proposal 5:</w:t>
            </w:r>
          </w:p>
        </w:tc>
        <w:tc>
          <w:tcPr>
            <w:tcW w:w="8472" w:type="dxa"/>
            <w:tcBorders/>
            <w:shd w:fill="auto" w:val="clear"/>
          </w:tcPr>
          <w:p>
            <w:pPr>
              <w:pStyle w:val="TableContents"/>
              <w:spacing w:before="0" w:after="0"/>
              <w:jc w:val="left"/>
              <w:rPr>
                <w:rFonts w:ascii="arial" w:hAnsi="arial"/>
                <w:b/>
                <w:sz w:val="28"/>
              </w:rPr>
            </w:pPr>
            <w:r>
              <w:rPr>
                <w:rFonts w:ascii="arial" w:hAnsi="arial"/>
                <w:b/>
                <w:sz w:val="28"/>
              </w:rPr>
              <w:t xml:space="preserve">Shareholder Proposal Requesting a Report on Alignment of Our Lobbying Activities with the Paris Agreement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Proposal 5 was submitted by Putney School Inc Endowment Inv Mgr and other co-filers and by Calvert Research and Management. We have been advised that a representative of the co-filers intends to introduce the resolution included below at the Annual Shareholders Meeting. The company has been advised that Putney School Inc Endowment Inv Mgr is the owner of 62 shares of Sempra Energy common stock and Calvert Research and Management is the owner of 64,363 shares of Sempra Energy common stock. The company will furnish the names, addresses and share ownership of the co-filers of this proposal promptly upon oral or written request. </w:t>
      </w:r>
    </w:p>
    <w:p>
      <w:pPr>
        <w:pStyle w:val="TextBody"/>
        <w:spacing w:before="280" w:after="0"/>
        <w:jc w:val="left"/>
        <w:rPr>
          <w:rFonts w:ascii="arial" w:hAnsi="arial"/>
          <w:b/>
          <w:color w:val="001C71"/>
          <w:sz w:val="24"/>
        </w:rPr>
      </w:pPr>
      <w:r>
        <w:rPr>
          <w:rFonts w:ascii="arial" w:hAnsi="arial"/>
          <w:b/>
          <w:color w:val="001C71"/>
          <w:sz w:val="24"/>
        </w:rPr>
        <w:t xml:space="preserve">The Proposal </w:t>
      </w:r>
    </w:p>
    <w:p>
      <w:pPr>
        <w:pStyle w:val="TextBody"/>
        <w:spacing w:before="0" w:after="0"/>
        <w:jc w:val="left"/>
        <w:rPr/>
      </w:pPr>
      <w:r>
        <w:rPr/>
        <w:t> </w:t>
      </w:r>
    </w:p>
    <w:p>
      <w:pPr>
        <w:pStyle w:val="TextBody"/>
        <w:pBdr/>
        <w:spacing w:before="0" w:after="0"/>
        <w:jc w:val="left"/>
        <w:rPr>
          <w:rFonts w:ascii="arial" w:hAnsi="arial"/>
          <w:sz w:val="16"/>
          <w:bdr w:val="single" w:sz="2" w:space="2" w:color="000000"/>
        </w:rPr>
      </w:pPr>
      <w:r>
        <w:rPr>
          <w:rFonts w:ascii="arial" w:hAnsi="arial"/>
          <w:b/>
          <w:sz w:val="16"/>
          <w:bdr w:val="single" w:sz="2" w:space="2" w:color="000000"/>
        </w:rPr>
        <w:t>WHEREAS:</w:t>
      </w:r>
      <w:r>
        <w:rPr>
          <w:rFonts w:ascii="arial" w:hAnsi="arial"/>
          <w:sz w:val="16"/>
          <w:bdr w:val="single" w:sz="2" w:space="2" w:color="000000"/>
        </w:rPr>
        <w:t xml:space="preserve"> The Intergovernmental Panel on Climate Change released a report finding that rapid, far-reaching changes are necessary in the next 10 years to avoid disastrous global warming.1 The economic impacts of exceeding 1.5 degrees Celsius warming are projected to be in the tens to hundreds of trillions of dollars by 2100.2,3 </w:t>
      </w:r>
    </w:p>
    <w:p>
      <w:pPr>
        <w:pStyle w:val="TextBody"/>
        <w:spacing w:before="160" w:after="0"/>
        <w:jc w:val="left"/>
        <w:rPr>
          <w:rFonts w:ascii="arial" w:hAnsi="arial"/>
          <w:sz w:val="16"/>
          <w:bdr w:val="single" w:sz="2" w:space="2" w:color="000000"/>
        </w:rPr>
      </w:pPr>
      <w:r>
        <w:rPr>
          <w:rFonts w:ascii="arial" w:hAnsi="arial"/>
          <w:sz w:val="16"/>
          <w:bdr w:val="single" w:sz="2" w:space="2" w:color="000000"/>
        </w:rPr>
        <w:t xml:space="preserve">According to the most recent annual United Nations Environment Programme Emissions Gap Report,4 critical gaps remain between national governments climate commitments and the level of action necessary to prevent catastrophic climate change. </w:t>
      </w:r>
    </w:p>
    <w:p>
      <w:pPr>
        <w:pStyle w:val="TextBody"/>
        <w:spacing w:before="160" w:after="0"/>
        <w:jc w:val="left"/>
        <w:rPr>
          <w:rFonts w:ascii="arial" w:hAnsi="arial"/>
          <w:sz w:val="16"/>
          <w:bdr w:val="single" w:sz="2" w:space="2" w:color="000000"/>
        </w:rPr>
      </w:pPr>
      <w:r>
        <w:rPr>
          <w:rFonts w:ascii="arial" w:hAnsi="arial"/>
          <w:sz w:val="16"/>
          <w:bdr w:val="single" w:sz="2" w:space="2" w:color="000000"/>
        </w:rPr>
        <w:t xml:space="preserve">Companies have an important role to play in enabling policymakers to close these gaps. Corporate lobbying activities that seek to prevent climate-related laws and regulations present growing risk to investors. Delays in implementing the Paris Agreements decarbonization goals increase the physical risks of climate change, pose systemic risk to economic stability, and introduce uncertainty and volatility into investor portfolios. </w:t>
      </w:r>
    </w:p>
    <w:p>
      <w:pPr>
        <w:pStyle w:val="TextBody"/>
        <w:spacing w:before="160" w:after="0"/>
        <w:jc w:val="left"/>
        <w:rPr>
          <w:rFonts w:ascii="arial" w:hAnsi="arial"/>
          <w:sz w:val="16"/>
          <w:bdr w:val="single" w:sz="2" w:space="2" w:color="000000"/>
        </w:rPr>
      </w:pPr>
      <w:r>
        <w:rPr>
          <w:rFonts w:ascii="arial" w:hAnsi="arial"/>
          <w:sz w:val="16"/>
          <w:bdr w:val="single" w:sz="2" w:space="2" w:color="000000"/>
        </w:rPr>
        <w:t xml:space="preserve">Investors believe that Paris-aligned climate lobbying, including lobbying by trade groups, helps to mitigate these risks and contributes positively to the long term value of investment portfolios. Over a dozen large European companies have reached agreements with investors regarding Paris aligned lobbying disclosure, and Shell, BP, and Total have published reports evaluating the positions their trade associations take on climate change.5 </w:t>
      </w:r>
    </w:p>
    <w:p>
      <w:pPr>
        <w:pStyle w:val="TextBody"/>
        <w:spacing w:before="160" w:after="0"/>
        <w:jc w:val="left"/>
        <w:rPr>
          <w:rFonts w:ascii="arial" w:hAnsi="arial"/>
          <w:sz w:val="16"/>
          <w:bdr w:val="single" w:sz="2" w:space="2" w:color="000000"/>
        </w:rPr>
      </w:pPr>
      <w:r>
        <w:rPr>
          <w:rFonts w:ascii="arial" w:hAnsi="arial"/>
          <w:sz w:val="16"/>
          <w:bdr w:val="single" w:sz="2" w:space="2" w:color="000000"/>
        </w:rPr>
        <w:t xml:space="preserve">Investors currently lack sufficient information to understand how Sempra ensures its lobbying activities, both direct lobbying and indirect lobbying through trade associations, align with the Paris Agreements goals, and what actions Sempra is taking to address any misalignments. </w:t>
      </w:r>
    </w:p>
    <w:p>
      <w:pPr>
        <w:pStyle w:val="TextBody"/>
        <w:spacing w:before="160" w:after="0"/>
        <w:jc w:val="left"/>
        <w:rPr>
          <w:rFonts w:ascii="arial" w:hAnsi="arial"/>
          <w:sz w:val="16"/>
          <w:bdr w:val="single" w:sz="2" w:space="2" w:color="000000"/>
        </w:rPr>
      </w:pPr>
      <w:r>
        <w:rPr>
          <w:rFonts w:ascii="arial" w:hAnsi="arial"/>
          <w:sz w:val="16"/>
          <w:bdr w:val="single" w:sz="2" w:space="2" w:color="000000"/>
        </w:rPr>
        <w:t xml:space="preserve">Unlike peers, Sempra has no net zero or long term climate targets. Instead, it continues to invest in greenhouse gas intensive natural gas assets,6 acknowledging this will cause its emissions to balloon.7 While Sempra discloses how its trade associations align with its own views on climate change,8 current reporting does not disclose whether its lobbying is aligned with Paris goals, especially regarding natural gas use. Sempras climate-related lobbying has already sparked concern. Subsidiary Southern California Gas Company (SoCalGas) is currently under investigation by the California Public Utilities Commissions (CPUC) Public Advocates Office (PAO) regarding the use of ratepayer funds and lobbying groups to promote gas.9 Already, PAO has recommended a $255 million fine for undermining energy efficiency rules.10 SoCalGas has also filed lawsuits with California agencies fighting clean truck regulations and electrification policy.11 Federal legislators recently took issue with Sempras anti-climate lobbying and actions, sending a public letter questioning SoCalGas efforts to undermine Californias greenhouse gas targets.12 </w:t>
      </w:r>
    </w:p>
    <w:p>
      <w:pPr>
        <w:pStyle w:val="TextBody"/>
        <w:spacing w:before="160" w:after="0"/>
        <w:jc w:val="left"/>
        <w:rPr>
          <w:rFonts w:ascii="arial" w:hAnsi="arial"/>
          <w:sz w:val="16"/>
          <w:bdr w:val="single" w:sz="2" w:space="2" w:color="000000"/>
        </w:rPr>
      </w:pPr>
      <w:r>
        <w:rPr>
          <w:rFonts w:ascii="arial" w:hAnsi="arial"/>
          <w:sz w:val="16"/>
          <w:bdr w:val="single" w:sz="2" w:space="2" w:color="000000"/>
        </w:rPr>
        <w:t xml:space="preserve">We urge the Board and management to report to shareholders on this critical issue. </w:t>
      </w:r>
    </w:p>
    <w:p>
      <w:pPr>
        <w:pStyle w:val="TextBody"/>
        <w:spacing w:before="160" w:after="0"/>
        <w:jc w:val="left"/>
        <w:rPr>
          <w:rFonts w:ascii="arial" w:hAnsi="arial"/>
          <w:sz w:val="16"/>
          <w:bdr w:val="single" w:sz="2" w:space="2" w:color="000000"/>
        </w:rPr>
      </w:pPr>
      <w:r>
        <w:rPr>
          <w:rFonts w:ascii="arial" w:hAnsi="arial"/>
          <w:b/>
          <w:sz w:val="16"/>
          <w:bdr w:val="single" w:sz="2" w:space="2" w:color="000000"/>
        </w:rPr>
        <w:t>RESOLVED:</w:t>
      </w:r>
      <w:r>
        <w:rPr>
          <w:rFonts w:ascii="arial" w:hAnsi="arial"/>
          <w:sz w:val="16"/>
          <w:bdr w:val="single" w:sz="2" w:space="2" w:color="000000"/>
        </w:rPr>
        <w:t xml:space="preserve"> Shareholders request the Board of Directors evaluate and issue a report (at reasonable cost, omitting proprietary information) describing if, and how, Sempras lobbying activities (direct and through trade associations) align with the Paris Agreements goal to limit temperature rise to 1.5 degrees and how Sempra plans to mitigate risks presented by any misalignment. </w:t>
      </w:r>
    </w:p>
    <w:p>
      <w:pPr>
        <w:pStyle w:val="TextBody"/>
        <w:spacing w:before="0" w:after="0"/>
        <w:jc w:val="left"/>
        <w:rPr>
          <w:bdr w:val="single" w:sz="2" w:space="2" w:color="000000"/>
        </w:rPr>
      </w:pPr>
      <w:r>
        <w:rPr>
          <w:bdr w:val="single" w:sz="2" w:space="2" w:color="000000"/>
        </w:rPr>
        <w:t> </w:t>
      </w:r>
    </w:p>
    <w:tbl>
      <w:tblPr>
        <w:tblW w:w="5000" w:type="pct"/>
        <w:jc w:val="left"/>
        <w:tblInd w:w="0" w:type="dxa"/>
        <w:tblCellMar>
          <w:top w:w="0" w:type="dxa"/>
          <w:left w:w="0" w:type="dxa"/>
          <w:bottom w:w="0" w:type="dxa"/>
          <w:right w:w="0" w:type="dxa"/>
        </w:tblCellMar>
      </w:tblPr>
      <w:tblGrid>
        <w:gridCol w:w="101"/>
        <w:gridCol w:w="204"/>
        <w:gridCol w:w="9900"/>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i/>
              </w:rPr>
            </w:pPr>
            <w:r>
              <w:rPr>
                <w:i/>
              </w:rPr>
              <w:t>1 </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https://www.ipcc.ch/2018/10/08/summary-for-policymakers-of-ipcc-special-report-on-global-warming-of-1-5c-approved-by-governments/ </w:t>
            </w:r>
          </w:p>
        </w:tc>
      </w:tr>
    </w:tbl>
    <w:tbl>
      <w:tblPr>
        <w:tblW w:w="5000" w:type="pct"/>
        <w:jc w:val="left"/>
        <w:tblInd w:w="0" w:type="dxa"/>
        <w:tblCellMar>
          <w:top w:w="0" w:type="dxa"/>
          <w:left w:w="0" w:type="dxa"/>
          <w:bottom w:w="0" w:type="dxa"/>
          <w:right w:w="0" w:type="dxa"/>
        </w:tblCellMar>
      </w:tblPr>
      <w:tblGrid>
        <w:gridCol w:w="101"/>
        <w:gridCol w:w="203"/>
        <w:gridCol w:w="9901"/>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i/>
              </w:rPr>
            </w:pPr>
            <w:r>
              <w:rPr>
                <w:i/>
              </w:rPr>
              <w:t>2 </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https://www.nature.com/articles/d41586-018-05219-5 </w:t>
            </w:r>
          </w:p>
        </w:tc>
      </w:tr>
    </w:tbl>
    <w:tbl>
      <w:tblPr>
        <w:tblW w:w="5000" w:type="pct"/>
        <w:jc w:val="left"/>
        <w:tblInd w:w="0" w:type="dxa"/>
        <w:tblCellMar>
          <w:top w:w="0" w:type="dxa"/>
          <w:left w:w="0" w:type="dxa"/>
          <w:bottom w:w="0" w:type="dxa"/>
          <w:right w:w="0" w:type="dxa"/>
        </w:tblCellMar>
      </w:tblPr>
      <w:tblGrid>
        <w:gridCol w:w="101"/>
        <w:gridCol w:w="203"/>
        <w:gridCol w:w="9901"/>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i/>
              </w:rPr>
            </w:pPr>
            <w:r>
              <w:rPr>
                <w:i/>
              </w:rPr>
              <w:t>3 </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https://www.nature.com/articles/s41467-020-18797-8/ </w:t>
            </w:r>
          </w:p>
        </w:tc>
      </w:tr>
    </w:tbl>
    <w:tbl>
      <w:tblPr>
        <w:tblW w:w="5000" w:type="pct"/>
        <w:jc w:val="left"/>
        <w:tblInd w:w="0" w:type="dxa"/>
        <w:tblCellMar>
          <w:top w:w="0" w:type="dxa"/>
          <w:left w:w="0" w:type="dxa"/>
          <w:bottom w:w="0" w:type="dxa"/>
          <w:right w:w="0" w:type="dxa"/>
        </w:tblCellMar>
      </w:tblPr>
      <w:tblGrid>
        <w:gridCol w:w="101"/>
        <w:gridCol w:w="206"/>
        <w:gridCol w:w="9898"/>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i/>
              </w:rPr>
            </w:pPr>
            <w:r>
              <w:rPr>
                <w:i/>
              </w:rPr>
              <w:t>4 </w:t>
            </w:r>
          </w:p>
        </w:tc>
        <w:tc>
          <w:tcPr>
            <w:tcW w:w="9898" w:type="dxa"/>
            <w:tcBorders/>
            <w:shd w:fill="auto" w:val="clear"/>
          </w:tcPr>
          <w:p>
            <w:pPr>
              <w:pStyle w:val="TableContents"/>
              <w:spacing w:before="0" w:after="0"/>
              <w:jc w:val="left"/>
              <w:rPr>
                <w:rFonts w:ascii="arial" w:hAnsi="arial"/>
                <w:i/>
                <w:sz w:val="14"/>
              </w:rPr>
            </w:pPr>
            <w:r>
              <w:rPr>
                <w:rFonts w:ascii="arial" w:hAnsi="arial"/>
                <w:i/>
                <w:sz w:val="14"/>
              </w:rPr>
              <w:t xml:space="preserve">https://www.unenvironment.org/resources/emissions-gap-report-2019 </w:t>
            </w:r>
          </w:p>
        </w:tc>
      </w:tr>
    </w:tbl>
    <w:tbl>
      <w:tblPr>
        <w:tblW w:w="5000" w:type="pct"/>
        <w:jc w:val="left"/>
        <w:tblInd w:w="0" w:type="dxa"/>
        <w:tblCellMar>
          <w:top w:w="0" w:type="dxa"/>
          <w:left w:w="0" w:type="dxa"/>
          <w:bottom w:w="0" w:type="dxa"/>
          <w:right w:w="0" w:type="dxa"/>
        </w:tblCellMar>
      </w:tblPr>
      <w:tblGrid>
        <w:gridCol w:w="101"/>
        <w:gridCol w:w="203"/>
        <w:gridCol w:w="9901"/>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i/>
              </w:rPr>
            </w:pPr>
            <w:r>
              <w:rPr>
                <w:i/>
              </w:rPr>
              <w:t>5 </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https://www.ceres.org/news-center/press-releases/major-us-investors-call-largest-corporate-emitters-disclose-how-their </w:t>
            </w:r>
          </w:p>
        </w:tc>
      </w:tr>
    </w:tbl>
    <w:tbl>
      <w:tblPr>
        <w:tblW w:w="5000" w:type="pct"/>
        <w:jc w:val="left"/>
        <w:tblInd w:w="0" w:type="dxa"/>
        <w:tblCellMar>
          <w:top w:w="0" w:type="dxa"/>
          <w:left w:w="0" w:type="dxa"/>
          <w:bottom w:w="0" w:type="dxa"/>
          <w:right w:w="0" w:type="dxa"/>
        </w:tblCellMar>
      </w:tblPr>
      <w:tblGrid>
        <w:gridCol w:w="100"/>
        <w:gridCol w:w="203"/>
        <w:gridCol w:w="9902"/>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i/>
              </w:rPr>
            </w:pPr>
            <w:r>
              <w:rPr>
                <w:i/>
              </w:rPr>
              <w:t>6 </w:t>
            </w:r>
          </w:p>
        </w:tc>
        <w:tc>
          <w:tcPr>
            <w:tcW w:w="9902" w:type="dxa"/>
            <w:tcBorders/>
            <w:shd w:fill="auto" w:val="clear"/>
          </w:tcPr>
          <w:p>
            <w:pPr>
              <w:pStyle w:val="TableContents"/>
              <w:spacing w:before="0" w:after="0"/>
              <w:jc w:val="left"/>
              <w:rPr>
                <w:rFonts w:ascii="arial" w:hAnsi="arial"/>
                <w:i/>
                <w:sz w:val="14"/>
              </w:rPr>
            </w:pPr>
            <w:r>
              <w:rPr>
                <w:rFonts w:ascii="arial" w:hAnsi="arial"/>
                <w:i/>
                <w:sz w:val="14"/>
              </w:rPr>
              <w:t xml:space="preserve">https://rmi.org/wp-content/uploads/2020/03/Methane-Insight-Brief.pdf </w:t>
            </w:r>
          </w:p>
        </w:tc>
      </w:tr>
    </w:tbl>
    <w:tbl>
      <w:tblPr>
        <w:tblW w:w="5000" w:type="pct"/>
        <w:jc w:val="left"/>
        <w:tblInd w:w="0" w:type="dxa"/>
        <w:tblCellMar>
          <w:top w:w="0" w:type="dxa"/>
          <w:left w:w="0" w:type="dxa"/>
          <w:bottom w:w="0" w:type="dxa"/>
          <w:right w:w="0" w:type="dxa"/>
        </w:tblCellMar>
      </w:tblPr>
      <w:tblGrid>
        <w:gridCol w:w="101"/>
        <w:gridCol w:w="204"/>
        <w:gridCol w:w="9900"/>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i/>
              </w:rPr>
            </w:pPr>
            <w:r>
              <w:rPr>
                <w:i/>
              </w:rPr>
              <w:t>7 </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https://www.sempra.com/sites/default/files/content/files/node-media-document/2019/2019-sempra-corporate-sustainability-report.pdf, p.36 </w:t>
            </w:r>
          </w:p>
        </w:tc>
      </w:tr>
    </w:tbl>
    <w:tbl>
      <w:tblPr>
        <w:tblW w:w="5000" w:type="pct"/>
        <w:jc w:val="left"/>
        <w:tblInd w:w="0" w:type="dxa"/>
        <w:tblCellMar>
          <w:top w:w="0" w:type="dxa"/>
          <w:left w:w="0" w:type="dxa"/>
          <w:bottom w:w="0" w:type="dxa"/>
          <w:right w:w="0" w:type="dxa"/>
        </w:tblCellMar>
      </w:tblPr>
      <w:tblGrid>
        <w:gridCol w:w="104"/>
        <w:gridCol w:w="215"/>
        <w:gridCol w:w="9886"/>
      </w:tblGrid>
      <w:tr>
        <w:trPr/>
        <w:tc>
          <w:tcPr>
            <w:tcW w:w="104"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i/>
              </w:rPr>
            </w:pPr>
            <w:r>
              <w:rPr>
                <w:i/>
              </w:rPr>
              <w:t>8 </w:t>
            </w:r>
          </w:p>
        </w:tc>
        <w:tc>
          <w:tcPr>
            <w:tcW w:w="9886" w:type="dxa"/>
            <w:tcBorders/>
            <w:shd w:fill="auto" w:val="clear"/>
          </w:tcPr>
          <w:p>
            <w:pPr>
              <w:pStyle w:val="TableContents"/>
              <w:spacing w:before="0" w:after="0"/>
              <w:jc w:val="left"/>
              <w:rPr>
                <w:rFonts w:ascii="arial" w:hAnsi="arial"/>
                <w:i/>
                <w:sz w:val="14"/>
              </w:rPr>
            </w:pPr>
            <w:r>
              <w:rPr>
                <w:rFonts w:ascii="arial" w:hAnsi="arial"/>
                <w:i/>
                <w:sz w:val="14"/>
              </w:rPr>
              <w:t xml:space="preserve">CDP Reporting </w:t>
            </w:r>
          </w:p>
        </w:tc>
      </w:tr>
    </w:tbl>
    <w:tbl>
      <w:tblPr>
        <w:tblW w:w="5000" w:type="pct"/>
        <w:jc w:val="left"/>
        <w:tblInd w:w="0" w:type="dxa"/>
        <w:tblCellMar>
          <w:top w:w="0" w:type="dxa"/>
          <w:left w:w="0" w:type="dxa"/>
          <w:bottom w:w="0" w:type="dxa"/>
          <w:right w:w="0" w:type="dxa"/>
        </w:tblCellMar>
      </w:tblPr>
      <w:tblGrid>
        <w:gridCol w:w="101"/>
        <w:gridCol w:w="203"/>
        <w:gridCol w:w="9901"/>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i/>
              </w:rPr>
            </w:pPr>
            <w:r>
              <w:rPr>
                <w:i/>
              </w:rPr>
              <w:t>9 </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https://www.latimes.com/environment/story/2020-07-23/is-americas-biggest-gas-utility-fighting-climate-action-california-demands-answers </w:t>
            </w:r>
          </w:p>
        </w:tc>
      </w:tr>
    </w:tbl>
    <w:tbl>
      <w:tblPr>
        <w:tblW w:w="5000" w:type="pct"/>
        <w:jc w:val="left"/>
        <w:tblInd w:w="0" w:type="dxa"/>
        <w:tblCellMar>
          <w:top w:w="0" w:type="dxa"/>
          <w:left w:w="0" w:type="dxa"/>
          <w:bottom w:w="0" w:type="dxa"/>
          <w:right w:w="0" w:type="dxa"/>
        </w:tblCellMar>
      </w:tblPr>
      <w:tblGrid>
        <w:gridCol w:w="114"/>
        <w:gridCol w:w="322"/>
        <w:gridCol w:w="9769"/>
      </w:tblGrid>
      <w:tr>
        <w:trPr/>
        <w:tc>
          <w:tcPr>
            <w:tcW w:w="114" w:type="dxa"/>
            <w:tcBorders/>
            <w:shd w:fill="auto" w:val="clear"/>
            <w:vAlign w:val="center"/>
          </w:tcPr>
          <w:p>
            <w:pPr>
              <w:pStyle w:val="TableContents"/>
              <w:spacing w:before="0" w:after="283"/>
              <w:rPr/>
            </w:pPr>
            <w:r>
              <w:rPr/>
              <w:t> </w:t>
            </w:r>
          </w:p>
        </w:tc>
        <w:tc>
          <w:tcPr>
            <w:tcW w:w="322" w:type="dxa"/>
            <w:tcBorders/>
            <w:shd w:fill="auto" w:val="clear"/>
          </w:tcPr>
          <w:p>
            <w:pPr>
              <w:pStyle w:val="TableContents"/>
              <w:spacing w:before="0" w:after="283"/>
              <w:jc w:val="left"/>
              <w:rPr>
                <w:i/>
              </w:rPr>
            </w:pPr>
            <w:r>
              <w:rPr>
                <w:i/>
              </w:rPr>
              <w:t>10 </w:t>
            </w:r>
          </w:p>
        </w:tc>
        <w:tc>
          <w:tcPr>
            <w:tcW w:w="9769" w:type="dxa"/>
            <w:tcBorders/>
            <w:shd w:fill="auto" w:val="clear"/>
          </w:tcPr>
          <w:p>
            <w:pPr>
              <w:pStyle w:val="TableContents"/>
              <w:spacing w:before="0" w:after="0"/>
              <w:jc w:val="left"/>
              <w:rPr>
                <w:rFonts w:ascii="arial" w:hAnsi="arial"/>
                <w:i/>
                <w:sz w:val="14"/>
              </w:rPr>
            </w:pPr>
            <w:r>
              <w:rPr>
                <w:rFonts w:ascii="arial" w:hAnsi="arial"/>
                <w:i/>
                <w:sz w:val="14"/>
              </w:rPr>
              <w:t xml:space="preserve">https://earthjustice.org/sites/default/files/files/r1311005-public-advocates-office-opening-brief.pdf </w:t>
            </w:r>
          </w:p>
        </w:tc>
      </w:tr>
    </w:tbl>
    <w:tbl>
      <w:tblPr>
        <w:tblW w:w="5000" w:type="pct"/>
        <w:jc w:val="left"/>
        <w:tblInd w:w="0" w:type="dxa"/>
        <w:tblCellMar>
          <w:top w:w="0" w:type="dxa"/>
          <w:left w:w="0" w:type="dxa"/>
          <w:bottom w:w="0" w:type="dxa"/>
          <w:right w:w="0" w:type="dxa"/>
        </w:tblCellMar>
      </w:tblPr>
      <w:tblGrid>
        <w:gridCol w:w="107"/>
        <w:gridCol w:w="323"/>
        <w:gridCol w:w="9775"/>
      </w:tblGrid>
      <w:tr>
        <w:trPr/>
        <w:tc>
          <w:tcPr>
            <w:tcW w:w="107" w:type="dxa"/>
            <w:tcBorders/>
            <w:shd w:fill="auto" w:val="clear"/>
            <w:vAlign w:val="center"/>
          </w:tcPr>
          <w:p>
            <w:pPr>
              <w:pStyle w:val="TableContents"/>
              <w:spacing w:before="0" w:after="283"/>
              <w:rPr/>
            </w:pPr>
            <w:r>
              <w:rPr/>
              <w:t> </w:t>
            </w:r>
          </w:p>
        </w:tc>
        <w:tc>
          <w:tcPr>
            <w:tcW w:w="323" w:type="dxa"/>
            <w:tcBorders/>
            <w:shd w:fill="auto" w:val="clear"/>
          </w:tcPr>
          <w:p>
            <w:pPr>
              <w:pStyle w:val="TableContents"/>
              <w:spacing w:before="0" w:after="283"/>
              <w:jc w:val="left"/>
              <w:rPr>
                <w:i/>
              </w:rPr>
            </w:pPr>
            <w:r>
              <w:rPr>
                <w:i/>
              </w:rPr>
              <w:t>11 </w:t>
            </w:r>
          </w:p>
        </w:tc>
        <w:tc>
          <w:tcPr>
            <w:tcW w:w="9775" w:type="dxa"/>
            <w:tcBorders/>
            <w:shd w:fill="auto" w:val="clear"/>
          </w:tcPr>
          <w:p>
            <w:pPr>
              <w:pStyle w:val="TableContents"/>
              <w:spacing w:before="0" w:after="0"/>
              <w:jc w:val="left"/>
              <w:rPr>
                <w:rFonts w:ascii="arial" w:hAnsi="arial"/>
                <w:i/>
                <w:sz w:val="14"/>
              </w:rPr>
            </w:pPr>
            <w:r>
              <w:rPr>
                <w:rFonts w:ascii="arial" w:hAnsi="arial"/>
                <w:i/>
                <w:sz w:val="14"/>
              </w:rPr>
              <w:t xml:space="preserve">https://www.latimes.com/environment/story/2020-08-04/california-sued-by-nations-biggest-gas-utility-in-climate-change-dispute </w:t>
            </w:r>
          </w:p>
        </w:tc>
      </w:tr>
    </w:tbl>
    <w:p>
      <w:pPr>
        <w:pStyle w:val="TextBody"/>
        <w:pBdr/>
        <w:spacing w:before="0" w:after="0"/>
        <w:jc w:val="left"/>
        <w:rPr>
          <w:rFonts w:ascii="arial" w:hAnsi="arial"/>
          <w:i/>
          <w:sz w:val="14"/>
          <w:bdr w:val="single" w:sz="2" w:space="2" w:color="000000"/>
        </w:rPr>
      </w:pPr>
      <w:r>
        <w:rPr>
          <w:rFonts w:ascii="arial" w:hAnsi="arial"/>
          <w:i/>
          <w:sz w:val="14"/>
          <w:bdr w:val="single" w:sz="2" w:space="2" w:color="000000"/>
        </w:rPr>
        <w:t>12     https://www.utilitydive.com/news/california-federal-legislators-press-socalgas-on-reported-efforts-to</w:t>
        <w:br/>
        <w:t xml:space="preserve">-under/588174/?utm_source=Sailthru&amp;utm_medium=email&amp;utm_campaign=Issue:%202020-11 </w:t>
        <w:br/>
        <w:t xml:space="preserve">-02%20Utility%20Dive%20Newsletter%20%5Bissue:30588%5D&amp;utm_term=Utility%20Dive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39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b/>
          <w:color w:val="001C71"/>
          <w:sz w:val="24"/>
        </w:rPr>
      </w:pPr>
      <w:r>
        <w:rPr>
          <w:rFonts w:ascii="arial" w:hAnsi="arial"/>
          <w:b/>
          <w:color w:val="001C71"/>
          <w:sz w:val="24"/>
        </w:rPr>
        <w:t xml:space="preserve">Board of Directors Statement Opposing the Shareholder Proposal Requesting a Report on Alignment of Our Lobbying Activities with the Paris Agreement </w:t>
      </w:r>
    </w:p>
    <w:p>
      <w:pPr>
        <w:pStyle w:val="TextBody"/>
        <w:spacing w:before="120" w:after="0"/>
        <w:jc w:val="left"/>
        <w:rPr>
          <w:rFonts w:ascii="arial" w:hAnsi="arial"/>
          <w:sz w:val="16"/>
        </w:rPr>
      </w:pPr>
      <w:r>
        <w:rPr>
          <w:rFonts w:ascii="arial" w:hAnsi="arial"/>
          <w:sz w:val="16"/>
        </w:rPr>
        <w:t xml:space="preserve">The Board of Directors recommends a vote AGAINST this proposal because it believes the companys existing thorough and transparent lobbying disclosures provide all material information needed by investors to understand and evaluate the extent and scope of our lobbying activities, including as they relate to sustainability and global warming, such that the requested report would be duplicative and unnecessary. More importantly, as reflected in our annual corporate sustainability reports and other public disclosures, we have demonstrated our ongoing commitment to the environment and fighting global warming with a strong track record of transparency and achievement in this area. </w:t>
      </w:r>
    </w:p>
    <w:p>
      <w:pPr>
        <w:pStyle w:val="TextBody"/>
        <w:spacing w:before="280" w:after="0"/>
        <w:jc w:val="left"/>
        <w:rPr>
          <w:rFonts w:ascii="arial" w:hAnsi="arial"/>
          <w:b/>
          <w:sz w:val="20"/>
        </w:rPr>
      </w:pPr>
      <w:r>
        <w:rPr>
          <w:rFonts w:ascii="arial" w:hAnsi="arial"/>
          <w:b/>
          <w:sz w:val="20"/>
        </w:rPr>
        <w:t xml:space="preserve">Background: Our Commitment to Sustainability and the Role of Natural Gas in the Global Energy Transition </w:t>
      </w:r>
    </w:p>
    <w:p>
      <w:pPr>
        <w:pStyle w:val="TextBody"/>
        <w:spacing w:before="120" w:after="0"/>
        <w:jc w:val="left"/>
        <w:rPr>
          <w:rFonts w:ascii="arial" w:hAnsi="arial"/>
          <w:sz w:val="16"/>
        </w:rPr>
      </w:pPr>
      <w:r>
        <w:rPr>
          <w:rFonts w:ascii="arial" w:hAnsi="arial"/>
          <w:sz w:val="16"/>
        </w:rPr>
        <w:t xml:space="preserve">Sempra Energy shares the concerns of governments and the public about climate change risks, which is why we are committed to sustainability and focused on advancing the transition to net zero energy systems and minimizing the environmental impact of our operations in light of the evolving global response to climate change. </w:t>
      </w:r>
    </w:p>
    <w:p>
      <w:pPr>
        <w:pStyle w:val="TextBody"/>
        <w:spacing w:before="160" w:after="0"/>
        <w:jc w:val="left"/>
        <w:rPr>
          <w:rFonts w:ascii="arial" w:hAnsi="arial"/>
          <w:sz w:val="16"/>
        </w:rPr>
      </w:pPr>
      <w:r>
        <w:rPr>
          <w:rFonts w:ascii="arial" w:hAnsi="arial"/>
          <w:sz w:val="16"/>
        </w:rPr>
        <w:t xml:space="preserve">Global climate-related issues and their impact on our stakeholders and our operations, have led the Sempra Energy family of companies to focus long term on a low- and zero-carbon approach to meeting the energy needs of our customers. We believe our businesseswhich include transmission and distribution-like energy infrastructure in the electric and natural gas sectors, infrastructure to export LNG to global markets, and various renewable resources and emerging technologiesplay a critical role in the global transition to net-zero energy systems by developing the necessary infrastructure to help reduce greenhouse gas emissions in the markets we serve, while also focusing on reducing the greenhouse gas emissions footprint of our own operations. Specifically, our natural gas infrastructure is already helping to substantially reduce the carbon emissions in the North American markets we serve, particularly the power generation, industrial and transportation sectors, while providing essential baseload storage to support growth in renewables generation. For example, our natural gas infrastructure is delivering some renewable natural gas, which can be carbon negative, and we are advancing a number of initiatives intended to utilize that infrastructure to deliver zero-carbon hydrogen to customers in the future. Globally, LNG export infrastructure can play a significant role in reducing greenhouse gas emissions in emerging markets by replacing higher-carbon intensive fossil fuels, such as traditional coal-fired generation, and by providing essential baseload energy storage to complement and help drive the growth of renewables generation. As a result, we believe natural gas infrastructure advances global efforts in supporting a lower-carbon future. The role we believe natural gas infrastructure will play in the energy transition is a foundational principle of many of our business activities, including our lobbying activities. </w:t>
      </w:r>
    </w:p>
    <w:p>
      <w:pPr>
        <w:pStyle w:val="TextBody"/>
        <w:spacing w:before="280" w:after="0"/>
        <w:jc w:val="left"/>
        <w:rPr>
          <w:rFonts w:ascii="arial" w:hAnsi="arial"/>
          <w:b/>
          <w:sz w:val="20"/>
        </w:rPr>
      </w:pPr>
      <w:r>
        <w:rPr>
          <w:rFonts w:ascii="arial" w:hAnsi="arial"/>
          <w:b/>
          <w:sz w:val="20"/>
        </w:rPr>
        <w:t xml:space="preserve">Sempra Energy Already Provides Extensive and Transparent Lobbying Disclosures, Including Relating To Climate Change and Sustainability </w:t>
      </w:r>
    </w:p>
    <w:p>
      <w:pPr>
        <w:pStyle w:val="TextBody"/>
        <w:spacing w:before="120" w:after="0"/>
        <w:jc w:val="left"/>
        <w:rPr>
          <w:rFonts w:ascii="arial" w:hAnsi="arial"/>
          <w:sz w:val="16"/>
        </w:rPr>
      </w:pPr>
      <w:r>
        <w:rPr>
          <w:rFonts w:ascii="arial" w:hAnsi="arial"/>
          <w:sz w:val="16"/>
        </w:rPr>
        <w:t xml:space="preserve">Sempra Energy and our operating companies engage in direct and indirect lobbying activities at the federal, state and local levels of government in a manner consistent with our business interests and goals, which include our commitment to creating long-term, sustainable value through, among other things, the important role we believe our infrastructure can play in lowering greenhouse gas emissions. We are committed to transparency regarding our policies and positions relating to the environment and energy, which we believe support our commitment to creating long-term, sustainable value, and how our direct and indirect lobbying activities align with these policies and positions. As a result, we make robust lobbying disclosures on our public website, at https://www.sempra.com/investors/governance/political-engagements-contributions, that already contain the information requested by this proposal. Notably, and as we state on our website, we believe our direct lobbying activities align with the relevant policies of the legislative and regulatory jurisdictions in which we operate (such as Californias goal to achieve economy-wide carbon neutrality by 2045 and the U.S. EPAs methane rules) and important global multi-lateral collaborations, including the Paris Agreements goals of limiting average global warming to well below 2°C above preindustrial levels and pursuing efforts to limit the temperature increase to 1.5°C. We also believe our indirect lobbying activities through trade associations are consistent with a transition to a lower carbon energy system and generally align with the Paris Agreements goal to limit global temperature rise. </w:t>
      </w:r>
    </w:p>
    <w:p>
      <w:pPr>
        <w:pStyle w:val="TextBody"/>
        <w:spacing w:before="160" w:after="0"/>
        <w:jc w:val="left"/>
        <w:rPr>
          <w:rFonts w:ascii="arial" w:hAnsi="arial"/>
          <w:sz w:val="16"/>
        </w:rPr>
      </w:pPr>
      <w:r>
        <w:rPr>
          <w:rFonts w:ascii="arial" w:hAnsi="arial"/>
          <w:sz w:val="16"/>
        </w:rPr>
        <w:t xml:space="preserve">We also disclose,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0"/>
              <w:jc w:val="left"/>
              <w:rPr>
                <w:rFonts w:ascii="arial" w:hAnsi="arial"/>
                <w:sz w:val="16"/>
              </w:rPr>
            </w:pPr>
            <w:r>
              <w:rPr>
                <w:rFonts w:ascii="arial" w:hAnsi="arial"/>
                <w:sz w:val="16"/>
              </w:rPr>
              <w:t xml:space="preserve">Our direct political contributions and trade association membership fees, and the political contributions of our employee political action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Our responses to the CDP-Climate questionnaire, which include detailed disclosure on the issues on which we have engaged directly with policy makers and our efforts to influence the positions on climate change legislation of the trade associations of which we are a member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0"/>
        <w:gridCol w:w="127"/>
        <w:gridCol w:w="9878"/>
      </w:tblGrid>
      <w:tr>
        <w:trPr/>
        <w:tc>
          <w:tcPr>
            <w:tcW w:w="200"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8" w:type="dxa"/>
            <w:tcBorders/>
            <w:shd w:fill="auto" w:val="clear"/>
          </w:tcPr>
          <w:p>
            <w:pPr>
              <w:pStyle w:val="TableContents"/>
              <w:spacing w:before="0" w:after="0"/>
              <w:jc w:val="left"/>
              <w:rPr>
                <w:rFonts w:ascii="arial" w:hAnsi="arial"/>
                <w:sz w:val="16"/>
              </w:rPr>
            </w:pPr>
            <w:r>
              <w:rPr>
                <w:rFonts w:ascii="arial" w:hAnsi="arial"/>
                <w:sz w:val="16"/>
              </w:rPr>
              <w:t xml:space="preserve">The role of our Board of Directors and senior management with respect to our lobbying activities and disclosures, including the terms of our corporate political spending plans and how they are administered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40</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1"/>
        <w:gridCol w:w="127"/>
        <w:gridCol w:w="9877"/>
      </w:tblGrid>
      <w:tr>
        <w:trPr/>
        <w:tc>
          <w:tcPr>
            <w:tcW w:w="201"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7" w:type="dxa"/>
            <w:tcBorders/>
            <w:shd w:fill="auto" w:val="clear"/>
          </w:tcPr>
          <w:p>
            <w:pPr>
              <w:pStyle w:val="TableContents"/>
              <w:spacing w:before="0" w:after="0"/>
              <w:jc w:val="left"/>
              <w:rPr>
                <w:rFonts w:ascii="arial" w:hAnsi="arial"/>
                <w:sz w:val="16"/>
              </w:rPr>
            </w:pPr>
            <w:r>
              <w:rPr>
                <w:rFonts w:ascii="arial" w:hAnsi="arial"/>
                <w:sz w:val="16"/>
              </w:rPr>
              <w:t xml:space="preserve">Descriptions of our political activities policies and robust internal training and outreach programs dedicated to compliance with rules and requirements regarding political and lobbying activities and reporting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7"/>
        <w:gridCol w:w="9873"/>
      </w:tblGrid>
      <w:tr>
        <w:trPr/>
        <w:tc>
          <w:tcPr>
            <w:tcW w:w="205"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3" w:type="dxa"/>
            <w:tcBorders/>
            <w:shd w:fill="auto" w:val="clear"/>
          </w:tcPr>
          <w:p>
            <w:pPr>
              <w:pStyle w:val="TableContents"/>
              <w:spacing w:before="0" w:after="0"/>
              <w:jc w:val="left"/>
              <w:rPr>
                <w:rFonts w:ascii="arial" w:hAnsi="arial"/>
                <w:sz w:val="16"/>
              </w:rPr>
            </w:pPr>
            <w:r>
              <w:rPr>
                <w:rFonts w:ascii="arial" w:hAnsi="arial"/>
                <w:sz w:val="16"/>
              </w:rPr>
              <w:t xml:space="preserve">Key policies and position statements that provide a roadmap for day-to-day operations and help ensure compliance with laws and regulations, give guidance for decision-making, and streamline internal processes </w:t>
            </w:r>
          </w:p>
        </w:tc>
      </w:tr>
    </w:tbl>
    <w:p>
      <w:pPr>
        <w:pStyle w:val="TextBody"/>
        <w:spacing w:before="160" w:after="0"/>
        <w:jc w:val="left"/>
        <w:rPr>
          <w:rFonts w:ascii="arial" w:hAnsi="arial"/>
          <w:sz w:val="16"/>
        </w:rPr>
      </w:pPr>
      <w:r>
        <w:rPr>
          <w:rFonts w:ascii="arial" w:hAnsi="arial"/>
          <w:sz w:val="16"/>
        </w:rPr>
        <w:t xml:space="preserve">We believe our comprehensive lobbying disclosures provide all material information needed by investors to understand and evaluate the extent and scope of our lobbying activities, including as they relate to sustainability and global warming. As a result, we believe preparing a separate report dedicated to the subject matter requested by this proposal would produce duplicative disclosures and would be an inefficient and unnecessary use of the companys capital and personnel resources. Further, we believe publishing a report about one narrow topic without the context of our broader lobbying and sustainability disclosures would be of limited utility to our shareholders and obfuscate our overall lobbying efforts that should be viewed on a more holistic basis. </w:t>
      </w:r>
    </w:p>
    <w:p>
      <w:pPr>
        <w:pStyle w:val="TextBody"/>
        <w:spacing w:before="160" w:after="0"/>
        <w:jc w:val="left"/>
        <w:rPr>
          <w:rFonts w:ascii="arial" w:hAnsi="arial"/>
          <w:sz w:val="16"/>
        </w:rPr>
      </w:pPr>
      <w:r>
        <w:rPr>
          <w:rFonts w:ascii="arial" w:hAnsi="arial"/>
          <w:sz w:val="16"/>
        </w:rPr>
        <w:t xml:space="preserve">Moreover, our existing lobbying and sustainability disclosures are the result of careful consideration, analysis and oversight by a large group of company personnel, including senior management and the Board of Directors. Our commitment to achieving our climate-related goals, the manner in which we engage in lobbying activities to advance these goals and the disclosures we prepare to describe these efforts are the result of complex business decisions to prioritize and report on these topics. </w:t>
      </w:r>
    </w:p>
    <w:p>
      <w:pPr>
        <w:pStyle w:val="TextBody"/>
        <w:spacing w:before="280" w:after="0"/>
        <w:jc w:val="left"/>
        <w:rPr>
          <w:rFonts w:ascii="arial" w:hAnsi="arial"/>
          <w:b/>
          <w:sz w:val="20"/>
        </w:rPr>
      </w:pPr>
      <w:r>
        <w:rPr>
          <w:rFonts w:ascii="arial" w:hAnsi="arial"/>
          <w:b/>
          <w:sz w:val="20"/>
        </w:rPr>
        <w:t xml:space="preserve">We Believe Our Nationally Recognized Political Lobbying Disclosures Reflect Best Practices </w:t>
      </w:r>
    </w:p>
    <w:p>
      <w:pPr>
        <w:pStyle w:val="TextBody"/>
        <w:spacing w:before="120" w:after="0"/>
        <w:jc w:val="left"/>
        <w:rPr>
          <w:rFonts w:ascii="arial" w:hAnsi="arial"/>
          <w:sz w:val="16"/>
        </w:rPr>
      </w:pPr>
      <w:r>
        <w:rPr>
          <w:rFonts w:ascii="arial" w:hAnsi="arial"/>
          <w:sz w:val="16"/>
        </w:rPr>
        <w:t xml:space="preserve">We believe our lobbying disclosures are consistent with best practices, both in our industry and in general, and we have been nationally recognized for our efforts. In December 2020, we were recognized for the fifth consecutive year as a Trendsetter in political disclosure practices and accountability in the 2020 CPA-Zicklin Index. The CPA-Zicklin Index, which is released annually by the Center for Political Accountability (CPA) and the Zicklin Center for Business Ethics Research at The Wharton School at the University of Pennsylvania, measures political disclosure and accountability policies and practices for election-related spending by S&amp;P 500 companies, including political spending policies and board oversight. Companies that score 90 points or higher on the index are considered Trendsetters. Our recognition on this index in 2020 includes the following 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128"/>
        <w:gridCol w:w="9868"/>
      </w:tblGrid>
      <w:tr>
        <w:trPr/>
        <w:tc>
          <w:tcPr>
            <w:tcW w:w="209"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68" w:type="dxa"/>
            <w:tcBorders/>
            <w:shd w:fill="auto" w:val="clear"/>
          </w:tcPr>
          <w:p>
            <w:pPr>
              <w:pStyle w:val="TableContents"/>
              <w:spacing w:before="0" w:after="0"/>
              <w:jc w:val="left"/>
              <w:rPr>
                <w:rFonts w:ascii="arial" w:hAnsi="arial"/>
                <w:sz w:val="16"/>
              </w:rPr>
            </w:pPr>
            <w:r>
              <w:rPr>
                <w:rFonts w:ascii="arial" w:hAnsi="arial"/>
                <w:sz w:val="16"/>
              </w:rPr>
              <w:t xml:space="preserve">We achieved a score of 95.7 out of a possible 100 and were among the top-performing companies in the utility sector. Of the 492 companies studied in 2020, the average score on the index was 50.1.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2"/>
        <w:gridCol w:w="130"/>
        <w:gridCol w:w="9863"/>
      </w:tblGrid>
      <w:tr>
        <w:trPr/>
        <w:tc>
          <w:tcPr>
            <w:tcW w:w="212"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863" w:type="dxa"/>
            <w:tcBorders/>
            <w:shd w:fill="auto" w:val="clear"/>
          </w:tcPr>
          <w:p>
            <w:pPr>
              <w:pStyle w:val="TableContents"/>
              <w:spacing w:before="0" w:after="0"/>
              <w:jc w:val="left"/>
              <w:rPr>
                <w:rFonts w:ascii="arial" w:hAnsi="arial"/>
                <w:sz w:val="16"/>
              </w:rPr>
            </w:pPr>
            <w:r>
              <w:rPr>
                <w:rFonts w:ascii="arial" w:hAnsi="arial"/>
                <w:sz w:val="16"/>
              </w:rPr>
              <w:t xml:space="preserve">We were recognized for the fifth consecutive year as a Trendsetter on the index, and this years ranking marked the seventh consecutive year that the company has been ranked in the first tier, which represents businesses scoring 80 points or higher. </w:t>
            </w:r>
          </w:p>
        </w:tc>
      </w:tr>
    </w:tbl>
    <w:p>
      <w:pPr>
        <w:pStyle w:val="TextBody"/>
        <w:spacing w:before="160" w:after="0"/>
        <w:jc w:val="left"/>
        <w:rPr>
          <w:rFonts w:ascii="arial" w:hAnsi="arial"/>
          <w:sz w:val="16"/>
        </w:rPr>
      </w:pPr>
      <w:r>
        <w:rPr>
          <w:rFonts w:ascii="arial" w:hAnsi="arial"/>
          <w:sz w:val="16"/>
        </w:rPr>
        <w:t xml:space="preserve">Based upon this national recognition and various other factors, the board believes our existing comprehensive lobbying disclosures, including their content and format, are consistent with best practices. </w:t>
      </w:r>
    </w:p>
    <w:p>
      <w:pPr>
        <w:pStyle w:val="TextBody"/>
        <w:spacing w:before="280" w:after="0"/>
        <w:jc w:val="left"/>
        <w:rPr>
          <w:rFonts w:ascii="arial" w:hAnsi="arial"/>
          <w:b/>
          <w:sz w:val="20"/>
        </w:rPr>
      </w:pPr>
      <w:r>
        <w:rPr>
          <w:rFonts w:ascii="arial" w:hAnsi="arial"/>
          <w:b/>
          <w:sz w:val="20"/>
        </w:rPr>
        <w:t xml:space="preserve">We Believe Our Lobbying Activities Present an Opportunity to Advance Our Commitment to Sustainability and the Long-Term Interests of Our Shareholders </w:t>
      </w:r>
    </w:p>
    <w:p>
      <w:pPr>
        <w:pStyle w:val="TextBody"/>
        <w:spacing w:before="120" w:after="0"/>
        <w:jc w:val="left"/>
        <w:rPr>
          <w:rFonts w:ascii="arial" w:hAnsi="arial"/>
          <w:sz w:val="16"/>
        </w:rPr>
      </w:pPr>
      <w:r>
        <w:rPr>
          <w:rFonts w:ascii="arial" w:hAnsi="arial"/>
          <w:sz w:val="16"/>
        </w:rPr>
        <w:t xml:space="preserve">We may not agree with all of the positions of every industry, trade or policy organization in which we participate. For example, at times, the policy positions and lobbying activities of the trade associations with which we are members may not fully align with our positions on particular issues, including the Paris Agreements goals and other climate change and sustainability topics. However, we believe, through continuous participation with these organizations, we have an opportunity to influence their positions in a manner that aligns with our commitment to sustainability and the long-term interests of our shareholders. We work to do this in three primary ways: (1) education of the association staff and key members; (2) ongoing engagement with the association to try to move consensus positions; and (3) if needed, dissenting from association positions, including not providing formal company participation or endorsement. </w:t>
      </w:r>
    </w:p>
    <w:p>
      <w:pPr>
        <w:pStyle w:val="TextBody"/>
        <w:spacing w:before="160" w:after="0"/>
        <w:jc w:val="left"/>
        <w:rPr>
          <w:rFonts w:ascii="arial" w:hAnsi="arial"/>
          <w:sz w:val="16"/>
        </w:rPr>
      </w:pPr>
      <w:r>
        <w:rPr>
          <w:rFonts w:ascii="arial" w:hAnsi="arial"/>
          <w:sz w:val="16"/>
        </w:rPr>
        <w:t xml:space="preserve">We strive to align all of our lobbying and political activities with the goals and strategies of our business, including on sustainability and climate and on other matters that affect us. We also adhere to high ethical standards when engaging in these activities, and we comply with the laws and regulations that govern these activities and our related disclosures. </w:t>
      </w:r>
    </w:p>
    <w:p>
      <w:pPr>
        <w:pStyle w:val="TextBody"/>
        <w:spacing w:before="280" w:after="0"/>
        <w:jc w:val="left"/>
        <w:rPr>
          <w:rFonts w:ascii="arial" w:hAnsi="arial"/>
          <w:b/>
          <w:sz w:val="20"/>
        </w:rPr>
      </w:pPr>
      <w:r>
        <w:rPr>
          <w:rFonts w:ascii="arial" w:hAnsi="arial"/>
          <w:b/>
          <w:sz w:val="20"/>
        </w:rPr>
        <w:t xml:space="preserve">Our Robust Sustainability Disclosures </w:t>
      </w:r>
    </w:p>
    <w:p>
      <w:pPr>
        <w:pStyle w:val="TextBody"/>
        <w:spacing w:before="120" w:after="0"/>
        <w:jc w:val="left"/>
        <w:rPr>
          <w:rFonts w:ascii="arial" w:hAnsi="arial"/>
          <w:sz w:val="16"/>
        </w:rPr>
      </w:pPr>
      <w:r>
        <w:rPr>
          <w:rFonts w:ascii="arial" w:hAnsi="arial"/>
          <w:sz w:val="16"/>
        </w:rPr>
        <w:t xml:space="preserve">As with our lobbying disclosures, we are also committed to transparency in our sustainability goals and strategies. Our disclosures on these topics include annual corporate sustainability reports, which we have been producing for 12 years, a dedicated sustainability website, sustainability information contained in the documents we file with the SEC, policies and position statements relating to the environment and energy, and numerous press releases and other reports that provide additional information about our commitment to sustainability. Our most recent annual corporate sustainability report includes goals and achievements for a number of areas related to our sustainability efforts, including, among others, emissions reductions, renewable energy, energy efficiency, water use, employee and public safety and electric reliability. We also publicly report detailed information annually on our greenhouse gas emissions and climate-related risks and opportunities, and we have published detailed information about our efforts to help achieve Californias ambitious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41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Proposals to be Voted 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environmental goals, which we believe are aligned with the goals of the Paris Agreement. As described under Corporate GovernanceBoard of Directors above, we disclose our sustainability efforts and data in a transparent fashion and in alignment with prominent sustainability reporting frameworks, including GRI, SASB, TCFD and CDP. </w:t>
      </w:r>
    </w:p>
    <w:p>
      <w:pPr>
        <w:pStyle w:val="TextBody"/>
        <w:spacing w:before="280" w:after="0"/>
        <w:jc w:val="left"/>
        <w:rPr>
          <w:rFonts w:ascii="arial" w:hAnsi="arial"/>
          <w:b/>
          <w:sz w:val="20"/>
        </w:rPr>
      </w:pPr>
      <w:r>
        <w:rPr>
          <w:rFonts w:ascii="arial" w:hAnsi="arial"/>
          <w:b/>
          <w:sz w:val="20"/>
        </w:rPr>
        <w:t xml:space="preserve">Summary </w:t>
      </w:r>
    </w:p>
    <w:p>
      <w:pPr>
        <w:pStyle w:val="TextBody"/>
        <w:spacing w:before="120" w:after="0"/>
        <w:jc w:val="left"/>
        <w:rPr>
          <w:rFonts w:ascii="arial" w:hAnsi="arial"/>
          <w:sz w:val="16"/>
        </w:rPr>
      </w:pPr>
      <w:r>
        <w:rPr>
          <w:rFonts w:ascii="arial" w:hAnsi="arial"/>
          <w:sz w:val="16"/>
        </w:rPr>
        <w:t xml:space="preserve">We believe engaging with policymakers is both a valuable and necessary part of doing business and our responsibility as a leading energy infrastructure company, and we believe transparency about these efforts with our shareholders is important. As a result, we have taken significant steps to publicly disclose fulsome information about our political and lobbying activities, our environmental and climate goals, and the way in which these efforts align. Given the robust disclosures already available to our shareholders, the board believes the report requested by this Proposal 5 would be an unnecessary and unproductive use of the companys time and resources, and would present a limited view of the companys strategy and efforts that would not in itself be useful or additive to our shareholders. Moreover, based on our understanding of lobbying disclosure practices and our national recognition in this area, our existing lobbying disclosures are in line with current best practices. </w:t>
      </w:r>
    </w:p>
    <w:p>
      <w:pPr>
        <w:pStyle w:val="TextBody"/>
        <w:spacing w:before="280" w:after="0"/>
        <w:jc w:val="left"/>
        <w:rPr>
          <w:rFonts w:ascii="arial" w:hAnsi="arial"/>
          <w:b/>
          <w:color w:val="001C71"/>
          <w:sz w:val="24"/>
        </w:rPr>
      </w:pPr>
      <w:r>
        <w:rPr>
          <w:rFonts w:ascii="arial" w:hAnsi="arial"/>
          <w:b/>
          <w:color w:val="001C71"/>
          <w:sz w:val="24"/>
        </w:rPr>
        <w:t xml:space="preserve">Proposal to be Voted On, Board Recommendation and Vote Required </w:t>
      </w:r>
    </w:p>
    <w:p>
      <w:pPr>
        <w:pStyle w:val="TextBody"/>
        <w:spacing w:before="120" w:after="0"/>
        <w:jc w:val="left"/>
        <w:rPr>
          <w:rFonts w:ascii="arial" w:hAnsi="arial"/>
          <w:sz w:val="16"/>
        </w:rPr>
      </w:pPr>
      <w:r>
        <w:rPr>
          <w:rFonts w:ascii="arial" w:hAnsi="arial"/>
          <w:sz w:val="16"/>
        </w:rPr>
        <w:t xml:space="preserve">At the request of Putney School Inc Endowment Inv Mgr and other co-filers and Calvert Research and Management, our shareholders are being asked to vote on the proposal set forth above requesting a report on the alignment of our lobbying activities with the Paris Agreement, and we are recommending that shareholders vote against this proposal. This proposal will not be approved unless it receives FOR votes constituting a majority of the shares represented and voting at the Annual Shareholders Meeting at which a quorum is present, and the approving majority represents more than 25% of our outstanding shares. </w:t>
      </w:r>
    </w:p>
    <w:p>
      <w:pPr>
        <w:pStyle w:val="TextBody"/>
        <w:spacing w:before="0" w:after="0"/>
        <w:jc w:val="left"/>
        <w:rPr/>
      </w:pPr>
      <w:r>
        <w:rPr/>
        <w:t> </w:t>
      </w:r>
    </w:p>
    <w:p>
      <w:pPr>
        <w:pStyle w:val="TextBody"/>
        <w:pBdr/>
        <w:spacing w:before="0" w:after="160"/>
        <w:jc w:val="left"/>
        <w:rPr>
          <w:rFonts w:ascii="arial" w:hAnsi="arial"/>
          <w:color w:val="001C71"/>
          <w:sz w:val="24"/>
          <w:highlight w:val="white"/>
        </w:rPr>
      </w:pPr>
      <w:r>
        <w:rPr>
          <w:rFonts w:ascii="arial" w:hAnsi="arial"/>
          <w:color w:val="001C71"/>
          <w:sz w:val="24"/>
          <w:highlight w:val="white"/>
        </w:rPr>
        <w:t xml:space="preserve">The Board of Directors recommends that you vote AGAINST Proposal 5.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42</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xml:space="preserve">  </w:t>
      </w:r>
    </w:p>
    <w:p>
      <w:pPr>
        <w:pStyle w:val="TextBody"/>
        <w:spacing w:before="0" w:after="0"/>
        <w:jc w:val="left"/>
        <w:rPr>
          <w:rFonts w:ascii="arial" w:hAnsi="arial"/>
          <w:b/>
          <w:color w:val="001C71"/>
          <w:sz w:val="44"/>
        </w:rPr>
      </w:pPr>
      <w:bookmarkStart w:id="20" w:name="toc108157_18"/>
      <w:bookmarkEnd w:id="20"/>
      <w:r>
        <w:rPr>
          <w:rFonts w:ascii="arial" w:hAnsi="arial"/>
          <w:b/>
          <w:color w:val="001C71"/>
          <w:sz w:val="44"/>
        </w:rPr>
        <w:t xml:space="preserve">Executive Compensation </w:t>
      </w:r>
    </w:p>
    <w:p>
      <w:pPr>
        <w:pStyle w:val="TextBody"/>
        <w:spacing w:before="360" w:after="0"/>
        <w:jc w:val="left"/>
        <w:rPr>
          <w:rFonts w:ascii="arial" w:hAnsi="arial"/>
          <w:b/>
          <w:sz w:val="35"/>
        </w:rPr>
      </w:pPr>
      <w:bookmarkStart w:id="21" w:name="toc108157_19"/>
      <w:bookmarkEnd w:id="21"/>
      <w:r>
        <w:rPr>
          <w:rFonts w:ascii="arial" w:hAnsi="arial"/>
          <w:b/>
          <w:sz w:val="35"/>
        </w:rPr>
        <w:t xml:space="preserve">Compensation Discussion and Analysis </w:t>
      </w:r>
    </w:p>
    <w:p>
      <w:pPr>
        <w:pStyle w:val="TextBody"/>
        <w:spacing w:before="360" w:after="0"/>
        <w:jc w:val="left"/>
        <w:rPr>
          <w:rFonts w:ascii="arial" w:hAnsi="arial"/>
          <w:sz w:val="28"/>
        </w:rPr>
      </w:pPr>
      <w:bookmarkStart w:id="22" w:name="tx108157_1"/>
      <w:bookmarkEnd w:id="22"/>
      <w:r>
        <w:rPr>
          <w:rFonts w:ascii="arial" w:hAnsi="arial"/>
          <w:sz w:val="28"/>
        </w:rPr>
        <w:t xml:space="preserve">Executive Summary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In this Compensation Discussion and Analysis, we: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Outline our compensation philosophy and program goals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arial" w:hAnsi="arial"/>
                <w:sz w:val="16"/>
              </w:rPr>
            </w:pPr>
            <w:r>
              <w:rPr>
                <w:rFonts w:ascii="arial" w:hAnsi="arial"/>
                <w:sz w:val="16"/>
              </w:rPr>
              <w:t xml:space="preserve">Discuss how the Compensation and Talent Development Committee determines executive pay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0"/>
        <w:gridCol w:w="128"/>
        <w:gridCol w:w="9877"/>
      </w:tblGrid>
      <w:tr>
        <w:trPr/>
        <w:tc>
          <w:tcPr>
            <w:tcW w:w="200"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7" w:type="dxa"/>
            <w:tcBorders/>
            <w:shd w:fill="auto" w:val="clear"/>
          </w:tcPr>
          <w:p>
            <w:pPr>
              <w:pStyle w:val="TableContents"/>
              <w:spacing w:before="0" w:after="0"/>
              <w:jc w:val="left"/>
              <w:rPr>
                <w:rFonts w:ascii="arial" w:hAnsi="arial"/>
                <w:sz w:val="16"/>
              </w:rPr>
            </w:pPr>
            <w:r>
              <w:rPr>
                <w:rFonts w:ascii="arial" w:hAnsi="arial"/>
                <w:sz w:val="16"/>
              </w:rPr>
              <w:t xml:space="preserve">Describe each element of executive pay, including base salaries, short-term and long-term incentives and executive benefits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Describe the rationale for each element of executive pay in the context of our compensation philosophy and program goals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876"/>
        <w:gridCol w:w="842"/>
        <w:gridCol w:w="1487"/>
      </w:tblGrid>
      <w:tr>
        <w:trPr/>
        <w:tc>
          <w:tcPr>
            <w:tcW w:w="7876"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bottom"/>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7876" w:type="dxa"/>
            <w:tcBorders/>
            <w:shd w:fill="001C71" w:val="clear"/>
            <w:vAlign w:val="center"/>
          </w:tcPr>
          <w:p>
            <w:pPr>
              <w:pStyle w:val="TableContents"/>
              <w:spacing w:before="0" w:after="283"/>
              <w:rPr>
                <w:sz w:val="4"/>
                <w:szCs w:val="4"/>
              </w:rPr>
            </w:pPr>
            <w:r>
              <w:rPr>
                <w:sz w:val="4"/>
                <w:szCs w:val="4"/>
              </w:rPr>
            </w:r>
          </w:p>
        </w:tc>
        <w:tc>
          <w:tcPr>
            <w:tcW w:w="2329" w:type="dxa"/>
            <w:gridSpan w:val="2"/>
            <w:tcBorders/>
            <w:shd w:fill="001C71" w:val="clear"/>
            <w:vAlign w:val="center"/>
          </w:tcPr>
          <w:p>
            <w:pPr>
              <w:pStyle w:val="TableContents"/>
              <w:spacing w:before="0" w:after="283"/>
              <w:rPr>
                <w:sz w:val="4"/>
                <w:szCs w:val="4"/>
              </w:rPr>
            </w:pPr>
            <w:r>
              <w:rPr>
                <w:sz w:val="4"/>
                <w:szCs w:val="4"/>
              </w:rPr>
            </w:r>
          </w:p>
        </w:tc>
      </w:tr>
      <w:tr>
        <w:trPr/>
        <w:tc>
          <w:tcPr>
            <w:tcW w:w="7876"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Section</w:t>
            </w:r>
          </w:p>
        </w:tc>
        <w:tc>
          <w:tcPr>
            <w:tcW w:w="842" w:type="dxa"/>
            <w:tcBorders/>
            <w:shd w:fill="001C71" w:val="clear"/>
            <w:vAlign w:val="bottom"/>
          </w:tcPr>
          <w:p>
            <w:pPr>
              <w:pStyle w:val="TableContents"/>
              <w:spacing w:before="0" w:after="283"/>
              <w:rPr/>
            </w:pPr>
            <w:r>
              <w:rPr/>
              <w:t>  </w:t>
            </w:r>
          </w:p>
        </w:tc>
        <w:tc>
          <w:tcPr>
            <w:tcW w:w="1487" w:type="dxa"/>
            <w:tcBorders/>
            <w:shd w:fill="001C71" w:val="clear"/>
            <w:vAlign w:val="bottom"/>
          </w:tcPr>
          <w:p>
            <w:pPr>
              <w:pStyle w:val="TableContents"/>
              <w:spacing w:before="0" w:after="283"/>
              <w:jc w:val="center"/>
              <w:rPr>
                <w:color w:val="FFFFFF"/>
              </w:rPr>
            </w:pPr>
            <w:r>
              <w:rPr>
                <w:color w:val="FFFFFF"/>
              </w:rPr>
              <w:t>        </w:t>
            </w:r>
            <w:r>
              <w:rPr>
                <w:b/>
                <w:color w:val="FFFFFF"/>
              </w:rPr>
              <w:t>Page        </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1">
              <w:r>
                <w:rPr>
                  <w:rStyle w:val="InternetLink"/>
                  <w:rFonts w:ascii="arial" w:hAnsi="arial"/>
                  <w:b/>
                  <w:sz w:val="16"/>
                </w:rPr>
                <w:t>Executive Summary</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43</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2">
              <w:r>
                <w:rPr>
                  <w:rStyle w:val="InternetLink"/>
                  <w:rFonts w:ascii="arial" w:hAnsi="arial"/>
                  <w:sz w:val="16"/>
                </w:rPr>
                <w:t>Business Overview and Strategy</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44</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3">
              <w:r>
                <w:rPr>
                  <w:rStyle w:val="InternetLink"/>
                  <w:rFonts w:ascii="arial" w:hAnsi="arial"/>
                  <w:sz w:val="16"/>
                </w:rPr>
                <w:t>Performance Highlights</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45</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4">
              <w:r>
                <w:rPr>
                  <w:rStyle w:val="InternetLink"/>
                  <w:rFonts w:ascii="arial" w:hAnsi="arial"/>
                  <w:sz w:val="16"/>
                </w:rPr>
                <w:t>Shareholder Engagement</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46</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5">
              <w:r>
                <w:rPr>
                  <w:rStyle w:val="InternetLink"/>
                  <w:rFonts w:ascii="arial" w:hAnsi="arial"/>
                  <w:sz w:val="16"/>
                </w:rPr>
                <w:t>2020 Compensation Program Overview</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47</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6">
              <w:r>
                <w:rPr>
                  <w:rStyle w:val="InternetLink"/>
                  <w:rFonts w:ascii="arial" w:hAnsi="arial"/>
                  <w:sz w:val="16"/>
                </w:rPr>
                <w:t>Chief Executive Officer Target Compensation Summary</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49</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7">
              <w:r>
                <w:rPr>
                  <w:rStyle w:val="InternetLink"/>
                  <w:rFonts w:ascii="arial" w:hAnsi="arial"/>
                  <w:sz w:val="16"/>
                </w:rPr>
                <w:t>Pay-for-Performance Alignment</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49</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8">
              <w:r>
                <w:rPr>
                  <w:rStyle w:val="InternetLink"/>
                  <w:rFonts w:ascii="arial" w:hAnsi="arial"/>
                  <w:sz w:val="16"/>
                </w:rPr>
                <w:t>Rigor of Incentive Targets</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49</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9">
              <w:r>
                <w:rPr>
                  <w:rStyle w:val="InternetLink"/>
                  <w:rFonts w:ascii="arial" w:hAnsi="arial"/>
                  <w:sz w:val="16"/>
                </w:rPr>
                <w:t>Compensation Governance</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51</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10">
              <w:r>
                <w:rPr>
                  <w:rStyle w:val="InternetLink"/>
                  <w:rFonts w:ascii="arial" w:hAnsi="arial"/>
                  <w:b/>
                  <w:sz w:val="16"/>
                </w:rPr>
                <w:t>Compensation Philosophy and Program Goals</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51</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11">
              <w:r>
                <w:rPr>
                  <w:rStyle w:val="InternetLink"/>
                  <w:rFonts w:ascii="arial" w:hAnsi="arial"/>
                  <w:b/>
                  <w:sz w:val="16"/>
                </w:rPr>
                <w:t>Labor Market Benchmarking</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52</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12">
              <w:r>
                <w:rPr>
                  <w:rStyle w:val="InternetLink"/>
                  <w:rFonts w:ascii="arial" w:hAnsi="arial"/>
                  <w:b/>
                  <w:sz w:val="16"/>
                </w:rPr>
                <w:t>Compensation Components</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54</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13">
              <w:r>
                <w:rPr>
                  <w:rStyle w:val="InternetLink"/>
                  <w:rFonts w:ascii="arial" w:hAnsi="arial"/>
                  <w:sz w:val="16"/>
                </w:rPr>
                <w:t>Base Salaries</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54</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14">
              <w:r>
                <w:rPr>
                  <w:rStyle w:val="InternetLink"/>
                  <w:rFonts w:ascii="arial" w:hAnsi="arial"/>
                  <w:sz w:val="16"/>
                </w:rPr>
                <w:t>Performance-Based Annual Bonuses</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54</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15">
              <w:r>
                <w:rPr>
                  <w:rStyle w:val="InternetLink"/>
                  <w:rFonts w:ascii="arial" w:hAnsi="arial"/>
                  <w:sz w:val="16"/>
                </w:rPr>
                <w:t>Long-Term Equity-Based Incentives</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57</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16">
              <w:r>
                <w:rPr>
                  <w:rStyle w:val="InternetLink"/>
                  <w:rFonts w:ascii="arial" w:hAnsi="arial"/>
                  <w:sz w:val="16"/>
                </w:rPr>
                <w:t>Benefit Plans</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62</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17">
              <w:r>
                <w:rPr>
                  <w:rStyle w:val="InternetLink"/>
                  <w:rFonts w:ascii="arial" w:hAnsi="arial"/>
                  <w:sz w:val="16"/>
                </w:rPr>
                <w:t>Severance and Change in Control Arrangements</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65</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18">
              <w:r>
                <w:rPr>
                  <w:rStyle w:val="InternetLink"/>
                  <w:rFonts w:ascii="arial" w:hAnsi="arial"/>
                  <w:b/>
                  <w:sz w:val="16"/>
                </w:rPr>
                <w:t xml:space="preserve">Compensation and Talent Development Committee Roles and Responsibilities </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66</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19">
              <w:r>
                <w:rPr>
                  <w:rStyle w:val="InternetLink"/>
                  <w:rFonts w:ascii="arial" w:hAnsi="arial"/>
                  <w:b/>
                  <w:sz w:val="16"/>
                </w:rPr>
                <w:t>Managements Role</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67</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shd w:fill="auto" w:val="clear"/>
          </w:tcPr>
          <w:p>
            <w:pPr>
              <w:pStyle w:val="TableContents"/>
              <w:spacing w:before="0" w:after="0"/>
              <w:rPr/>
            </w:pPr>
            <w:hyperlink w:anchor="tx108157_20">
              <w:r>
                <w:rPr>
                  <w:rStyle w:val="InternetLink"/>
                  <w:rFonts w:ascii="arial" w:hAnsi="arial"/>
                  <w:b/>
                  <w:sz w:val="16"/>
                </w:rPr>
                <w:t>Managing Risk in Compensation Plans</w:t>
              </w:r>
            </w:hyperlink>
          </w:p>
        </w:tc>
        <w:tc>
          <w:tcPr>
            <w:tcW w:w="842"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center"/>
              <w:rPr/>
            </w:pPr>
            <w:r>
              <w:rPr/>
              <w:t>67</w:t>
            </w:r>
          </w:p>
        </w:tc>
      </w:tr>
      <w:tr>
        <w:trPr>
          <w:trHeight w:val="30" w:hRule="atLeast"/>
        </w:trPr>
        <w:tc>
          <w:tcPr>
            <w:tcW w:w="7876" w:type="dxa"/>
            <w:tcBorders/>
            <w:shd w:fill="E5E5E5" w:val="clear"/>
            <w:vAlign w:val="center"/>
          </w:tcPr>
          <w:p>
            <w:pPr>
              <w:pStyle w:val="TableContents"/>
              <w:spacing w:before="0" w:after="283"/>
              <w:rPr>
                <w:sz w:val="4"/>
                <w:szCs w:val="4"/>
              </w:rPr>
            </w:pPr>
            <w:r>
              <w:rPr>
                <w:sz w:val="4"/>
                <w:szCs w:val="4"/>
              </w:rPr>
            </w:r>
          </w:p>
        </w:tc>
        <w:tc>
          <w:tcPr>
            <w:tcW w:w="2329" w:type="dxa"/>
            <w:gridSpan w:val="2"/>
            <w:tcBorders/>
            <w:shd w:fill="E5E5E5" w:val="clear"/>
            <w:vAlign w:val="center"/>
          </w:tcPr>
          <w:p>
            <w:pPr>
              <w:pStyle w:val="TableContents"/>
              <w:spacing w:before="0" w:after="283"/>
              <w:rPr>
                <w:sz w:val="4"/>
                <w:szCs w:val="4"/>
              </w:rPr>
            </w:pPr>
            <w:r>
              <w:rPr>
                <w:sz w:val="4"/>
                <w:szCs w:val="4"/>
              </w:rPr>
            </w:r>
          </w:p>
        </w:tc>
      </w:tr>
      <w:tr>
        <w:trPr/>
        <w:tc>
          <w:tcPr>
            <w:tcW w:w="7876" w:type="dxa"/>
            <w:tcBorders/>
            <w:shd w:fill="E5E5E5" w:val="clear"/>
          </w:tcPr>
          <w:p>
            <w:pPr>
              <w:pStyle w:val="TableContents"/>
              <w:spacing w:before="0" w:after="0"/>
              <w:rPr/>
            </w:pPr>
            <w:hyperlink w:anchor="tx108157_21">
              <w:r>
                <w:rPr>
                  <w:rStyle w:val="InternetLink"/>
                  <w:rFonts w:ascii="arial" w:hAnsi="arial"/>
                  <w:b/>
                  <w:sz w:val="16"/>
                </w:rPr>
                <w:t>Share Ownership Guidelines</w:t>
              </w:r>
            </w:hyperlink>
          </w:p>
        </w:tc>
        <w:tc>
          <w:tcPr>
            <w:tcW w:w="842" w:type="dxa"/>
            <w:tcBorders/>
            <w:shd w:fill="E5E5E5" w:val="clear"/>
            <w:vAlign w:val="bottom"/>
          </w:tcPr>
          <w:p>
            <w:pPr>
              <w:pStyle w:val="TableContents"/>
              <w:spacing w:before="0" w:after="283"/>
              <w:rPr/>
            </w:pPr>
            <w:r>
              <w:rPr/>
              <w:t>  </w:t>
            </w:r>
          </w:p>
        </w:tc>
        <w:tc>
          <w:tcPr>
            <w:tcW w:w="1487" w:type="dxa"/>
            <w:tcBorders/>
            <w:shd w:fill="E5E5E5" w:val="clear"/>
            <w:vAlign w:val="bottom"/>
          </w:tcPr>
          <w:p>
            <w:pPr>
              <w:pStyle w:val="TableContents"/>
              <w:spacing w:before="0" w:after="283"/>
              <w:jc w:val="center"/>
              <w:rPr/>
            </w:pPr>
            <w:r>
              <w:rPr/>
              <w:t>69</w:t>
            </w:r>
          </w:p>
        </w:tc>
      </w:tr>
      <w:tr>
        <w:trPr>
          <w:trHeight w:val="30" w:hRule="atLeast"/>
        </w:trPr>
        <w:tc>
          <w:tcPr>
            <w:tcW w:w="7876" w:type="dxa"/>
            <w:tcBorders/>
            <w:shd w:fill="auto" w:val="clear"/>
            <w:vAlign w:val="center"/>
          </w:tcPr>
          <w:p>
            <w:pPr>
              <w:pStyle w:val="TableContents"/>
              <w:spacing w:before="0" w:after="283"/>
              <w:rPr>
                <w:sz w:val="4"/>
                <w:szCs w:val="4"/>
              </w:rPr>
            </w:pPr>
            <w:r>
              <w:rPr>
                <w:sz w:val="4"/>
                <w:szCs w:val="4"/>
              </w:rPr>
            </w:r>
          </w:p>
        </w:tc>
        <w:tc>
          <w:tcPr>
            <w:tcW w:w="2329" w:type="dxa"/>
            <w:gridSpan w:val="2"/>
            <w:tcBorders/>
            <w:shd w:fill="auto" w:val="clear"/>
            <w:vAlign w:val="center"/>
          </w:tcPr>
          <w:p>
            <w:pPr>
              <w:pStyle w:val="TableContents"/>
              <w:spacing w:before="0" w:after="283"/>
              <w:rPr>
                <w:sz w:val="4"/>
                <w:szCs w:val="4"/>
              </w:rPr>
            </w:pPr>
            <w:r>
              <w:rPr>
                <w:sz w:val="4"/>
                <w:szCs w:val="4"/>
              </w:rPr>
            </w:r>
          </w:p>
        </w:tc>
      </w:tr>
      <w:tr>
        <w:trPr/>
        <w:tc>
          <w:tcPr>
            <w:tcW w:w="7876" w:type="dxa"/>
            <w:tcBorders>
              <w:bottom w:val="single" w:sz="8" w:space="0" w:color="001C71"/>
            </w:tcBorders>
            <w:shd w:fill="auto" w:val="clear"/>
            <w:tcMar>
              <w:bottom w:w="60" w:type="dxa"/>
            </w:tcMar>
          </w:tcPr>
          <w:p>
            <w:pPr>
              <w:pStyle w:val="TableContents"/>
              <w:spacing w:before="0" w:after="0"/>
              <w:rPr/>
            </w:pPr>
            <w:hyperlink w:anchor="tx108157_22">
              <w:r>
                <w:rPr>
                  <w:rStyle w:val="InternetLink"/>
                  <w:rFonts w:ascii="arial" w:hAnsi="arial"/>
                  <w:b/>
                  <w:sz w:val="16"/>
                </w:rPr>
                <w:t xml:space="preserve">Impact of Regulatory Requirements </w:t>
              </w:r>
            </w:hyperlink>
          </w:p>
        </w:tc>
        <w:tc>
          <w:tcPr>
            <w:tcW w:w="842" w:type="dxa"/>
            <w:tcBorders>
              <w:bottom w:val="single" w:sz="8" w:space="0" w:color="001C71"/>
            </w:tcBorders>
            <w:shd w:fill="auto" w:val="clear"/>
            <w:tcMar>
              <w:bottom w:w="28" w:type="dxa"/>
            </w:tcMar>
            <w:vAlign w:val="bottom"/>
          </w:tcPr>
          <w:p>
            <w:pPr>
              <w:pStyle w:val="TableContents"/>
              <w:spacing w:before="0" w:after="283"/>
              <w:rPr/>
            </w:pPr>
            <w:r>
              <w:rPr/>
              <w:t>  </w:t>
            </w:r>
          </w:p>
        </w:tc>
        <w:tc>
          <w:tcPr>
            <w:tcW w:w="1487" w:type="dxa"/>
            <w:tcBorders>
              <w:bottom w:val="single" w:sz="8" w:space="0" w:color="001C71"/>
            </w:tcBorders>
            <w:shd w:fill="auto" w:val="clear"/>
            <w:tcMar>
              <w:bottom w:w="60" w:type="dxa"/>
            </w:tcMar>
            <w:vAlign w:val="bottom"/>
          </w:tcPr>
          <w:p>
            <w:pPr>
              <w:pStyle w:val="TableContents"/>
              <w:spacing w:before="0" w:after="283"/>
              <w:jc w:val="center"/>
              <w:rPr/>
            </w:pPr>
            <w:r>
              <w:rPr/>
              <w:t>69</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43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This Compensation Discussion and Analysis focuses on the compensation of the following individuals, who we collectively refer to as our named executive officers: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296"/>
        <w:gridCol w:w="125"/>
        <w:gridCol w:w="6784"/>
      </w:tblGrid>
      <w:tr>
        <w:trPr/>
        <w:tc>
          <w:tcPr>
            <w:tcW w:w="32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784"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296" w:type="dxa"/>
            <w:tcBorders/>
            <w:shd w:fill="001C71" w:val="clear"/>
            <w:vAlign w:val="center"/>
          </w:tcPr>
          <w:p>
            <w:pPr>
              <w:pStyle w:val="TableContents"/>
              <w:spacing w:before="0" w:after="283"/>
              <w:rPr>
                <w:sz w:val="4"/>
                <w:szCs w:val="4"/>
              </w:rPr>
            </w:pPr>
            <w:r>
              <w:rPr>
                <w:sz w:val="4"/>
                <w:szCs w:val="4"/>
              </w:rPr>
            </w:r>
          </w:p>
        </w:tc>
        <w:tc>
          <w:tcPr>
            <w:tcW w:w="6909" w:type="dxa"/>
            <w:gridSpan w:val="2"/>
            <w:tcBorders/>
            <w:shd w:fill="001C71" w:val="clear"/>
            <w:vAlign w:val="center"/>
          </w:tcPr>
          <w:p>
            <w:pPr>
              <w:pStyle w:val="TableContents"/>
              <w:spacing w:before="0" w:after="283"/>
              <w:rPr>
                <w:sz w:val="4"/>
                <w:szCs w:val="4"/>
              </w:rPr>
            </w:pPr>
            <w:r>
              <w:rPr>
                <w:sz w:val="4"/>
                <w:szCs w:val="4"/>
              </w:rPr>
            </w:r>
          </w:p>
        </w:tc>
      </w:tr>
      <w:tr>
        <w:trPr/>
        <w:tc>
          <w:tcPr>
            <w:tcW w:w="3296"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Named Executive Officer</w:t>
            </w:r>
          </w:p>
        </w:tc>
        <w:tc>
          <w:tcPr>
            <w:tcW w:w="125" w:type="dxa"/>
            <w:tcBorders/>
            <w:shd w:fill="001C71" w:val="clear"/>
            <w:vAlign w:val="bottom"/>
          </w:tcPr>
          <w:p>
            <w:pPr>
              <w:pStyle w:val="TableContents"/>
              <w:spacing w:before="0" w:after="283"/>
              <w:rPr/>
            </w:pPr>
            <w:r>
              <w:rPr/>
              <w:t>  </w:t>
            </w:r>
          </w:p>
        </w:tc>
        <w:tc>
          <w:tcPr>
            <w:tcW w:w="6784" w:type="dxa"/>
            <w:tcBorders/>
            <w:shd w:fill="001C71" w:val="clear"/>
            <w:vAlign w:val="bottom"/>
          </w:tcPr>
          <w:p>
            <w:pPr>
              <w:pStyle w:val="TableContents"/>
              <w:spacing w:before="0" w:after="283"/>
              <w:rPr>
                <w:b/>
                <w:color w:val="FFFFFF"/>
              </w:rPr>
            </w:pPr>
            <w:r>
              <w:rPr>
                <w:b/>
                <w:color w:val="FFFFFF"/>
              </w:rPr>
              <w:t>Title</w:t>
            </w:r>
          </w:p>
        </w:tc>
      </w:tr>
      <w:tr>
        <w:trPr>
          <w:trHeight w:val="30" w:hRule="atLeast"/>
        </w:trPr>
        <w:tc>
          <w:tcPr>
            <w:tcW w:w="3296" w:type="dxa"/>
            <w:tcBorders/>
            <w:shd w:fill="E5E5E5" w:val="clear"/>
            <w:vAlign w:val="center"/>
          </w:tcPr>
          <w:p>
            <w:pPr>
              <w:pStyle w:val="TableContents"/>
              <w:spacing w:before="0" w:after="283"/>
              <w:rPr>
                <w:sz w:val="4"/>
                <w:szCs w:val="4"/>
              </w:rPr>
            </w:pPr>
            <w:r>
              <w:rPr>
                <w:sz w:val="4"/>
                <w:szCs w:val="4"/>
              </w:rPr>
            </w:r>
          </w:p>
        </w:tc>
        <w:tc>
          <w:tcPr>
            <w:tcW w:w="6909" w:type="dxa"/>
            <w:gridSpan w:val="2"/>
            <w:tcBorders/>
            <w:shd w:fill="E5E5E5" w:val="clear"/>
            <w:vAlign w:val="center"/>
          </w:tcPr>
          <w:p>
            <w:pPr>
              <w:pStyle w:val="TableContents"/>
              <w:spacing w:before="0" w:after="283"/>
              <w:rPr>
                <w:sz w:val="4"/>
                <w:szCs w:val="4"/>
              </w:rPr>
            </w:pPr>
            <w:r>
              <w:rPr>
                <w:sz w:val="4"/>
                <w:szCs w:val="4"/>
              </w:rPr>
            </w:r>
          </w:p>
        </w:tc>
      </w:tr>
      <w:tr>
        <w:trPr/>
        <w:tc>
          <w:tcPr>
            <w:tcW w:w="3296" w:type="dxa"/>
            <w:tcBorders/>
            <w:shd w:fill="E5E5E5" w:val="clear"/>
          </w:tcPr>
          <w:p>
            <w:pPr>
              <w:pStyle w:val="TableContents"/>
              <w:spacing w:before="0" w:after="0"/>
              <w:rPr>
                <w:rFonts w:ascii="arial" w:hAnsi="arial"/>
                <w:sz w:val="16"/>
              </w:rPr>
            </w:pPr>
            <w:r>
              <w:rPr>
                <w:rFonts w:ascii="arial" w:hAnsi="arial"/>
                <w:sz w:val="16"/>
              </w:rPr>
              <w:t>Jeffrey W. Martin(1)</w:t>
            </w:r>
          </w:p>
        </w:tc>
        <w:tc>
          <w:tcPr>
            <w:tcW w:w="125" w:type="dxa"/>
            <w:tcBorders/>
            <w:shd w:fill="E5E5E5" w:val="clear"/>
            <w:vAlign w:val="bottom"/>
          </w:tcPr>
          <w:p>
            <w:pPr>
              <w:pStyle w:val="TableContents"/>
              <w:spacing w:before="0" w:after="283"/>
              <w:rPr/>
            </w:pPr>
            <w:r>
              <w:rPr/>
              <w:t>  </w:t>
            </w:r>
          </w:p>
        </w:tc>
        <w:tc>
          <w:tcPr>
            <w:tcW w:w="6784" w:type="dxa"/>
            <w:tcBorders/>
            <w:shd w:fill="E5E5E5" w:val="clear"/>
            <w:vAlign w:val="bottom"/>
          </w:tcPr>
          <w:p>
            <w:pPr>
              <w:pStyle w:val="TableContents"/>
              <w:spacing w:before="0" w:after="283"/>
              <w:rPr/>
            </w:pPr>
            <w:r>
              <w:rPr/>
              <w:t>Chairman, Chief Executive Officer and President</w:t>
            </w:r>
          </w:p>
        </w:tc>
      </w:tr>
      <w:tr>
        <w:trPr>
          <w:trHeight w:val="30" w:hRule="atLeast"/>
        </w:trPr>
        <w:tc>
          <w:tcPr>
            <w:tcW w:w="3296" w:type="dxa"/>
            <w:tcBorders/>
            <w:shd w:fill="auto" w:val="clear"/>
            <w:vAlign w:val="center"/>
          </w:tcPr>
          <w:p>
            <w:pPr>
              <w:pStyle w:val="TableContents"/>
              <w:spacing w:before="0" w:after="283"/>
              <w:rPr>
                <w:sz w:val="4"/>
                <w:szCs w:val="4"/>
              </w:rPr>
            </w:pPr>
            <w:r>
              <w:rPr>
                <w:sz w:val="4"/>
                <w:szCs w:val="4"/>
              </w:rPr>
            </w:r>
          </w:p>
        </w:tc>
        <w:tc>
          <w:tcPr>
            <w:tcW w:w="6909" w:type="dxa"/>
            <w:gridSpan w:val="2"/>
            <w:tcBorders/>
            <w:shd w:fill="auto" w:val="clear"/>
            <w:vAlign w:val="center"/>
          </w:tcPr>
          <w:p>
            <w:pPr>
              <w:pStyle w:val="TableContents"/>
              <w:spacing w:before="0" w:after="283"/>
              <w:rPr>
                <w:sz w:val="4"/>
                <w:szCs w:val="4"/>
              </w:rPr>
            </w:pPr>
            <w:r>
              <w:rPr>
                <w:sz w:val="4"/>
                <w:szCs w:val="4"/>
              </w:rPr>
            </w:r>
          </w:p>
        </w:tc>
      </w:tr>
      <w:tr>
        <w:trPr/>
        <w:tc>
          <w:tcPr>
            <w:tcW w:w="3296" w:type="dxa"/>
            <w:tcBorders/>
            <w:shd w:fill="auto" w:val="clear"/>
          </w:tcPr>
          <w:p>
            <w:pPr>
              <w:pStyle w:val="TableContents"/>
              <w:spacing w:before="0" w:after="0"/>
              <w:rPr>
                <w:rFonts w:ascii="arial" w:hAnsi="arial"/>
                <w:sz w:val="16"/>
              </w:rPr>
            </w:pPr>
            <w:r>
              <w:rPr>
                <w:rFonts w:ascii="arial" w:hAnsi="arial"/>
                <w:sz w:val="16"/>
              </w:rPr>
              <w:t>Trevor I. Mihalik</w:t>
            </w:r>
          </w:p>
        </w:tc>
        <w:tc>
          <w:tcPr>
            <w:tcW w:w="125" w:type="dxa"/>
            <w:tcBorders/>
            <w:shd w:fill="auto" w:val="clear"/>
            <w:vAlign w:val="bottom"/>
          </w:tcPr>
          <w:p>
            <w:pPr>
              <w:pStyle w:val="TableContents"/>
              <w:spacing w:before="0" w:after="283"/>
              <w:rPr/>
            </w:pPr>
            <w:r>
              <w:rPr/>
              <w:t>  </w:t>
            </w:r>
          </w:p>
        </w:tc>
        <w:tc>
          <w:tcPr>
            <w:tcW w:w="6784" w:type="dxa"/>
            <w:tcBorders/>
            <w:shd w:fill="auto" w:val="clear"/>
            <w:vAlign w:val="bottom"/>
          </w:tcPr>
          <w:p>
            <w:pPr>
              <w:pStyle w:val="TableContents"/>
              <w:spacing w:before="0" w:after="283"/>
              <w:rPr/>
            </w:pPr>
            <w:r>
              <w:rPr/>
              <w:t>Executive Vice President and Chief Financial Officer</w:t>
            </w:r>
          </w:p>
        </w:tc>
      </w:tr>
      <w:tr>
        <w:trPr>
          <w:trHeight w:val="30" w:hRule="atLeast"/>
        </w:trPr>
        <w:tc>
          <w:tcPr>
            <w:tcW w:w="3296" w:type="dxa"/>
            <w:tcBorders/>
            <w:shd w:fill="E5E5E5" w:val="clear"/>
            <w:vAlign w:val="center"/>
          </w:tcPr>
          <w:p>
            <w:pPr>
              <w:pStyle w:val="TableContents"/>
              <w:spacing w:before="0" w:after="283"/>
              <w:rPr>
                <w:sz w:val="4"/>
                <w:szCs w:val="4"/>
              </w:rPr>
            </w:pPr>
            <w:r>
              <w:rPr>
                <w:sz w:val="4"/>
                <w:szCs w:val="4"/>
              </w:rPr>
            </w:r>
          </w:p>
        </w:tc>
        <w:tc>
          <w:tcPr>
            <w:tcW w:w="6909" w:type="dxa"/>
            <w:gridSpan w:val="2"/>
            <w:tcBorders/>
            <w:shd w:fill="E5E5E5" w:val="clear"/>
            <w:vAlign w:val="center"/>
          </w:tcPr>
          <w:p>
            <w:pPr>
              <w:pStyle w:val="TableContents"/>
              <w:spacing w:before="0" w:after="283"/>
              <w:rPr>
                <w:sz w:val="4"/>
                <w:szCs w:val="4"/>
              </w:rPr>
            </w:pPr>
            <w:r>
              <w:rPr>
                <w:sz w:val="4"/>
                <w:szCs w:val="4"/>
              </w:rPr>
            </w:r>
          </w:p>
        </w:tc>
      </w:tr>
      <w:tr>
        <w:trPr/>
        <w:tc>
          <w:tcPr>
            <w:tcW w:w="3296" w:type="dxa"/>
            <w:tcBorders/>
            <w:shd w:fill="E5E5E5" w:val="clear"/>
          </w:tcPr>
          <w:p>
            <w:pPr>
              <w:pStyle w:val="TableContents"/>
              <w:spacing w:before="0" w:after="0"/>
              <w:rPr>
                <w:rFonts w:ascii="arial" w:hAnsi="arial"/>
                <w:sz w:val="16"/>
              </w:rPr>
            </w:pPr>
            <w:r>
              <w:rPr>
                <w:rFonts w:ascii="arial" w:hAnsi="arial"/>
                <w:sz w:val="16"/>
              </w:rPr>
              <w:t>Kevin C. Sagara(2)</w:t>
            </w:r>
          </w:p>
        </w:tc>
        <w:tc>
          <w:tcPr>
            <w:tcW w:w="125" w:type="dxa"/>
            <w:tcBorders/>
            <w:shd w:fill="E5E5E5" w:val="clear"/>
            <w:vAlign w:val="bottom"/>
          </w:tcPr>
          <w:p>
            <w:pPr>
              <w:pStyle w:val="TableContents"/>
              <w:spacing w:before="0" w:after="283"/>
              <w:rPr/>
            </w:pPr>
            <w:r>
              <w:rPr/>
              <w:t>  </w:t>
            </w:r>
          </w:p>
        </w:tc>
        <w:tc>
          <w:tcPr>
            <w:tcW w:w="6784" w:type="dxa"/>
            <w:tcBorders/>
            <w:shd w:fill="E5E5E5" w:val="clear"/>
            <w:vAlign w:val="bottom"/>
          </w:tcPr>
          <w:p>
            <w:pPr>
              <w:pStyle w:val="TableContents"/>
              <w:spacing w:before="0" w:after="283"/>
              <w:rPr/>
            </w:pPr>
            <w:r>
              <w:rPr/>
              <w:t>Executive Vice President and Group President</w:t>
            </w:r>
          </w:p>
        </w:tc>
      </w:tr>
      <w:tr>
        <w:trPr>
          <w:trHeight w:val="30" w:hRule="atLeast"/>
        </w:trPr>
        <w:tc>
          <w:tcPr>
            <w:tcW w:w="3296" w:type="dxa"/>
            <w:tcBorders/>
            <w:shd w:fill="auto" w:val="clear"/>
            <w:vAlign w:val="center"/>
          </w:tcPr>
          <w:p>
            <w:pPr>
              <w:pStyle w:val="TableContents"/>
              <w:spacing w:before="0" w:after="283"/>
              <w:rPr>
                <w:sz w:val="4"/>
                <w:szCs w:val="4"/>
              </w:rPr>
            </w:pPr>
            <w:r>
              <w:rPr>
                <w:sz w:val="4"/>
                <w:szCs w:val="4"/>
              </w:rPr>
            </w:r>
          </w:p>
        </w:tc>
        <w:tc>
          <w:tcPr>
            <w:tcW w:w="6909" w:type="dxa"/>
            <w:gridSpan w:val="2"/>
            <w:tcBorders/>
            <w:shd w:fill="auto" w:val="clear"/>
            <w:vAlign w:val="center"/>
          </w:tcPr>
          <w:p>
            <w:pPr>
              <w:pStyle w:val="TableContents"/>
              <w:spacing w:before="0" w:after="283"/>
              <w:rPr>
                <w:sz w:val="4"/>
                <w:szCs w:val="4"/>
              </w:rPr>
            </w:pPr>
            <w:r>
              <w:rPr>
                <w:sz w:val="4"/>
                <w:szCs w:val="4"/>
              </w:rPr>
            </w:r>
          </w:p>
        </w:tc>
      </w:tr>
      <w:tr>
        <w:trPr/>
        <w:tc>
          <w:tcPr>
            <w:tcW w:w="3296" w:type="dxa"/>
            <w:tcBorders/>
            <w:shd w:fill="auto" w:val="clear"/>
          </w:tcPr>
          <w:p>
            <w:pPr>
              <w:pStyle w:val="TableContents"/>
              <w:spacing w:before="0" w:after="0"/>
              <w:rPr>
                <w:rFonts w:ascii="arial" w:hAnsi="arial"/>
                <w:sz w:val="16"/>
              </w:rPr>
            </w:pPr>
            <w:r>
              <w:rPr>
                <w:rFonts w:ascii="arial" w:hAnsi="arial"/>
                <w:sz w:val="16"/>
              </w:rPr>
              <w:t>Peter R. Wall(3)</w:t>
            </w:r>
          </w:p>
        </w:tc>
        <w:tc>
          <w:tcPr>
            <w:tcW w:w="125" w:type="dxa"/>
            <w:tcBorders/>
            <w:shd w:fill="auto" w:val="clear"/>
            <w:vAlign w:val="bottom"/>
          </w:tcPr>
          <w:p>
            <w:pPr>
              <w:pStyle w:val="TableContents"/>
              <w:spacing w:before="0" w:after="283"/>
              <w:rPr/>
            </w:pPr>
            <w:r>
              <w:rPr/>
              <w:t>  </w:t>
            </w:r>
          </w:p>
        </w:tc>
        <w:tc>
          <w:tcPr>
            <w:tcW w:w="6784" w:type="dxa"/>
            <w:tcBorders/>
            <w:shd w:fill="auto" w:val="clear"/>
            <w:vAlign w:val="bottom"/>
          </w:tcPr>
          <w:p>
            <w:pPr>
              <w:pStyle w:val="TableContents"/>
              <w:spacing w:before="0" w:after="283"/>
              <w:rPr/>
            </w:pPr>
            <w:r>
              <w:rPr/>
              <w:t>Senior Vice President, Controller and Chief Accounting Officer</w:t>
            </w:r>
          </w:p>
        </w:tc>
      </w:tr>
      <w:tr>
        <w:trPr>
          <w:trHeight w:val="30" w:hRule="atLeast"/>
        </w:trPr>
        <w:tc>
          <w:tcPr>
            <w:tcW w:w="3296" w:type="dxa"/>
            <w:tcBorders/>
            <w:shd w:fill="E5E5E5" w:val="clear"/>
            <w:vAlign w:val="center"/>
          </w:tcPr>
          <w:p>
            <w:pPr>
              <w:pStyle w:val="TableContents"/>
              <w:spacing w:before="0" w:after="283"/>
              <w:rPr>
                <w:sz w:val="4"/>
                <w:szCs w:val="4"/>
              </w:rPr>
            </w:pPr>
            <w:r>
              <w:rPr>
                <w:sz w:val="4"/>
                <w:szCs w:val="4"/>
              </w:rPr>
            </w:r>
          </w:p>
        </w:tc>
        <w:tc>
          <w:tcPr>
            <w:tcW w:w="6909" w:type="dxa"/>
            <w:gridSpan w:val="2"/>
            <w:tcBorders/>
            <w:shd w:fill="E5E5E5" w:val="clear"/>
            <w:vAlign w:val="center"/>
          </w:tcPr>
          <w:p>
            <w:pPr>
              <w:pStyle w:val="TableContents"/>
              <w:spacing w:before="0" w:after="283"/>
              <w:rPr>
                <w:sz w:val="4"/>
                <w:szCs w:val="4"/>
              </w:rPr>
            </w:pPr>
            <w:r>
              <w:rPr>
                <w:sz w:val="4"/>
                <w:szCs w:val="4"/>
              </w:rPr>
            </w:r>
          </w:p>
        </w:tc>
      </w:tr>
      <w:tr>
        <w:trPr/>
        <w:tc>
          <w:tcPr>
            <w:tcW w:w="3296" w:type="dxa"/>
            <w:tcBorders/>
            <w:shd w:fill="E5E5E5" w:val="clear"/>
          </w:tcPr>
          <w:p>
            <w:pPr>
              <w:pStyle w:val="TableContents"/>
              <w:spacing w:before="0" w:after="0"/>
              <w:rPr>
                <w:rFonts w:ascii="arial" w:hAnsi="arial"/>
                <w:sz w:val="16"/>
              </w:rPr>
            </w:pPr>
            <w:r>
              <w:rPr>
                <w:rFonts w:ascii="arial" w:hAnsi="arial"/>
                <w:sz w:val="16"/>
              </w:rPr>
              <w:t>Dennis V. Arriola(4)</w:t>
            </w:r>
          </w:p>
        </w:tc>
        <w:tc>
          <w:tcPr>
            <w:tcW w:w="125" w:type="dxa"/>
            <w:tcBorders/>
            <w:shd w:fill="E5E5E5" w:val="clear"/>
            <w:vAlign w:val="bottom"/>
          </w:tcPr>
          <w:p>
            <w:pPr>
              <w:pStyle w:val="TableContents"/>
              <w:spacing w:before="0" w:after="283"/>
              <w:rPr/>
            </w:pPr>
            <w:r>
              <w:rPr/>
              <w:t>  </w:t>
            </w:r>
          </w:p>
        </w:tc>
        <w:tc>
          <w:tcPr>
            <w:tcW w:w="6784" w:type="dxa"/>
            <w:tcBorders/>
            <w:shd w:fill="E5E5E5" w:val="clear"/>
            <w:vAlign w:val="bottom"/>
          </w:tcPr>
          <w:p>
            <w:pPr>
              <w:pStyle w:val="TableContents"/>
              <w:spacing w:before="0" w:after="283"/>
              <w:rPr/>
            </w:pPr>
            <w:r>
              <w:rPr/>
              <w:t>Former Executive Vice President and Group President</w:t>
            </w:r>
          </w:p>
        </w:tc>
      </w:tr>
      <w:tr>
        <w:trPr>
          <w:trHeight w:val="30" w:hRule="atLeast"/>
        </w:trPr>
        <w:tc>
          <w:tcPr>
            <w:tcW w:w="3296" w:type="dxa"/>
            <w:tcBorders/>
            <w:shd w:fill="auto" w:val="clear"/>
            <w:vAlign w:val="center"/>
          </w:tcPr>
          <w:p>
            <w:pPr>
              <w:pStyle w:val="TableContents"/>
              <w:spacing w:before="0" w:after="283"/>
              <w:rPr>
                <w:sz w:val="4"/>
                <w:szCs w:val="4"/>
              </w:rPr>
            </w:pPr>
            <w:r>
              <w:rPr>
                <w:sz w:val="4"/>
                <w:szCs w:val="4"/>
              </w:rPr>
            </w:r>
          </w:p>
        </w:tc>
        <w:tc>
          <w:tcPr>
            <w:tcW w:w="6909" w:type="dxa"/>
            <w:gridSpan w:val="2"/>
            <w:tcBorders/>
            <w:shd w:fill="auto" w:val="clear"/>
            <w:vAlign w:val="center"/>
          </w:tcPr>
          <w:p>
            <w:pPr>
              <w:pStyle w:val="TableContents"/>
              <w:spacing w:before="0" w:after="283"/>
              <w:rPr>
                <w:sz w:val="4"/>
                <w:szCs w:val="4"/>
              </w:rPr>
            </w:pPr>
            <w:r>
              <w:rPr>
                <w:sz w:val="4"/>
                <w:szCs w:val="4"/>
              </w:rPr>
            </w:r>
          </w:p>
        </w:tc>
      </w:tr>
      <w:tr>
        <w:trPr/>
        <w:tc>
          <w:tcPr>
            <w:tcW w:w="3296"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George W. Bilicic(5)</w:t>
            </w:r>
          </w:p>
        </w:tc>
        <w:tc>
          <w:tcPr>
            <w:tcW w:w="125" w:type="dxa"/>
            <w:tcBorders>
              <w:bottom w:val="single" w:sz="8" w:space="0" w:color="001C71"/>
            </w:tcBorders>
            <w:shd w:fill="auto" w:val="clear"/>
            <w:tcMar>
              <w:bottom w:w="28" w:type="dxa"/>
            </w:tcMar>
            <w:vAlign w:val="bottom"/>
          </w:tcPr>
          <w:p>
            <w:pPr>
              <w:pStyle w:val="TableContents"/>
              <w:spacing w:before="0" w:after="283"/>
              <w:rPr/>
            </w:pPr>
            <w:r>
              <w:rPr/>
              <w:t>  </w:t>
            </w:r>
          </w:p>
        </w:tc>
        <w:tc>
          <w:tcPr>
            <w:tcW w:w="6784" w:type="dxa"/>
            <w:tcBorders>
              <w:bottom w:val="single" w:sz="8" w:space="0" w:color="001C71"/>
            </w:tcBorders>
            <w:shd w:fill="auto" w:val="clear"/>
            <w:tcMar>
              <w:bottom w:w="60" w:type="dxa"/>
            </w:tcMar>
            <w:vAlign w:val="bottom"/>
          </w:tcPr>
          <w:p>
            <w:pPr>
              <w:pStyle w:val="TableContents"/>
              <w:spacing w:before="0" w:after="283"/>
              <w:rPr/>
            </w:pPr>
            <w:r>
              <w:rPr/>
              <w:t>Former President and Chief Legal Officer</w:t>
            </w:r>
          </w:p>
        </w:tc>
      </w:tr>
    </w:tbl>
    <w:p>
      <w:pPr>
        <w:pStyle w:val="TextBody"/>
        <w:spacing w:before="80" w:after="0"/>
        <w:jc w:val="left"/>
        <w:rPr>
          <w:rFonts w:ascii="arial" w:hAnsi="arial"/>
          <w:i/>
          <w:sz w:val="14"/>
        </w:rPr>
      </w:pPr>
      <w:r>
        <w:rPr>
          <w:rFonts w:ascii="arial" w:hAnsi="arial"/>
          <w:i/>
          <w:sz w:val="14"/>
        </w:rPr>
        <w:t xml:space="preserve">Table 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Martin assumed the President role upon the departure of George Bilicic.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Sagara was appointed as Executive Vice President and Group President effective June 27, 2020. Prior to such appointment, he was Chairman and Chief Executive Officer of SDG&amp;E.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(3)</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Wall was promoted from Vice President, Controller and Chief Accounting Officer to Senior Vice President, Controller and Chief Accounting Officer effective April 4,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(4)</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Arriola retired effective July 3,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(5)</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Bilicic separated from service effective March 30, 2020. </w:t>
            </w:r>
          </w:p>
        </w:tc>
      </w:tr>
    </w:tbl>
    <w:p>
      <w:pPr>
        <w:pStyle w:val="TextBody"/>
        <w:spacing w:before="280" w:after="0"/>
        <w:jc w:val="left"/>
        <w:rPr>
          <w:rFonts w:ascii="arial" w:hAnsi="arial"/>
          <w:b/>
          <w:color w:val="001C71"/>
          <w:sz w:val="24"/>
        </w:rPr>
      </w:pPr>
      <w:bookmarkStart w:id="23" w:name="tx108157_2"/>
      <w:bookmarkEnd w:id="23"/>
      <w:r>
        <w:rPr>
          <w:rFonts w:ascii="arial" w:hAnsi="arial"/>
          <w:b/>
          <w:color w:val="001C71"/>
          <w:sz w:val="24"/>
        </w:rPr>
        <w:t xml:space="preserve">Business Overview and Strategy </w:t>
      </w:r>
    </w:p>
    <w:p>
      <w:pPr>
        <w:pStyle w:val="TextBody"/>
        <w:spacing w:before="120" w:after="0"/>
        <w:jc w:val="left"/>
        <w:rPr>
          <w:rFonts w:ascii="arial" w:hAnsi="arial"/>
          <w:sz w:val="16"/>
        </w:rPr>
      </w:pPr>
      <w:r>
        <w:rPr>
          <w:rFonts w:ascii="arial" w:hAnsi="arial"/>
          <w:sz w:val="16"/>
        </w:rPr>
        <w:t xml:space="preserve">Sempra Energys management team has set a clear mission to be North Americas premier energy infrastructure company. In alignment with this, we: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4"/>
        <w:gridCol w:w="129"/>
        <w:gridCol w:w="9872"/>
      </w:tblGrid>
      <w:tr>
        <w:trPr/>
        <w:tc>
          <w:tcPr>
            <w:tcW w:w="204" w:type="dxa"/>
            <w:tcBorders/>
            <w:shd w:fill="auto" w:val="clear"/>
          </w:tcPr>
          <w:p>
            <w:pPr>
              <w:pStyle w:val="TableContents"/>
              <w:spacing w:before="0" w:after="283"/>
              <w:jc w:val="left"/>
              <w:rPr>
                <w:color w:val="001C71"/>
              </w:rPr>
            </w:pPr>
            <w:r>
              <w:rPr>
                <w:color w:val="001C71"/>
              </w:rPr>
              <w:t></w:t>
            </w:r>
          </w:p>
        </w:tc>
        <w:tc>
          <w:tcPr>
            <w:tcW w:w="129"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Simplified our business model and sharpened our focus on what we believe are the most attractive markets in North America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0"/>
              <w:jc w:val="left"/>
              <w:rPr>
                <w:rFonts w:ascii="arial" w:hAnsi="arial"/>
                <w:sz w:val="16"/>
              </w:rPr>
            </w:pPr>
            <w:r>
              <w:rPr>
                <w:rFonts w:ascii="arial" w:hAnsi="arial"/>
                <w:sz w:val="16"/>
              </w:rPr>
              <w:t xml:space="preserve">Narrowed our focus within the energy value chain to primarily focus on electric and natural gas infrastructure where we believe there is an attractive risk/reward profile for our owners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Positioned our business to better serve important markets. By investing in North Americas LNG infrastructure, we believe we are in a position to provide lower-carbon and more reliable energy for tens of millions of consumers in Europe, Asia and the Middle East </w:t>
            </w:r>
          </w:p>
        </w:tc>
      </w:tr>
    </w:tbl>
    <w:p>
      <w:pPr>
        <w:pStyle w:val="TextBody"/>
        <w:spacing w:before="160" w:after="0"/>
        <w:jc w:val="left"/>
        <w:rPr>
          <w:rFonts w:ascii="arial" w:hAnsi="arial"/>
          <w:sz w:val="16"/>
        </w:rPr>
      </w:pPr>
      <w:r>
        <w:rPr>
          <w:rFonts w:ascii="arial" w:hAnsi="arial"/>
          <w:sz w:val="16"/>
        </w:rPr>
        <w:t xml:space="preserve">Our investments are focused on long-term opportunities that we believe should deliver higher returns than our utility peers with a commensurate risk profile. </w:t>
      </w:r>
    </w:p>
    <w:p>
      <w:pPr>
        <w:pStyle w:val="TextBody"/>
        <w:spacing w:before="160" w:after="0"/>
        <w:jc w:val="left"/>
        <w:rPr>
          <w:rFonts w:ascii="arial" w:hAnsi="arial"/>
          <w:sz w:val="16"/>
        </w:rPr>
      </w:pPr>
      <w:r>
        <w:rPr>
          <w:rFonts w:ascii="arial" w:hAnsi="arial"/>
          <w:sz w:val="16"/>
        </w:rPr>
        <w:t xml:space="preserve">Our operations extend beyond those of a typical utility and we have growing non-utility infrastructure operations. We therefore evaluate our performance against the broader market as well as against the S&amp;P 500 Utilities Index. Our labor market for senior management talent also extends beyond the utility industry, as discussed under Labor Market Benchmarking. Some significant achievements over the past 10 years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128"/>
        <w:gridCol w:w="9868"/>
      </w:tblGrid>
      <w:tr>
        <w:trPr/>
        <w:tc>
          <w:tcPr>
            <w:tcW w:w="209"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68" w:type="dxa"/>
            <w:tcBorders/>
            <w:shd w:fill="auto" w:val="clear"/>
          </w:tcPr>
          <w:p>
            <w:pPr>
              <w:pStyle w:val="TableContents"/>
              <w:spacing w:before="0" w:after="0"/>
              <w:jc w:val="left"/>
              <w:rPr>
                <w:rFonts w:ascii="arial" w:hAnsi="arial"/>
                <w:sz w:val="16"/>
              </w:rPr>
            </w:pPr>
            <w:r>
              <w:rPr>
                <w:rFonts w:ascii="arial" w:hAnsi="arial"/>
                <w:sz w:val="16"/>
              </w:rPr>
              <w:t xml:space="preserve">Advancing major infrastructure projects at our California utilities, such as the deployment of advanced meter infrastructure and investments in grid resiliency and mitigation of climate-related vulnerabilities, including wildfires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0"/>
              <w:jc w:val="left"/>
              <w:rPr>
                <w:rFonts w:ascii="arial" w:hAnsi="arial"/>
                <w:sz w:val="16"/>
              </w:rPr>
            </w:pPr>
            <w:r>
              <w:rPr>
                <w:rFonts w:ascii="arial" w:hAnsi="arial"/>
                <w:sz w:val="16"/>
              </w:rPr>
              <w:t xml:space="preserve">Acquiring an 80.25% indirect interest in Oncor, a regulated electric transmission and distribution business that operates the largest transmission and distribution system in Texas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0"/>
              <w:jc w:val="left"/>
              <w:rPr>
                <w:rFonts w:ascii="arial" w:hAnsi="arial"/>
                <w:sz w:val="16"/>
              </w:rPr>
            </w:pPr>
            <w:r>
              <w:rPr>
                <w:rFonts w:ascii="arial" w:hAnsi="arial"/>
                <w:sz w:val="16"/>
              </w:rPr>
              <w:t xml:space="preserve">Developing and investing in large infrastructure projects in the United States, including a three-train natural gas liquefaction export facility in operation in Hackberry, Louisiana, a one-train liquefaction export facility in the process of being constructed in Baja California, Mexico and other strategically located LNG development opportunities in North America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0"/>
              <w:jc w:val="left"/>
              <w:rPr>
                <w:rFonts w:ascii="arial" w:hAnsi="arial"/>
                <w:sz w:val="16"/>
              </w:rPr>
            </w:pPr>
            <w:r>
              <w:rPr>
                <w:rFonts w:ascii="arial" w:hAnsi="arial"/>
                <w:sz w:val="16"/>
              </w:rPr>
              <w:t xml:space="preserve">Building a strong and diverse energy infrastructure business in Mexico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Executing on a multi-year capital rotation program that resulted in the divestiture of our U.S. renewables business, U.S. non-utility natural gas storage assets and South American businesses, which generated total gross cash proceeds of approximately $8.3 billion </w:t>
            </w:r>
          </w:p>
        </w:tc>
      </w:tr>
    </w:tbl>
    <w:p>
      <w:pPr>
        <w:pStyle w:val="TextBody"/>
        <w:spacing w:before="160" w:after="0"/>
        <w:jc w:val="left"/>
        <w:rPr>
          <w:rFonts w:ascii="arial" w:hAnsi="arial"/>
          <w:sz w:val="16"/>
        </w:rPr>
      </w:pPr>
      <w:r>
        <w:rPr>
          <w:rFonts w:ascii="arial" w:hAnsi="arial"/>
          <w:sz w:val="16"/>
        </w:rPr>
        <w:t xml:space="preserve">We strive to deliver balanced, solid growth across our portfolio of businesses, which we believe should provide us with a broad spectrum of opportunities to deploy capital at attractive terms. Our current five-year (2021-2025) capital plan for Sempra Energy, its subsidiaries and its equity method investments includes new investment opportunities in utility operations and infrastructure projects that we believe should yield attractive returns consistent with our strategy.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44</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color w:val="001C71"/>
          <w:sz w:val="24"/>
        </w:rPr>
      </w:pPr>
      <w:bookmarkStart w:id="24" w:name="tx108157_3"/>
      <w:bookmarkEnd w:id="24"/>
      <w:r>
        <w:rPr>
          <w:rFonts w:ascii="arial" w:hAnsi="arial"/>
          <w:b/>
          <w:color w:val="001C71"/>
          <w:sz w:val="24"/>
        </w:rPr>
        <w:t xml:space="preserve">Performance Highlights </w:t>
      </w:r>
    </w:p>
    <w:p>
      <w:pPr>
        <w:pStyle w:val="TextBody"/>
        <w:spacing w:before="120" w:after="0"/>
        <w:jc w:val="left"/>
        <w:rPr>
          <w:rFonts w:ascii="arial" w:hAnsi="arial"/>
          <w:b/>
          <w:sz w:val="20"/>
        </w:rPr>
      </w:pPr>
      <w:r>
        <w:rPr>
          <w:rFonts w:ascii="arial" w:hAnsi="arial"/>
          <w:b/>
          <w:sz w:val="20"/>
        </w:rPr>
        <w:t xml:space="preserve">Financial Performance </w:t>
      </w:r>
    </w:p>
    <w:p>
      <w:pPr>
        <w:pStyle w:val="TextBody"/>
        <w:spacing w:before="120" w:after="0"/>
        <w:jc w:val="left"/>
        <w:rPr>
          <w:rFonts w:ascii="arial" w:hAnsi="arial"/>
          <w:sz w:val="16"/>
        </w:rPr>
      </w:pPr>
      <w:r>
        <w:rPr>
          <w:rFonts w:ascii="arial" w:hAnsi="arial"/>
          <w:sz w:val="16"/>
        </w:rPr>
        <w:t xml:space="preserve">In 2020, we achieved strong financial performance across key metrics in a market environment that demanded we adapt to the challenges presented by the COVID-19 pandemic. We grew our GAAP EPS by 76.7% year over year, to $12.88 in 2020 compared to $7.29 in 2019. Our adjusted EPS grew 18.4% year over year, to $8.03 in 2020 compared to $6.78 in 2019.(1) While we were successful in driving earnings performance in 2020, our share price, along with the rest of the market, was negatively impacted by the headwinds brought about by the pandemic, and it has not rebounded at the rate or to the level as some of our peers. During this challenging year, we were able to complete our multi-year capital rotation program, including divesting assets that do not directly align with our business strategy, and we executed on our strategic plan to focus on the North American markets we believe are most attractive. While these achievements are significant and foundational to creating sustainable long-term shareholder value, we believe they are not yet fully reflected in our stock price and, as a result, our near-term stock price performance did not recover as strongly as the broader market indices against which we compare ourselves, including the S&amp;P 500 Index and S&amp;P 500 Utilities Index. </w:t>
      </w:r>
    </w:p>
    <w:p>
      <w:pPr>
        <w:pStyle w:val="TextBody"/>
        <w:spacing w:before="160" w:after="0"/>
        <w:jc w:val="left"/>
        <w:rPr>
          <w:rFonts w:ascii="arial" w:hAnsi="arial"/>
          <w:sz w:val="16"/>
        </w:rPr>
      </w:pPr>
      <w:r>
        <w:rPr>
          <w:rFonts w:ascii="arial" w:hAnsi="arial"/>
          <w:sz w:val="16"/>
        </w:rPr>
        <w:t xml:space="preserve">Our 2020 achievements build on our strong long-term financial performance. Since 2010, we have delivered consistent strong earnings growth: our GAAP EPS was $2.86 in 2010, $5.37 in 2015 and $12.88 in 2020. On an adjusted basis, EPS increased from $3.80 in 2010 to $5.17 in 2015 and to $8.03 in 2020.(1) This performance has contributed to our robust long-term growth and shareholder value creation. Since 2010, we have had total shareholder return of 232%, exceeding the return of the S&amp;P 500 Utilities Index during the same period. In addition, our market capitalization almost tripled over the past 10 years. </w:t>
      </w:r>
    </w:p>
    <w:p>
      <w:pPr>
        <w:pStyle w:val="TextBody"/>
        <w:spacing w:before="160" w:after="0"/>
        <w:jc w:val="left"/>
        <w:rPr>
          <w:rFonts w:ascii="arial" w:hAnsi="arial"/>
          <w:sz w:val="16"/>
        </w:rPr>
      </w:pPr>
      <w:r>
        <w:rPr>
          <w:rFonts w:ascii="arial" w:hAnsi="arial"/>
          <w:sz w:val="16"/>
        </w:rPr>
        <w:t xml:space="preserve">We also have continued to provide returns to shareholders by growing our common stock dividend. The CAGR of our common stock dividend exceeded the median CAGR for companies in the S&amp;P 500 Utilities Index over the past one, three, five and ten years. From 2010 to 2020, we increased our annual dividend from $1.56 to $4.18 per common share. On February 23, 2021, the Board of Directors approved an additional increase of approximately 5% in our dividend to $4.40 per common share on an annualized basis.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95630" cy="233045"/>
            <wp:effectExtent l="0" t="0" r="0" b="0"/>
            <wp:docPr id="6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1" descr=""/>
                    <pic:cNvPicPr>
                      <a:picLocks noChangeAspect="1" noChangeArrowheads="1"/>
                    </pic:cNvPicPr>
                  </pic:nvPicPr>
                  <pic:blipFill>
                    <a:blip r:embed="rId52"/>
                    <a:stretch>
                      <a:fillRect/>
                    </a:stretch>
                  </pic:blipFill>
                  <pic:spPr bwMode="auto">
                    <a:xfrm>
                      <a:off x="0" y="0"/>
                      <a:ext cx="595630" cy="233045"/>
                    </a:xfrm>
                    <a:prstGeom prst="rect">
                      <a:avLst/>
                    </a:prstGeom>
                  </pic:spPr>
                </pic:pic>
              </a:graphicData>
            </a:graphic>
          </wp:inline>
        </w:drawing>
      </w:r>
      <w:r>
        <w:rPr/>
        <w:t xml:space="preserve"> </w:t>
      </w:r>
    </w:p>
    <w:p>
      <w:pPr>
        <w:pStyle w:val="TextBody"/>
        <w:jc w:val="center"/>
        <w:rPr>
          <w:rFonts w:ascii="arial" w:hAnsi="arial"/>
          <w:color w:val="FFFFFF"/>
          <w:sz w:val="2"/>
        </w:rPr>
      </w:pPr>
      <w:r>
        <w:rPr>
          <w:rFonts w:ascii="arial" w:hAnsi="arial"/>
          <w:color w:val="FFFFFF"/>
          <w:sz w:val="2"/>
        </w:rPr>
        <w:t xml:space="preserve">Long-Term Growth(2) Adjusted EPS(1) Dividends Market Capitalization(3) </w:t>
      </w:r>
    </w:p>
    <w:p>
      <w:pPr>
        <w:pStyle w:val="TextBody"/>
        <w:spacing w:before="80" w:after="0"/>
        <w:jc w:val="left"/>
        <w:rPr>
          <w:rFonts w:ascii="arial" w:hAnsi="arial"/>
          <w:i/>
          <w:sz w:val="14"/>
        </w:rPr>
      </w:pPr>
      <w:r>
        <w:rPr>
          <w:rFonts w:ascii="arial" w:hAnsi="arial"/>
          <w:i/>
          <w:sz w:val="14"/>
        </w:rPr>
        <w:t xml:space="preserve">Figure 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i/>
              </w:rPr>
            </w:pPr>
            <w:r>
              <w:rPr>
                <w:i/>
              </w:rPr>
              <w:t>(1)</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Adjusted EPS is a non-GAAP financial measure. For a reconciliation of GAAP earnings and EPS to adjusted earnings and EPS, please see Appendix A to this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(2)</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As of or for the years ended December 31, 2010, 2015 and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(3)</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Dollars in billions.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45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Strategic Performance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82"/>
        <w:gridCol w:w="216"/>
        <w:gridCol w:w="3292"/>
        <w:gridCol w:w="120"/>
        <w:gridCol w:w="3095"/>
      </w:tblGrid>
      <w:tr>
        <w:trPr/>
        <w:tc>
          <w:tcPr>
            <w:tcW w:w="348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32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95"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001C71" w:val="clear"/>
            <w:vAlign w:val="bottom"/>
          </w:tcPr>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2020 Strategic Performance Highlights</w:t>
            </w:r>
          </w:p>
        </w:tc>
      </w:tr>
      <w:tr>
        <w:trPr/>
        <w:tc>
          <w:tcPr>
            <w:tcW w:w="3482" w:type="dxa"/>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color w:val="001C71"/>
                <w:sz w:val="16"/>
              </w:rPr>
            </w:pPr>
            <w:r>
              <w:rPr>
                <w:rFonts w:ascii="arial" w:hAnsi="arial"/>
                <w:b/>
                <w:color w:val="001C71"/>
                <w:sz w:val="16"/>
              </w:rPr>
              <w:t>Business Achievements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executed on its disciplined strategy with the goal of becoming North Americas premier energy infrastructure company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completed a multi-year capital rotation program that included the divestiture of its U.S. renewables businesses, U.S. non-utility natural gas storage assets and South American businesses, which generated total gross cash proceeds of approximately $8.3 billion</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executed a $500 million share buyback and received board authorization for the lesser of $2.0 billion or 25 million shares of common stock in potential future share repurchases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announced proposed integrated transactions to simplify its energy infrastructure investments under one platform, Sempra Infrastructure Partners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was named to Fortune Magazines Worlds Most Admired Companies List for 2020</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was recognized by the National Organization on Disability as a 2020 Leading Disability Employer</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was named to Forbes Just 100 list, which is intended to recognize companies that are doing right by all their stakeholders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Sempra Energy received the National Association of Corporate Directors NXT Award for diversity and inclusion</w:t>
            </w:r>
          </w:p>
          <w:p>
            <w:pPr>
              <w:pStyle w:val="TableContents"/>
              <w:spacing w:before="0" w:after="20"/>
              <w:rPr/>
            </w:pPr>
            <w:r>
              <w:rPr/>
              <w:t> </w:t>
            </w:r>
          </w:p>
        </w:tc>
        <w:tc>
          <w:tcPr>
            <w:tcW w:w="216" w:type="dxa"/>
            <w:tcBorders>
              <w:left w:val="single" w:sz="2" w:space="0" w:color="001C71"/>
              <w:bottom w:val="single" w:sz="8" w:space="0" w:color="001C71"/>
            </w:tcBorders>
            <w:shd w:fill="auto" w:val="clear"/>
            <w:tcMar>
              <w:left w:w="28" w:type="dxa"/>
              <w:bottom w:w="28" w:type="dxa"/>
            </w:tcMar>
            <w:vAlign w:val="bottom"/>
          </w:tcPr>
          <w:p>
            <w:pPr>
              <w:pStyle w:val="TableContents"/>
              <w:spacing w:before="0" w:after="283"/>
              <w:rPr/>
            </w:pPr>
            <w:r>
              <w:rPr/>
              <w:t>  </w:t>
            </w:r>
          </w:p>
        </w:tc>
        <w:tc>
          <w:tcPr>
            <w:tcW w:w="3292" w:type="dxa"/>
            <w:tcBorders>
              <w:bottom w:val="single" w:sz="8" w:space="0" w:color="001C71"/>
              <w:right w:val="single" w:sz="2" w:space="0" w:color="001C71"/>
            </w:tcBorders>
            <w:shd w:fill="auto" w:val="clear"/>
            <w:tcMar>
              <w:bottom w:w="28" w:type="dxa"/>
              <w:right w:w="28" w:type="dxa"/>
            </w:tcMar>
          </w:tcPr>
          <w:p>
            <w:pPr>
              <w:pStyle w:val="TableContents"/>
              <w:spacing w:before="0" w:after="0"/>
              <w:rPr/>
            </w:pPr>
            <w:r>
              <w:rPr/>
              <w:t> </w:t>
            </w:r>
          </w:p>
          <w:p>
            <w:pPr>
              <w:pStyle w:val="TableContents"/>
              <w:spacing w:before="0" w:after="0"/>
              <w:rPr>
                <w:rFonts w:ascii="arial" w:hAnsi="arial"/>
                <w:b/>
                <w:color w:val="001C71"/>
                <w:sz w:val="16"/>
              </w:rPr>
            </w:pPr>
            <w:r>
              <w:rPr>
                <w:rFonts w:ascii="arial" w:hAnsi="arial"/>
                <w:b/>
                <w:color w:val="001C71"/>
                <w:sz w:val="16"/>
              </w:rPr>
              <w:t>Sempra Utilities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SDG&amp;E received approval from the FERC of a settlement with ROE of 10.6%, effective June 1, 2019(1)</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SDG&amp;E and SoCalGas filed a petition for modification of the 2019 General Rate Case, requesting attrition rates for 2022 and 2023</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SDG&amp;E continued its commitment to wildfire safety and received its 2020 safety certification from the Wildfire Safety Division of the CPUC</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SDG&amp;E and SoCalGas received a final decision for cost recovery of approximately $935 million related to the Pipeline Safety Enhancement Plan</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SDG&amp;E launched a comprehensive sustainability strategy to advance carbon neutrality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SoCalGas and SDG&amp;E announced a hydrogen blending demonstration program designed to help reduce carbon emissions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Oncor announced a new five-year (2021-2025) capital plan of approximately $12.2 billion, largely driven by transmission and distribution growth needs in and around its service territory(2)</w:t>
            </w:r>
          </w:p>
          <w:p>
            <w:pPr>
              <w:pStyle w:val="TableContents"/>
              <w:spacing w:before="0" w:after="20"/>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3095" w:type="dxa"/>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color w:val="001C71"/>
                <w:sz w:val="16"/>
              </w:rPr>
            </w:pPr>
            <w:r>
              <w:rPr>
                <w:rFonts w:ascii="arial" w:hAnsi="arial"/>
                <w:b/>
                <w:color w:val="001C71"/>
                <w:sz w:val="16"/>
              </w:rPr>
              <w:t>Sempra North American Infrastructure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Continued progress on development projects with the goal of building up to 45 Mtpa of LNG export capacity to serve global markets: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Cameron LNG JV Phase 1:</w:t>
            </w:r>
            <w:r>
              <w:rPr>
                <w:rFonts w:ascii="arial" w:hAnsi="arial"/>
                <w:sz w:val="16"/>
              </w:rPr>
              <w:t xml:space="preserve"> Cameron LNG JV achieved full commercial operations under the tolling agreements; completed financing at Cameron LNG JV for return of capital of $753 million to Sempra Energy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Cameron LNG JV Phase 2</w:t>
            </w:r>
            <w:r>
              <w:rPr>
                <w:rFonts w:ascii="arial" w:hAnsi="arial"/>
                <w:sz w:val="16"/>
              </w:rPr>
              <w:t>:(3)(4) Sempra LNG signed a MOU with Mitsubishi Corporation in May 2020 for potential offtake from the proposed project</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ECA LNG JV Phase 1</w:t>
            </w:r>
            <w:r>
              <w:rPr>
                <w:rFonts w:ascii="arial" w:hAnsi="arial"/>
                <w:sz w:val="16"/>
              </w:rPr>
              <w:t>:(3) Reached a final investment decision for the development, construction and operation of the project; sold a 16.6% ownership interest in the project to an affiliate of TOTAL SE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Port Arthur</w:t>
            </w:r>
            <w:r>
              <w:rPr>
                <w:rFonts w:ascii="arial" w:hAnsi="arial"/>
                <w:sz w:val="16"/>
              </w:rPr>
              <w:t>:(3) Announced fixed-price, turnkey engineering, procurement and construction agreement with Bechtel Oil, Gas and Chemicals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IEnova advanced construction of Gulf of Mexico fuel terminal network and placed into service its marine terminal in the New Port of Veracruz</w:t>
            </w:r>
          </w:p>
          <w:p>
            <w:pPr>
              <w:pStyle w:val="TableContents"/>
              <w:spacing w:before="0" w:after="2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Consists of a base ROE of 10.1% plus an additional 50 basis points for participation in the CA-ISO. If the FERC issues an order ruling that California investor-owned utilities are no longer eligible for the additional CA-ISO ROE, then SDG&amp;E would refund the additional 50 basis points of ROE associated with the CA-ISO. These rates were effective as of June 1, 2019 and remain in effect indefinitely, with parties having the annual right to terminate the applicable settlement agreement beginning in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Represents 100% of Oncors forecasted capital expenditures for 2021-2025. Actual amounts expended will depend on a number of factors and may differ materially from the amounts reflected in the capital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(3)</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successful development and ultimate construction of Sempra Energys LNG projects are subject to a number of risks and uncertainties and there can be no assurance that any of the projects will be completed.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(4)</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This arrangement provides a framework for cooperation, but does not obligate the parties to enter into a definitive agreement or participate in the applicable project. </w:t>
            </w:r>
          </w:p>
        </w:tc>
      </w:tr>
    </w:tbl>
    <w:p>
      <w:pPr>
        <w:pStyle w:val="TextBody"/>
        <w:spacing w:before="280" w:after="0"/>
        <w:jc w:val="left"/>
        <w:rPr>
          <w:rFonts w:ascii="arial" w:hAnsi="arial"/>
          <w:b/>
          <w:color w:val="001C71"/>
          <w:sz w:val="24"/>
        </w:rPr>
      </w:pPr>
      <w:bookmarkStart w:id="25" w:name="tx108157_4"/>
      <w:bookmarkEnd w:id="25"/>
      <w:r>
        <w:rPr>
          <w:rFonts w:ascii="arial" w:hAnsi="arial"/>
          <w:b/>
          <w:color w:val="001C71"/>
          <w:sz w:val="24"/>
        </w:rPr>
        <w:t xml:space="preserve">Shareholder Engagement </w:t>
      </w:r>
    </w:p>
    <w:p>
      <w:pPr>
        <w:pStyle w:val="TextBody"/>
        <w:spacing w:before="120" w:after="0"/>
        <w:jc w:val="left"/>
        <w:rPr>
          <w:rFonts w:ascii="arial" w:hAnsi="arial"/>
          <w:sz w:val="16"/>
        </w:rPr>
      </w:pPr>
      <w:r>
        <w:rPr>
          <w:rFonts w:ascii="arial" w:hAnsi="arial"/>
          <w:sz w:val="16"/>
        </w:rPr>
        <w:t xml:space="preserve">Incorporating shareholder feedback into the decision-making process is a critical component of our corporate governance philosophy. Our board and management have a long-standing commitment to engaging our shareholders and listening to their perspectives on key performance, governance and compensation matters. With respect to compensation matters, we engage extensively with shareholders to gather feedback on our current compensation program and any potential changes to the program the Compensation and Talent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46</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Development Committee is considering. Our Lead Independent Director participates in these shareholder engagement efforts, including attending many of the meetings with our shareholders, to strengthen the communication of shareholder feedback directly to the board. </w:t>
      </w:r>
    </w:p>
    <w:p>
      <w:pPr>
        <w:pStyle w:val="TextBody"/>
        <w:spacing w:before="160" w:after="0"/>
        <w:jc w:val="left"/>
        <w:rPr>
          <w:rFonts w:ascii="arial" w:hAnsi="arial"/>
          <w:sz w:val="16"/>
        </w:rPr>
      </w:pPr>
      <w:r>
        <w:rPr>
          <w:rFonts w:ascii="arial" w:hAnsi="arial"/>
          <w:sz w:val="16"/>
        </w:rPr>
        <w:t xml:space="preserve">During our shareholder engagement campaign in 2020, which was in addition to our normal investor relations outreach, we reached out to shareholders representing approximately 63% of our total outstanding shares of common stock and held telephonic or videoconference meetings with shareholders representing approximately 46% of our total outstanding shares of common stock (over half of our institutional share ownership). During these meetings, we reviewed our executive compensation program and a variety of other topics and learned about shareholder views and priorities with respect to these matters. </w:t>
      </w:r>
    </w:p>
    <w:p>
      <w:pPr>
        <w:pStyle w:val="TextBody"/>
        <w:spacing w:before="160" w:after="0"/>
        <w:jc w:val="left"/>
        <w:rPr>
          <w:rFonts w:ascii="arial" w:hAnsi="arial"/>
          <w:sz w:val="16"/>
        </w:rPr>
      </w:pPr>
      <w:r>
        <w:rPr>
          <w:rFonts w:ascii="arial" w:hAnsi="arial"/>
          <w:sz w:val="16"/>
        </w:rPr>
        <w:t xml:space="preserve">Our shareholders presently have the opportunity to cast an advisory vote on our executive compensation, or a say-on-pay vote, once every year at our annual shareholders meetings. At our 2020 Annual Shareholders Meeting, the say-on-pay vote received more than 97% approval. The Compensation and Talent Development Committee believes this high level of approval affirms our shareholders support for our approach to executive compensation, and therefore the committee did not seek to significantly alter our compensation policies or practices for 2020. </w:t>
      </w:r>
    </w:p>
    <w:p>
      <w:pPr>
        <w:pStyle w:val="TextBody"/>
        <w:spacing w:before="280" w:after="0"/>
        <w:jc w:val="left"/>
        <w:rPr>
          <w:rFonts w:ascii="arial" w:hAnsi="arial"/>
          <w:b/>
          <w:color w:val="001C71"/>
          <w:sz w:val="24"/>
        </w:rPr>
      </w:pPr>
      <w:bookmarkStart w:id="26" w:name="tx108157_5"/>
      <w:bookmarkEnd w:id="26"/>
      <w:r>
        <w:rPr>
          <w:rFonts w:ascii="arial" w:hAnsi="arial"/>
          <w:b/>
          <w:color w:val="001C71"/>
          <w:sz w:val="24"/>
        </w:rPr>
        <w:t xml:space="preserve">2020 Compensation Program Overview </w:t>
      </w:r>
    </w:p>
    <w:p>
      <w:pPr>
        <w:pStyle w:val="TextBody"/>
        <w:spacing w:before="120" w:after="0"/>
        <w:jc w:val="left"/>
        <w:rPr>
          <w:rFonts w:ascii="arial" w:hAnsi="arial"/>
          <w:sz w:val="16"/>
        </w:rPr>
      </w:pPr>
      <w:r>
        <w:rPr>
          <w:rFonts w:ascii="arial" w:hAnsi="arial"/>
          <w:sz w:val="16"/>
        </w:rPr>
        <w:t xml:space="preserve">Our executive compensation program is designed to attract, motivate and retain key executive talent and promote strong, sustainable long-term performance. The three components of total direct compensation delivered in our program are 1) Base Salary; 2) Performance-Based Annual Bonus; and 3) Long-Term Equity-Based Incentives. We place an emphasis on variable performance-based pay, with each component designed to promote value creation and alignment of our management teams compensation with our long-term strategic objectives.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32"/>
        <w:gridCol w:w="103"/>
        <w:gridCol w:w="2045"/>
        <w:gridCol w:w="103"/>
        <w:gridCol w:w="1263"/>
        <w:gridCol w:w="103"/>
        <w:gridCol w:w="5256"/>
      </w:tblGrid>
      <w:tr>
        <w:trPr/>
        <w:tc>
          <w:tcPr>
            <w:tcW w:w="1332"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5256"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332" w:type="dxa"/>
            <w:tcBorders/>
            <w:shd w:fill="001C71" w:val="clear"/>
            <w:vAlign w:val="center"/>
          </w:tcPr>
          <w:p>
            <w:pPr>
              <w:pStyle w:val="TableContents"/>
              <w:spacing w:before="0" w:after="283"/>
              <w:rPr>
                <w:sz w:val="4"/>
                <w:szCs w:val="4"/>
              </w:rPr>
            </w:pPr>
            <w:r>
              <w:rPr>
                <w:sz w:val="4"/>
                <w:szCs w:val="4"/>
              </w:rPr>
            </w:r>
          </w:p>
        </w:tc>
        <w:tc>
          <w:tcPr>
            <w:tcW w:w="2148" w:type="dxa"/>
            <w:gridSpan w:val="2"/>
            <w:tcBorders>
              <w:left w:val="single" w:sz="2" w:space="0" w:color="001C71"/>
              <w:right w:val="single" w:sz="2" w:space="0" w:color="001C71"/>
            </w:tcBorders>
            <w:shd w:fill="001C71" w:val="clear"/>
            <w:tcMar>
              <w:left w:w="28" w:type="dxa"/>
              <w:right w:w="28" w:type="dxa"/>
            </w:tcMar>
            <w:vAlign w:val="center"/>
          </w:tcPr>
          <w:p>
            <w:pPr>
              <w:pStyle w:val="TableContents"/>
              <w:spacing w:before="0" w:after="283"/>
              <w:rPr/>
            </w:pPr>
            <w:r>
              <w:rPr/>
              <w:t> </w:t>
            </w:r>
          </w:p>
        </w:tc>
        <w:tc>
          <w:tcPr>
            <w:tcW w:w="1366" w:type="dxa"/>
            <w:gridSpan w:val="2"/>
            <w:tcBorders>
              <w:right w:val="single" w:sz="2" w:space="0" w:color="001C71"/>
            </w:tcBorders>
            <w:shd w:fill="001C71" w:val="clear"/>
            <w:tcMar>
              <w:right w:w="28" w:type="dxa"/>
            </w:tcMar>
            <w:vAlign w:val="center"/>
          </w:tcPr>
          <w:p>
            <w:pPr>
              <w:pStyle w:val="TableContents"/>
              <w:spacing w:before="0" w:after="283"/>
              <w:rPr/>
            </w:pPr>
            <w:r>
              <w:rPr/>
              <w:t> </w:t>
            </w:r>
          </w:p>
        </w:tc>
        <w:tc>
          <w:tcPr>
            <w:tcW w:w="5359" w:type="dxa"/>
            <w:gridSpan w:val="2"/>
            <w:tcBorders/>
            <w:shd w:fill="001C71" w:val="clear"/>
            <w:vAlign w:val="center"/>
          </w:tcPr>
          <w:p>
            <w:pPr>
              <w:pStyle w:val="TableContents"/>
              <w:spacing w:before="0" w:after="283"/>
              <w:rPr>
                <w:sz w:val="4"/>
                <w:szCs w:val="4"/>
              </w:rPr>
            </w:pPr>
            <w:r>
              <w:rPr>
                <w:sz w:val="4"/>
                <w:szCs w:val="4"/>
              </w:rPr>
            </w:r>
          </w:p>
        </w:tc>
      </w:tr>
      <w:tr>
        <w:trPr/>
        <w:tc>
          <w:tcPr>
            <w:tcW w:w="1332"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Type</w:t>
            </w:r>
          </w:p>
        </w:tc>
        <w:tc>
          <w:tcPr>
            <w:tcW w:w="103" w:type="dxa"/>
            <w:tcBorders>
              <w:left w:val="single" w:sz="2" w:space="0" w:color="001C71"/>
            </w:tcBorders>
            <w:shd w:fill="001C71" w:val="clear"/>
            <w:tcMar>
              <w:left w:w="28" w:type="dxa"/>
            </w:tcMar>
            <w:vAlign w:val="bottom"/>
          </w:tcPr>
          <w:p>
            <w:pPr>
              <w:pStyle w:val="TableContents"/>
              <w:spacing w:before="0" w:after="283"/>
              <w:rPr/>
            </w:pPr>
            <w:r>
              <w:rPr/>
              <w:t> </w:t>
            </w:r>
          </w:p>
        </w:tc>
        <w:tc>
          <w:tcPr>
            <w:tcW w:w="2045" w:type="dxa"/>
            <w:tcBorders>
              <w:right w:val="single" w:sz="2" w:space="0" w:color="001C71"/>
            </w:tcBorders>
            <w:shd w:fill="001C71" w:val="clear"/>
            <w:tcMar>
              <w:right w:w="28" w:type="dxa"/>
            </w:tcMar>
            <w:vAlign w:val="bottom"/>
          </w:tcPr>
          <w:p>
            <w:pPr>
              <w:pStyle w:val="TableContents"/>
              <w:spacing w:before="0" w:after="283"/>
              <w:jc w:val="center"/>
              <w:rPr>
                <w:b/>
                <w:color w:val="FFFFFF"/>
              </w:rPr>
            </w:pPr>
            <w:r>
              <w:rPr>
                <w:b/>
                <w:color w:val="FFFFFF"/>
              </w:rPr>
              <w:t>Component</w:t>
            </w:r>
          </w:p>
        </w:tc>
        <w:tc>
          <w:tcPr>
            <w:tcW w:w="103" w:type="dxa"/>
            <w:tcBorders/>
            <w:shd w:fill="001C71" w:val="clear"/>
            <w:vAlign w:val="bottom"/>
          </w:tcPr>
          <w:p>
            <w:pPr>
              <w:pStyle w:val="TableContents"/>
              <w:spacing w:before="0" w:after="283"/>
              <w:rPr/>
            </w:pPr>
            <w:r>
              <w:rPr/>
              <w:t> </w:t>
            </w:r>
          </w:p>
        </w:tc>
        <w:tc>
          <w:tcPr>
            <w:tcW w:w="1263" w:type="dxa"/>
            <w:tcBorders>
              <w:right w:val="single" w:sz="2" w:space="0" w:color="001C71"/>
            </w:tcBorders>
            <w:shd w:fill="001C71" w:val="clear"/>
            <w:tcMar>
              <w:right w:w="28" w:type="dxa"/>
            </w:tcMar>
            <w:vAlign w:val="bottom"/>
          </w:tcPr>
          <w:p>
            <w:pPr>
              <w:pStyle w:val="TableContents"/>
              <w:spacing w:before="0" w:after="283"/>
              <w:jc w:val="center"/>
              <w:rPr>
                <w:b/>
                <w:color w:val="FFFFFF"/>
              </w:rPr>
            </w:pPr>
            <w:r>
              <w:rPr>
                <w:b/>
                <w:color w:val="FFFFFF"/>
              </w:rPr>
              <w:t>Form  </w:t>
            </w:r>
          </w:p>
        </w:tc>
        <w:tc>
          <w:tcPr>
            <w:tcW w:w="103" w:type="dxa"/>
            <w:tcBorders/>
            <w:shd w:fill="001C71" w:val="clear"/>
            <w:vAlign w:val="bottom"/>
          </w:tcPr>
          <w:p>
            <w:pPr>
              <w:pStyle w:val="TableContents"/>
              <w:spacing w:before="0" w:after="283"/>
              <w:rPr/>
            </w:pPr>
            <w:r>
              <w:rPr/>
              <w:t> </w:t>
            </w:r>
          </w:p>
        </w:tc>
        <w:tc>
          <w:tcPr>
            <w:tcW w:w="5256" w:type="dxa"/>
            <w:tcBorders/>
            <w:shd w:fill="001C71" w:val="clear"/>
            <w:vAlign w:val="bottom"/>
          </w:tcPr>
          <w:p>
            <w:pPr>
              <w:pStyle w:val="TableContents"/>
              <w:spacing w:before="0" w:after="283"/>
              <w:jc w:val="center"/>
              <w:rPr>
                <w:b/>
                <w:color w:val="FFFFFF"/>
              </w:rPr>
            </w:pPr>
            <w:r>
              <w:rPr>
                <w:b/>
                <w:color w:val="FFFFFF"/>
              </w:rPr>
              <w:t>Key Characteristics</w:t>
            </w:r>
          </w:p>
        </w:tc>
      </w:tr>
      <w:tr>
        <w:trPr>
          <w:trHeight w:val="30" w:hRule="atLeast"/>
        </w:trPr>
        <w:tc>
          <w:tcPr>
            <w:tcW w:w="1332" w:type="dxa"/>
            <w:tcBorders/>
            <w:shd w:fill="auto" w:val="clear"/>
            <w:vAlign w:val="center"/>
          </w:tcPr>
          <w:p>
            <w:pPr>
              <w:pStyle w:val="TableContents"/>
              <w:spacing w:before="0" w:after="283"/>
              <w:rPr>
                <w:sz w:val="4"/>
                <w:szCs w:val="4"/>
              </w:rPr>
            </w:pPr>
            <w:r>
              <w:rPr>
                <w:sz w:val="4"/>
                <w:szCs w:val="4"/>
              </w:rPr>
            </w:r>
          </w:p>
        </w:tc>
        <w:tc>
          <w:tcPr>
            <w:tcW w:w="2148" w:type="dxa"/>
            <w:gridSpan w:val="2"/>
            <w:tcBorders>
              <w:left w:val="single" w:sz="2" w:space="0" w:color="001C71"/>
              <w:right w:val="single" w:sz="2" w:space="0" w:color="001C71"/>
            </w:tcBorders>
            <w:shd w:fill="auto" w:val="clear"/>
            <w:tcMar>
              <w:left w:w="28" w:type="dxa"/>
              <w:right w:w="28" w:type="dxa"/>
            </w:tcMar>
            <w:vAlign w:val="center"/>
          </w:tcPr>
          <w:p>
            <w:pPr>
              <w:pStyle w:val="TableContents"/>
              <w:spacing w:before="0" w:after="283"/>
              <w:rPr/>
            </w:pPr>
            <w:r>
              <w:rPr/>
              <w:t> </w:t>
            </w:r>
          </w:p>
        </w:tc>
        <w:tc>
          <w:tcPr>
            <w:tcW w:w="1366" w:type="dxa"/>
            <w:gridSpan w:val="2"/>
            <w:tcBorders>
              <w:right w:val="single" w:sz="2" w:space="0" w:color="001C71"/>
            </w:tcBorders>
            <w:shd w:fill="auto" w:val="clear"/>
            <w:tcMar>
              <w:right w:w="28" w:type="dxa"/>
            </w:tcMar>
            <w:vAlign w:val="center"/>
          </w:tcPr>
          <w:p>
            <w:pPr>
              <w:pStyle w:val="TableContents"/>
              <w:spacing w:before="0" w:after="283"/>
              <w:rPr/>
            </w:pPr>
            <w:r>
              <w:rPr/>
              <w:t> </w:t>
            </w:r>
          </w:p>
        </w:tc>
        <w:tc>
          <w:tcPr>
            <w:tcW w:w="5359" w:type="dxa"/>
            <w:gridSpan w:val="2"/>
            <w:tcBorders/>
            <w:shd w:fill="auto" w:val="clear"/>
            <w:vAlign w:val="center"/>
          </w:tcPr>
          <w:p>
            <w:pPr>
              <w:pStyle w:val="TableContents"/>
              <w:spacing w:before="0" w:after="283"/>
              <w:rPr>
                <w:sz w:val="4"/>
                <w:szCs w:val="4"/>
              </w:rPr>
            </w:pPr>
            <w:r>
              <w:rPr>
                <w:sz w:val="4"/>
                <w:szCs w:val="4"/>
              </w:rPr>
            </w:r>
          </w:p>
        </w:tc>
      </w:tr>
      <w:tr>
        <w:trPr/>
        <w:tc>
          <w:tcPr>
            <w:tcW w:w="1332" w:type="dxa"/>
            <w:tcBorders>
              <w:bottom w:val="single" w:sz="2" w:space="0" w:color="001C71"/>
            </w:tcBorders>
            <w:shd w:fill="auto" w:val="clear"/>
            <w:tcMar>
              <w:bottom w:w="28" w:type="dxa"/>
            </w:tcMar>
            <w:vAlign w:val="center"/>
          </w:tcPr>
          <w:p>
            <w:pPr>
              <w:pStyle w:val="TableContents"/>
              <w:spacing w:before="0" w:after="283"/>
              <w:rPr/>
            </w:pPr>
            <w:r>
              <w:rPr/>
              <w:t> </w:t>
            </w:r>
            <w:r>
              <w:rPr>
                <w:b/>
              </w:rPr>
              <w:t>Fixed</w:t>
            </w:r>
          </w:p>
        </w:tc>
        <w:tc>
          <w:tcPr>
            <w:tcW w:w="103"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2045" w:type="dxa"/>
            <w:tcBorders>
              <w:bottom w:val="single" w:sz="2" w:space="0" w:color="001C71"/>
              <w:right w:val="single" w:sz="2" w:space="0" w:color="001C71"/>
            </w:tcBorders>
            <w:shd w:fill="auto" w:val="clear"/>
            <w:tcMar>
              <w:bottom w:w="28" w:type="dxa"/>
              <w:right w:w="28" w:type="dxa"/>
            </w:tcMar>
            <w:vAlign w:val="center"/>
          </w:tcPr>
          <w:p>
            <w:pPr>
              <w:pStyle w:val="TableContents"/>
              <w:spacing w:before="0" w:after="283"/>
              <w:rPr>
                <w:b/>
              </w:rPr>
            </w:pPr>
            <w:r>
              <w:rPr>
                <w:b/>
              </w:rPr>
              <w:t>Base Salary</w:t>
            </w:r>
          </w:p>
        </w:tc>
        <w:tc>
          <w:tcPr>
            <w:tcW w:w="103" w:type="dxa"/>
            <w:tcBorders>
              <w:bottom w:val="single" w:sz="2" w:space="0" w:color="001C71"/>
            </w:tcBorders>
            <w:shd w:fill="auto" w:val="clear"/>
            <w:tcMar>
              <w:bottom w:w="28" w:type="dxa"/>
            </w:tcMar>
            <w:vAlign w:val="bottom"/>
          </w:tcPr>
          <w:p>
            <w:pPr>
              <w:pStyle w:val="TableContents"/>
              <w:spacing w:before="0" w:after="283"/>
              <w:rPr/>
            </w:pPr>
            <w:r>
              <w:rPr/>
              <w:t> </w:t>
            </w:r>
          </w:p>
        </w:tc>
        <w:tc>
          <w:tcPr>
            <w:tcW w:w="1263" w:type="dxa"/>
            <w:tcBorders>
              <w:bottom w:val="single" w:sz="2" w:space="0" w:color="001C71"/>
              <w:right w:val="single" w:sz="2" w:space="0" w:color="001C71"/>
            </w:tcBorders>
            <w:shd w:fill="auto" w:val="clear"/>
            <w:tcMar>
              <w:bottom w:w="28" w:type="dxa"/>
              <w:right w:w="28" w:type="dxa"/>
            </w:tcMar>
            <w:vAlign w:val="center"/>
          </w:tcPr>
          <w:p>
            <w:pPr>
              <w:pStyle w:val="TableContents"/>
              <w:spacing w:before="0" w:after="283"/>
              <w:jc w:val="center"/>
              <w:rPr/>
            </w:pPr>
            <w:r>
              <w:rPr/>
              <w:t>Cash  </w:t>
            </w:r>
          </w:p>
        </w:tc>
        <w:tc>
          <w:tcPr>
            <w:tcW w:w="103" w:type="dxa"/>
            <w:tcBorders>
              <w:bottom w:val="single" w:sz="2" w:space="0" w:color="001C71"/>
            </w:tcBorders>
            <w:shd w:fill="auto" w:val="clear"/>
            <w:tcMar>
              <w:bottom w:w="28" w:type="dxa"/>
            </w:tcMar>
            <w:vAlign w:val="bottom"/>
          </w:tcPr>
          <w:p>
            <w:pPr>
              <w:pStyle w:val="TableContents"/>
              <w:spacing w:before="0" w:after="283"/>
              <w:rPr/>
            </w:pPr>
            <w:r>
              <w:rPr/>
              <w:t> </w:t>
            </w:r>
          </w:p>
        </w:tc>
        <w:tc>
          <w:tcPr>
            <w:tcW w:w="5256" w:type="dxa"/>
            <w:tcBorders>
              <w:bottom w:val="single" w:sz="2" w:space="0" w:color="001C71"/>
            </w:tcBorders>
            <w:shd w:fill="auto" w:val="clear"/>
            <w:tcMar>
              <w:bottom w:w="28" w:type="dxa"/>
            </w:tcMar>
            <w:vAlign w:val="bottom"/>
          </w:tcPr>
          <w:p>
            <w:pPr>
              <w:pStyle w:val="TableContents"/>
              <w:spacing w:before="0" w:after="0"/>
              <w:rPr>
                <w:rFonts w:ascii="arial" w:hAnsi="arial"/>
                <w:sz w:val="16"/>
              </w:rPr>
            </w:pPr>
            <w:r>
              <w:rPr>
                <w:rFonts w:ascii="arial" w:hAnsi="arial"/>
                <w:color w:val="001C71"/>
                <w:sz w:val="22"/>
              </w:rPr>
              <w:t></w:t>
            </w:r>
            <w:r>
              <w:rPr>
                <w:rFonts w:ascii="arial" w:hAnsi="arial"/>
                <w:sz w:val="16"/>
              </w:rPr>
              <w:t>  Base salary is benchmarked to the median of comparably-sized general industry peers (excluding financial services companies)</w:t>
            </w:r>
          </w:p>
          <w:p>
            <w:pPr>
              <w:pStyle w:val="TableContents"/>
              <w:spacing w:before="0" w:after="20"/>
              <w:rPr/>
            </w:pPr>
            <w:r>
              <w:rPr/>
              <w:t> </w:t>
            </w:r>
          </w:p>
        </w:tc>
      </w:tr>
      <w:tr>
        <w:trPr>
          <w:trHeight w:val="30" w:hRule="atLeast"/>
        </w:trPr>
        <w:tc>
          <w:tcPr>
            <w:tcW w:w="1332" w:type="dxa"/>
            <w:tcBorders/>
            <w:shd w:fill="auto" w:val="clear"/>
            <w:vAlign w:val="center"/>
          </w:tcPr>
          <w:p>
            <w:pPr>
              <w:pStyle w:val="TableContents"/>
              <w:spacing w:before="0" w:after="283"/>
              <w:rPr>
                <w:sz w:val="4"/>
                <w:szCs w:val="4"/>
              </w:rPr>
            </w:pPr>
            <w:r>
              <w:rPr>
                <w:sz w:val="4"/>
                <w:szCs w:val="4"/>
              </w:rPr>
            </w:r>
          </w:p>
        </w:tc>
        <w:tc>
          <w:tcPr>
            <w:tcW w:w="2148" w:type="dxa"/>
            <w:gridSpan w:val="2"/>
            <w:tcBorders>
              <w:left w:val="single" w:sz="2" w:space="0" w:color="001C71"/>
              <w:right w:val="single" w:sz="2" w:space="0" w:color="001C71"/>
            </w:tcBorders>
            <w:shd w:fill="auto" w:val="clear"/>
            <w:tcMar>
              <w:left w:w="28" w:type="dxa"/>
              <w:right w:w="28" w:type="dxa"/>
            </w:tcMar>
            <w:vAlign w:val="center"/>
          </w:tcPr>
          <w:p>
            <w:pPr>
              <w:pStyle w:val="TableContents"/>
              <w:spacing w:before="0" w:after="283"/>
              <w:rPr/>
            </w:pPr>
            <w:r>
              <w:rPr/>
              <w:t> </w:t>
            </w:r>
          </w:p>
        </w:tc>
        <w:tc>
          <w:tcPr>
            <w:tcW w:w="1366" w:type="dxa"/>
            <w:gridSpan w:val="2"/>
            <w:tcBorders>
              <w:right w:val="single" w:sz="2" w:space="0" w:color="001C71"/>
            </w:tcBorders>
            <w:shd w:fill="auto" w:val="clear"/>
            <w:tcMar>
              <w:right w:w="28" w:type="dxa"/>
            </w:tcMar>
            <w:vAlign w:val="center"/>
          </w:tcPr>
          <w:p>
            <w:pPr>
              <w:pStyle w:val="TableContents"/>
              <w:spacing w:before="0" w:after="283"/>
              <w:rPr/>
            </w:pPr>
            <w:r>
              <w:rPr/>
              <w:t> </w:t>
            </w:r>
          </w:p>
        </w:tc>
        <w:tc>
          <w:tcPr>
            <w:tcW w:w="5359" w:type="dxa"/>
            <w:gridSpan w:val="2"/>
            <w:tcBorders/>
            <w:shd w:fill="auto" w:val="clear"/>
            <w:vAlign w:val="center"/>
          </w:tcPr>
          <w:p>
            <w:pPr>
              <w:pStyle w:val="TableContents"/>
              <w:spacing w:before="0" w:after="283"/>
              <w:rPr>
                <w:sz w:val="4"/>
                <w:szCs w:val="4"/>
              </w:rPr>
            </w:pPr>
            <w:r>
              <w:rPr>
                <w:sz w:val="4"/>
                <w:szCs w:val="4"/>
              </w:rPr>
            </w:r>
          </w:p>
        </w:tc>
      </w:tr>
      <w:tr>
        <w:trPr/>
        <w:tc>
          <w:tcPr>
            <w:tcW w:w="1332" w:type="dxa"/>
            <w:vMerge w:val="restart"/>
            <w:tcBorders>
              <w:bottom w:val="single" w:sz="8" w:space="0" w:color="001C71"/>
            </w:tcBorders>
            <w:shd w:fill="auto" w:val="clear"/>
            <w:tcMar>
              <w:bottom w:w="28" w:type="dxa"/>
            </w:tcMar>
            <w:vAlign w:val="center"/>
          </w:tcPr>
          <w:p>
            <w:pPr>
              <w:pStyle w:val="TableContents"/>
              <w:spacing w:before="0" w:after="283"/>
              <w:rPr/>
            </w:pPr>
            <w:r>
              <w:rPr/>
              <w:t> </w:t>
            </w:r>
            <w:r>
              <w:rPr>
                <w:b/>
              </w:rPr>
              <w:t>Variable</w:t>
            </w:r>
          </w:p>
        </w:tc>
        <w:tc>
          <w:tcPr>
            <w:tcW w:w="103"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2045" w:type="dxa"/>
            <w:tcBorders>
              <w:bottom w:val="single" w:sz="2" w:space="0" w:color="001C71"/>
              <w:right w:val="single" w:sz="2" w:space="0" w:color="001C71"/>
            </w:tcBorders>
            <w:shd w:fill="auto" w:val="clear"/>
            <w:tcMar>
              <w:bottom w:w="28" w:type="dxa"/>
              <w:right w:w="28" w:type="dxa"/>
            </w:tcMar>
            <w:vAlign w:val="center"/>
          </w:tcPr>
          <w:p>
            <w:pPr>
              <w:pStyle w:val="TableContents"/>
              <w:spacing w:before="0" w:after="283"/>
              <w:rPr>
                <w:b/>
              </w:rPr>
            </w:pPr>
            <w:r>
              <w:rPr>
                <w:b/>
              </w:rPr>
              <w:t>Performance-Based Annual Bonus</w:t>
            </w:r>
          </w:p>
        </w:tc>
        <w:tc>
          <w:tcPr>
            <w:tcW w:w="103" w:type="dxa"/>
            <w:tcBorders>
              <w:bottom w:val="single" w:sz="2" w:space="0" w:color="001C71"/>
            </w:tcBorders>
            <w:shd w:fill="auto" w:val="clear"/>
            <w:tcMar>
              <w:bottom w:w="28" w:type="dxa"/>
            </w:tcMar>
            <w:vAlign w:val="bottom"/>
          </w:tcPr>
          <w:p>
            <w:pPr>
              <w:pStyle w:val="TableContents"/>
              <w:spacing w:before="0" w:after="283"/>
              <w:rPr/>
            </w:pPr>
            <w:r>
              <w:rPr/>
              <w:t> </w:t>
            </w:r>
          </w:p>
        </w:tc>
        <w:tc>
          <w:tcPr>
            <w:tcW w:w="1263" w:type="dxa"/>
            <w:tcBorders>
              <w:bottom w:val="single" w:sz="2" w:space="0" w:color="001C71"/>
              <w:right w:val="single" w:sz="2" w:space="0" w:color="001C71"/>
            </w:tcBorders>
            <w:shd w:fill="auto" w:val="clear"/>
            <w:tcMar>
              <w:bottom w:w="28" w:type="dxa"/>
              <w:right w:w="28" w:type="dxa"/>
            </w:tcMar>
            <w:vAlign w:val="center"/>
          </w:tcPr>
          <w:p>
            <w:pPr>
              <w:pStyle w:val="TableContents"/>
              <w:spacing w:before="0" w:after="283"/>
              <w:jc w:val="center"/>
              <w:rPr/>
            </w:pPr>
            <w:r>
              <w:rPr/>
              <w:t>Cash  </w:t>
            </w:r>
          </w:p>
        </w:tc>
        <w:tc>
          <w:tcPr>
            <w:tcW w:w="103" w:type="dxa"/>
            <w:tcBorders>
              <w:bottom w:val="single" w:sz="2" w:space="0" w:color="001C71"/>
            </w:tcBorders>
            <w:shd w:fill="auto" w:val="clear"/>
            <w:tcMar>
              <w:bottom w:w="28" w:type="dxa"/>
            </w:tcMar>
            <w:vAlign w:val="bottom"/>
          </w:tcPr>
          <w:p>
            <w:pPr>
              <w:pStyle w:val="TableContents"/>
              <w:spacing w:before="0" w:after="283"/>
              <w:rPr/>
            </w:pPr>
            <w:r>
              <w:rPr/>
              <w:t> </w:t>
            </w:r>
          </w:p>
        </w:tc>
        <w:tc>
          <w:tcPr>
            <w:tcW w:w="5256" w:type="dxa"/>
            <w:tcBorders>
              <w:bottom w:val="single" w:sz="2" w:space="0" w:color="001C71"/>
            </w:tcBorders>
            <w:shd w:fill="auto" w:val="clear"/>
            <w:tcMar>
              <w:bottom w:w="28" w:type="dxa"/>
            </w:tcMar>
            <w:vAlign w:val="bottom"/>
          </w:tcPr>
          <w:p>
            <w:pPr>
              <w:pStyle w:val="TableContents"/>
              <w:spacing w:before="0" w:after="0"/>
              <w:rPr>
                <w:rFonts w:ascii="arial" w:hAnsi="arial"/>
                <w:sz w:val="16"/>
              </w:rPr>
            </w:pPr>
            <w:r>
              <w:rPr>
                <w:rFonts w:ascii="arial" w:hAnsi="arial"/>
                <w:color w:val="001C71"/>
                <w:sz w:val="22"/>
              </w:rPr>
              <w:t></w:t>
            </w:r>
            <w:r>
              <w:rPr>
                <w:rFonts w:ascii="arial" w:hAnsi="arial"/>
                <w:sz w:val="16"/>
              </w:rPr>
              <w:t>  Based on ABP Earnings (weighted at 85%) and Safety and Stakeholder Measures (collectively weighted at 15%)</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No bonus payment unless company exceeds threshold performance level for the year and maximum payouts are capped</w:t>
            </w:r>
          </w:p>
          <w:p>
            <w:pPr>
              <w:pStyle w:val="TableContents"/>
              <w:spacing w:before="0" w:after="20"/>
              <w:rPr/>
            </w:pPr>
            <w:r>
              <w:rPr/>
              <w:t> </w:t>
            </w:r>
          </w:p>
        </w:tc>
      </w:tr>
      <w:tr>
        <w:trPr/>
        <w:tc>
          <w:tcPr>
            <w:tcW w:w="1332" w:type="dxa"/>
            <w:vMerge w:val="continue"/>
            <w:tcBorders>
              <w:bottom w:val="single" w:sz="8" w:space="0" w:color="001C71"/>
            </w:tcBorders>
            <w:shd w:fill="auto" w:val="clear"/>
            <w:tcMar>
              <w:bottom w:w="28" w:type="dxa"/>
            </w:tcMar>
            <w:vAlign w:val="center"/>
          </w:tcPr>
          <w:p>
            <w:pPr>
              <w:pStyle w:val="Normal"/>
              <w:rPr/>
            </w:pPr>
            <w:r>
              <w:rPr/>
            </w:r>
          </w:p>
        </w:tc>
        <w:tc>
          <w:tcPr>
            <w:tcW w:w="103" w:type="dxa"/>
            <w:tcBorders>
              <w:left w:val="single" w:sz="2" w:space="0" w:color="001C71"/>
              <w:bottom w:val="single" w:sz="8" w:space="0" w:color="001C71"/>
            </w:tcBorders>
            <w:shd w:fill="auto" w:val="clear"/>
            <w:tcMar>
              <w:left w:w="28" w:type="dxa"/>
              <w:bottom w:w="28" w:type="dxa"/>
            </w:tcMar>
            <w:vAlign w:val="bottom"/>
          </w:tcPr>
          <w:p>
            <w:pPr>
              <w:pStyle w:val="TableContents"/>
              <w:spacing w:before="0" w:after="283"/>
              <w:rPr/>
            </w:pPr>
            <w:r>
              <w:rPr/>
              <w:t> </w:t>
            </w:r>
          </w:p>
        </w:tc>
        <w:tc>
          <w:tcPr>
            <w:tcW w:w="2045" w:type="dxa"/>
            <w:tcBorders>
              <w:bottom w:val="single" w:sz="8" w:space="0" w:color="001C71"/>
              <w:right w:val="single" w:sz="2" w:space="0" w:color="001C71"/>
            </w:tcBorders>
            <w:shd w:fill="auto" w:val="clear"/>
            <w:tcMar>
              <w:bottom w:w="28" w:type="dxa"/>
              <w:right w:w="28" w:type="dxa"/>
            </w:tcMar>
            <w:vAlign w:val="center"/>
          </w:tcPr>
          <w:p>
            <w:pPr>
              <w:pStyle w:val="TableContents"/>
              <w:spacing w:before="0" w:after="283"/>
              <w:rPr>
                <w:b/>
              </w:rPr>
            </w:pPr>
            <w:r>
              <w:rPr>
                <w:b/>
              </w:rPr>
              <w:t>Long-Term Equity-Based Incentives(2)</w:t>
            </w:r>
          </w:p>
        </w:tc>
        <w:tc>
          <w:tcPr>
            <w:tcW w:w="103" w:type="dxa"/>
            <w:tcBorders>
              <w:bottom w:val="single" w:sz="8" w:space="0" w:color="001C71"/>
            </w:tcBorders>
            <w:shd w:fill="auto" w:val="clear"/>
            <w:tcMar>
              <w:bottom w:w="28" w:type="dxa"/>
            </w:tcMar>
            <w:vAlign w:val="bottom"/>
          </w:tcPr>
          <w:p>
            <w:pPr>
              <w:pStyle w:val="TableContents"/>
              <w:spacing w:before="0" w:after="283"/>
              <w:rPr/>
            </w:pPr>
            <w:r>
              <w:rPr/>
              <w:t> </w:t>
            </w:r>
          </w:p>
        </w:tc>
        <w:tc>
          <w:tcPr>
            <w:tcW w:w="1263" w:type="dxa"/>
            <w:tcBorders>
              <w:bottom w:val="single" w:sz="8" w:space="0" w:color="001C71"/>
              <w:right w:val="single" w:sz="2" w:space="0" w:color="001C71"/>
            </w:tcBorders>
            <w:shd w:fill="auto" w:val="clear"/>
            <w:tcMar>
              <w:bottom w:w="28" w:type="dxa"/>
              <w:right w:w="28" w:type="dxa"/>
            </w:tcMar>
            <w:vAlign w:val="center"/>
          </w:tcPr>
          <w:p>
            <w:pPr>
              <w:pStyle w:val="TableContents"/>
              <w:spacing w:before="0" w:after="283"/>
              <w:jc w:val="center"/>
              <w:rPr/>
            </w:pPr>
            <w:r>
              <w:rPr/>
              <w:t>Equity  </w:t>
            </w:r>
          </w:p>
        </w:tc>
        <w:tc>
          <w:tcPr>
            <w:tcW w:w="103" w:type="dxa"/>
            <w:tcBorders>
              <w:bottom w:val="single" w:sz="8" w:space="0" w:color="001C71"/>
            </w:tcBorders>
            <w:shd w:fill="auto" w:val="clear"/>
            <w:tcMar>
              <w:bottom w:w="28" w:type="dxa"/>
            </w:tcMar>
            <w:vAlign w:val="bottom"/>
          </w:tcPr>
          <w:p>
            <w:pPr>
              <w:pStyle w:val="TableContents"/>
              <w:spacing w:before="0" w:after="283"/>
              <w:rPr/>
            </w:pPr>
            <w:r>
              <w:rPr/>
              <w:t> </w:t>
            </w:r>
          </w:p>
        </w:tc>
        <w:tc>
          <w:tcPr>
            <w:tcW w:w="5256" w:type="dxa"/>
            <w:tcBorders>
              <w:bottom w:val="single" w:sz="8" w:space="0" w:color="001C71"/>
            </w:tcBorders>
            <w:shd w:fill="auto" w:val="clear"/>
            <w:tcMar>
              <w:bottom w:w="28" w:type="dxa"/>
            </w:tcMar>
            <w:vAlign w:val="bottom"/>
          </w:tcPr>
          <w:p>
            <w:pPr>
              <w:pStyle w:val="TableContents"/>
              <w:spacing w:before="0" w:after="0"/>
              <w:rPr>
                <w:rFonts w:ascii="arial" w:hAnsi="arial"/>
                <w:sz w:val="16"/>
              </w:rPr>
            </w:pPr>
            <w:r>
              <w:rPr>
                <w:rFonts w:ascii="arial" w:hAnsi="arial"/>
                <w:color w:val="001C71"/>
                <w:sz w:val="22"/>
              </w:rPr>
              <w:t></w:t>
            </w:r>
            <w:r>
              <w:rPr>
                <w:rFonts w:ascii="arial" w:hAnsi="arial"/>
                <w:sz w:val="16"/>
              </w:rPr>
              <w:t>  </w:t>
            </w:r>
            <w:r>
              <w:rPr>
                <w:rFonts w:ascii="arial" w:hAnsi="arial"/>
                <w:b/>
                <w:sz w:val="16"/>
              </w:rPr>
              <w:t>Performance-Based Restricted Stock Units (weighted at 70% collectively)</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Relative Total Shareholder Return (TSR) Performance-Based Restricted Stock Units (50%):</w:t>
            </w:r>
            <w:r>
              <w:rPr>
                <w:rFonts w:ascii="arial" w:hAnsi="arial"/>
                <w:sz w:val="16"/>
              </w:rPr>
              <w:t xml:space="preserve"> 3-year relative TSR</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(35%):</w:t>
            </w:r>
            <w:r>
              <w:rPr>
                <w:rFonts w:ascii="arial" w:hAnsi="arial"/>
                <w:sz w:val="16"/>
              </w:rPr>
              <w:t xml:space="preserve"> Relative TSR measured vs. S&amp;P 500 Utilities Index(1); maximum payout requires performance at 90th percentile of S&amp;P 500 Utilities Index peers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 xml:space="preserve">(15%): </w:t>
            </w:r>
            <w:r>
              <w:rPr>
                <w:rFonts w:ascii="arial" w:hAnsi="arial"/>
                <w:sz w:val="16"/>
              </w:rPr>
              <w:t>Relative TSR measured vs. S&amp;P 500 Index; maximum payout requires performance at 90th percentile of S&amp;P 500 Index peers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w:t>
            </w:r>
            <w:r>
              <w:rPr>
                <w:rFonts w:ascii="arial" w:hAnsi="arial"/>
                <w:b/>
                <w:sz w:val="16"/>
              </w:rPr>
              <w:t>EPS Growth Performance-Based Restricted Stock Units (20%):</w:t>
            </w:r>
            <w:r>
              <w:rPr>
                <w:rFonts w:ascii="arial" w:hAnsi="arial"/>
                <w:sz w:val="16"/>
              </w:rPr>
              <w:t xml:space="preserve"> 3-year EPS CAGR, with payout scale set based on forward consensus estimates of EPS CAGR of S&amp;P 500 Utilities Index peers(1); maximum payout requires performance at the 90th percentile of estimates for S&amp;P 500 Utilities Index peers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  3-year performance period for each performance measure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  For each measure, performance at threshold results in zero payout</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22"/>
              </w:rPr>
              <w:t></w:t>
            </w:r>
            <w:r>
              <w:rPr>
                <w:rFonts w:ascii="arial" w:hAnsi="arial"/>
                <w:sz w:val="16"/>
              </w:rPr>
              <w:t>  </w:t>
            </w:r>
            <w:r>
              <w:rPr>
                <w:rFonts w:ascii="arial" w:hAnsi="arial"/>
                <w:b/>
                <w:sz w:val="16"/>
              </w:rPr>
              <w:t>Stock Options(3) and/or Service-Based Restricted Stock Units(3)</w:t>
            </w:r>
            <w:r>
              <w:rPr>
                <w:rFonts w:ascii="arial" w:hAnsi="arial"/>
                <w:sz w:val="16"/>
              </w:rPr>
              <w:t xml:space="preserve"> </w:t>
            </w:r>
            <w:r>
              <w:rPr>
                <w:rFonts w:ascii="arial" w:hAnsi="arial"/>
                <w:b/>
                <w:sz w:val="16"/>
              </w:rPr>
              <w:t xml:space="preserve">(weighted at 30% collectively): </w:t>
            </w:r>
            <w:r>
              <w:rPr>
                <w:rFonts w:ascii="arial" w:hAnsi="arial"/>
                <w:sz w:val="16"/>
              </w:rPr>
              <w:t>Vest ratably over three years</w:t>
            </w:r>
          </w:p>
          <w:p>
            <w:pPr>
              <w:pStyle w:val="TableContents"/>
              <w:spacing w:before="0" w:after="20"/>
              <w:rPr/>
            </w:pPr>
            <w:r>
              <w:rPr/>
              <w:t> </w:t>
            </w:r>
          </w:p>
        </w:tc>
      </w:tr>
    </w:tbl>
    <w:p>
      <w:pPr>
        <w:pStyle w:val="TextBody"/>
        <w:spacing w:before="80" w:after="0"/>
        <w:jc w:val="left"/>
        <w:rPr>
          <w:rFonts w:ascii="arial" w:hAnsi="arial"/>
          <w:i/>
          <w:sz w:val="14"/>
        </w:rPr>
      </w:pPr>
      <w:r>
        <w:rPr>
          <w:rFonts w:ascii="arial" w:hAnsi="arial"/>
          <w:i/>
          <w:sz w:val="14"/>
        </w:rPr>
        <w:t xml:space="preserve">Table 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(1)</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For purposes of long-term equity-based incentives and labor market benchmarking, all references to the S&amp;P 500 Utilities Index or our S&amp;P 500 Utilities Index peers refer to the companies constituting the S&amp;P 500 Utilities Index, excluding water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As used in this proxy statement, long-term equity-based incentives refers to the annual long-term incentive plan (LTIP) award granted on January 2, 2020 and, unless stated or the context indicates otherwise, does not include any special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(3)</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Stock options were weighted at 30% for Mr. Martin and at 15% for Messrs. Mihalik, Bilicic and Arriola. Service-based restricted stock units were weighted at 15% for Messrs. Mihalik, Arriola and Bilicic and at 30% for Messrs. Sagara and Wall. The 2020 annual LTIP award for Mr. Martin did not include service-based restricted stock units, and the 2020 annual LTIP award for Messrs. Sagara and Wall did not include stock options. </w:t>
            </w:r>
          </w:p>
        </w:tc>
      </w:tr>
    </w:tbl>
    <w:p>
      <w:pPr>
        <w:pStyle w:val="TextBody"/>
        <w:spacing w:before="80" w:after="0"/>
        <w:jc w:val="left"/>
        <w:rPr>
          <w:rFonts w:ascii="arial" w:hAnsi="arial"/>
          <w:i/>
          <w:sz w:val="14"/>
        </w:rPr>
      </w:pPr>
      <w:r>
        <w:rPr>
          <w:rFonts w:ascii="arial" w:hAnsi="arial"/>
          <w:i/>
          <w:sz w:val="14"/>
        </w:rPr>
        <w:t xml:space="preserve">Note: Based on 2020 annual base salary, 2020 target performance-based annual bonus and the target grant date value of 2020 long-term equity-based incentives.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47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The relative value of Mr. Martins 2020 total pay opportunity for each of the three components of total direct compensation at target company performance is shown below in Figure 2. </w:t>
      </w:r>
    </w:p>
    <w:p>
      <w:pPr>
        <w:pStyle w:val="TextBody"/>
        <w:spacing w:before="240" w:after="0"/>
        <w:jc w:val="center"/>
        <w:rPr>
          <w:rFonts w:ascii="arial" w:hAnsi="arial"/>
          <w:b/>
          <w:sz w:val="20"/>
        </w:rPr>
      </w:pPr>
      <w:r>
        <w:rPr>
          <w:rFonts w:ascii="arial" w:hAnsi="arial"/>
          <w:b/>
          <w:sz w:val="20"/>
        </w:rPr>
        <w:t xml:space="preserve">Chief Executive Officer Pay Mix at Target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212090" cy="210185"/>
            <wp:effectExtent l="0" t="0" r="0" b="0"/>
            <wp:docPr id="6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2" descr=""/>
                    <pic:cNvPicPr>
                      <a:picLocks noChangeAspect="1" noChangeArrowheads="1"/>
                    </pic:cNvPicPr>
                  </pic:nvPicPr>
                  <pic:blipFill>
                    <a:blip r:embed="rId53"/>
                    <a:stretch>
                      <a:fillRect/>
                    </a:stretch>
                  </pic:blipFill>
                  <pic:spPr bwMode="auto">
                    <a:xfrm>
                      <a:off x="0" y="0"/>
                      <a:ext cx="212090" cy="210185"/>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Chief Executive Officer Pay Mix at Target Base Salary 13% Performance-Based Annual Bonus Long-Term 19% Equity-Based Incentives 68% 87% At-Risk Compensation </w:t>
      </w:r>
    </w:p>
    <w:p>
      <w:pPr>
        <w:pStyle w:val="TextBody"/>
        <w:spacing w:before="60" w:after="0"/>
        <w:jc w:val="left"/>
        <w:rPr>
          <w:rFonts w:ascii="arial" w:hAnsi="arial"/>
          <w:i/>
          <w:sz w:val="14"/>
        </w:rPr>
      </w:pPr>
      <w:r>
        <w:rPr>
          <w:rFonts w:ascii="arial" w:hAnsi="arial"/>
          <w:i/>
          <w:sz w:val="14"/>
        </w:rPr>
        <w:t xml:space="preserve">Figure 2 </w:t>
      </w:r>
    </w:p>
    <w:p>
      <w:pPr>
        <w:pStyle w:val="TextBody"/>
        <w:spacing w:before="120" w:after="0"/>
        <w:jc w:val="left"/>
        <w:rPr>
          <w:rFonts w:ascii="arial" w:hAnsi="arial"/>
          <w:i/>
          <w:sz w:val="14"/>
        </w:rPr>
      </w:pPr>
      <w:r>
        <w:rPr>
          <w:rFonts w:ascii="arial" w:hAnsi="arial"/>
          <w:i/>
          <w:sz w:val="14"/>
        </w:rPr>
        <w:t xml:space="preserve">Note: Based on 2020 annual base salary, 2020 target performance-based annual bonus and the target grant date value of the 2020 annual long-term incentive plan award. </w:t>
      </w:r>
    </w:p>
    <w:p>
      <w:pPr>
        <w:pStyle w:val="TextBody"/>
        <w:spacing w:before="240" w:after="0"/>
        <w:jc w:val="left"/>
        <w:rPr>
          <w:rFonts w:ascii="arial" w:hAnsi="arial"/>
          <w:sz w:val="16"/>
        </w:rPr>
      </w:pPr>
      <w:r>
        <w:rPr>
          <w:rFonts w:ascii="arial" w:hAnsi="arial"/>
          <w:sz w:val="16"/>
        </w:rPr>
        <w:t xml:space="preserve">Our pay mix is designed to align our executives interests with our shareholders interests by providing a greater proportion of target annual compensation through performance-based annual and long-term incentives rather than base salary. This means that most pay is intended to be variable and increase or decrease based on company performance. As shown in Figure 2, over two-thirds of Mr. Martins total target pay opportunity was in the form of performance-based equity incentives and 87% was in the form of variable incentive pay. </w:t>
      </w:r>
    </w:p>
    <w:p>
      <w:pPr>
        <w:pStyle w:val="TextBody"/>
        <w:spacing w:before="240" w:after="0"/>
        <w:jc w:val="left"/>
        <w:rPr>
          <w:rFonts w:ascii="arial" w:hAnsi="arial"/>
          <w:sz w:val="16"/>
        </w:rPr>
      </w:pPr>
      <w:r>
        <w:rPr>
          <w:rFonts w:ascii="arial" w:hAnsi="arial"/>
          <w:sz w:val="16"/>
        </w:rPr>
        <w:t xml:space="preserve">Actual pay mix may vary substantially from target pay mix. This may occur as a result of company performance, which greatly affects annual bonuses, and stock performance, which significantly impacts the ultimate value realized for stock-based awards. Figure 3 shows the percentage of each component of the total 2020 pay opportunity as of December 31, 2020 at target company performance for each of our named executive officers, excluding Messrs. Arriola and Bilicic, who separated from service prior to December 31, 2020.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23850" cy="254635"/>
            <wp:effectExtent l="0" t="0" r="0" b="0"/>
            <wp:docPr id="6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3" descr=""/>
                    <pic:cNvPicPr>
                      <a:picLocks noChangeAspect="1" noChangeArrowheads="1"/>
                    </pic:cNvPicPr>
                  </pic:nvPicPr>
                  <pic:blipFill>
                    <a:blip r:embed="rId54"/>
                    <a:stretch>
                      <a:fillRect/>
                    </a:stretch>
                  </pic:blipFill>
                  <pic:spPr bwMode="auto">
                    <a:xfrm>
                      <a:off x="0" y="0"/>
                      <a:ext cx="323850" cy="254635"/>
                    </a:xfrm>
                    <a:prstGeom prst="rect">
                      <a:avLst/>
                    </a:prstGeom>
                  </pic:spPr>
                </pic:pic>
              </a:graphicData>
            </a:graphic>
          </wp:inline>
        </w:drawing>
      </w:r>
      <w:r>
        <w:rPr/>
        <w:t xml:space="preserve"> </w:t>
      </w:r>
    </w:p>
    <w:p>
      <w:pPr>
        <w:pStyle w:val="TextBody"/>
        <w:jc w:val="center"/>
        <w:rPr>
          <w:rFonts w:ascii="arial" w:hAnsi="arial"/>
          <w:color w:val="FFFFFF"/>
          <w:sz w:val="2"/>
        </w:rPr>
      </w:pPr>
      <w:r>
        <w:rPr>
          <w:rFonts w:ascii="arial" w:hAnsi="arial"/>
          <w:color w:val="FFFFFF"/>
          <w:sz w:val="2"/>
        </w:rPr>
        <w:t xml:space="preserve">Components of Total Target Compensation Martin Mihalik Sagara Wall Base Salary Performance-Based Long-Term Equity-Annual Bonus Based Incentives </w:t>
      </w:r>
    </w:p>
    <w:p>
      <w:pPr>
        <w:pStyle w:val="TextBody"/>
        <w:spacing w:before="60" w:after="0"/>
        <w:jc w:val="left"/>
        <w:rPr>
          <w:rFonts w:ascii="arial" w:hAnsi="arial"/>
          <w:i/>
          <w:sz w:val="14"/>
        </w:rPr>
      </w:pPr>
      <w:r>
        <w:rPr>
          <w:rFonts w:ascii="arial" w:hAnsi="arial"/>
          <w:i/>
          <w:sz w:val="14"/>
        </w:rPr>
        <w:t xml:space="preserve">Figure 3 </w:t>
      </w:r>
    </w:p>
    <w:p>
      <w:pPr>
        <w:pStyle w:val="TextBody"/>
        <w:spacing w:before="120" w:after="0"/>
        <w:jc w:val="left"/>
        <w:rPr>
          <w:rFonts w:ascii="arial" w:hAnsi="arial"/>
          <w:i/>
          <w:sz w:val="14"/>
        </w:rPr>
      </w:pPr>
      <w:r>
        <w:rPr>
          <w:rFonts w:ascii="arial" w:hAnsi="arial"/>
          <w:i/>
          <w:sz w:val="14"/>
        </w:rPr>
        <w:t xml:space="preserve">Note: Based on annual base salary and target performance-based annual bonus as of December 31, 2020 and the target grant date value of the 2020 annual long-term incentive plan award, including Mr. Walls April 1, 2020 promotional award but excluding any other special awards.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48</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color w:val="001C71"/>
          <w:sz w:val="24"/>
        </w:rPr>
      </w:pPr>
      <w:bookmarkStart w:id="27" w:name="tx108157_6"/>
      <w:bookmarkEnd w:id="27"/>
      <w:r>
        <w:rPr>
          <w:rFonts w:ascii="arial" w:hAnsi="arial"/>
          <w:b/>
          <w:color w:val="001C71"/>
          <w:sz w:val="24"/>
        </w:rPr>
        <w:t xml:space="preserve">Chief Executive Officer Target Compensation Summary </w:t>
      </w:r>
    </w:p>
    <w:p>
      <w:pPr>
        <w:pStyle w:val="TextBody"/>
        <w:spacing w:before="120" w:after="0"/>
        <w:jc w:val="left"/>
        <w:rPr>
          <w:rFonts w:ascii="arial" w:hAnsi="arial"/>
          <w:sz w:val="16"/>
        </w:rPr>
      </w:pPr>
      <w:r>
        <w:rPr>
          <w:rFonts w:ascii="arial" w:hAnsi="arial"/>
          <w:sz w:val="16"/>
        </w:rPr>
        <w:t xml:space="preserve">The table below summarizes Mr. Martins 2020 base salary, the target value of his 2020 performance-based annual bonus, and the target value of his 2020 annual LTIP award.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13"/>
        <w:gridCol w:w="534"/>
        <w:gridCol w:w="2272"/>
        <w:gridCol w:w="534"/>
        <w:gridCol w:w="1892"/>
        <w:gridCol w:w="534"/>
        <w:gridCol w:w="2126"/>
      </w:tblGrid>
      <w:tr>
        <w:trPr/>
        <w:tc>
          <w:tcPr>
            <w:tcW w:w="231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227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2126"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2313" w:type="dxa"/>
            <w:tcBorders/>
            <w:shd w:fill="001C71" w:val="clear"/>
            <w:vAlign w:val="center"/>
          </w:tcPr>
          <w:p>
            <w:pPr>
              <w:pStyle w:val="TableContents"/>
              <w:spacing w:before="0" w:after="283"/>
              <w:rPr>
                <w:sz w:val="4"/>
                <w:szCs w:val="4"/>
              </w:rPr>
            </w:pPr>
            <w:r>
              <w:rPr>
                <w:sz w:val="4"/>
                <w:szCs w:val="4"/>
              </w:rPr>
            </w:r>
          </w:p>
        </w:tc>
        <w:tc>
          <w:tcPr>
            <w:tcW w:w="2806" w:type="dxa"/>
            <w:gridSpan w:val="2"/>
            <w:tcBorders/>
            <w:shd w:fill="001C71" w:val="clear"/>
            <w:vAlign w:val="center"/>
          </w:tcPr>
          <w:p>
            <w:pPr>
              <w:pStyle w:val="TableContents"/>
              <w:spacing w:before="0" w:after="283"/>
              <w:rPr>
                <w:sz w:val="4"/>
                <w:szCs w:val="4"/>
              </w:rPr>
            </w:pPr>
            <w:r>
              <w:rPr>
                <w:sz w:val="4"/>
                <w:szCs w:val="4"/>
              </w:rPr>
            </w:r>
          </w:p>
        </w:tc>
        <w:tc>
          <w:tcPr>
            <w:tcW w:w="2426" w:type="dxa"/>
            <w:gridSpan w:val="2"/>
            <w:tcBorders/>
            <w:shd w:fill="001C71" w:val="clear"/>
            <w:vAlign w:val="center"/>
          </w:tcPr>
          <w:p>
            <w:pPr>
              <w:pStyle w:val="TableContents"/>
              <w:spacing w:before="0" w:after="283"/>
              <w:rPr>
                <w:sz w:val="4"/>
                <w:szCs w:val="4"/>
              </w:rPr>
            </w:pPr>
            <w:r>
              <w:rPr>
                <w:sz w:val="4"/>
                <w:szCs w:val="4"/>
              </w:rPr>
            </w:r>
          </w:p>
        </w:tc>
        <w:tc>
          <w:tcPr>
            <w:tcW w:w="2660" w:type="dxa"/>
            <w:gridSpan w:val="2"/>
            <w:tcBorders/>
            <w:shd w:fill="001C71" w:val="clear"/>
            <w:vAlign w:val="center"/>
          </w:tcPr>
          <w:p>
            <w:pPr>
              <w:pStyle w:val="TableContents"/>
              <w:spacing w:before="0" w:after="283"/>
              <w:rPr>
                <w:sz w:val="4"/>
                <w:szCs w:val="4"/>
              </w:rPr>
            </w:pPr>
            <w:r>
              <w:rPr>
                <w:sz w:val="4"/>
                <w:szCs w:val="4"/>
              </w:rPr>
            </w:r>
          </w:p>
        </w:tc>
      </w:tr>
      <w:tr>
        <w:trPr/>
        <w:tc>
          <w:tcPr>
            <w:tcW w:w="2313" w:type="dxa"/>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Base Salary                        </w:t>
            </w:r>
          </w:p>
        </w:tc>
        <w:tc>
          <w:tcPr>
            <w:tcW w:w="534" w:type="dxa"/>
            <w:tcBorders/>
            <w:shd w:fill="001C71" w:val="clear"/>
            <w:vAlign w:val="bottom"/>
          </w:tcPr>
          <w:p>
            <w:pPr>
              <w:pStyle w:val="TableContents"/>
              <w:spacing w:before="0" w:after="283"/>
              <w:rPr/>
            </w:pPr>
            <w:r>
              <w:rPr/>
              <w:t>  </w:t>
            </w:r>
          </w:p>
        </w:tc>
        <w:tc>
          <w:tcPr>
            <w:tcW w:w="2272" w:type="dxa"/>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Target Value of Performance-</w:t>
            </w:r>
          </w:p>
          <w:p>
            <w:pPr>
              <w:pStyle w:val="TableContents"/>
              <w:spacing w:before="0" w:after="20"/>
              <w:jc w:val="center"/>
              <w:rPr>
                <w:rFonts w:ascii="arial" w:hAnsi="arial"/>
                <w:b/>
                <w:color w:val="FFFFFF"/>
                <w:sz w:val="16"/>
              </w:rPr>
            </w:pPr>
            <w:r>
              <w:rPr>
                <w:rFonts w:ascii="arial" w:hAnsi="arial"/>
                <w:b/>
                <w:color w:val="FFFFFF"/>
                <w:sz w:val="16"/>
              </w:rPr>
              <w:t>Based Annual Bonus</w:t>
            </w:r>
          </w:p>
        </w:tc>
        <w:tc>
          <w:tcPr>
            <w:tcW w:w="534" w:type="dxa"/>
            <w:tcBorders/>
            <w:shd w:fill="001C71" w:val="clear"/>
            <w:vAlign w:val="bottom"/>
          </w:tcPr>
          <w:p>
            <w:pPr>
              <w:pStyle w:val="TableContents"/>
              <w:spacing w:before="0" w:after="283"/>
              <w:rPr/>
            </w:pPr>
            <w:r>
              <w:rPr/>
              <w:t>  </w:t>
            </w:r>
          </w:p>
        </w:tc>
        <w:tc>
          <w:tcPr>
            <w:tcW w:w="1892" w:type="dxa"/>
            <w:tcBorders/>
            <w:shd w:fill="001C71" w:val="clear"/>
            <w:vAlign w:val="bottom"/>
          </w:tcPr>
          <w:p>
            <w:pPr>
              <w:pStyle w:val="TableContents"/>
              <w:spacing w:before="0" w:after="283"/>
              <w:jc w:val="center"/>
              <w:rPr>
                <w:b/>
                <w:color w:val="FFFFFF"/>
              </w:rPr>
            </w:pPr>
            <w:r>
              <w:rPr>
                <w:b/>
                <w:color w:val="FFFFFF"/>
              </w:rPr>
              <w:t>Target 2020 LTIP</w:t>
              <w:br/>
              <w:t>Award Value</w:t>
            </w:r>
          </w:p>
        </w:tc>
        <w:tc>
          <w:tcPr>
            <w:tcW w:w="534" w:type="dxa"/>
            <w:tcBorders/>
            <w:shd w:fill="001C71" w:val="clear"/>
            <w:vAlign w:val="bottom"/>
          </w:tcPr>
          <w:p>
            <w:pPr>
              <w:pStyle w:val="TableContents"/>
              <w:spacing w:before="0" w:after="283"/>
              <w:rPr/>
            </w:pPr>
            <w:r>
              <w:rPr/>
              <w:t>  </w:t>
            </w:r>
          </w:p>
        </w:tc>
        <w:tc>
          <w:tcPr>
            <w:tcW w:w="2126" w:type="dxa"/>
            <w:tcBorders/>
            <w:shd w:fill="001C71" w:val="clear"/>
            <w:vAlign w:val="bottom"/>
          </w:tcPr>
          <w:p>
            <w:pPr>
              <w:pStyle w:val="TableContents"/>
              <w:spacing w:before="0" w:after="0"/>
              <w:jc w:val="center"/>
              <w:rPr>
                <w:color w:val="FFFFFF"/>
              </w:rPr>
            </w:pPr>
            <w:r>
              <w:rPr>
                <w:color w:val="FFFFFF"/>
              </w:rPr>
              <w:t>  </w:t>
            </w:r>
            <w:r>
              <w:rPr>
                <w:rFonts w:ascii="arial" w:hAnsi="arial"/>
                <w:b/>
                <w:color w:val="FFFFFF"/>
                <w:sz w:val="16"/>
              </w:rPr>
              <w:t>Target 2020 Total Direct  </w:t>
            </w:r>
          </w:p>
          <w:p>
            <w:pPr>
              <w:pStyle w:val="TableContents"/>
              <w:spacing w:before="0" w:after="20"/>
              <w:jc w:val="center"/>
              <w:rPr>
                <w:rFonts w:ascii="arial" w:hAnsi="arial"/>
                <w:b/>
                <w:color w:val="FFFFFF"/>
                <w:sz w:val="16"/>
              </w:rPr>
            </w:pPr>
            <w:r>
              <w:rPr>
                <w:rFonts w:ascii="arial" w:hAnsi="arial"/>
                <w:b/>
                <w:color w:val="FFFFFF"/>
                <w:sz w:val="16"/>
              </w:rPr>
              <w:t>Compensation</w:t>
            </w:r>
          </w:p>
        </w:tc>
      </w:tr>
      <w:tr>
        <w:trPr>
          <w:trHeight w:val="150" w:hRule="atLeast"/>
        </w:trPr>
        <w:tc>
          <w:tcPr>
            <w:tcW w:w="2313" w:type="dxa"/>
            <w:tcBorders/>
            <w:shd w:fill="E5E5E5" w:val="clear"/>
            <w:vAlign w:val="center"/>
          </w:tcPr>
          <w:p>
            <w:pPr>
              <w:pStyle w:val="TableContents"/>
              <w:spacing w:before="0" w:after="283"/>
              <w:rPr>
                <w:sz w:val="4"/>
                <w:szCs w:val="4"/>
              </w:rPr>
            </w:pPr>
            <w:r>
              <w:rPr>
                <w:sz w:val="4"/>
                <w:szCs w:val="4"/>
              </w:rPr>
            </w:r>
          </w:p>
        </w:tc>
        <w:tc>
          <w:tcPr>
            <w:tcW w:w="2806" w:type="dxa"/>
            <w:gridSpan w:val="2"/>
            <w:tcBorders/>
            <w:shd w:fill="E5E5E5" w:val="clear"/>
            <w:vAlign w:val="center"/>
          </w:tcPr>
          <w:p>
            <w:pPr>
              <w:pStyle w:val="TableContents"/>
              <w:spacing w:before="0" w:after="283"/>
              <w:rPr>
                <w:sz w:val="4"/>
                <w:szCs w:val="4"/>
              </w:rPr>
            </w:pPr>
            <w:r>
              <w:rPr>
                <w:sz w:val="4"/>
                <w:szCs w:val="4"/>
              </w:rPr>
            </w:r>
          </w:p>
        </w:tc>
        <w:tc>
          <w:tcPr>
            <w:tcW w:w="2426" w:type="dxa"/>
            <w:gridSpan w:val="2"/>
            <w:tcBorders/>
            <w:shd w:fill="E5E5E5" w:val="clear"/>
            <w:vAlign w:val="center"/>
          </w:tcPr>
          <w:p>
            <w:pPr>
              <w:pStyle w:val="TableContents"/>
              <w:spacing w:before="0" w:after="283"/>
              <w:rPr>
                <w:sz w:val="4"/>
                <w:szCs w:val="4"/>
              </w:rPr>
            </w:pPr>
            <w:r>
              <w:rPr>
                <w:sz w:val="4"/>
                <w:szCs w:val="4"/>
              </w:rPr>
            </w:r>
          </w:p>
        </w:tc>
        <w:tc>
          <w:tcPr>
            <w:tcW w:w="2660" w:type="dxa"/>
            <w:gridSpan w:val="2"/>
            <w:tcBorders/>
            <w:shd w:fill="E5E5E5" w:val="clear"/>
            <w:vAlign w:val="center"/>
          </w:tcPr>
          <w:p>
            <w:pPr>
              <w:pStyle w:val="TableContents"/>
              <w:spacing w:before="0" w:after="283"/>
              <w:rPr>
                <w:sz w:val="4"/>
                <w:szCs w:val="4"/>
              </w:rPr>
            </w:pPr>
            <w:r>
              <w:rPr>
                <w:sz w:val="4"/>
                <w:szCs w:val="4"/>
              </w:rPr>
            </w:r>
          </w:p>
        </w:tc>
      </w:tr>
      <w:tr>
        <w:trPr/>
        <w:tc>
          <w:tcPr>
            <w:tcW w:w="2313" w:type="dxa"/>
            <w:tcBorders>
              <w:bottom w:val="single" w:sz="8" w:space="0" w:color="001C71"/>
            </w:tcBorders>
            <w:shd w:fill="E5E5E5" w:val="clear"/>
            <w:tcMar>
              <w:bottom w:w="100" w:type="dxa"/>
            </w:tcMar>
          </w:tcPr>
          <w:p>
            <w:pPr>
              <w:pStyle w:val="TableContents"/>
              <w:spacing w:before="0" w:after="0"/>
              <w:jc w:val="center"/>
              <w:rPr>
                <w:rFonts w:ascii="arial" w:hAnsi="arial"/>
                <w:sz w:val="16"/>
              </w:rPr>
            </w:pPr>
            <w:r>
              <w:rPr>
                <w:rFonts w:ascii="arial" w:hAnsi="arial"/>
                <w:sz w:val="16"/>
              </w:rPr>
              <w:t>$1,300,000                         </w:t>
            </w:r>
          </w:p>
        </w:tc>
        <w:tc>
          <w:tcPr>
            <w:tcW w:w="534" w:type="dxa"/>
            <w:tcBorders>
              <w:bottom w:val="single" w:sz="8" w:space="0" w:color="001C71"/>
            </w:tcBorders>
            <w:shd w:fill="E5E5E5" w:val="clear"/>
            <w:tcMar>
              <w:bottom w:w="28" w:type="dxa"/>
            </w:tcMar>
            <w:vAlign w:val="bottom"/>
          </w:tcPr>
          <w:p>
            <w:pPr>
              <w:pStyle w:val="TableContents"/>
              <w:spacing w:before="0" w:after="283"/>
              <w:rPr/>
            </w:pPr>
            <w:r>
              <w:rPr/>
              <w:t>  </w:t>
            </w:r>
          </w:p>
        </w:tc>
        <w:tc>
          <w:tcPr>
            <w:tcW w:w="2272" w:type="dxa"/>
            <w:tcBorders>
              <w:bottom w:val="single" w:sz="8" w:space="0" w:color="001C71"/>
            </w:tcBorders>
            <w:shd w:fill="E5E5E5" w:val="clear"/>
            <w:tcMar>
              <w:bottom w:w="100" w:type="dxa"/>
            </w:tcMar>
            <w:vAlign w:val="bottom"/>
          </w:tcPr>
          <w:p>
            <w:pPr>
              <w:pStyle w:val="TableContents"/>
              <w:spacing w:before="0" w:after="283"/>
              <w:jc w:val="center"/>
              <w:rPr/>
            </w:pPr>
            <w:r>
              <w:rPr/>
              <w:t>$1,885,000</w:t>
            </w:r>
          </w:p>
        </w:tc>
        <w:tc>
          <w:tcPr>
            <w:tcW w:w="534" w:type="dxa"/>
            <w:tcBorders>
              <w:bottom w:val="single" w:sz="8" w:space="0" w:color="001C71"/>
            </w:tcBorders>
            <w:shd w:fill="E5E5E5" w:val="clear"/>
            <w:tcMar>
              <w:bottom w:w="28" w:type="dxa"/>
            </w:tcMar>
            <w:vAlign w:val="bottom"/>
          </w:tcPr>
          <w:p>
            <w:pPr>
              <w:pStyle w:val="TableContents"/>
              <w:spacing w:before="0" w:after="283"/>
              <w:rPr/>
            </w:pPr>
            <w:r>
              <w:rPr/>
              <w:t>  </w:t>
            </w:r>
          </w:p>
        </w:tc>
        <w:tc>
          <w:tcPr>
            <w:tcW w:w="1892" w:type="dxa"/>
            <w:tcBorders>
              <w:bottom w:val="single" w:sz="8" w:space="0" w:color="001C71"/>
            </w:tcBorders>
            <w:shd w:fill="E5E5E5" w:val="clear"/>
            <w:tcMar>
              <w:bottom w:w="100" w:type="dxa"/>
            </w:tcMar>
            <w:vAlign w:val="bottom"/>
          </w:tcPr>
          <w:p>
            <w:pPr>
              <w:pStyle w:val="TableContents"/>
              <w:spacing w:before="0" w:after="283"/>
              <w:jc w:val="center"/>
              <w:rPr/>
            </w:pPr>
            <w:r>
              <w:rPr/>
              <w:t>$7,000,000</w:t>
            </w:r>
          </w:p>
        </w:tc>
        <w:tc>
          <w:tcPr>
            <w:tcW w:w="534" w:type="dxa"/>
            <w:tcBorders>
              <w:bottom w:val="single" w:sz="8" w:space="0" w:color="001C71"/>
            </w:tcBorders>
            <w:shd w:fill="E5E5E5" w:val="clear"/>
            <w:tcMar>
              <w:bottom w:w="28" w:type="dxa"/>
            </w:tcMar>
            <w:vAlign w:val="bottom"/>
          </w:tcPr>
          <w:p>
            <w:pPr>
              <w:pStyle w:val="TableContents"/>
              <w:spacing w:before="0" w:after="283"/>
              <w:rPr/>
            </w:pPr>
            <w:r>
              <w:rPr/>
              <w:t>  </w:t>
            </w:r>
          </w:p>
        </w:tc>
        <w:tc>
          <w:tcPr>
            <w:tcW w:w="2126" w:type="dxa"/>
            <w:tcBorders>
              <w:bottom w:val="single" w:sz="8" w:space="0" w:color="001C71"/>
            </w:tcBorders>
            <w:shd w:fill="E5E5E5" w:val="clear"/>
            <w:tcMar>
              <w:bottom w:w="100" w:type="dxa"/>
            </w:tcMar>
            <w:vAlign w:val="bottom"/>
          </w:tcPr>
          <w:p>
            <w:pPr>
              <w:pStyle w:val="TableContents"/>
              <w:spacing w:before="0" w:after="283"/>
              <w:jc w:val="center"/>
              <w:rPr/>
            </w:pPr>
            <w:r>
              <w:rPr/>
              <w:t>$10,185,000</w:t>
            </w:r>
          </w:p>
        </w:tc>
      </w:tr>
    </w:tbl>
    <w:p>
      <w:pPr>
        <w:pStyle w:val="TextBody"/>
        <w:spacing w:before="80" w:after="0"/>
        <w:jc w:val="left"/>
        <w:rPr>
          <w:rFonts w:ascii="arial" w:hAnsi="arial"/>
          <w:i/>
          <w:sz w:val="14"/>
        </w:rPr>
      </w:pPr>
      <w:r>
        <w:rPr>
          <w:rFonts w:ascii="arial" w:hAnsi="arial"/>
          <w:i/>
          <w:sz w:val="14"/>
        </w:rPr>
        <w:t xml:space="preserve">Table 3 </w:t>
      </w:r>
    </w:p>
    <w:p>
      <w:pPr>
        <w:pStyle w:val="TextBody"/>
        <w:spacing w:before="280" w:after="0"/>
        <w:jc w:val="left"/>
        <w:rPr>
          <w:rFonts w:ascii="arial" w:hAnsi="arial"/>
          <w:b/>
          <w:color w:val="001C71"/>
          <w:sz w:val="24"/>
        </w:rPr>
      </w:pPr>
      <w:bookmarkStart w:id="28" w:name="tx108157_7"/>
      <w:bookmarkEnd w:id="28"/>
      <w:r>
        <w:rPr>
          <w:rFonts w:ascii="arial" w:hAnsi="arial"/>
          <w:b/>
          <w:color w:val="001C71"/>
          <w:sz w:val="24"/>
        </w:rPr>
        <w:t xml:space="preserve">Pay-for-Performance Alignment </w:t>
      </w:r>
    </w:p>
    <w:p>
      <w:pPr>
        <w:pStyle w:val="TextBody"/>
        <w:spacing w:before="120" w:after="0"/>
        <w:jc w:val="left"/>
        <w:rPr>
          <w:rFonts w:ascii="arial" w:hAnsi="arial"/>
          <w:sz w:val="16"/>
        </w:rPr>
      </w:pPr>
      <w:r>
        <w:rPr>
          <w:rFonts w:ascii="arial" w:hAnsi="arial"/>
          <w:sz w:val="16"/>
        </w:rPr>
        <w:t xml:space="preserve">The Compensation and Talent Development Committee believes that pay should be structured to align executive compensation with company performance and with the interests of our shareholders. As a result, our incentive plans are designed to deliver payouts that are aligned with company performance. Our LTIP awards measure TSR performance relative to companies in the S&amp;P 500 Utilities Index and S&amp;P 500 Index and the payout scale for our EPS growth-based LTIP awards is based on forward consensus estimates of earnings per share growth for the S&amp;P 500 Utilities Index peers. </w:t>
      </w:r>
    </w:p>
    <w:p>
      <w:pPr>
        <w:pStyle w:val="TextBody"/>
        <w:spacing w:before="160" w:after="0"/>
        <w:jc w:val="left"/>
        <w:rPr>
          <w:rFonts w:ascii="arial" w:hAnsi="arial"/>
          <w:sz w:val="16"/>
        </w:rPr>
      </w:pPr>
      <w:r>
        <w:rPr>
          <w:rFonts w:ascii="arial" w:hAnsi="arial"/>
          <w:sz w:val="16"/>
        </w:rPr>
        <w:t xml:space="preserve">This is demonstrated by comparing the performance outcomes of our recent LTIP payouts for our TSR-based annual LTIP awards, which comprised 80% of our annual LTIP grant date award value of the 2016-2018 and 2017-2019 awards and 50% of our annual LTIP grant date award value for our 2018-2020 awards. Such awards directly tie payouts to our stock price performance.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38"/>
        <w:gridCol w:w="120"/>
        <w:gridCol w:w="3199"/>
        <w:gridCol w:w="186"/>
        <w:gridCol w:w="232"/>
        <w:gridCol w:w="102"/>
        <w:gridCol w:w="3228"/>
      </w:tblGrid>
      <w:tr>
        <w:trPr/>
        <w:tc>
          <w:tcPr>
            <w:tcW w:w="31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28"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138" w:type="dxa"/>
            <w:tcBorders/>
            <w:shd w:fill="001C71" w:val="clear"/>
            <w:vAlign w:val="center"/>
          </w:tcPr>
          <w:p>
            <w:pPr>
              <w:pStyle w:val="TableContents"/>
              <w:spacing w:before="0" w:after="283"/>
              <w:rPr>
                <w:sz w:val="4"/>
                <w:szCs w:val="4"/>
              </w:rPr>
            </w:pPr>
            <w:r>
              <w:rPr>
                <w:sz w:val="4"/>
                <w:szCs w:val="4"/>
              </w:rPr>
            </w:r>
          </w:p>
        </w:tc>
        <w:tc>
          <w:tcPr>
            <w:tcW w:w="3319" w:type="dxa"/>
            <w:gridSpan w:val="2"/>
            <w:tcBorders/>
            <w:shd w:fill="001C71" w:val="clear"/>
            <w:vAlign w:val="center"/>
          </w:tcPr>
          <w:p>
            <w:pPr>
              <w:pStyle w:val="TableContents"/>
              <w:spacing w:before="0" w:after="283"/>
              <w:rPr>
                <w:sz w:val="4"/>
                <w:szCs w:val="4"/>
              </w:rPr>
            </w:pPr>
            <w:r>
              <w:rPr>
                <w:sz w:val="4"/>
                <w:szCs w:val="4"/>
              </w:rPr>
            </w:r>
          </w:p>
        </w:tc>
        <w:tc>
          <w:tcPr>
            <w:tcW w:w="418" w:type="dxa"/>
            <w:gridSpan w:val="2"/>
            <w:tcBorders/>
            <w:shd w:fill="001C71" w:val="clear"/>
            <w:vAlign w:val="center"/>
          </w:tcPr>
          <w:p>
            <w:pPr>
              <w:pStyle w:val="TableContents"/>
              <w:spacing w:before="0" w:after="283"/>
              <w:rPr>
                <w:sz w:val="4"/>
                <w:szCs w:val="4"/>
              </w:rPr>
            </w:pPr>
            <w:r>
              <w:rPr>
                <w:sz w:val="4"/>
                <w:szCs w:val="4"/>
              </w:rPr>
            </w:r>
          </w:p>
        </w:tc>
        <w:tc>
          <w:tcPr>
            <w:tcW w:w="3330" w:type="dxa"/>
            <w:gridSpan w:val="2"/>
            <w:tcBorders/>
            <w:shd w:fill="001C71" w:val="clear"/>
            <w:vAlign w:val="center"/>
          </w:tcPr>
          <w:p>
            <w:pPr>
              <w:pStyle w:val="TableContents"/>
              <w:spacing w:before="0" w:after="283"/>
              <w:rPr>
                <w:sz w:val="4"/>
                <w:szCs w:val="4"/>
              </w:rPr>
            </w:pPr>
            <w:r>
              <w:rPr>
                <w:sz w:val="4"/>
                <w:szCs w:val="4"/>
              </w:rPr>
            </w:r>
          </w:p>
        </w:tc>
      </w:tr>
      <w:tr>
        <w:trPr/>
        <w:tc>
          <w:tcPr>
            <w:tcW w:w="3138" w:type="dxa"/>
            <w:tcBorders/>
            <w:shd w:fill="001C71" w:val="clear"/>
            <w:vAlign w:val="bottom"/>
          </w:tcPr>
          <w:p>
            <w:pPr>
              <w:pStyle w:val="TableContents"/>
              <w:spacing w:before="0" w:after="0"/>
              <w:rPr>
                <w:color w:val="FFFFFF"/>
              </w:rPr>
            </w:pPr>
            <w:r>
              <w:rPr>
                <w:color w:val="FFFFFF"/>
              </w:rPr>
              <w:t>    </w:t>
            </w:r>
            <w:r>
              <w:rPr>
                <w:rFonts w:ascii="arial" w:hAnsi="arial"/>
                <w:b/>
                <w:color w:val="FFFFFF"/>
                <w:sz w:val="16"/>
              </w:rPr>
              <w:t>TSR-Based LTIP Awards</w:t>
            </w:r>
          </w:p>
        </w:tc>
        <w:tc>
          <w:tcPr>
            <w:tcW w:w="120" w:type="dxa"/>
            <w:tcBorders/>
            <w:shd w:fill="001C71" w:val="clear"/>
            <w:vAlign w:val="bottom"/>
          </w:tcPr>
          <w:p>
            <w:pPr>
              <w:pStyle w:val="TableContents"/>
              <w:spacing w:before="0" w:after="283"/>
              <w:rPr/>
            </w:pPr>
            <w:r>
              <w:rPr/>
              <w:t>  </w:t>
            </w:r>
          </w:p>
        </w:tc>
        <w:tc>
          <w:tcPr>
            <w:tcW w:w="3199" w:type="dxa"/>
            <w:tcBorders/>
            <w:shd w:fill="001C71" w:val="clear"/>
            <w:vAlign w:val="bottom"/>
          </w:tcPr>
          <w:p>
            <w:pPr>
              <w:pStyle w:val="TableContents"/>
              <w:spacing w:before="0" w:after="283"/>
              <w:jc w:val="center"/>
              <w:rPr>
                <w:b/>
                <w:color w:val="FFFFFF"/>
              </w:rPr>
            </w:pPr>
            <w:r>
              <w:rPr>
                <w:b/>
                <w:color w:val="FFFFFF"/>
              </w:rPr>
              <w:t>TSR Performance Result</w:t>
            </w:r>
          </w:p>
        </w:tc>
        <w:tc>
          <w:tcPr>
            <w:tcW w:w="186" w:type="dxa"/>
            <w:tcBorders/>
            <w:shd w:fill="001C71" w:val="clear"/>
            <w:vAlign w:val="bottom"/>
          </w:tcPr>
          <w:p>
            <w:pPr>
              <w:pStyle w:val="TableContents"/>
              <w:spacing w:before="0" w:after="283"/>
              <w:rPr/>
            </w:pPr>
            <w:r>
              <w:rPr/>
              <w:t> </w:t>
            </w:r>
          </w:p>
        </w:tc>
        <w:tc>
          <w:tcPr>
            <w:tcW w:w="232" w:type="dxa"/>
            <w:tcBorders/>
            <w:shd w:fill="001C71" w:val="clear"/>
            <w:vAlign w:val="bottom"/>
          </w:tcPr>
          <w:p>
            <w:pPr>
              <w:pStyle w:val="TableContents"/>
              <w:rPr/>
            </w:pPr>
            <w:r>
              <w:rPr/>
              <w:t> </w:t>
            </w:r>
          </w:p>
          <w:p>
            <w:pPr>
              <w:pStyle w:val="TableContents"/>
              <w:spacing w:before="0" w:after="0"/>
              <w:rPr/>
            </w:pPr>
            <w:r>
              <w:rPr/>
              <w:t> </w:t>
            </w:r>
          </w:p>
        </w:tc>
        <w:tc>
          <w:tcPr>
            <w:tcW w:w="102" w:type="dxa"/>
            <w:tcBorders/>
            <w:shd w:fill="001C71" w:val="clear"/>
            <w:vAlign w:val="bottom"/>
          </w:tcPr>
          <w:p>
            <w:pPr>
              <w:pStyle w:val="TableContents"/>
              <w:spacing w:before="0" w:after="283"/>
              <w:rPr/>
            </w:pPr>
            <w:r>
              <w:rPr/>
              <w:t> </w:t>
            </w:r>
          </w:p>
        </w:tc>
        <w:tc>
          <w:tcPr>
            <w:tcW w:w="3228" w:type="dxa"/>
            <w:tcBorders/>
            <w:shd w:fill="001C71" w:val="clear"/>
            <w:vAlign w:val="bottom"/>
          </w:tcPr>
          <w:p>
            <w:pPr>
              <w:pStyle w:val="TableContents"/>
              <w:spacing w:before="0" w:after="283"/>
              <w:jc w:val="center"/>
              <w:rPr>
                <w:b/>
                <w:color w:val="FFFFFF"/>
              </w:rPr>
            </w:pPr>
            <w:r>
              <w:rPr>
                <w:b/>
                <w:color w:val="FFFFFF"/>
              </w:rPr>
              <w:t>Payout</w:t>
            </w:r>
          </w:p>
        </w:tc>
      </w:tr>
      <w:tr>
        <w:trPr>
          <w:trHeight w:val="60" w:hRule="atLeast"/>
        </w:trPr>
        <w:tc>
          <w:tcPr>
            <w:tcW w:w="3138" w:type="dxa"/>
            <w:tcBorders/>
            <w:shd w:fill="E5E5E5" w:val="clear"/>
            <w:vAlign w:val="center"/>
          </w:tcPr>
          <w:p>
            <w:pPr>
              <w:pStyle w:val="TableContents"/>
              <w:spacing w:before="0" w:after="283"/>
              <w:rPr>
                <w:sz w:val="4"/>
                <w:szCs w:val="4"/>
              </w:rPr>
            </w:pPr>
            <w:r>
              <w:rPr>
                <w:sz w:val="4"/>
                <w:szCs w:val="4"/>
              </w:rPr>
            </w:r>
          </w:p>
        </w:tc>
        <w:tc>
          <w:tcPr>
            <w:tcW w:w="3319" w:type="dxa"/>
            <w:gridSpan w:val="2"/>
            <w:tcBorders/>
            <w:shd w:fill="E5E5E5" w:val="clear"/>
            <w:vAlign w:val="center"/>
          </w:tcPr>
          <w:p>
            <w:pPr>
              <w:pStyle w:val="TableContents"/>
              <w:spacing w:before="0" w:after="283"/>
              <w:rPr>
                <w:sz w:val="4"/>
                <w:szCs w:val="4"/>
              </w:rPr>
            </w:pPr>
            <w:r>
              <w:rPr>
                <w:sz w:val="4"/>
                <w:szCs w:val="4"/>
              </w:rPr>
            </w:r>
          </w:p>
        </w:tc>
        <w:tc>
          <w:tcPr>
            <w:tcW w:w="418" w:type="dxa"/>
            <w:gridSpan w:val="2"/>
            <w:tcBorders/>
            <w:shd w:fill="E5E5E5" w:val="clear"/>
            <w:vAlign w:val="center"/>
          </w:tcPr>
          <w:p>
            <w:pPr>
              <w:pStyle w:val="TableContents"/>
              <w:spacing w:before="0" w:after="283"/>
              <w:rPr>
                <w:sz w:val="4"/>
                <w:szCs w:val="4"/>
              </w:rPr>
            </w:pPr>
            <w:r>
              <w:rPr>
                <w:sz w:val="4"/>
                <w:szCs w:val="4"/>
              </w:rPr>
            </w:r>
          </w:p>
        </w:tc>
        <w:tc>
          <w:tcPr>
            <w:tcW w:w="3330" w:type="dxa"/>
            <w:gridSpan w:val="2"/>
            <w:tcBorders/>
            <w:shd w:fill="E5E5E5" w:val="clear"/>
            <w:vAlign w:val="center"/>
          </w:tcPr>
          <w:p>
            <w:pPr>
              <w:pStyle w:val="TableContents"/>
              <w:spacing w:before="0" w:after="283"/>
              <w:rPr>
                <w:sz w:val="4"/>
                <w:szCs w:val="4"/>
              </w:rPr>
            </w:pPr>
            <w:r>
              <w:rPr>
                <w:sz w:val="4"/>
                <w:szCs w:val="4"/>
              </w:rPr>
            </w:r>
          </w:p>
        </w:tc>
      </w:tr>
      <w:tr>
        <w:trPr/>
        <w:tc>
          <w:tcPr>
            <w:tcW w:w="3138" w:type="dxa"/>
            <w:tcBorders/>
            <w:shd w:fill="E5E5E5" w:val="clear"/>
            <w:vAlign w:val="center"/>
          </w:tcPr>
          <w:p>
            <w:pPr>
              <w:pStyle w:val="TableContents"/>
              <w:spacing w:before="0" w:after="0"/>
              <w:rPr/>
            </w:pPr>
            <w:r>
              <w:rPr/>
              <w:t>    </w:t>
            </w:r>
            <w:r>
              <w:rPr>
                <w:rFonts w:ascii="arial" w:hAnsi="arial"/>
                <w:sz w:val="16"/>
              </w:rPr>
              <w:t>2016 - 2018</w:t>
            </w:r>
          </w:p>
        </w:tc>
        <w:tc>
          <w:tcPr>
            <w:tcW w:w="120" w:type="dxa"/>
            <w:tcBorders/>
            <w:shd w:fill="E5E5E5" w:val="clear"/>
            <w:vAlign w:val="bottom"/>
          </w:tcPr>
          <w:p>
            <w:pPr>
              <w:pStyle w:val="TableContents"/>
              <w:spacing w:before="0" w:after="283"/>
              <w:rPr/>
            </w:pPr>
            <w:r>
              <w:rPr/>
              <w:t>  </w:t>
            </w:r>
          </w:p>
        </w:tc>
        <w:tc>
          <w:tcPr>
            <w:tcW w:w="3199" w:type="dxa"/>
            <w:tcBorders/>
            <w:shd w:fill="E5E5E5" w:val="clear"/>
            <w:vAlign w:val="center"/>
          </w:tcPr>
          <w:p>
            <w:pPr>
              <w:pStyle w:val="TableContents"/>
              <w:spacing w:before="0" w:after="20"/>
              <w:jc w:val="center"/>
              <w:rPr>
                <w:rFonts w:ascii="arial" w:hAnsi="arial"/>
                <w:sz w:val="16"/>
              </w:rPr>
            </w:pPr>
            <w:r>
              <w:rPr>
                <w:rFonts w:ascii="arial" w:hAnsi="arial"/>
                <w:sz w:val="16"/>
              </w:rPr>
              <w:t>Below Threshold Performance</w:t>
            </w:r>
          </w:p>
        </w:tc>
        <w:tc>
          <w:tcPr>
            <w:tcW w:w="186" w:type="dxa"/>
            <w:tcBorders/>
            <w:shd w:fill="E5E5E5" w:val="clear"/>
            <w:vAlign w:val="bottom"/>
          </w:tcPr>
          <w:p>
            <w:pPr>
              <w:pStyle w:val="TableContents"/>
              <w:spacing w:before="0" w:after="283"/>
              <w:rPr/>
            </w:pPr>
            <w:r>
              <w:rPr/>
              <w:t> </w:t>
            </w:r>
          </w:p>
        </w:tc>
        <w:tc>
          <w:tcPr>
            <w:tcW w:w="232" w:type="dxa"/>
            <w:tcBorders/>
            <w:shd w:fill="E5E5E5" w:val="clear"/>
            <w:vAlign w:val="center"/>
          </w:tcPr>
          <w:p>
            <w:pPr>
              <w:pStyle w:val="TableContents"/>
              <w:spacing w:before="0" w:after="20"/>
              <w:jc w:val="right"/>
              <w:rPr/>
            </w:pPr>
            <w:r>
              <w:rPr/>
              <w:drawing>
                <wp:inline distT="0" distB="0" distL="0" distR="0">
                  <wp:extent cx="133350" cy="228600"/>
                  <wp:effectExtent l="0" t="0" r="0" b="0"/>
                  <wp:docPr id="7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4" descr=""/>
                          <pic:cNvPicPr>
                            <a:picLocks noChangeAspect="1" noChangeArrowheads="1"/>
                          </pic:cNvPicPr>
                        </pic:nvPicPr>
                        <pic:blipFill>
                          <a:blip r:embed="rId55"/>
                          <a:stretch>
                            <a:fillRect/>
                          </a:stretch>
                        </pic:blipFill>
                        <pic:spPr bwMode="auto">
                          <a:xfrm>
                            <a:off x="0" y="0"/>
                            <a:ext cx="133350" cy="228600"/>
                          </a:xfrm>
                          <a:prstGeom prst="rect">
                            <a:avLst/>
                          </a:prstGeom>
                        </pic:spPr>
                      </pic:pic>
                    </a:graphicData>
                  </a:graphic>
                </wp:inline>
              </w:drawing>
            </w:r>
            <w:r>
              <w:rPr/>
              <w:t xml:space="preserve"> </w:t>
            </w:r>
          </w:p>
        </w:tc>
        <w:tc>
          <w:tcPr>
            <w:tcW w:w="102" w:type="dxa"/>
            <w:tcBorders/>
            <w:shd w:fill="E5E5E5" w:val="clear"/>
            <w:vAlign w:val="bottom"/>
          </w:tcPr>
          <w:p>
            <w:pPr>
              <w:pStyle w:val="TableContents"/>
              <w:spacing w:before="0" w:after="283"/>
              <w:rPr/>
            </w:pPr>
            <w:r>
              <w:rPr/>
              <w:t> </w:t>
            </w:r>
          </w:p>
        </w:tc>
        <w:tc>
          <w:tcPr>
            <w:tcW w:w="3228" w:type="dxa"/>
            <w:tcBorders/>
            <w:shd w:fill="E5E5E5" w:val="clear"/>
            <w:vAlign w:val="center"/>
          </w:tcPr>
          <w:p>
            <w:pPr>
              <w:pStyle w:val="TableContents"/>
              <w:spacing w:before="0" w:after="20"/>
              <w:jc w:val="right"/>
              <w:rPr>
                <w:rFonts w:ascii="arial" w:hAnsi="arial"/>
                <w:sz w:val="16"/>
              </w:rPr>
            </w:pPr>
            <w:r>
              <w:rPr>
                <w:rFonts w:ascii="arial" w:hAnsi="arial"/>
                <w:sz w:val="16"/>
              </w:rPr>
              <w:t>No Payout  </w:t>
            </w:r>
          </w:p>
        </w:tc>
      </w:tr>
      <w:tr>
        <w:trPr>
          <w:trHeight w:val="60" w:hRule="atLeast"/>
        </w:trPr>
        <w:tc>
          <w:tcPr>
            <w:tcW w:w="3138" w:type="dxa"/>
            <w:tcBorders/>
            <w:shd w:fill="auto" w:val="clear"/>
            <w:vAlign w:val="center"/>
          </w:tcPr>
          <w:p>
            <w:pPr>
              <w:pStyle w:val="TableContents"/>
              <w:spacing w:before="0" w:after="283"/>
              <w:rPr>
                <w:sz w:val="4"/>
                <w:szCs w:val="4"/>
              </w:rPr>
            </w:pPr>
            <w:r>
              <w:rPr>
                <w:sz w:val="4"/>
                <w:szCs w:val="4"/>
              </w:rPr>
            </w:r>
          </w:p>
        </w:tc>
        <w:tc>
          <w:tcPr>
            <w:tcW w:w="3319" w:type="dxa"/>
            <w:gridSpan w:val="2"/>
            <w:tcBorders/>
            <w:shd w:fill="auto" w:val="clear"/>
            <w:vAlign w:val="center"/>
          </w:tcPr>
          <w:p>
            <w:pPr>
              <w:pStyle w:val="TableContents"/>
              <w:spacing w:before="0" w:after="283"/>
              <w:rPr>
                <w:sz w:val="4"/>
                <w:szCs w:val="4"/>
              </w:rPr>
            </w:pPr>
            <w:r>
              <w:rPr>
                <w:sz w:val="4"/>
                <w:szCs w:val="4"/>
              </w:rPr>
            </w:r>
          </w:p>
        </w:tc>
        <w:tc>
          <w:tcPr>
            <w:tcW w:w="418" w:type="dxa"/>
            <w:gridSpan w:val="2"/>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r>
      <w:tr>
        <w:trPr/>
        <w:tc>
          <w:tcPr>
            <w:tcW w:w="3138" w:type="dxa"/>
            <w:tcBorders/>
            <w:shd w:fill="auto" w:val="clear"/>
            <w:vAlign w:val="center"/>
          </w:tcPr>
          <w:p>
            <w:pPr>
              <w:pStyle w:val="TableContents"/>
              <w:spacing w:before="0" w:after="0"/>
              <w:rPr/>
            </w:pPr>
            <w:r>
              <w:rPr/>
              <w:t>    </w:t>
            </w:r>
            <w:r>
              <w:rPr>
                <w:rFonts w:ascii="arial" w:hAnsi="arial"/>
                <w:sz w:val="16"/>
              </w:rPr>
              <w:t>2017 - 2019</w:t>
            </w:r>
          </w:p>
        </w:tc>
        <w:tc>
          <w:tcPr>
            <w:tcW w:w="120" w:type="dxa"/>
            <w:tcBorders/>
            <w:shd w:fill="auto" w:val="clear"/>
            <w:vAlign w:val="bottom"/>
          </w:tcPr>
          <w:p>
            <w:pPr>
              <w:pStyle w:val="TableContents"/>
              <w:spacing w:before="0" w:after="283"/>
              <w:rPr/>
            </w:pPr>
            <w:r>
              <w:rPr/>
              <w:t>  </w:t>
            </w:r>
          </w:p>
        </w:tc>
        <w:tc>
          <w:tcPr>
            <w:tcW w:w="3199" w:type="dxa"/>
            <w:tcBorders/>
            <w:shd w:fill="auto" w:val="clear"/>
            <w:vAlign w:val="center"/>
          </w:tcPr>
          <w:p>
            <w:pPr>
              <w:pStyle w:val="TableContents"/>
              <w:spacing w:before="0" w:after="0"/>
              <w:jc w:val="center"/>
              <w:rPr>
                <w:rFonts w:ascii="arial" w:hAnsi="arial"/>
                <w:sz w:val="16"/>
              </w:rPr>
            </w:pPr>
            <w:r>
              <w:rPr>
                <w:rFonts w:ascii="arial" w:hAnsi="arial"/>
                <w:sz w:val="16"/>
              </w:rPr>
              <w:t>59.8th Percentile vs. S&amp;P 500 Utilities Index</w:t>
            </w:r>
          </w:p>
          <w:p>
            <w:pPr>
              <w:pStyle w:val="TableContents"/>
              <w:spacing w:before="0" w:after="20"/>
              <w:jc w:val="center"/>
              <w:rPr>
                <w:rFonts w:ascii="arial" w:hAnsi="arial"/>
                <w:sz w:val="16"/>
              </w:rPr>
            </w:pPr>
            <w:r>
              <w:rPr>
                <w:rFonts w:ascii="arial" w:hAnsi="arial"/>
                <w:sz w:val="16"/>
              </w:rPr>
              <w:t>66.2nd Percentile vs. S&amp;P 500 Index</w:t>
            </w:r>
          </w:p>
        </w:tc>
        <w:tc>
          <w:tcPr>
            <w:tcW w:w="186" w:type="dxa"/>
            <w:tcBorders/>
            <w:shd w:fill="auto" w:val="clear"/>
            <w:vAlign w:val="bottom"/>
          </w:tcPr>
          <w:p>
            <w:pPr>
              <w:pStyle w:val="TableContents"/>
              <w:spacing w:before="0" w:after="283"/>
              <w:rPr/>
            </w:pPr>
            <w:r>
              <w:rPr/>
              <w:t> </w:t>
            </w:r>
          </w:p>
        </w:tc>
        <w:tc>
          <w:tcPr>
            <w:tcW w:w="232" w:type="dxa"/>
            <w:tcBorders/>
            <w:shd w:fill="auto" w:val="clear"/>
            <w:vAlign w:val="center"/>
          </w:tcPr>
          <w:p>
            <w:pPr>
              <w:pStyle w:val="TableContents"/>
              <w:spacing w:before="0" w:after="20"/>
              <w:jc w:val="right"/>
              <w:rPr/>
            </w:pPr>
            <w:r>
              <w:rPr/>
              <w:drawing>
                <wp:inline distT="0" distB="0" distL="0" distR="0">
                  <wp:extent cx="14605" cy="22860"/>
                  <wp:effectExtent l="0" t="0" r="0" b="0"/>
                  <wp:docPr id="7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5" descr=""/>
                          <pic:cNvPicPr>
                            <a:picLocks noChangeAspect="1" noChangeArrowheads="1"/>
                          </pic:cNvPicPr>
                        </pic:nvPicPr>
                        <pic:blipFill>
                          <a:blip r:embed="rId56"/>
                          <a:stretch>
                            <a:fillRect/>
                          </a:stretch>
                        </pic:blipFill>
                        <pic:spPr bwMode="auto">
                          <a:xfrm>
                            <a:off x="0" y="0"/>
                            <a:ext cx="14605" cy="22860"/>
                          </a:xfrm>
                          <a:prstGeom prst="rect">
                            <a:avLst/>
                          </a:prstGeom>
                        </pic:spPr>
                      </pic:pic>
                    </a:graphicData>
                  </a:graphic>
                </wp:inline>
              </w:drawing>
            </w:r>
            <w:r>
              <w:rPr/>
              <w:t xml:space="preserve"> </w:t>
            </w:r>
          </w:p>
        </w:tc>
        <w:tc>
          <w:tcPr>
            <w:tcW w:w="102" w:type="dxa"/>
            <w:tcBorders/>
            <w:shd w:fill="auto" w:val="clear"/>
            <w:vAlign w:val="bottom"/>
          </w:tcPr>
          <w:p>
            <w:pPr>
              <w:pStyle w:val="TableContents"/>
              <w:spacing w:before="0" w:after="283"/>
              <w:rPr/>
            </w:pPr>
            <w:r>
              <w:rPr/>
              <w:t> </w:t>
            </w:r>
          </w:p>
        </w:tc>
        <w:tc>
          <w:tcPr>
            <w:tcW w:w="3228" w:type="dxa"/>
            <w:tcBorders/>
            <w:shd w:fill="auto" w:val="clear"/>
            <w:vAlign w:val="center"/>
          </w:tcPr>
          <w:p>
            <w:pPr>
              <w:pStyle w:val="TableContents"/>
              <w:spacing w:before="0" w:after="0"/>
              <w:jc w:val="right"/>
              <w:rPr>
                <w:rFonts w:ascii="arial" w:hAnsi="arial"/>
                <w:sz w:val="16"/>
              </w:rPr>
            </w:pPr>
            <w:r>
              <w:rPr>
                <w:rFonts w:ascii="arial" w:hAnsi="arial"/>
                <w:sz w:val="16"/>
              </w:rPr>
              <w:t>125% of Target         138% of Target  </w:t>
            </w:r>
          </w:p>
          <w:p>
            <w:pPr>
              <w:pStyle w:val="TableContents"/>
              <w:spacing w:before="0" w:after="20"/>
              <w:jc w:val="right"/>
              <w:rPr>
                <w:rFonts w:ascii="arial" w:hAnsi="arial"/>
                <w:sz w:val="16"/>
              </w:rPr>
            </w:pPr>
            <w:r>
              <w:rPr>
                <w:rFonts w:ascii="arial" w:hAnsi="arial"/>
                <w:sz w:val="16"/>
              </w:rPr>
              <w:t>169% of Target     Combined Payout  </w:t>
            </w:r>
          </w:p>
        </w:tc>
      </w:tr>
      <w:tr>
        <w:trPr>
          <w:trHeight w:val="60" w:hRule="atLeast"/>
        </w:trPr>
        <w:tc>
          <w:tcPr>
            <w:tcW w:w="3138" w:type="dxa"/>
            <w:tcBorders/>
            <w:shd w:fill="E5E5E5" w:val="clear"/>
            <w:vAlign w:val="center"/>
          </w:tcPr>
          <w:p>
            <w:pPr>
              <w:pStyle w:val="TableContents"/>
              <w:spacing w:before="0" w:after="283"/>
              <w:rPr>
                <w:sz w:val="4"/>
                <w:szCs w:val="4"/>
              </w:rPr>
            </w:pPr>
            <w:r>
              <w:rPr>
                <w:sz w:val="4"/>
                <w:szCs w:val="4"/>
              </w:rPr>
            </w:r>
          </w:p>
        </w:tc>
        <w:tc>
          <w:tcPr>
            <w:tcW w:w="3319" w:type="dxa"/>
            <w:gridSpan w:val="2"/>
            <w:tcBorders/>
            <w:shd w:fill="E5E5E5" w:val="clear"/>
            <w:vAlign w:val="center"/>
          </w:tcPr>
          <w:p>
            <w:pPr>
              <w:pStyle w:val="TableContents"/>
              <w:spacing w:before="0" w:after="283"/>
              <w:rPr>
                <w:sz w:val="4"/>
                <w:szCs w:val="4"/>
              </w:rPr>
            </w:pPr>
            <w:r>
              <w:rPr>
                <w:sz w:val="4"/>
                <w:szCs w:val="4"/>
              </w:rPr>
            </w:r>
          </w:p>
        </w:tc>
        <w:tc>
          <w:tcPr>
            <w:tcW w:w="418" w:type="dxa"/>
            <w:gridSpan w:val="2"/>
            <w:tcBorders/>
            <w:shd w:fill="E5E5E5" w:val="clear"/>
            <w:vAlign w:val="center"/>
          </w:tcPr>
          <w:p>
            <w:pPr>
              <w:pStyle w:val="TableContents"/>
              <w:spacing w:before="0" w:after="283"/>
              <w:rPr>
                <w:sz w:val="4"/>
                <w:szCs w:val="4"/>
              </w:rPr>
            </w:pPr>
            <w:r>
              <w:rPr>
                <w:sz w:val="4"/>
                <w:szCs w:val="4"/>
              </w:rPr>
            </w:r>
          </w:p>
        </w:tc>
        <w:tc>
          <w:tcPr>
            <w:tcW w:w="3330" w:type="dxa"/>
            <w:gridSpan w:val="2"/>
            <w:tcBorders/>
            <w:shd w:fill="E5E5E5" w:val="clear"/>
            <w:vAlign w:val="center"/>
          </w:tcPr>
          <w:p>
            <w:pPr>
              <w:pStyle w:val="TableContents"/>
              <w:spacing w:before="0" w:after="283"/>
              <w:rPr>
                <w:sz w:val="4"/>
                <w:szCs w:val="4"/>
              </w:rPr>
            </w:pPr>
            <w:r>
              <w:rPr>
                <w:sz w:val="4"/>
                <w:szCs w:val="4"/>
              </w:rPr>
            </w:r>
          </w:p>
        </w:tc>
      </w:tr>
      <w:tr>
        <w:trPr/>
        <w:tc>
          <w:tcPr>
            <w:tcW w:w="3138" w:type="dxa"/>
            <w:tcBorders>
              <w:bottom w:val="single" w:sz="8" w:space="0" w:color="001C71"/>
            </w:tcBorders>
            <w:shd w:fill="E5E5E5" w:val="clear"/>
            <w:tcMar>
              <w:bottom w:w="40" w:type="dxa"/>
            </w:tcMar>
            <w:vAlign w:val="center"/>
          </w:tcPr>
          <w:p>
            <w:pPr>
              <w:pStyle w:val="TableContents"/>
              <w:spacing w:before="0" w:after="0"/>
              <w:rPr/>
            </w:pPr>
            <w:r>
              <w:rPr/>
              <w:t>    </w:t>
            </w:r>
            <w:r>
              <w:rPr>
                <w:rFonts w:ascii="arial" w:hAnsi="arial"/>
                <w:sz w:val="16"/>
              </w:rPr>
              <w:t>2018 - 2020</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3199" w:type="dxa"/>
            <w:tcBorders>
              <w:bottom w:val="single" w:sz="8" w:space="0" w:color="001C71"/>
            </w:tcBorders>
            <w:shd w:fill="E5E5E5" w:val="clear"/>
            <w:tcMar>
              <w:bottom w:w="40" w:type="dxa"/>
            </w:tcMar>
            <w:vAlign w:val="center"/>
          </w:tcPr>
          <w:p>
            <w:pPr>
              <w:pStyle w:val="TableContents"/>
              <w:spacing w:before="0" w:after="0"/>
              <w:jc w:val="center"/>
              <w:rPr>
                <w:rFonts w:ascii="arial" w:hAnsi="arial"/>
                <w:sz w:val="16"/>
              </w:rPr>
            </w:pPr>
            <w:r>
              <w:rPr>
                <w:rFonts w:ascii="arial" w:hAnsi="arial"/>
                <w:sz w:val="16"/>
              </w:rPr>
              <w:t>55.9th Percentile vs. S&amp;P 500 Utilities Index</w:t>
            </w:r>
          </w:p>
          <w:p>
            <w:pPr>
              <w:pStyle w:val="TableContents"/>
              <w:spacing w:before="0" w:after="20"/>
              <w:jc w:val="center"/>
              <w:rPr>
                <w:rFonts w:ascii="arial" w:hAnsi="arial"/>
                <w:sz w:val="16"/>
              </w:rPr>
            </w:pPr>
            <w:r>
              <w:rPr>
                <w:rFonts w:ascii="arial" w:hAnsi="arial"/>
                <w:sz w:val="16"/>
              </w:rPr>
              <w:t>51.2nd Percentile vs. S&amp;P 500 Index</w:t>
            </w:r>
          </w:p>
        </w:tc>
        <w:tc>
          <w:tcPr>
            <w:tcW w:w="186" w:type="dxa"/>
            <w:tcBorders>
              <w:bottom w:val="single" w:sz="8" w:space="0" w:color="001C71"/>
            </w:tcBorders>
            <w:shd w:fill="E5E5E5" w:val="clear"/>
            <w:tcMar>
              <w:bottom w:w="28" w:type="dxa"/>
            </w:tcMar>
            <w:vAlign w:val="bottom"/>
          </w:tcPr>
          <w:p>
            <w:pPr>
              <w:pStyle w:val="TableContents"/>
              <w:spacing w:before="0" w:after="283"/>
              <w:rPr/>
            </w:pPr>
            <w:r>
              <w:rPr/>
              <w:t> </w:t>
            </w:r>
          </w:p>
        </w:tc>
        <w:tc>
          <w:tcPr>
            <w:tcW w:w="232" w:type="dxa"/>
            <w:tcBorders>
              <w:bottom w:val="single" w:sz="8" w:space="0" w:color="001C71"/>
            </w:tcBorders>
            <w:shd w:fill="E5E5E5" w:val="clear"/>
            <w:tcMar>
              <w:bottom w:w="40" w:type="dxa"/>
            </w:tcMar>
            <w:vAlign w:val="center"/>
          </w:tcPr>
          <w:p>
            <w:pPr>
              <w:pStyle w:val="TableContents"/>
              <w:spacing w:before="0" w:after="20"/>
              <w:jc w:val="right"/>
              <w:rPr/>
            </w:pPr>
            <w:r>
              <w:rPr/>
              <w:drawing>
                <wp:inline distT="0" distB="0" distL="0" distR="0">
                  <wp:extent cx="133350" cy="228600"/>
                  <wp:effectExtent l="0" t="0" r="0" b="0"/>
                  <wp:docPr id="7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6" descr=""/>
                          <pic:cNvPicPr>
                            <a:picLocks noChangeAspect="1" noChangeArrowheads="1"/>
                          </pic:cNvPicPr>
                        </pic:nvPicPr>
                        <pic:blipFill>
                          <a:blip r:embed="rId57"/>
                          <a:stretch>
                            <a:fillRect/>
                          </a:stretch>
                        </pic:blipFill>
                        <pic:spPr bwMode="auto">
                          <a:xfrm>
                            <a:off x="0" y="0"/>
                            <a:ext cx="133350" cy="228600"/>
                          </a:xfrm>
                          <a:prstGeom prst="rect">
                            <a:avLst/>
                          </a:prstGeom>
                        </pic:spPr>
                      </pic:pic>
                    </a:graphicData>
                  </a:graphic>
                </wp:inline>
              </w:drawing>
            </w:r>
            <w:r>
              <w:rPr/>
              <w:t xml:space="preserve"> </w:t>
            </w:r>
          </w:p>
        </w:tc>
        <w:tc>
          <w:tcPr>
            <w:tcW w:w="102" w:type="dxa"/>
            <w:tcBorders>
              <w:bottom w:val="single" w:sz="8" w:space="0" w:color="001C71"/>
            </w:tcBorders>
            <w:shd w:fill="E5E5E5" w:val="clear"/>
            <w:tcMar>
              <w:bottom w:w="28" w:type="dxa"/>
            </w:tcMar>
            <w:vAlign w:val="bottom"/>
          </w:tcPr>
          <w:p>
            <w:pPr>
              <w:pStyle w:val="TableContents"/>
              <w:spacing w:before="0" w:after="283"/>
              <w:rPr/>
            </w:pPr>
            <w:r>
              <w:rPr/>
              <w:t> </w:t>
            </w:r>
          </w:p>
        </w:tc>
        <w:tc>
          <w:tcPr>
            <w:tcW w:w="3228" w:type="dxa"/>
            <w:tcBorders>
              <w:bottom w:val="single" w:sz="8" w:space="0" w:color="001C71"/>
            </w:tcBorders>
            <w:shd w:fill="E5E5E5" w:val="clear"/>
            <w:tcMar>
              <w:bottom w:w="40" w:type="dxa"/>
            </w:tcMar>
            <w:vAlign w:val="center"/>
          </w:tcPr>
          <w:p>
            <w:pPr>
              <w:pStyle w:val="TableContents"/>
              <w:spacing w:before="0" w:after="0"/>
              <w:jc w:val="right"/>
              <w:rPr>
                <w:rFonts w:ascii="arial" w:hAnsi="arial"/>
                <w:sz w:val="16"/>
              </w:rPr>
            </w:pPr>
            <w:r>
              <w:rPr>
                <w:rFonts w:ascii="arial" w:hAnsi="arial"/>
                <w:sz w:val="16"/>
              </w:rPr>
              <w:t>115% of Target         111% of Target  </w:t>
            </w:r>
          </w:p>
          <w:p>
            <w:pPr>
              <w:pStyle w:val="TableContents"/>
              <w:spacing w:before="0" w:after="20"/>
              <w:jc w:val="right"/>
              <w:rPr>
                <w:rFonts w:ascii="arial" w:hAnsi="arial"/>
                <w:sz w:val="16"/>
              </w:rPr>
            </w:pPr>
            <w:r>
              <w:rPr>
                <w:rFonts w:ascii="arial" w:hAnsi="arial"/>
                <w:sz w:val="16"/>
              </w:rPr>
              <w:t>103% of Target      Combined Payout  </w:t>
            </w:r>
          </w:p>
        </w:tc>
      </w:tr>
    </w:tbl>
    <w:p>
      <w:pPr>
        <w:pStyle w:val="TextBody"/>
        <w:spacing w:before="80" w:after="0"/>
        <w:jc w:val="left"/>
        <w:rPr>
          <w:rFonts w:ascii="arial" w:hAnsi="arial"/>
          <w:i/>
          <w:sz w:val="14"/>
        </w:rPr>
      </w:pPr>
      <w:r>
        <w:rPr>
          <w:rFonts w:ascii="arial" w:hAnsi="arial"/>
          <w:i/>
          <w:sz w:val="14"/>
        </w:rPr>
        <w:t xml:space="preserve">Table 4 </w:t>
      </w:r>
    </w:p>
    <w:p>
      <w:pPr>
        <w:pStyle w:val="TextBody"/>
        <w:spacing w:before="80" w:after="0"/>
        <w:jc w:val="left"/>
        <w:rPr>
          <w:rFonts w:ascii="arial" w:hAnsi="arial"/>
          <w:i/>
          <w:sz w:val="14"/>
        </w:rPr>
      </w:pPr>
      <w:r>
        <w:rPr>
          <w:rFonts w:ascii="arial" w:hAnsi="arial"/>
          <w:i/>
          <w:sz w:val="14"/>
        </w:rPr>
        <w:t xml:space="preserve">Note: The 2016-2018 award considered performance against both the S&amp;P 500 Utilities Index and the S&amp;P 500 Index in a combined design. The 2017-2019 and 2018-2020 award design measured TSR performance against the S&amp;P 500 Utilities Index and the S&amp;P 500 Index in separate awards and the award related to the S&amp;P 500 Index included a modifier based on Sempra Energys absolute total shareholder return that increased the award payout for the 2017-2019 award by 20% (this modifier feature was not triggered for the 2018-2020 award cycle and was not included in the 2019-2021 or 2020-2022 award cycles). For additional information, see Results for the 2018-2020 Award Cycle and Compensation TablesOption Exercises and Stock Vested following this Compensation Discussion and Analysis. </w:t>
      </w:r>
    </w:p>
    <w:p>
      <w:pPr>
        <w:pStyle w:val="TextBody"/>
        <w:spacing w:before="280" w:after="0"/>
        <w:jc w:val="left"/>
        <w:rPr>
          <w:rFonts w:ascii="arial" w:hAnsi="arial"/>
          <w:b/>
          <w:color w:val="001C71"/>
          <w:sz w:val="24"/>
        </w:rPr>
      </w:pPr>
      <w:bookmarkStart w:id="29" w:name="tx108157_8"/>
      <w:bookmarkEnd w:id="29"/>
      <w:r>
        <w:rPr>
          <w:rFonts w:ascii="arial" w:hAnsi="arial"/>
          <w:b/>
          <w:color w:val="001C71"/>
          <w:sz w:val="24"/>
        </w:rPr>
        <w:t xml:space="preserve">Rigor of Incentive Targets </w:t>
      </w:r>
    </w:p>
    <w:p>
      <w:pPr>
        <w:pStyle w:val="TextBody"/>
        <w:spacing w:before="120" w:after="0"/>
        <w:jc w:val="left"/>
        <w:rPr>
          <w:rFonts w:ascii="arial" w:hAnsi="arial"/>
          <w:sz w:val="16"/>
        </w:rPr>
      </w:pPr>
      <w:r>
        <w:rPr>
          <w:rFonts w:ascii="arial" w:hAnsi="arial"/>
          <w:sz w:val="16"/>
        </w:rPr>
        <w:t xml:space="preserve">At the start of each year, our Compensation and Talent Development Committee aims to set challenging yet achievable incentive targets, designed to motivate our team to drive strong performance and sustained value creation and to closely align executives interests with those of our shareholders. </w:t>
      </w:r>
    </w:p>
    <w:p>
      <w:pPr>
        <w:pStyle w:val="TextBody"/>
        <w:spacing w:before="280" w:after="0"/>
        <w:jc w:val="left"/>
        <w:rPr>
          <w:rFonts w:ascii="arial" w:hAnsi="arial"/>
          <w:b/>
          <w:sz w:val="20"/>
        </w:rPr>
      </w:pPr>
      <w:r>
        <w:rPr>
          <w:rFonts w:ascii="arial" w:hAnsi="arial"/>
          <w:b/>
          <w:sz w:val="20"/>
        </w:rPr>
        <w:t xml:space="preserve">Performance-Based Annual Bonus Plan </w:t>
      </w:r>
    </w:p>
    <w:p>
      <w:pPr>
        <w:pStyle w:val="TextBody"/>
        <w:spacing w:before="120" w:after="0"/>
        <w:jc w:val="left"/>
        <w:rPr>
          <w:rFonts w:ascii="arial" w:hAnsi="arial"/>
          <w:sz w:val="16"/>
        </w:rPr>
      </w:pPr>
      <w:r>
        <w:rPr>
          <w:rFonts w:ascii="arial" w:hAnsi="arial"/>
          <w:sz w:val="16"/>
        </w:rPr>
        <w:t xml:space="preserve">For 2020, the Compensation and Talent Development Committee selected earnings, weighted at 85%, and Safety and Stakeholder Measures, collectively weighted at 15%, for the measurement of annual corporate performance under the performance-based annual bonus plan. The committee utilizes earnings as the basis of the primary annual bonus metric because it believes the measure provides an accurate and comprehensive picture of annual company financial performance that plan participants, shareholders, analysts and other parties clearly understand. The committee makes certain predefined adjustments to GAAP earnings as described in Appendix D to this proxy statement to calculate ABP Earnings. For 2020, the committee set a challenging ABP Earnings target of $2,032 million based on the companys financial plan. The 2020 target reflected an increase of $332 million, or 20%, over our 2019 target ABP Earnings of $1,700 million, and an increase of $52 million, or 3%, over our 2019 actual ABP Earnings. </w:t>
      </w:r>
    </w:p>
    <w:p>
      <w:pPr>
        <w:pStyle w:val="TextBody"/>
        <w:spacing w:before="160" w:after="0"/>
        <w:jc w:val="left"/>
        <w:rPr>
          <w:rFonts w:ascii="arial" w:hAnsi="arial"/>
          <w:sz w:val="16"/>
        </w:rPr>
      </w:pPr>
      <w:r>
        <w:rPr>
          <w:rFonts w:ascii="arial" w:hAnsi="arial"/>
          <w:sz w:val="16"/>
        </w:rPr>
        <w:t xml:space="preserve">Our 2020 GAAP earnings were $3,764 million. ABP Earnings for 2020 were $1,425 million lower, or $2,339 million. Adjustments were predefined at the time the Compensation and Talent Development Committee determined the 2020 annual bonus plan goals. For a reconciliation of GAAP earnings to ABP Earnings, see Reconciliation of 2020 GAAP Earnings to ABP Earnings on page 56. For detailed information about the component measurements of annual corporate performance under the performance-based annual bonus plan, please see Appendix D to this proxy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49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Long-Term Equity-Based Incentives </w:t>
      </w:r>
    </w:p>
    <w:p>
      <w:pPr>
        <w:pStyle w:val="TextBody"/>
        <w:spacing w:before="120" w:after="0"/>
        <w:jc w:val="left"/>
        <w:rPr>
          <w:rFonts w:ascii="arial" w:hAnsi="arial"/>
          <w:sz w:val="16"/>
        </w:rPr>
      </w:pPr>
      <w:r>
        <w:rPr>
          <w:rFonts w:ascii="arial" w:hAnsi="arial"/>
          <w:sz w:val="16"/>
        </w:rPr>
        <w:t xml:space="preserve">The 2020 annual LTIP award design for Mr. Martin is 100% performance based, with 70% in performance-based restricted stock units and 30% in nonqualified stock options, which the Compensation and Talent Development Committee views as performance-based because their value depends on our stock price increasing over time. The 2020 annual LTIP award design for the other named executive officers is 70% performance-based restricted stock units and, for Messrs. Mihalik, Arriola and Bilicic, 15% nonqualified stock options and 15% service-based restricted stock units or, for Messrs. Sagara and Wall, 30% service-based restricted stock units. The 2020 performance measures and weightings for the 2020 annual long-term incentive plan awards are: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7810500" cy="3143250"/>
            <wp:effectExtent l="0" t="0" r="0" b="0"/>
            <wp:docPr id="7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7" descr=""/>
                    <pic:cNvPicPr>
                      <a:picLocks noChangeAspect="1" noChangeArrowheads="1"/>
                    </pic:cNvPicPr>
                  </pic:nvPicPr>
                  <pic:blipFill>
                    <a:blip r:embed="rId58"/>
                    <a:stretch>
                      <a:fillRect/>
                    </a:stretch>
                  </pic:blipFill>
                  <pic:spPr bwMode="auto">
                    <a:xfrm>
                      <a:off x="0" y="0"/>
                      <a:ext cx="7810500" cy="3143250"/>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2020 Annual LTIP Award Metrics Martin Mihalik, Arriola and Bilicic Sagara and Wall TSR vs. Stock Options S&amp;P 500 30% Utilities Index 35% EPS Growth TSR vs. 20% S&amp;P 500 Index 15% Restricted Stock Units 15% TSR vs. S&amp;P 500 Stock Options Utilities Index 35% 15% EPS Growth TSR vs. 20% S&amp;P 500 Index 15% Restricted Stock Units TSR vs. S&amp;P 500 30% Utilities Index 35% EPS Growth TSR vs. 20% S&amp;P 500 Index 15% </w:t>
      </w:r>
    </w:p>
    <w:p>
      <w:pPr>
        <w:pStyle w:val="TextBody"/>
        <w:spacing w:before="80" w:after="0"/>
        <w:jc w:val="left"/>
        <w:rPr>
          <w:rFonts w:ascii="arial" w:hAnsi="arial"/>
          <w:i/>
          <w:sz w:val="14"/>
        </w:rPr>
      </w:pPr>
      <w:r>
        <w:rPr>
          <w:rFonts w:ascii="arial" w:hAnsi="arial"/>
          <w:i/>
          <w:sz w:val="14"/>
        </w:rPr>
        <w:t xml:space="preserve">Figures 4, 5 and 6 </w:t>
      </w:r>
    </w:p>
    <w:p>
      <w:pPr>
        <w:pStyle w:val="TextBody"/>
        <w:spacing w:before="160" w:after="0"/>
        <w:jc w:val="left"/>
        <w:rPr>
          <w:rFonts w:ascii="arial" w:hAnsi="arial"/>
          <w:sz w:val="16"/>
        </w:rPr>
      </w:pPr>
      <w:r>
        <w:rPr>
          <w:rFonts w:ascii="arial" w:hAnsi="arial"/>
          <w:sz w:val="16"/>
        </w:rPr>
        <w:t xml:space="preserve">The 2020 annual long-term incentive plan awards include two performance measures  relative total shareholder return (50% total weighting with 35% based on performance against the S&amp;P 500 Utilities Index and 15% based on performance against the S&amp;P 500 Index) and EPS growth (20% weighting). The Compensation and Talent Development Committee measures performance against challenging targets in order to drive long-term growth and closely align executives interests with those of our shareholders. </w:t>
      </w:r>
    </w:p>
    <w:p>
      <w:pPr>
        <w:pStyle w:val="TextBody"/>
        <w:spacing w:before="160" w:after="0"/>
        <w:jc w:val="left"/>
        <w:rPr>
          <w:rFonts w:ascii="arial" w:hAnsi="arial"/>
          <w:sz w:val="16"/>
        </w:rPr>
      </w:pPr>
      <w:r>
        <w:rPr>
          <w:rFonts w:ascii="arial" w:hAnsi="arial"/>
          <w:sz w:val="16"/>
        </w:rPr>
        <w:t xml:space="preserve">In the event that Sempra Energys total shareholder return does not exceed the 25th percentile of the relevant index (S&amp;P 500 Utilities Index or S&amp;P 500 Index), participants will receive zero shares for that portion of the award. In addition, to achieve the maximum payout, performance at or above the 90th percentile of the relevant index (S&amp;P 500 Utilities Index or S&amp;P 500 Index) is required. For the EPS CAGR portion of the annual LTIP award, zero payout is made if our EPS CAGR is at or below the 25th percentile of consensus expectations for our S&amp;P 500 Utilities Index peers. To achieve maximum payout, performance at or above the 90th percentile of consensus expectations for S&amp;P 500 Utilities Index peers is required.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50</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color w:val="001C71"/>
          <w:sz w:val="24"/>
        </w:rPr>
      </w:pPr>
      <w:bookmarkStart w:id="30" w:name="tx108157_9"/>
      <w:bookmarkEnd w:id="30"/>
      <w:r>
        <w:rPr>
          <w:rFonts w:ascii="arial" w:hAnsi="arial"/>
          <w:b/>
          <w:color w:val="001C71"/>
          <w:sz w:val="24"/>
        </w:rPr>
        <w:t xml:space="preserve">Compensation Governance </w:t>
      </w:r>
    </w:p>
    <w:p>
      <w:pPr>
        <w:pStyle w:val="TextBody"/>
        <w:spacing w:before="160" w:after="0"/>
        <w:jc w:val="left"/>
        <w:rPr>
          <w:rFonts w:ascii="arial" w:hAnsi="arial"/>
          <w:sz w:val="16"/>
        </w:rPr>
      </w:pPr>
      <w:r>
        <w:rPr>
          <w:rFonts w:ascii="arial" w:hAnsi="arial"/>
          <w:sz w:val="16"/>
        </w:rPr>
        <w:t xml:space="preserve">We believe the compensation governance and policies summarized below conform to best practices: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314960"/>
            <wp:effectExtent l="0" t="0" r="0" b="0"/>
            <wp:docPr id="7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8" descr=""/>
                    <pic:cNvPicPr>
                      <a:picLocks noChangeAspect="1" noChangeArrowheads="1"/>
                    </pic:cNvPicPr>
                  </pic:nvPicPr>
                  <pic:blipFill>
                    <a:blip r:embed="rId59"/>
                    <a:stretch>
                      <a:fillRect/>
                    </a:stretch>
                  </pic:blipFill>
                  <pic:spPr bwMode="auto">
                    <a:xfrm>
                      <a:off x="0" y="0"/>
                      <a:ext cx="625475" cy="314960"/>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What We Do Incorporate shareholder feedback in our compensation program design Multiple LTIP award and annual bonus plan performance measures LTIP includes double trigger equity vesting on a change in control(1) Clawback policy Share ownership requirements (8x base salary for Chief Executive Officer, 5x retainer for Directors)Independent advisors conduct risk assessment of compensation program Independent compensation consultant What We Dont Do No excise tax gross ups for named executive officers No employment contracts for named executive officers No stock option repricing(2) No hedging or pledging of shares No uncapped incentives No single trigger cash severance payments upon a change in control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See Severance and Change in Control Arrangements for additional information.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Long-term incentive plan awards are granted from a shareholder-approved plan that prohibits stock option repricing and cash buyouts without shareholder approval. </w:t>
            </w:r>
          </w:p>
        </w:tc>
      </w:tr>
    </w:tbl>
    <w:p>
      <w:pPr>
        <w:pStyle w:val="TextBody"/>
        <w:spacing w:before="360" w:after="0"/>
        <w:jc w:val="left"/>
        <w:rPr>
          <w:rFonts w:ascii="arial" w:hAnsi="arial"/>
          <w:sz w:val="28"/>
        </w:rPr>
      </w:pPr>
      <w:bookmarkStart w:id="31" w:name="tx108157_10"/>
      <w:bookmarkEnd w:id="31"/>
      <w:r>
        <w:rPr>
          <w:rFonts w:ascii="arial" w:hAnsi="arial"/>
          <w:sz w:val="28"/>
        </w:rPr>
        <w:t xml:space="preserve">Compensation Philosophy and Program Goals </w:t>
      </w:r>
    </w:p>
    <w:p>
      <w:pPr>
        <w:pStyle w:val="TextBody"/>
        <w:pBdr>
          <w:bottom w:val="single" w:sz="2" w:space="1" w:color="001C71"/>
        </w:pBdr>
        <w:spacing w:lineRule="atLeast" w:line="180" w:before="0" w:after="40"/>
        <w:jc w:val="left"/>
        <w:rPr/>
      </w:pPr>
      <w:r>
        <w:rPr/>
        <w:t> </w:t>
      </w:r>
    </w:p>
    <w:p>
      <w:pPr>
        <w:pStyle w:val="TextBody"/>
        <w:spacing w:before="280" w:after="0"/>
        <w:jc w:val="left"/>
        <w:rPr>
          <w:rFonts w:ascii="arial" w:hAnsi="arial"/>
          <w:b/>
          <w:color w:val="001C71"/>
          <w:sz w:val="24"/>
        </w:rPr>
      </w:pPr>
      <w:r>
        <w:rPr>
          <w:rFonts w:ascii="arial" w:hAnsi="arial"/>
          <w:b/>
          <w:color w:val="001C71"/>
          <w:sz w:val="24"/>
        </w:rPr>
        <w:t xml:space="preserve">Compensation Philosophy </w:t>
      </w:r>
    </w:p>
    <w:p>
      <w:pPr>
        <w:pStyle w:val="TextBody"/>
        <w:spacing w:before="120" w:after="0"/>
        <w:jc w:val="left"/>
        <w:rPr>
          <w:rFonts w:ascii="arial" w:hAnsi="arial"/>
          <w:sz w:val="16"/>
        </w:rPr>
      </w:pPr>
      <w:r>
        <w:rPr>
          <w:rFonts w:ascii="arial" w:hAnsi="arial"/>
          <w:sz w:val="16"/>
        </w:rPr>
        <w:t xml:space="preserve">The Compensation and Talent Development Committee of our Board of Directors sets the companys executive pay philosophy, which emphasizes four key areas: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164465"/>
            <wp:effectExtent l="0" t="0" r="0" b="0"/>
            <wp:docPr id="7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9" descr=""/>
                    <pic:cNvPicPr>
                      <a:picLocks noChangeAspect="1" noChangeArrowheads="1"/>
                    </pic:cNvPicPr>
                  </pic:nvPicPr>
                  <pic:blipFill>
                    <a:blip r:embed="rId60"/>
                    <a:stretch>
                      <a:fillRect/>
                    </a:stretch>
                  </pic:blipFill>
                  <pic:spPr bwMode="auto">
                    <a:xfrm>
                      <a:off x="0" y="0"/>
                      <a:ext cx="625475" cy="164465"/>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Sempra Energy Compensation Philosophy Performance based incentives aligned with shareholder value creation Alignment of pay with short term and long term company performance Balance between short term and long term incentives More pay tied to performance at higher levels of responsibility </w:t>
      </w:r>
    </w:p>
    <w:p>
      <w:pPr>
        <w:pStyle w:val="TextBody"/>
        <w:spacing w:before="120" w:after="0"/>
        <w:jc w:val="left"/>
        <w:rPr>
          <w:rFonts w:ascii="arial" w:hAnsi="arial"/>
          <w:sz w:val="16"/>
        </w:rPr>
      </w:pPr>
      <w:r>
        <w:rPr>
          <w:rFonts w:ascii="arial" w:hAnsi="arial"/>
          <w:sz w:val="16"/>
        </w:rPr>
        <w:t xml:space="preserve">We believe this compensation philosophy enables us to attract, motivate and retain key executive talent and promote strong, sustainable long-term performance.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51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color w:val="001C71"/>
          <w:sz w:val="24"/>
        </w:rPr>
      </w:pPr>
      <w:r>
        <w:rPr>
          <w:rFonts w:ascii="arial" w:hAnsi="arial"/>
          <w:b/>
          <w:color w:val="001C71"/>
          <w:sz w:val="24"/>
        </w:rPr>
        <w:t xml:space="preserve">Executive Compensation Program Goals </w:t>
      </w:r>
    </w:p>
    <w:p>
      <w:pPr>
        <w:pStyle w:val="TextBody"/>
        <w:spacing w:before="120" w:after="0"/>
        <w:jc w:val="left"/>
        <w:rPr>
          <w:rFonts w:ascii="arial" w:hAnsi="arial"/>
          <w:sz w:val="16"/>
        </w:rPr>
      </w:pPr>
      <w:r>
        <w:rPr>
          <w:rFonts w:ascii="arial" w:hAnsi="arial"/>
          <w:sz w:val="16"/>
        </w:rPr>
        <w:t xml:space="preserve">Our executive compensation program goals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128"/>
        <w:gridCol w:w="9868"/>
      </w:tblGrid>
      <w:tr>
        <w:trPr/>
        <w:tc>
          <w:tcPr>
            <w:tcW w:w="209"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68" w:type="dxa"/>
            <w:tcBorders/>
            <w:shd w:fill="auto" w:val="clear"/>
          </w:tcPr>
          <w:p>
            <w:pPr>
              <w:pStyle w:val="TableContents"/>
              <w:spacing w:before="0" w:after="0"/>
              <w:jc w:val="left"/>
              <w:rPr>
                <w:rFonts w:ascii="arial" w:hAnsi="arial"/>
                <w:sz w:val="16"/>
              </w:rPr>
            </w:pPr>
            <w:r>
              <w:rPr>
                <w:rFonts w:ascii="arial" w:hAnsi="arial"/>
                <w:sz w:val="16"/>
              </w:rPr>
              <w:t xml:space="preserve">Aligning executive compensation with shareholders interests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Linking executive compensation to both annual and long-term corporate, business and individual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0"/>
              <w:jc w:val="left"/>
              <w:rPr>
                <w:rFonts w:ascii="arial" w:hAnsi="arial"/>
                <w:sz w:val="16"/>
              </w:rPr>
            </w:pPr>
            <w:r>
              <w:rPr>
                <w:rFonts w:ascii="arial" w:hAnsi="arial"/>
                <w:sz w:val="16"/>
              </w:rPr>
              <w:t xml:space="preserve">Motivating executives to achieve superior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4"/>
        <w:gridCol w:w="131"/>
        <w:gridCol w:w="9860"/>
      </w:tblGrid>
      <w:tr>
        <w:trPr/>
        <w:tc>
          <w:tcPr>
            <w:tcW w:w="214" w:type="dxa"/>
            <w:tcBorders/>
            <w:shd w:fill="auto" w:val="clear"/>
          </w:tcPr>
          <w:p>
            <w:pPr>
              <w:pStyle w:val="TableContents"/>
              <w:spacing w:before="0" w:after="283"/>
              <w:jc w:val="left"/>
              <w:rPr>
                <w:color w:val="001C71"/>
              </w:rPr>
            </w:pPr>
            <w:r>
              <w:rPr>
                <w:color w:val="001C71"/>
              </w:rPr>
              <w:t></w:t>
            </w:r>
          </w:p>
        </w:tc>
        <w:tc>
          <w:tcPr>
            <w:tcW w:w="131" w:type="dxa"/>
            <w:tcBorders/>
            <w:shd w:fill="auto" w:val="clear"/>
          </w:tcPr>
          <w:p>
            <w:pPr>
              <w:pStyle w:val="TableContents"/>
              <w:spacing w:before="0" w:after="283"/>
              <w:rPr/>
            </w:pPr>
            <w:r>
              <w:rPr/>
              <w:t> </w:t>
            </w:r>
          </w:p>
        </w:tc>
        <w:tc>
          <w:tcPr>
            <w:tcW w:w="9860" w:type="dxa"/>
            <w:tcBorders/>
            <w:shd w:fill="auto" w:val="clear"/>
          </w:tcPr>
          <w:p>
            <w:pPr>
              <w:pStyle w:val="TableContents"/>
              <w:spacing w:before="0" w:after="0"/>
              <w:jc w:val="left"/>
              <w:rPr>
                <w:rFonts w:ascii="arial" w:hAnsi="arial"/>
                <w:sz w:val="16"/>
              </w:rPr>
            </w:pPr>
            <w:r>
              <w:rPr>
                <w:rFonts w:ascii="arial" w:hAnsi="arial"/>
                <w:sz w:val="16"/>
              </w:rPr>
              <w:t xml:space="preserve">Attracting and retaining executives with outstanding ability and experience who demonstrate high standards of integrity and ethics </w:t>
            </w:r>
          </w:p>
        </w:tc>
      </w:tr>
    </w:tbl>
    <w:p>
      <w:pPr>
        <w:pStyle w:val="TextBody"/>
        <w:spacing w:before="480" w:after="0"/>
        <w:jc w:val="left"/>
        <w:rPr>
          <w:rFonts w:ascii="arial" w:hAnsi="arial"/>
          <w:sz w:val="28"/>
        </w:rPr>
      </w:pPr>
      <w:bookmarkStart w:id="32" w:name="tx108157_11"/>
      <w:bookmarkEnd w:id="32"/>
      <w:r>
        <w:rPr>
          <w:rFonts w:ascii="arial" w:hAnsi="arial"/>
          <w:sz w:val="28"/>
        </w:rPr>
        <w:t xml:space="preserve">Labor Market Benchmarking </w:t>
      </w:r>
    </w:p>
    <w:p>
      <w:pPr>
        <w:pStyle w:val="TextBody"/>
        <w:pBdr>
          <w:bottom w:val="single" w:sz="2" w:space="1" w:color="001C71"/>
        </w:pBdr>
        <w:spacing w:lineRule="atLeast" w:line="180" w:before="0" w:after="40"/>
        <w:jc w:val="left"/>
        <w:rPr/>
      </w:pPr>
      <w:r>
        <w:rPr/>
        <w:t> </w:t>
      </w:r>
    </w:p>
    <w:p>
      <w:pPr>
        <w:pStyle w:val="TextBody"/>
        <w:spacing w:before="280" w:after="0"/>
        <w:jc w:val="left"/>
        <w:rPr>
          <w:rFonts w:ascii="arial" w:hAnsi="arial"/>
          <w:b/>
          <w:color w:val="001C71"/>
          <w:sz w:val="24"/>
        </w:rPr>
      </w:pPr>
      <w:r>
        <w:rPr>
          <w:rFonts w:ascii="arial" w:hAnsi="arial"/>
          <w:b/>
          <w:color w:val="001C71"/>
          <w:sz w:val="24"/>
        </w:rPr>
        <w:t xml:space="preserve">Labor Market </w:t>
      </w:r>
    </w:p>
    <w:p>
      <w:pPr>
        <w:pStyle w:val="TextBody"/>
        <w:spacing w:before="120" w:after="0"/>
        <w:jc w:val="left"/>
        <w:rPr>
          <w:rFonts w:ascii="arial" w:hAnsi="arial"/>
          <w:sz w:val="16"/>
        </w:rPr>
      </w:pPr>
      <w:r>
        <w:rPr>
          <w:rFonts w:ascii="arial" w:hAnsi="arial"/>
          <w:sz w:val="16"/>
        </w:rPr>
        <w:t xml:space="preserve">The Compensation and Talent Development Committee uses external pay data to help align executive compensation levels with the labor market. The committee views the labor market for our most senior positions as a nationwide, broad cross-section of companies in various industries, and the committee recognizes that this labor market varies by position. The committees use of both general industry and utilities benchmarking data reflects the competitive labor market from which we recruit executives. </w:t>
      </w:r>
    </w:p>
    <w:p>
      <w:pPr>
        <w:pStyle w:val="TextBody"/>
        <w:spacing w:before="160" w:after="0"/>
        <w:jc w:val="left"/>
        <w:rPr>
          <w:rFonts w:ascii="arial" w:hAnsi="arial"/>
          <w:sz w:val="16"/>
        </w:rPr>
      </w:pPr>
      <w:r>
        <w:rPr>
          <w:rFonts w:ascii="arial" w:hAnsi="arial"/>
          <w:sz w:val="16"/>
        </w:rPr>
        <w:t xml:space="preserve">Sempra Energys 18 corporate officers as of December 31, 2020 were hired from a broad range of industries, including accounting, consulting, banking, energy and law.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177165" cy="210820"/>
            <wp:effectExtent l="0" t="0" r="0" b="0"/>
            <wp:docPr id="7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0" descr=""/>
                    <pic:cNvPicPr>
                      <a:picLocks noChangeAspect="1" noChangeArrowheads="1"/>
                    </pic:cNvPicPr>
                  </pic:nvPicPr>
                  <pic:blipFill>
                    <a:blip r:embed="rId61"/>
                    <a:stretch>
                      <a:fillRect/>
                    </a:stretch>
                  </pic:blipFill>
                  <pic:spPr bwMode="auto">
                    <a:xfrm>
                      <a:off x="0" y="0"/>
                      <a:ext cx="177165" cy="210820"/>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Sempra Energy Officers Other Industries/ Accounting/ Developed Consulting Internally 28% 27% Banking/ Law Investment 17% Banking Energy/ 11% Energy-Related 17% </w:t>
      </w:r>
    </w:p>
    <w:p>
      <w:pPr>
        <w:pStyle w:val="TextBody"/>
        <w:spacing w:before="120" w:after="0"/>
        <w:jc w:val="left"/>
        <w:rPr>
          <w:rFonts w:ascii="arial" w:hAnsi="arial"/>
          <w:i/>
          <w:sz w:val="14"/>
        </w:rPr>
      </w:pPr>
      <w:r>
        <w:rPr>
          <w:rFonts w:ascii="arial" w:hAnsi="arial"/>
          <w:i/>
          <w:sz w:val="14"/>
        </w:rPr>
        <w:t xml:space="preserve">Figure 7 </w:t>
      </w:r>
    </w:p>
    <w:p>
      <w:pPr>
        <w:pStyle w:val="TextBody"/>
        <w:spacing w:before="280" w:after="0"/>
        <w:jc w:val="left"/>
        <w:rPr>
          <w:rFonts w:ascii="arial" w:hAnsi="arial"/>
          <w:b/>
          <w:color w:val="001C71"/>
          <w:sz w:val="24"/>
        </w:rPr>
      </w:pPr>
      <w:r>
        <w:rPr>
          <w:rFonts w:ascii="arial" w:hAnsi="arial"/>
          <w:b/>
          <w:color w:val="001C71"/>
          <w:sz w:val="24"/>
        </w:rPr>
        <w:t xml:space="preserve">Target Market Alignment </w:t>
      </w:r>
    </w:p>
    <w:p>
      <w:pPr>
        <w:pStyle w:val="TextBody"/>
        <w:spacing w:before="120" w:after="0"/>
        <w:jc w:val="left"/>
        <w:rPr>
          <w:rFonts w:ascii="arial" w:hAnsi="arial"/>
          <w:sz w:val="16"/>
        </w:rPr>
      </w:pPr>
      <w:r>
        <w:rPr>
          <w:rFonts w:ascii="arial" w:hAnsi="arial"/>
          <w:sz w:val="16"/>
        </w:rPr>
        <w:t xml:space="preserve">The Compensation and Talent Development Committee targets alignment of compensation with the 50th percentile of the general industry benchmarking data, reviewing data in total and by component (base salaries, target performance-based annual bonuses and target long-term equity-based incentives). Positioning relative to the 50th percentile may vary based on factors such as time in position, performance, and the comparability of market benchmark positions to the scope and structure of our positions. </w:t>
      </w:r>
    </w:p>
    <w:p>
      <w:pPr>
        <w:pStyle w:val="TextBody"/>
        <w:spacing w:before="160" w:after="0"/>
        <w:jc w:val="left"/>
        <w:rPr>
          <w:rFonts w:ascii="arial" w:hAnsi="arial"/>
          <w:sz w:val="16"/>
        </w:rPr>
      </w:pPr>
      <w:r>
        <w:rPr>
          <w:rFonts w:ascii="arial" w:hAnsi="arial"/>
          <w:sz w:val="16"/>
        </w:rPr>
        <w:t xml:space="preserve">Based on the November 2019 benchmarking review, total target compensation for Mr. Martin in 2020 was below the 50th percentile of general industry benchmarking data. Mr. Mihaliks total target compensation in 2020 approximated and Mr. Walls total target compensation in 2020 was slightly above the 50th percentile of the general industry benchmarking data. Mr. Sagara was not included in the November 2019 benchmarking review. </w:t>
      </w:r>
    </w:p>
    <w:p>
      <w:pPr>
        <w:pStyle w:val="TextBody"/>
        <w:spacing w:before="160" w:after="0"/>
        <w:jc w:val="left"/>
        <w:rPr>
          <w:rFonts w:ascii="arial" w:hAnsi="arial"/>
          <w:sz w:val="16"/>
        </w:rPr>
      </w:pPr>
      <w:r>
        <w:rPr>
          <w:rFonts w:ascii="arial" w:hAnsi="arial"/>
          <w:sz w:val="16"/>
        </w:rPr>
        <w:t xml:space="preserve">Actual compensation may be higher or lower than target compensation, as it reflects actual performance and payouts under our performance-based annual bonus plan and our long-term incentive plan. </w:t>
      </w:r>
    </w:p>
    <w:p>
      <w:pPr>
        <w:pStyle w:val="TextBody"/>
        <w:spacing w:before="280" w:after="0"/>
        <w:jc w:val="left"/>
        <w:rPr>
          <w:rFonts w:ascii="arial" w:hAnsi="arial"/>
          <w:b/>
          <w:color w:val="001C71"/>
          <w:sz w:val="24"/>
        </w:rPr>
      </w:pPr>
      <w:r>
        <w:rPr>
          <w:rFonts w:ascii="arial" w:hAnsi="arial"/>
          <w:b/>
          <w:color w:val="001C71"/>
          <w:sz w:val="24"/>
        </w:rPr>
        <w:t xml:space="preserve">General Industry Benchmarking </w:t>
      </w:r>
    </w:p>
    <w:p>
      <w:pPr>
        <w:pStyle w:val="TextBody"/>
        <w:spacing w:before="120" w:after="0"/>
        <w:jc w:val="left"/>
        <w:rPr>
          <w:rFonts w:ascii="arial" w:hAnsi="arial"/>
          <w:sz w:val="16"/>
        </w:rPr>
      </w:pPr>
      <w:r>
        <w:rPr>
          <w:rFonts w:ascii="arial" w:hAnsi="arial"/>
          <w:sz w:val="16"/>
        </w:rPr>
        <w:t xml:space="preserve">When benchmarking executive pay, the Compensation and Talent Development Committee first reviews general industry market pay data from the Aon Hewitt Total Compensation Management (TCM) Database for non-financial services Fortune 500 companies with revenues between $6.25 billion and $25 billion. The November 2019 benchmarking review, on which 2020 compensation decisions were based, consisted of 123 companies, which are listed on Appendix B to this proxy statement, and are referred to in this Compensation Discussion and Analysis as our general industry peer group.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52</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The Compensation and Talent Development Committee uses the general industry peer group as the primary benchmarking data source because it believes it best represents the market from which we recruit executive talent. This peer group is not constrained by industry affiliation, but companies in the utilities and energy sectors make up approximately 20% of the general industry peer group. This peer group focuses on companies comparable in size to Sempra Energy. </w:t>
      </w:r>
    </w:p>
    <w:p>
      <w:pPr>
        <w:pStyle w:val="TextBody"/>
        <w:spacing w:before="160" w:after="0"/>
        <w:jc w:val="left"/>
        <w:rPr>
          <w:rFonts w:ascii="arial" w:hAnsi="arial"/>
          <w:sz w:val="16"/>
        </w:rPr>
      </w:pPr>
      <w:r>
        <w:rPr>
          <w:rFonts w:ascii="arial" w:hAnsi="arial"/>
          <w:sz w:val="16"/>
        </w:rPr>
        <w:t xml:space="preserve">Table 5 summarizes the market capitalization, earnings, and revenue of the general industry peer group compared to Sempra Energy.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71"/>
        <w:gridCol w:w="253"/>
        <w:gridCol w:w="86"/>
        <w:gridCol w:w="1262"/>
        <w:gridCol w:w="359"/>
        <w:gridCol w:w="253"/>
        <w:gridCol w:w="85"/>
        <w:gridCol w:w="1184"/>
        <w:gridCol w:w="458"/>
        <w:gridCol w:w="253"/>
        <w:gridCol w:w="76"/>
        <w:gridCol w:w="1102"/>
        <w:gridCol w:w="363"/>
      </w:tblGrid>
      <w:tr>
        <w:trPr/>
        <w:tc>
          <w:tcPr>
            <w:tcW w:w="447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4471" w:type="dxa"/>
            <w:tcBorders/>
            <w:shd w:fill="001C71" w:val="clear"/>
            <w:vAlign w:val="center"/>
          </w:tcPr>
          <w:p>
            <w:pPr>
              <w:pStyle w:val="TableContents"/>
              <w:spacing w:before="0" w:after="283"/>
              <w:rPr>
                <w:sz w:val="4"/>
                <w:szCs w:val="4"/>
              </w:rPr>
            </w:pPr>
            <w:r>
              <w:rPr>
                <w:sz w:val="4"/>
                <w:szCs w:val="4"/>
              </w:rPr>
            </w:r>
          </w:p>
        </w:tc>
        <w:tc>
          <w:tcPr>
            <w:tcW w:w="1960" w:type="dxa"/>
            <w:gridSpan w:val="4"/>
            <w:tcBorders/>
            <w:shd w:fill="001C71" w:val="clear"/>
            <w:vAlign w:val="center"/>
          </w:tcPr>
          <w:p>
            <w:pPr>
              <w:pStyle w:val="TableContents"/>
              <w:spacing w:before="0" w:after="283"/>
              <w:rPr>
                <w:sz w:val="4"/>
                <w:szCs w:val="4"/>
              </w:rPr>
            </w:pPr>
            <w:r>
              <w:rPr>
                <w:sz w:val="4"/>
                <w:szCs w:val="4"/>
              </w:rPr>
            </w:r>
          </w:p>
        </w:tc>
        <w:tc>
          <w:tcPr>
            <w:tcW w:w="1980" w:type="dxa"/>
            <w:gridSpan w:val="4"/>
            <w:tcBorders/>
            <w:shd w:fill="001C71" w:val="clear"/>
            <w:vAlign w:val="center"/>
          </w:tcPr>
          <w:p>
            <w:pPr>
              <w:pStyle w:val="TableContents"/>
              <w:spacing w:before="0" w:after="283"/>
              <w:rPr>
                <w:sz w:val="4"/>
                <w:szCs w:val="4"/>
              </w:rPr>
            </w:pPr>
            <w:r>
              <w:rPr>
                <w:sz w:val="4"/>
                <w:szCs w:val="4"/>
              </w:rPr>
            </w:r>
          </w:p>
        </w:tc>
        <w:tc>
          <w:tcPr>
            <w:tcW w:w="1794" w:type="dxa"/>
            <w:gridSpan w:val="4"/>
            <w:tcBorders/>
            <w:shd w:fill="001C71" w:val="clear"/>
            <w:vAlign w:val="center"/>
          </w:tcPr>
          <w:p>
            <w:pPr>
              <w:pStyle w:val="TableContents"/>
              <w:spacing w:before="0" w:after="283"/>
              <w:rPr>
                <w:sz w:val="4"/>
                <w:szCs w:val="4"/>
              </w:rPr>
            </w:pPr>
            <w:r>
              <w:rPr>
                <w:sz w:val="4"/>
                <w:szCs w:val="4"/>
              </w:rPr>
            </w:r>
          </w:p>
        </w:tc>
      </w:tr>
      <w:tr>
        <w:trPr/>
        <w:tc>
          <w:tcPr>
            <w:tcW w:w="4471"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(Dollars in Millions)</w:t>
            </w:r>
          </w:p>
        </w:tc>
        <w:tc>
          <w:tcPr>
            <w:tcW w:w="253" w:type="dxa"/>
            <w:tcBorders/>
            <w:shd w:fill="001C71" w:val="clear"/>
            <w:vAlign w:val="bottom"/>
          </w:tcPr>
          <w:p>
            <w:pPr>
              <w:pStyle w:val="TableContents"/>
              <w:spacing w:before="0" w:after="283"/>
              <w:rPr/>
            </w:pPr>
            <w:r>
              <w:rPr/>
              <w:t>  </w:t>
            </w:r>
          </w:p>
        </w:tc>
        <w:tc>
          <w:tcPr>
            <w:tcW w:w="1348"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Market</w:t>
            </w:r>
          </w:p>
          <w:p>
            <w:pPr>
              <w:pStyle w:val="TableContents"/>
              <w:spacing w:before="0" w:after="20"/>
              <w:jc w:val="center"/>
              <w:rPr>
                <w:rFonts w:ascii="arial" w:hAnsi="arial"/>
                <w:b/>
                <w:color w:val="FFFFFF"/>
                <w:sz w:val="16"/>
              </w:rPr>
            </w:pPr>
            <w:r>
              <w:rPr>
                <w:rFonts w:ascii="arial" w:hAnsi="arial"/>
                <w:b/>
                <w:color w:val="FFFFFF"/>
                <w:sz w:val="16"/>
              </w:rPr>
              <w:t>Capitalization(1)</w:t>
            </w:r>
          </w:p>
        </w:tc>
        <w:tc>
          <w:tcPr>
            <w:tcW w:w="359" w:type="dxa"/>
            <w:tcBorders/>
            <w:shd w:fill="001C71" w:val="clear"/>
            <w:vAlign w:val="bottom"/>
          </w:tcPr>
          <w:p>
            <w:pPr>
              <w:pStyle w:val="TableContents"/>
              <w:spacing w:before="0" w:after="283"/>
              <w:rPr/>
            </w:pPr>
            <w:r>
              <w:rPr/>
              <w:t> </w:t>
            </w:r>
          </w:p>
        </w:tc>
        <w:tc>
          <w:tcPr>
            <w:tcW w:w="253" w:type="dxa"/>
            <w:tcBorders/>
            <w:shd w:fill="001C71" w:val="clear"/>
            <w:vAlign w:val="bottom"/>
          </w:tcPr>
          <w:p>
            <w:pPr>
              <w:pStyle w:val="TableContents"/>
              <w:spacing w:before="0" w:after="283"/>
              <w:rPr/>
            </w:pPr>
            <w:r>
              <w:rPr/>
              <w:t>  </w:t>
            </w:r>
          </w:p>
        </w:tc>
        <w:tc>
          <w:tcPr>
            <w:tcW w:w="1269" w:type="dxa"/>
            <w:gridSpan w:val="2"/>
            <w:tcBorders/>
            <w:shd w:fill="001C71" w:val="clear"/>
            <w:vAlign w:val="bottom"/>
          </w:tcPr>
          <w:p>
            <w:pPr>
              <w:pStyle w:val="TableContents"/>
              <w:spacing w:before="0" w:after="283"/>
              <w:jc w:val="center"/>
              <w:rPr>
                <w:b/>
                <w:color w:val="FFFFFF"/>
              </w:rPr>
            </w:pPr>
            <w:r>
              <w:rPr>
                <w:b/>
                <w:color w:val="FFFFFF"/>
              </w:rPr>
              <w:t>Earnings(2)</w:t>
            </w:r>
          </w:p>
        </w:tc>
        <w:tc>
          <w:tcPr>
            <w:tcW w:w="458" w:type="dxa"/>
            <w:tcBorders/>
            <w:shd w:fill="001C71" w:val="clear"/>
            <w:vAlign w:val="bottom"/>
          </w:tcPr>
          <w:p>
            <w:pPr>
              <w:pStyle w:val="TableContents"/>
              <w:spacing w:before="0" w:after="283"/>
              <w:rPr/>
            </w:pPr>
            <w:r>
              <w:rPr/>
              <w:t> </w:t>
            </w:r>
          </w:p>
        </w:tc>
        <w:tc>
          <w:tcPr>
            <w:tcW w:w="253" w:type="dxa"/>
            <w:tcBorders/>
            <w:shd w:fill="001C71" w:val="clear"/>
            <w:vAlign w:val="bottom"/>
          </w:tcPr>
          <w:p>
            <w:pPr>
              <w:pStyle w:val="TableContents"/>
              <w:spacing w:before="0" w:after="283"/>
              <w:rPr/>
            </w:pPr>
            <w:r>
              <w:rPr/>
              <w:t>  </w:t>
            </w:r>
          </w:p>
        </w:tc>
        <w:tc>
          <w:tcPr>
            <w:tcW w:w="1178" w:type="dxa"/>
            <w:gridSpan w:val="2"/>
            <w:tcBorders/>
            <w:shd w:fill="001C71" w:val="clear"/>
            <w:vAlign w:val="bottom"/>
          </w:tcPr>
          <w:p>
            <w:pPr>
              <w:pStyle w:val="TableContents"/>
              <w:spacing w:before="0" w:after="283"/>
              <w:jc w:val="center"/>
              <w:rPr>
                <w:b/>
                <w:color w:val="FFFFFF"/>
              </w:rPr>
            </w:pPr>
            <w:r>
              <w:rPr>
                <w:b/>
                <w:color w:val="FFFFFF"/>
              </w:rPr>
              <w:t>Revenue(2)</w:t>
            </w:r>
          </w:p>
        </w:tc>
        <w:tc>
          <w:tcPr>
            <w:tcW w:w="363" w:type="dxa"/>
            <w:tcBorders/>
            <w:shd w:fill="001C71" w:val="clear"/>
            <w:vAlign w:val="bottom"/>
          </w:tcPr>
          <w:p>
            <w:pPr>
              <w:pStyle w:val="TableContents"/>
              <w:spacing w:before="0" w:after="283"/>
              <w:rPr/>
            </w:pPr>
            <w:r>
              <w:rPr/>
              <w:t> </w:t>
            </w:r>
          </w:p>
        </w:tc>
      </w:tr>
      <w:tr>
        <w:trPr>
          <w:trHeight w:val="60" w:hRule="atLeast"/>
        </w:trPr>
        <w:tc>
          <w:tcPr>
            <w:tcW w:w="4471" w:type="dxa"/>
            <w:tcBorders/>
            <w:shd w:fill="E5E5E5" w:val="clear"/>
            <w:vAlign w:val="center"/>
          </w:tcPr>
          <w:p>
            <w:pPr>
              <w:pStyle w:val="TableContents"/>
              <w:spacing w:before="0" w:after="283"/>
              <w:rPr>
                <w:sz w:val="4"/>
                <w:szCs w:val="4"/>
              </w:rPr>
            </w:pPr>
            <w:r>
              <w:rPr>
                <w:sz w:val="4"/>
                <w:szCs w:val="4"/>
              </w:rPr>
            </w:r>
          </w:p>
        </w:tc>
        <w:tc>
          <w:tcPr>
            <w:tcW w:w="1960" w:type="dxa"/>
            <w:gridSpan w:val="4"/>
            <w:tcBorders/>
            <w:shd w:fill="E5E5E5" w:val="clear"/>
            <w:vAlign w:val="center"/>
          </w:tcPr>
          <w:p>
            <w:pPr>
              <w:pStyle w:val="TableContents"/>
              <w:spacing w:before="0" w:after="283"/>
              <w:rPr>
                <w:sz w:val="4"/>
                <w:szCs w:val="4"/>
              </w:rPr>
            </w:pPr>
            <w:r>
              <w:rPr>
                <w:sz w:val="4"/>
                <w:szCs w:val="4"/>
              </w:rPr>
            </w:r>
          </w:p>
        </w:tc>
        <w:tc>
          <w:tcPr>
            <w:tcW w:w="1980" w:type="dxa"/>
            <w:gridSpan w:val="4"/>
            <w:tcBorders/>
            <w:shd w:fill="E5E5E5" w:val="clear"/>
            <w:vAlign w:val="center"/>
          </w:tcPr>
          <w:p>
            <w:pPr>
              <w:pStyle w:val="TableContents"/>
              <w:spacing w:before="0" w:after="283"/>
              <w:rPr>
                <w:sz w:val="4"/>
                <w:szCs w:val="4"/>
              </w:rPr>
            </w:pPr>
            <w:r>
              <w:rPr>
                <w:sz w:val="4"/>
                <w:szCs w:val="4"/>
              </w:rPr>
            </w:r>
          </w:p>
        </w:tc>
        <w:tc>
          <w:tcPr>
            <w:tcW w:w="1794" w:type="dxa"/>
            <w:gridSpan w:val="4"/>
            <w:tcBorders/>
            <w:shd w:fill="E5E5E5" w:val="clear"/>
            <w:vAlign w:val="center"/>
          </w:tcPr>
          <w:p>
            <w:pPr>
              <w:pStyle w:val="TableContents"/>
              <w:spacing w:before="0" w:after="283"/>
              <w:rPr>
                <w:sz w:val="4"/>
                <w:szCs w:val="4"/>
              </w:rPr>
            </w:pPr>
            <w:r>
              <w:rPr>
                <w:sz w:val="4"/>
                <w:szCs w:val="4"/>
              </w:rPr>
            </w:r>
          </w:p>
        </w:tc>
      </w:tr>
      <w:tr>
        <w:trPr/>
        <w:tc>
          <w:tcPr>
            <w:tcW w:w="4471" w:type="dxa"/>
            <w:tcBorders/>
            <w:shd w:fill="E5E5E5" w:val="clear"/>
          </w:tcPr>
          <w:p>
            <w:pPr>
              <w:pStyle w:val="TableContents"/>
              <w:spacing w:before="0" w:after="0"/>
              <w:rPr>
                <w:rFonts w:ascii="arial" w:hAnsi="arial"/>
                <w:sz w:val="16"/>
              </w:rPr>
            </w:pPr>
            <w:r>
              <w:rPr>
                <w:rFonts w:ascii="arial" w:hAnsi="arial"/>
                <w:sz w:val="16"/>
              </w:rPr>
              <w:t>Sempra Energy</w:t>
            </w:r>
          </w:p>
        </w:tc>
        <w:tc>
          <w:tcPr>
            <w:tcW w:w="25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262" w:type="dxa"/>
            <w:tcBorders/>
            <w:shd w:fill="E5E5E5" w:val="clear"/>
            <w:vAlign w:val="bottom"/>
          </w:tcPr>
          <w:p>
            <w:pPr>
              <w:pStyle w:val="TableContents"/>
              <w:spacing w:before="0" w:after="283"/>
              <w:jc w:val="right"/>
              <w:rPr/>
            </w:pPr>
            <w:r>
              <w:rPr/>
              <w:t>$ 36,754</w:t>
            </w:r>
          </w:p>
        </w:tc>
        <w:tc>
          <w:tcPr>
            <w:tcW w:w="359" w:type="dxa"/>
            <w:tcBorders/>
            <w:shd w:fill="E5E5E5" w:val="clear"/>
            <w:vAlign w:val="bottom"/>
          </w:tcPr>
          <w:p>
            <w:pPr>
              <w:pStyle w:val="TableContents"/>
              <w:spacing w:before="0" w:after="283"/>
              <w:rPr/>
            </w:pPr>
            <w:r>
              <w:rPr/>
              <w:t> </w:t>
            </w:r>
          </w:p>
        </w:tc>
        <w:tc>
          <w:tcPr>
            <w:tcW w:w="253"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1184" w:type="dxa"/>
            <w:tcBorders/>
            <w:shd w:fill="E5E5E5" w:val="clear"/>
            <w:vAlign w:val="bottom"/>
          </w:tcPr>
          <w:p>
            <w:pPr>
              <w:pStyle w:val="TableContents"/>
              <w:spacing w:before="0" w:after="283"/>
              <w:jc w:val="right"/>
              <w:rPr/>
            </w:pPr>
            <w:r>
              <w:rPr/>
              <w:t> </w:t>
            </w:r>
            <w:r>
              <w:rPr/>
              <w:t>$ 3,764</w:t>
            </w:r>
          </w:p>
        </w:tc>
        <w:tc>
          <w:tcPr>
            <w:tcW w:w="458" w:type="dxa"/>
            <w:tcBorders/>
            <w:shd w:fill="E5E5E5" w:val="clear"/>
            <w:vAlign w:val="bottom"/>
          </w:tcPr>
          <w:p>
            <w:pPr>
              <w:pStyle w:val="TableContents"/>
              <w:spacing w:before="0" w:after="283"/>
              <w:rPr/>
            </w:pPr>
            <w:r>
              <w:rPr/>
              <w:t> </w:t>
            </w:r>
          </w:p>
        </w:tc>
        <w:tc>
          <w:tcPr>
            <w:tcW w:w="253" w:type="dxa"/>
            <w:tcBorders/>
            <w:shd w:fill="E5E5E5" w:val="clear"/>
            <w:vAlign w:val="bottom"/>
          </w:tcPr>
          <w:p>
            <w:pPr>
              <w:pStyle w:val="TableContents"/>
              <w:spacing w:before="0" w:after="283"/>
              <w:rPr/>
            </w:pPr>
            <w:r>
              <w:rPr/>
              <w:t>  </w:t>
            </w:r>
          </w:p>
        </w:tc>
        <w:tc>
          <w:tcPr>
            <w:tcW w:w="76" w:type="dxa"/>
            <w:tcBorders/>
            <w:shd w:fill="E5E5E5" w:val="clear"/>
            <w:vAlign w:val="bottom"/>
          </w:tcPr>
          <w:p>
            <w:pPr>
              <w:pStyle w:val="TableContents"/>
              <w:spacing w:before="0" w:after="283"/>
              <w:rPr/>
            </w:pPr>
            <w:r>
              <w:rPr/>
              <w:t> </w:t>
            </w:r>
          </w:p>
        </w:tc>
        <w:tc>
          <w:tcPr>
            <w:tcW w:w="1102" w:type="dxa"/>
            <w:tcBorders/>
            <w:shd w:fill="E5E5E5" w:val="clear"/>
            <w:vAlign w:val="bottom"/>
          </w:tcPr>
          <w:p>
            <w:pPr>
              <w:pStyle w:val="TableContents"/>
              <w:spacing w:before="0" w:after="283"/>
              <w:jc w:val="right"/>
              <w:rPr/>
            </w:pPr>
            <w:r>
              <w:rPr/>
              <w:t>$ 11,370</w:t>
            </w:r>
          </w:p>
        </w:tc>
        <w:tc>
          <w:tcPr>
            <w:tcW w:w="363" w:type="dxa"/>
            <w:tcBorders/>
            <w:shd w:fill="E5E5E5" w:val="clear"/>
            <w:vAlign w:val="bottom"/>
          </w:tcPr>
          <w:p>
            <w:pPr>
              <w:pStyle w:val="TableContents"/>
              <w:spacing w:before="0" w:after="283"/>
              <w:rPr/>
            </w:pPr>
            <w:r>
              <w:rPr/>
              <w:t> </w:t>
            </w:r>
          </w:p>
        </w:tc>
      </w:tr>
      <w:tr>
        <w:trPr>
          <w:trHeight w:val="60" w:hRule="atLeast"/>
        </w:trPr>
        <w:tc>
          <w:tcPr>
            <w:tcW w:w="4471" w:type="dxa"/>
            <w:tcBorders/>
            <w:shd w:fill="auto" w:val="clear"/>
            <w:vAlign w:val="center"/>
          </w:tcPr>
          <w:p>
            <w:pPr>
              <w:pStyle w:val="TableContents"/>
              <w:spacing w:before="0" w:after="283"/>
              <w:rPr>
                <w:sz w:val="4"/>
                <w:szCs w:val="4"/>
              </w:rPr>
            </w:pPr>
            <w:r>
              <w:rPr>
                <w:sz w:val="4"/>
                <w:szCs w:val="4"/>
              </w:rPr>
            </w:r>
          </w:p>
        </w:tc>
        <w:tc>
          <w:tcPr>
            <w:tcW w:w="1960" w:type="dxa"/>
            <w:gridSpan w:val="4"/>
            <w:tcBorders/>
            <w:shd w:fill="auto" w:val="clear"/>
            <w:vAlign w:val="center"/>
          </w:tcPr>
          <w:p>
            <w:pPr>
              <w:pStyle w:val="TableContents"/>
              <w:spacing w:before="0" w:after="283"/>
              <w:rPr>
                <w:sz w:val="4"/>
                <w:szCs w:val="4"/>
              </w:rPr>
            </w:pPr>
            <w:r>
              <w:rPr>
                <w:sz w:val="4"/>
                <w:szCs w:val="4"/>
              </w:rPr>
            </w:r>
          </w:p>
        </w:tc>
        <w:tc>
          <w:tcPr>
            <w:tcW w:w="1980" w:type="dxa"/>
            <w:gridSpan w:val="4"/>
            <w:tcBorders/>
            <w:shd w:fill="auto" w:val="clear"/>
            <w:vAlign w:val="center"/>
          </w:tcPr>
          <w:p>
            <w:pPr>
              <w:pStyle w:val="TableContents"/>
              <w:spacing w:before="0" w:after="283"/>
              <w:rPr>
                <w:sz w:val="4"/>
                <w:szCs w:val="4"/>
              </w:rPr>
            </w:pPr>
            <w:r>
              <w:rPr>
                <w:sz w:val="4"/>
                <w:szCs w:val="4"/>
              </w:rPr>
            </w:r>
          </w:p>
        </w:tc>
        <w:tc>
          <w:tcPr>
            <w:tcW w:w="1794" w:type="dxa"/>
            <w:gridSpan w:val="4"/>
            <w:tcBorders/>
            <w:shd w:fill="auto" w:val="clear"/>
            <w:vAlign w:val="center"/>
          </w:tcPr>
          <w:p>
            <w:pPr>
              <w:pStyle w:val="TableContents"/>
              <w:spacing w:before="0" w:after="283"/>
              <w:rPr>
                <w:sz w:val="4"/>
                <w:szCs w:val="4"/>
              </w:rPr>
            </w:pPr>
            <w:r>
              <w:rPr>
                <w:sz w:val="4"/>
                <w:szCs w:val="4"/>
              </w:rPr>
            </w:r>
          </w:p>
        </w:tc>
      </w:tr>
      <w:tr>
        <w:trPr/>
        <w:tc>
          <w:tcPr>
            <w:tcW w:w="4471" w:type="dxa"/>
            <w:tcBorders/>
            <w:shd w:fill="auto" w:val="clear"/>
          </w:tcPr>
          <w:p>
            <w:pPr>
              <w:pStyle w:val="TableContents"/>
              <w:spacing w:before="0" w:after="0"/>
              <w:rPr>
                <w:rFonts w:ascii="arial" w:hAnsi="arial"/>
                <w:sz w:val="16"/>
              </w:rPr>
            </w:pPr>
            <w:r>
              <w:rPr>
                <w:rFonts w:ascii="arial" w:hAnsi="arial"/>
                <w:sz w:val="16"/>
              </w:rPr>
              <w:t>Sempra Percentile Rank</w:t>
            </w:r>
          </w:p>
        </w:tc>
        <w:tc>
          <w:tcPr>
            <w:tcW w:w="25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74</w:t>
            </w:r>
          </w:p>
        </w:tc>
        <w:tc>
          <w:tcPr>
            <w:tcW w:w="359" w:type="dxa"/>
            <w:tcBorders/>
            <w:shd w:fill="auto" w:val="clear"/>
            <w:vAlign w:val="bottom"/>
          </w:tcPr>
          <w:p>
            <w:pPr>
              <w:pStyle w:val="TableContents"/>
              <w:spacing w:before="0" w:after="283"/>
              <w:rPr/>
            </w:pPr>
            <w:r>
              <w:rPr/>
              <w:t>th </w:t>
            </w:r>
          </w:p>
        </w:tc>
        <w:tc>
          <w:tcPr>
            <w:tcW w:w="25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92</w:t>
            </w:r>
          </w:p>
        </w:tc>
        <w:tc>
          <w:tcPr>
            <w:tcW w:w="458" w:type="dxa"/>
            <w:tcBorders/>
            <w:shd w:fill="auto" w:val="clear"/>
            <w:vAlign w:val="bottom"/>
          </w:tcPr>
          <w:p>
            <w:pPr>
              <w:pStyle w:val="TableContents"/>
              <w:spacing w:before="0" w:after="283"/>
              <w:rPr/>
            </w:pPr>
            <w:r>
              <w:rPr/>
              <w:t>nd </w:t>
            </w:r>
          </w:p>
        </w:tc>
        <w:tc>
          <w:tcPr>
            <w:tcW w:w="25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46</w:t>
            </w:r>
          </w:p>
        </w:tc>
        <w:tc>
          <w:tcPr>
            <w:tcW w:w="363" w:type="dxa"/>
            <w:tcBorders/>
            <w:shd w:fill="auto" w:val="clear"/>
            <w:vAlign w:val="bottom"/>
          </w:tcPr>
          <w:p>
            <w:pPr>
              <w:pStyle w:val="TableContents"/>
              <w:spacing w:before="0" w:after="283"/>
              <w:rPr/>
            </w:pPr>
            <w:r>
              <w:rPr/>
              <w:t>th </w:t>
            </w:r>
          </w:p>
        </w:tc>
      </w:tr>
      <w:tr>
        <w:trPr>
          <w:trHeight w:val="60" w:hRule="atLeast"/>
        </w:trPr>
        <w:tc>
          <w:tcPr>
            <w:tcW w:w="4471" w:type="dxa"/>
            <w:tcBorders/>
            <w:shd w:fill="E5E5E5" w:val="clear"/>
            <w:vAlign w:val="center"/>
          </w:tcPr>
          <w:p>
            <w:pPr>
              <w:pStyle w:val="TableContents"/>
              <w:spacing w:before="0" w:after="283"/>
              <w:rPr>
                <w:sz w:val="4"/>
                <w:szCs w:val="4"/>
              </w:rPr>
            </w:pPr>
            <w:r>
              <w:rPr>
                <w:sz w:val="4"/>
                <w:szCs w:val="4"/>
              </w:rPr>
            </w:r>
          </w:p>
        </w:tc>
        <w:tc>
          <w:tcPr>
            <w:tcW w:w="1960" w:type="dxa"/>
            <w:gridSpan w:val="4"/>
            <w:tcBorders/>
            <w:shd w:fill="E5E5E5" w:val="clear"/>
            <w:vAlign w:val="center"/>
          </w:tcPr>
          <w:p>
            <w:pPr>
              <w:pStyle w:val="TableContents"/>
              <w:spacing w:before="0" w:after="283"/>
              <w:rPr>
                <w:sz w:val="4"/>
                <w:szCs w:val="4"/>
              </w:rPr>
            </w:pPr>
            <w:r>
              <w:rPr>
                <w:sz w:val="4"/>
                <w:szCs w:val="4"/>
              </w:rPr>
            </w:r>
          </w:p>
        </w:tc>
        <w:tc>
          <w:tcPr>
            <w:tcW w:w="1980" w:type="dxa"/>
            <w:gridSpan w:val="4"/>
            <w:tcBorders/>
            <w:shd w:fill="E5E5E5" w:val="clear"/>
            <w:vAlign w:val="center"/>
          </w:tcPr>
          <w:p>
            <w:pPr>
              <w:pStyle w:val="TableContents"/>
              <w:spacing w:before="0" w:after="283"/>
              <w:rPr>
                <w:sz w:val="4"/>
                <w:szCs w:val="4"/>
              </w:rPr>
            </w:pPr>
            <w:r>
              <w:rPr>
                <w:sz w:val="4"/>
                <w:szCs w:val="4"/>
              </w:rPr>
            </w:r>
          </w:p>
        </w:tc>
        <w:tc>
          <w:tcPr>
            <w:tcW w:w="1794" w:type="dxa"/>
            <w:gridSpan w:val="4"/>
            <w:tcBorders/>
            <w:shd w:fill="E5E5E5" w:val="clear"/>
            <w:vAlign w:val="center"/>
          </w:tcPr>
          <w:p>
            <w:pPr>
              <w:pStyle w:val="TableContents"/>
              <w:spacing w:before="0" w:after="283"/>
              <w:rPr>
                <w:sz w:val="4"/>
                <w:szCs w:val="4"/>
              </w:rPr>
            </w:pPr>
            <w:r>
              <w:rPr>
                <w:sz w:val="4"/>
                <w:szCs w:val="4"/>
              </w:rPr>
            </w:r>
          </w:p>
        </w:tc>
      </w:tr>
      <w:tr>
        <w:trPr/>
        <w:tc>
          <w:tcPr>
            <w:tcW w:w="4471" w:type="dxa"/>
            <w:tcBorders/>
            <w:shd w:fill="E5E5E5" w:val="clear"/>
          </w:tcPr>
          <w:p>
            <w:pPr>
              <w:pStyle w:val="TableContents"/>
              <w:spacing w:before="0" w:after="0"/>
              <w:rPr>
                <w:rFonts w:ascii="arial" w:hAnsi="arial"/>
                <w:sz w:val="16"/>
              </w:rPr>
            </w:pPr>
            <w:r>
              <w:rPr>
                <w:rFonts w:ascii="arial" w:hAnsi="arial"/>
                <w:sz w:val="16"/>
              </w:rPr>
              <w:t>75th Percentile</w:t>
            </w:r>
          </w:p>
        </w:tc>
        <w:tc>
          <w:tcPr>
            <w:tcW w:w="25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262" w:type="dxa"/>
            <w:tcBorders/>
            <w:shd w:fill="E5E5E5" w:val="clear"/>
            <w:vAlign w:val="bottom"/>
          </w:tcPr>
          <w:p>
            <w:pPr>
              <w:pStyle w:val="TableContents"/>
              <w:spacing w:before="0" w:after="283"/>
              <w:jc w:val="right"/>
              <w:rPr/>
            </w:pPr>
            <w:r>
              <w:rPr/>
              <w:t>$ 40,032</w:t>
            </w:r>
          </w:p>
        </w:tc>
        <w:tc>
          <w:tcPr>
            <w:tcW w:w="359" w:type="dxa"/>
            <w:tcBorders/>
            <w:shd w:fill="E5E5E5" w:val="clear"/>
            <w:vAlign w:val="bottom"/>
          </w:tcPr>
          <w:p>
            <w:pPr>
              <w:pStyle w:val="TableContents"/>
              <w:spacing w:before="0" w:after="283"/>
              <w:rPr/>
            </w:pPr>
            <w:r>
              <w:rPr/>
              <w:t> </w:t>
            </w:r>
          </w:p>
        </w:tc>
        <w:tc>
          <w:tcPr>
            <w:tcW w:w="253"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1184" w:type="dxa"/>
            <w:tcBorders/>
            <w:shd w:fill="E5E5E5" w:val="clear"/>
            <w:vAlign w:val="bottom"/>
          </w:tcPr>
          <w:p>
            <w:pPr>
              <w:pStyle w:val="TableContents"/>
              <w:spacing w:before="0" w:after="283"/>
              <w:jc w:val="right"/>
              <w:rPr/>
            </w:pPr>
            <w:r>
              <w:rPr/>
              <w:t> </w:t>
            </w:r>
            <w:r>
              <w:rPr/>
              <w:t>$ 1,336</w:t>
            </w:r>
          </w:p>
        </w:tc>
        <w:tc>
          <w:tcPr>
            <w:tcW w:w="458" w:type="dxa"/>
            <w:tcBorders/>
            <w:shd w:fill="E5E5E5" w:val="clear"/>
            <w:vAlign w:val="bottom"/>
          </w:tcPr>
          <w:p>
            <w:pPr>
              <w:pStyle w:val="TableContents"/>
              <w:spacing w:before="0" w:after="283"/>
              <w:rPr/>
            </w:pPr>
            <w:r>
              <w:rPr/>
              <w:t> </w:t>
            </w:r>
          </w:p>
        </w:tc>
        <w:tc>
          <w:tcPr>
            <w:tcW w:w="253" w:type="dxa"/>
            <w:tcBorders/>
            <w:shd w:fill="E5E5E5" w:val="clear"/>
            <w:vAlign w:val="bottom"/>
          </w:tcPr>
          <w:p>
            <w:pPr>
              <w:pStyle w:val="TableContents"/>
              <w:spacing w:before="0" w:after="283"/>
              <w:rPr/>
            </w:pPr>
            <w:r>
              <w:rPr/>
              <w:t>  </w:t>
            </w:r>
          </w:p>
        </w:tc>
        <w:tc>
          <w:tcPr>
            <w:tcW w:w="76" w:type="dxa"/>
            <w:tcBorders/>
            <w:shd w:fill="E5E5E5" w:val="clear"/>
            <w:vAlign w:val="bottom"/>
          </w:tcPr>
          <w:p>
            <w:pPr>
              <w:pStyle w:val="TableContents"/>
              <w:spacing w:before="0" w:after="283"/>
              <w:rPr/>
            </w:pPr>
            <w:r>
              <w:rPr/>
              <w:t> </w:t>
            </w:r>
          </w:p>
        </w:tc>
        <w:tc>
          <w:tcPr>
            <w:tcW w:w="1102" w:type="dxa"/>
            <w:tcBorders/>
            <w:shd w:fill="E5E5E5" w:val="clear"/>
            <w:vAlign w:val="bottom"/>
          </w:tcPr>
          <w:p>
            <w:pPr>
              <w:pStyle w:val="TableContents"/>
              <w:spacing w:before="0" w:after="283"/>
              <w:jc w:val="right"/>
              <w:rPr/>
            </w:pPr>
            <w:r>
              <w:rPr/>
              <w:t>$ 16,488</w:t>
            </w:r>
          </w:p>
        </w:tc>
        <w:tc>
          <w:tcPr>
            <w:tcW w:w="363" w:type="dxa"/>
            <w:tcBorders/>
            <w:shd w:fill="E5E5E5" w:val="clear"/>
            <w:vAlign w:val="bottom"/>
          </w:tcPr>
          <w:p>
            <w:pPr>
              <w:pStyle w:val="TableContents"/>
              <w:spacing w:before="0" w:after="283"/>
              <w:rPr/>
            </w:pPr>
            <w:r>
              <w:rPr/>
              <w:t> </w:t>
            </w:r>
          </w:p>
        </w:tc>
      </w:tr>
      <w:tr>
        <w:trPr>
          <w:trHeight w:val="60" w:hRule="atLeast"/>
        </w:trPr>
        <w:tc>
          <w:tcPr>
            <w:tcW w:w="4471" w:type="dxa"/>
            <w:tcBorders/>
            <w:shd w:fill="auto" w:val="clear"/>
            <w:vAlign w:val="center"/>
          </w:tcPr>
          <w:p>
            <w:pPr>
              <w:pStyle w:val="TableContents"/>
              <w:spacing w:before="0" w:after="283"/>
              <w:rPr>
                <w:sz w:val="4"/>
                <w:szCs w:val="4"/>
              </w:rPr>
            </w:pPr>
            <w:r>
              <w:rPr>
                <w:sz w:val="4"/>
                <w:szCs w:val="4"/>
              </w:rPr>
            </w:r>
          </w:p>
        </w:tc>
        <w:tc>
          <w:tcPr>
            <w:tcW w:w="1960" w:type="dxa"/>
            <w:gridSpan w:val="4"/>
            <w:tcBorders/>
            <w:shd w:fill="auto" w:val="clear"/>
            <w:vAlign w:val="center"/>
          </w:tcPr>
          <w:p>
            <w:pPr>
              <w:pStyle w:val="TableContents"/>
              <w:spacing w:before="0" w:after="283"/>
              <w:rPr>
                <w:sz w:val="4"/>
                <w:szCs w:val="4"/>
              </w:rPr>
            </w:pPr>
            <w:r>
              <w:rPr>
                <w:sz w:val="4"/>
                <w:szCs w:val="4"/>
              </w:rPr>
            </w:r>
          </w:p>
        </w:tc>
        <w:tc>
          <w:tcPr>
            <w:tcW w:w="1980" w:type="dxa"/>
            <w:gridSpan w:val="4"/>
            <w:tcBorders/>
            <w:shd w:fill="auto" w:val="clear"/>
            <w:vAlign w:val="center"/>
          </w:tcPr>
          <w:p>
            <w:pPr>
              <w:pStyle w:val="TableContents"/>
              <w:spacing w:before="0" w:after="283"/>
              <w:rPr>
                <w:sz w:val="4"/>
                <w:szCs w:val="4"/>
              </w:rPr>
            </w:pPr>
            <w:r>
              <w:rPr>
                <w:sz w:val="4"/>
                <w:szCs w:val="4"/>
              </w:rPr>
            </w:r>
          </w:p>
        </w:tc>
        <w:tc>
          <w:tcPr>
            <w:tcW w:w="1794" w:type="dxa"/>
            <w:gridSpan w:val="4"/>
            <w:tcBorders/>
            <w:shd w:fill="auto" w:val="clear"/>
            <w:vAlign w:val="center"/>
          </w:tcPr>
          <w:p>
            <w:pPr>
              <w:pStyle w:val="TableContents"/>
              <w:spacing w:before="0" w:after="283"/>
              <w:rPr>
                <w:sz w:val="4"/>
                <w:szCs w:val="4"/>
              </w:rPr>
            </w:pPr>
            <w:r>
              <w:rPr>
                <w:sz w:val="4"/>
                <w:szCs w:val="4"/>
              </w:rPr>
            </w:r>
          </w:p>
        </w:tc>
      </w:tr>
      <w:tr>
        <w:trPr/>
        <w:tc>
          <w:tcPr>
            <w:tcW w:w="4471" w:type="dxa"/>
            <w:tcBorders/>
            <w:shd w:fill="auto" w:val="clear"/>
          </w:tcPr>
          <w:p>
            <w:pPr>
              <w:pStyle w:val="TableContents"/>
              <w:spacing w:before="0" w:after="0"/>
              <w:rPr>
                <w:rFonts w:ascii="arial" w:hAnsi="arial"/>
                <w:sz w:val="16"/>
              </w:rPr>
            </w:pPr>
            <w:r>
              <w:rPr>
                <w:rFonts w:ascii="arial" w:hAnsi="arial"/>
                <w:sz w:val="16"/>
              </w:rPr>
              <w:t>Median</w:t>
            </w:r>
          </w:p>
        </w:tc>
        <w:tc>
          <w:tcPr>
            <w:tcW w:w="25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$ 20,274</w:t>
            </w:r>
          </w:p>
        </w:tc>
        <w:tc>
          <w:tcPr>
            <w:tcW w:w="359"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 </w:t>
            </w:r>
            <w:r>
              <w:rPr/>
              <w:t>$    681</w:t>
            </w:r>
          </w:p>
        </w:tc>
        <w:tc>
          <w:tcPr>
            <w:tcW w:w="45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$ 11,635</w:t>
            </w:r>
          </w:p>
        </w:tc>
        <w:tc>
          <w:tcPr>
            <w:tcW w:w="363" w:type="dxa"/>
            <w:tcBorders/>
            <w:shd w:fill="auto" w:val="clear"/>
            <w:vAlign w:val="bottom"/>
          </w:tcPr>
          <w:p>
            <w:pPr>
              <w:pStyle w:val="TableContents"/>
              <w:spacing w:before="0" w:after="283"/>
              <w:rPr/>
            </w:pPr>
            <w:r>
              <w:rPr/>
              <w:t> </w:t>
            </w:r>
          </w:p>
        </w:tc>
      </w:tr>
      <w:tr>
        <w:trPr>
          <w:trHeight w:val="60" w:hRule="atLeast"/>
        </w:trPr>
        <w:tc>
          <w:tcPr>
            <w:tcW w:w="4471" w:type="dxa"/>
            <w:tcBorders/>
            <w:shd w:fill="E5E5E5" w:val="clear"/>
            <w:vAlign w:val="center"/>
          </w:tcPr>
          <w:p>
            <w:pPr>
              <w:pStyle w:val="TableContents"/>
              <w:spacing w:before="0" w:after="283"/>
              <w:rPr>
                <w:sz w:val="4"/>
                <w:szCs w:val="4"/>
              </w:rPr>
            </w:pPr>
            <w:r>
              <w:rPr>
                <w:sz w:val="4"/>
                <w:szCs w:val="4"/>
              </w:rPr>
            </w:r>
          </w:p>
        </w:tc>
        <w:tc>
          <w:tcPr>
            <w:tcW w:w="1960" w:type="dxa"/>
            <w:gridSpan w:val="4"/>
            <w:tcBorders/>
            <w:shd w:fill="E5E5E5" w:val="clear"/>
            <w:vAlign w:val="center"/>
          </w:tcPr>
          <w:p>
            <w:pPr>
              <w:pStyle w:val="TableContents"/>
              <w:spacing w:before="0" w:after="283"/>
              <w:rPr>
                <w:sz w:val="4"/>
                <w:szCs w:val="4"/>
              </w:rPr>
            </w:pPr>
            <w:r>
              <w:rPr>
                <w:sz w:val="4"/>
                <w:szCs w:val="4"/>
              </w:rPr>
            </w:r>
          </w:p>
        </w:tc>
        <w:tc>
          <w:tcPr>
            <w:tcW w:w="1980" w:type="dxa"/>
            <w:gridSpan w:val="4"/>
            <w:tcBorders/>
            <w:shd w:fill="E5E5E5" w:val="clear"/>
            <w:vAlign w:val="center"/>
          </w:tcPr>
          <w:p>
            <w:pPr>
              <w:pStyle w:val="TableContents"/>
              <w:spacing w:before="0" w:after="283"/>
              <w:rPr>
                <w:sz w:val="4"/>
                <w:szCs w:val="4"/>
              </w:rPr>
            </w:pPr>
            <w:r>
              <w:rPr>
                <w:sz w:val="4"/>
                <w:szCs w:val="4"/>
              </w:rPr>
            </w:r>
          </w:p>
        </w:tc>
        <w:tc>
          <w:tcPr>
            <w:tcW w:w="1794" w:type="dxa"/>
            <w:gridSpan w:val="4"/>
            <w:tcBorders/>
            <w:shd w:fill="E5E5E5" w:val="clear"/>
            <w:vAlign w:val="center"/>
          </w:tcPr>
          <w:p>
            <w:pPr>
              <w:pStyle w:val="TableContents"/>
              <w:spacing w:before="0" w:after="283"/>
              <w:rPr>
                <w:sz w:val="4"/>
                <w:szCs w:val="4"/>
              </w:rPr>
            </w:pPr>
            <w:r>
              <w:rPr>
                <w:sz w:val="4"/>
                <w:szCs w:val="4"/>
              </w:rPr>
            </w:r>
          </w:p>
        </w:tc>
      </w:tr>
      <w:tr>
        <w:trPr/>
        <w:tc>
          <w:tcPr>
            <w:tcW w:w="4471" w:type="dxa"/>
            <w:tcBorders>
              <w:bottom w:val="single" w:sz="8" w:space="0" w:color="001C71"/>
            </w:tcBorders>
            <w:shd w:fill="E5E5E5" w:val="clear"/>
            <w:tcMar>
              <w:bottom w:w="40" w:type="dxa"/>
            </w:tcMar>
          </w:tcPr>
          <w:p>
            <w:pPr>
              <w:pStyle w:val="TableContents"/>
              <w:spacing w:before="0" w:after="0"/>
              <w:rPr>
                <w:rFonts w:ascii="arial" w:hAnsi="arial"/>
                <w:sz w:val="16"/>
              </w:rPr>
            </w:pPr>
            <w:r>
              <w:rPr>
                <w:rFonts w:ascii="arial" w:hAnsi="arial"/>
                <w:sz w:val="16"/>
              </w:rPr>
              <w:t>25th Percentile</w:t>
            </w:r>
          </w:p>
        </w:tc>
        <w:tc>
          <w:tcPr>
            <w:tcW w:w="25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40" w:type="dxa"/>
            </w:tcMar>
            <w:vAlign w:val="bottom"/>
          </w:tcPr>
          <w:p>
            <w:pPr>
              <w:pStyle w:val="TableContents"/>
              <w:spacing w:before="0" w:after="283"/>
              <w:rPr/>
            </w:pPr>
            <w:r>
              <w:rPr/>
              <w:t> </w:t>
            </w:r>
          </w:p>
        </w:tc>
        <w:tc>
          <w:tcPr>
            <w:tcW w:w="1262" w:type="dxa"/>
            <w:tcBorders>
              <w:bottom w:val="single" w:sz="8" w:space="0" w:color="001C71"/>
            </w:tcBorders>
            <w:shd w:fill="E5E5E5" w:val="clear"/>
            <w:tcMar>
              <w:bottom w:w="40" w:type="dxa"/>
            </w:tcMar>
            <w:vAlign w:val="bottom"/>
          </w:tcPr>
          <w:p>
            <w:pPr>
              <w:pStyle w:val="TableContents"/>
              <w:spacing w:before="0" w:after="283"/>
              <w:jc w:val="right"/>
              <w:rPr/>
            </w:pPr>
            <w:r>
              <w:rPr/>
              <w:t>$   9,267</w:t>
            </w:r>
          </w:p>
        </w:tc>
        <w:tc>
          <w:tcPr>
            <w:tcW w:w="359" w:type="dxa"/>
            <w:tcBorders>
              <w:bottom w:val="single" w:sz="8" w:space="0" w:color="001C71"/>
            </w:tcBorders>
            <w:shd w:fill="E5E5E5" w:val="clear"/>
            <w:tcMar>
              <w:bottom w:w="40" w:type="dxa"/>
            </w:tcMar>
            <w:vAlign w:val="bottom"/>
          </w:tcPr>
          <w:p>
            <w:pPr>
              <w:pStyle w:val="TableContents"/>
              <w:spacing w:before="0" w:after="283"/>
              <w:rPr/>
            </w:pPr>
            <w:r>
              <w:rPr/>
              <w:t> </w:t>
            </w:r>
          </w:p>
        </w:tc>
        <w:tc>
          <w:tcPr>
            <w:tcW w:w="25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5" w:type="dxa"/>
            <w:tcBorders>
              <w:bottom w:val="single" w:sz="8" w:space="0" w:color="001C71"/>
            </w:tcBorders>
            <w:shd w:fill="E5E5E5" w:val="clear"/>
            <w:tcMar>
              <w:bottom w:w="40" w:type="dxa"/>
            </w:tcMar>
            <w:vAlign w:val="bottom"/>
          </w:tcPr>
          <w:p>
            <w:pPr>
              <w:pStyle w:val="TableContents"/>
              <w:spacing w:before="0" w:after="283"/>
              <w:rPr/>
            </w:pPr>
            <w:r>
              <w:rPr/>
              <w:t> </w:t>
            </w:r>
          </w:p>
        </w:tc>
        <w:tc>
          <w:tcPr>
            <w:tcW w:w="1184" w:type="dxa"/>
            <w:tcBorders>
              <w:bottom w:val="single" w:sz="8" w:space="0" w:color="001C71"/>
            </w:tcBorders>
            <w:shd w:fill="E5E5E5" w:val="clear"/>
            <w:tcMar>
              <w:bottom w:w="40" w:type="dxa"/>
            </w:tcMar>
            <w:vAlign w:val="bottom"/>
          </w:tcPr>
          <w:p>
            <w:pPr>
              <w:pStyle w:val="TableContents"/>
              <w:spacing w:before="0" w:after="283"/>
              <w:jc w:val="right"/>
              <w:rPr/>
            </w:pPr>
            <w:r>
              <w:rPr/>
              <w:t> </w:t>
            </w:r>
            <w:r>
              <w:rPr/>
              <w:t>$      18</w:t>
            </w:r>
          </w:p>
        </w:tc>
        <w:tc>
          <w:tcPr>
            <w:tcW w:w="458" w:type="dxa"/>
            <w:tcBorders>
              <w:bottom w:val="single" w:sz="8" w:space="0" w:color="001C71"/>
            </w:tcBorders>
            <w:shd w:fill="E5E5E5" w:val="clear"/>
            <w:tcMar>
              <w:bottom w:w="40" w:type="dxa"/>
            </w:tcMar>
            <w:vAlign w:val="bottom"/>
          </w:tcPr>
          <w:p>
            <w:pPr>
              <w:pStyle w:val="TableContents"/>
              <w:spacing w:before="0" w:after="283"/>
              <w:rPr/>
            </w:pPr>
            <w:r>
              <w:rPr/>
              <w:t> </w:t>
            </w:r>
          </w:p>
        </w:tc>
        <w:tc>
          <w:tcPr>
            <w:tcW w:w="253" w:type="dxa"/>
            <w:tcBorders>
              <w:bottom w:val="single" w:sz="8" w:space="0" w:color="001C71"/>
            </w:tcBorders>
            <w:shd w:fill="E5E5E5" w:val="clear"/>
            <w:tcMar>
              <w:bottom w:w="28" w:type="dxa"/>
            </w:tcMar>
            <w:vAlign w:val="bottom"/>
          </w:tcPr>
          <w:p>
            <w:pPr>
              <w:pStyle w:val="TableContents"/>
              <w:spacing w:before="0" w:after="283"/>
              <w:rPr/>
            </w:pPr>
            <w:r>
              <w:rPr/>
              <w:t>  </w:t>
            </w:r>
          </w:p>
        </w:tc>
        <w:tc>
          <w:tcPr>
            <w:tcW w:w="76" w:type="dxa"/>
            <w:tcBorders>
              <w:bottom w:val="single" w:sz="8" w:space="0" w:color="001C71"/>
            </w:tcBorders>
            <w:shd w:fill="E5E5E5" w:val="clear"/>
            <w:tcMar>
              <w:bottom w:w="40" w:type="dxa"/>
            </w:tcMar>
            <w:vAlign w:val="bottom"/>
          </w:tcPr>
          <w:p>
            <w:pPr>
              <w:pStyle w:val="TableContents"/>
              <w:spacing w:before="0" w:after="283"/>
              <w:rPr/>
            </w:pPr>
            <w:r>
              <w:rPr/>
              <w:t> </w:t>
            </w:r>
          </w:p>
        </w:tc>
        <w:tc>
          <w:tcPr>
            <w:tcW w:w="1102" w:type="dxa"/>
            <w:tcBorders>
              <w:bottom w:val="single" w:sz="8" w:space="0" w:color="001C71"/>
            </w:tcBorders>
            <w:shd w:fill="E5E5E5" w:val="clear"/>
            <w:tcMar>
              <w:bottom w:w="40" w:type="dxa"/>
            </w:tcMar>
            <w:vAlign w:val="bottom"/>
          </w:tcPr>
          <w:p>
            <w:pPr>
              <w:pStyle w:val="TableContents"/>
              <w:spacing w:before="0" w:after="283"/>
              <w:jc w:val="right"/>
              <w:rPr/>
            </w:pPr>
            <w:r>
              <w:rPr/>
              <w:t>$   8,525</w:t>
            </w:r>
          </w:p>
        </w:tc>
        <w:tc>
          <w:tcPr>
            <w:tcW w:w="363" w:type="dxa"/>
            <w:tcBorders>
              <w:bottom w:val="single" w:sz="8" w:space="0" w:color="001C71"/>
            </w:tcBorders>
            <w:shd w:fill="E5E5E5" w:val="clear"/>
            <w:tcMar>
              <w:bottom w:w="40" w:type="dxa"/>
            </w:tcMar>
            <w:vAlign w:val="bottom"/>
          </w:tcPr>
          <w:p>
            <w:pPr>
              <w:pStyle w:val="TableContents"/>
              <w:spacing w:before="0" w:after="283"/>
              <w:rPr/>
            </w:pPr>
            <w:r>
              <w:rPr/>
              <w:t> </w:t>
            </w:r>
          </w:p>
        </w:tc>
      </w:tr>
    </w:tbl>
    <w:p>
      <w:pPr>
        <w:pStyle w:val="TextBody"/>
        <w:spacing w:before="80" w:after="0"/>
        <w:jc w:val="left"/>
        <w:rPr>
          <w:rFonts w:ascii="arial" w:hAnsi="arial"/>
          <w:i/>
          <w:sz w:val="14"/>
        </w:rPr>
      </w:pPr>
      <w:r>
        <w:rPr>
          <w:rFonts w:ascii="arial" w:hAnsi="arial"/>
          <w:i/>
          <w:sz w:val="14"/>
        </w:rPr>
        <w:t xml:space="preserve">Table 5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(1)</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Market capitalization used for benchmarking purposes is calculated using the closing price of the common stock on December 31, 2020 and the number of outstanding shares of common stock based on publicly reported information available as of December 31,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Earnings and revenue for the general industry peer group companies are for fiscal year 2020 unless otherwise noted in Appendix B to this proxy statement. </w:t>
            </w:r>
          </w:p>
        </w:tc>
      </w:tr>
    </w:tbl>
    <w:p>
      <w:pPr>
        <w:pStyle w:val="TextBody"/>
        <w:spacing w:before="280" w:after="0"/>
        <w:jc w:val="left"/>
        <w:rPr>
          <w:rFonts w:ascii="arial" w:hAnsi="arial"/>
          <w:b/>
          <w:color w:val="001C71"/>
          <w:sz w:val="24"/>
        </w:rPr>
      </w:pPr>
      <w:r>
        <w:rPr>
          <w:rFonts w:ascii="arial" w:hAnsi="arial"/>
          <w:b/>
          <w:color w:val="001C71"/>
          <w:sz w:val="24"/>
        </w:rPr>
        <w:t xml:space="preserve">Utilities Industry Benchmarking </w:t>
      </w:r>
    </w:p>
    <w:p>
      <w:pPr>
        <w:pStyle w:val="TextBody"/>
        <w:spacing w:before="120" w:after="0"/>
        <w:jc w:val="left"/>
        <w:rPr>
          <w:rFonts w:ascii="arial" w:hAnsi="arial"/>
          <w:sz w:val="16"/>
        </w:rPr>
      </w:pPr>
      <w:r>
        <w:rPr>
          <w:rFonts w:ascii="arial" w:hAnsi="arial"/>
          <w:sz w:val="16"/>
        </w:rPr>
        <w:t xml:space="preserve">The Compensation and Talent Development Committee also reviews pay and performance data in proxy statements and other public filings of energy and utility companies. This peer group is composed of the 26 companies that make up the S&amp;P 500 Utilities Index, excluding water companies. These companies are listed in Appendix C to this proxy statement and are referred to in this Compensation Discussion and Analysis as our utilities peer group or our S&amp;P 500 Utilities Index peers. We used the companies in the utilities peer group as comparators for the EPS growth and one of the two relative TSR components of the 2020 annual LTIP award. </w:t>
      </w:r>
    </w:p>
    <w:p>
      <w:pPr>
        <w:pStyle w:val="TextBody"/>
        <w:spacing w:before="160" w:after="0"/>
        <w:jc w:val="left"/>
        <w:rPr>
          <w:rFonts w:ascii="arial" w:hAnsi="arial"/>
          <w:sz w:val="16"/>
        </w:rPr>
      </w:pPr>
      <w:r>
        <w:rPr>
          <w:rFonts w:ascii="arial" w:hAnsi="arial"/>
          <w:sz w:val="16"/>
        </w:rPr>
        <w:t xml:space="preserve">Table 6 summarizes the market capitalization, earnings, and revenue of the utilities peer group compared to Sempra Energy.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02"/>
        <w:gridCol w:w="254"/>
        <w:gridCol w:w="86"/>
        <w:gridCol w:w="1261"/>
        <w:gridCol w:w="359"/>
        <w:gridCol w:w="254"/>
        <w:gridCol w:w="91"/>
        <w:gridCol w:w="1178"/>
        <w:gridCol w:w="414"/>
        <w:gridCol w:w="254"/>
        <w:gridCol w:w="76"/>
        <w:gridCol w:w="1100"/>
        <w:gridCol w:w="376"/>
      </w:tblGrid>
      <w:tr>
        <w:trPr/>
        <w:tc>
          <w:tcPr>
            <w:tcW w:w="4502"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4502" w:type="dxa"/>
            <w:tcBorders/>
            <w:shd w:fill="001C71" w:val="clear"/>
            <w:vAlign w:val="center"/>
          </w:tcPr>
          <w:p>
            <w:pPr>
              <w:pStyle w:val="TableContents"/>
              <w:spacing w:before="0" w:after="283"/>
              <w:rPr>
                <w:sz w:val="4"/>
                <w:szCs w:val="4"/>
              </w:rPr>
            </w:pPr>
            <w:r>
              <w:rPr>
                <w:sz w:val="4"/>
                <w:szCs w:val="4"/>
              </w:rPr>
            </w:r>
          </w:p>
        </w:tc>
        <w:tc>
          <w:tcPr>
            <w:tcW w:w="1960" w:type="dxa"/>
            <w:gridSpan w:val="4"/>
            <w:tcBorders/>
            <w:shd w:fill="001C71" w:val="clear"/>
            <w:vAlign w:val="center"/>
          </w:tcPr>
          <w:p>
            <w:pPr>
              <w:pStyle w:val="TableContents"/>
              <w:spacing w:before="0" w:after="283"/>
              <w:rPr>
                <w:sz w:val="4"/>
                <w:szCs w:val="4"/>
              </w:rPr>
            </w:pPr>
            <w:r>
              <w:rPr>
                <w:sz w:val="4"/>
                <w:szCs w:val="4"/>
              </w:rPr>
            </w:r>
          </w:p>
        </w:tc>
        <w:tc>
          <w:tcPr>
            <w:tcW w:w="1937" w:type="dxa"/>
            <w:gridSpan w:val="4"/>
            <w:tcBorders/>
            <w:shd w:fill="001C71" w:val="clear"/>
            <w:vAlign w:val="center"/>
          </w:tcPr>
          <w:p>
            <w:pPr>
              <w:pStyle w:val="TableContents"/>
              <w:spacing w:before="0" w:after="283"/>
              <w:rPr>
                <w:sz w:val="4"/>
                <w:szCs w:val="4"/>
              </w:rPr>
            </w:pPr>
            <w:r>
              <w:rPr>
                <w:sz w:val="4"/>
                <w:szCs w:val="4"/>
              </w:rPr>
            </w:r>
          </w:p>
        </w:tc>
        <w:tc>
          <w:tcPr>
            <w:tcW w:w="1806" w:type="dxa"/>
            <w:gridSpan w:val="4"/>
            <w:tcBorders/>
            <w:shd w:fill="001C71" w:val="clear"/>
            <w:vAlign w:val="center"/>
          </w:tcPr>
          <w:p>
            <w:pPr>
              <w:pStyle w:val="TableContents"/>
              <w:spacing w:before="0" w:after="283"/>
              <w:rPr>
                <w:sz w:val="4"/>
                <w:szCs w:val="4"/>
              </w:rPr>
            </w:pPr>
            <w:r>
              <w:rPr>
                <w:sz w:val="4"/>
                <w:szCs w:val="4"/>
              </w:rPr>
            </w:r>
          </w:p>
        </w:tc>
      </w:tr>
      <w:tr>
        <w:trPr/>
        <w:tc>
          <w:tcPr>
            <w:tcW w:w="4502"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(Dollars in Millions)</w:t>
            </w:r>
          </w:p>
        </w:tc>
        <w:tc>
          <w:tcPr>
            <w:tcW w:w="254" w:type="dxa"/>
            <w:tcBorders/>
            <w:shd w:fill="001C71" w:val="clear"/>
            <w:vAlign w:val="bottom"/>
          </w:tcPr>
          <w:p>
            <w:pPr>
              <w:pStyle w:val="TableContents"/>
              <w:spacing w:before="0" w:after="283"/>
              <w:rPr/>
            </w:pPr>
            <w:r>
              <w:rPr/>
              <w:t>  </w:t>
            </w:r>
          </w:p>
        </w:tc>
        <w:tc>
          <w:tcPr>
            <w:tcW w:w="1347"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Market</w:t>
            </w:r>
          </w:p>
          <w:p>
            <w:pPr>
              <w:pStyle w:val="TableContents"/>
              <w:spacing w:before="0" w:after="20"/>
              <w:jc w:val="center"/>
              <w:rPr>
                <w:rFonts w:ascii="arial" w:hAnsi="arial"/>
                <w:b/>
                <w:color w:val="FFFFFF"/>
                <w:sz w:val="16"/>
              </w:rPr>
            </w:pPr>
            <w:r>
              <w:rPr>
                <w:rFonts w:ascii="arial" w:hAnsi="arial"/>
                <w:b/>
                <w:color w:val="FFFFFF"/>
                <w:sz w:val="16"/>
              </w:rPr>
              <w:t>Capitalization(1)</w:t>
            </w:r>
          </w:p>
        </w:tc>
        <w:tc>
          <w:tcPr>
            <w:tcW w:w="359" w:type="dxa"/>
            <w:tcBorders/>
            <w:shd w:fill="001C71" w:val="clear"/>
            <w:vAlign w:val="bottom"/>
          </w:tcPr>
          <w:p>
            <w:pPr>
              <w:pStyle w:val="TableContents"/>
              <w:spacing w:before="0" w:after="283"/>
              <w:rPr/>
            </w:pPr>
            <w:r>
              <w:rPr/>
              <w:t> </w:t>
            </w:r>
          </w:p>
        </w:tc>
        <w:tc>
          <w:tcPr>
            <w:tcW w:w="254" w:type="dxa"/>
            <w:tcBorders/>
            <w:shd w:fill="001C71" w:val="clear"/>
            <w:vAlign w:val="bottom"/>
          </w:tcPr>
          <w:p>
            <w:pPr>
              <w:pStyle w:val="TableContents"/>
              <w:spacing w:before="0" w:after="283"/>
              <w:rPr/>
            </w:pPr>
            <w:r>
              <w:rPr/>
              <w:t>  </w:t>
            </w:r>
          </w:p>
        </w:tc>
        <w:tc>
          <w:tcPr>
            <w:tcW w:w="1269" w:type="dxa"/>
            <w:gridSpan w:val="2"/>
            <w:tcBorders/>
            <w:shd w:fill="001C71" w:val="clear"/>
            <w:vAlign w:val="bottom"/>
          </w:tcPr>
          <w:p>
            <w:pPr>
              <w:pStyle w:val="TableContents"/>
              <w:spacing w:before="0" w:after="283"/>
              <w:jc w:val="center"/>
              <w:rPr>
                <w:b/>
                <w:color w:val="FFFFFF"/>
              </w:rPr>
            </w:pPr>
            <w:r>
              <w:rPr>
                <w:b/>
                <w:color w:val="FFFFFF"/>
              </w:rPr>
              <w:t>Earnings(2)</w:t>
            </w:r>
          </w:p>
        </w:tc>
        <w:tc>
          <w:tcPr>
            <w:tcW w:w="414" w:type="dxa"/>
            <w:tcBorders/>
            <w:shd w:fill="001C71" w:val="clear"/>
            <w:vAlign w:val="bottom"/>
          </w:tcPr>
          <w:p>
            <w:pPr>
              <w:pStyle w:val="TableContents"/>
              <w:spacing w:before="0" w:after="283"/>
              <w:rPr/>
            </w:pPr>
            <w:r>
              <w:rPr/>
              <w:t> </w:t>
            </w:r>
          </w:p>
        </w:tc>
        <w:tc>
          <w:tcPr>
            <w:tcW w:w="254" w:type="dxa"/>
            <w:tcBorders/>
            <w:shd w:fill="001C71" w:val="clear"/>
            <w:vAlign w:val="bottom"/>
          </w:tcPr>
          <w:p>
            <w:pPr>
              <w:pStyle w:val="TableContents"/>
              <w:spacing w:before="0" w:after="283"/>
              <w:rPr/>
            </w:pPr>
            <w:r>
              <w:rPr/>
              <w:t>  </w:t>
            </w:r>
          </w:p>
        </w:tc>
        <w:tc>
          <w:tcPr>
            <w:tcW w:w="1176" w:type="dxa"/>
            <w:gridSpan w:val="2"/>
            <w:tcBorders/>
            <w:shd w:fill="001C71" w:val="clear"/>
            <w:vAlign w:val="bottom"/>
          </w:tcPr>
          <w:p>
            <w:pPr>
              <w:pStyle w:val="TableContents"/>
              <w:spacing w:before="0" w:after="283"/>
              <w:jc w:val="center"/>
              <w:rPr>
                <w:b/>
                <w:color w:val="FFFFFF"/>
              </w:rPr>
            </w:pPr>
            <w:r>
              <w:rPr>
                <w:b/>
                <w:color w:val="FFFFFF"/>
              </w:rPr>
              <w:t>Revenue(2)</w:t>
            </w:r>
          </w:p>
        </w:tc>
        <w:tc>
          <w:tcPr>
            <w:tcW w:w="376" w:type="dxa"/>
            <w:tcBorders/>
            <w:shd w:fill="001C71" w:val="clear"/>
            <w:vAlign w:val="bottom"/>
          </w:tcPr>
          <w:p>
            <w:pPr>
              <w:pStyle w:val="TableContents"/>
              <w:spacing w:before="0" w:after="283"/>
              <w:rPr/>
            </w:pPr>
            <w:r>
              <w:rPr/>
              <w:t> </w:t>
            </w:r>
          </w:p>
        </w:tc>
      </w:tr>
      <w:tr>
        <w:trPr>
          <w:trHeight w:val="60" w:hRule="atLeast"/>
        </w:trPr>
        <w:tc>
          <w:tcPr>
            <w:tcW w:w="4502" w:type="dxa"/>
            <w:tcBorders/>
            <w:shd w:fill="E5E5E5" w:val="clear"/>
            <w:vAlign w:val="center"/>
          </w:tcPr>
          <w:p>
            <w:pPr>
              <w:pStyle w:val="TableContents"/>
              <w:spacing w:before="0" w:after="283"/>
              <w:rPr>
                <w:sz w:val="4"/>
                <w:szCs w:val="4"/>
              </w:rPr>
            </w:pPr>
            <w:r>
              <w:rPr>
                <w:sz w:val="4"/>
                <w:szCs w:val="4"/>
              </w:rPr>
            </w:r>
          </w:p>
        </w:tc>
        <w:tc>
          <w:tcPr>
            <w:tcW w:w="1960" w:type="dxa"/>
            <w:gridSpan w:val="4"/>
            <w:tcBorders/>
            <w:shd w:fill="E5E5E5" w:val="clear"/>
            <w:vAlign w:val="center"/>
          </w:tcPr>
          <w:p>
            <w:pPr>
              <w:pStyle w:val="TableContents"/>
              <w:spacing w:before="0" w:after="283"/>
              <w:rPr>
                <w:sz w:val="4"/>
                <w:szCs w:val="4"/>
              </w:rPr>
            </w:pPr>
            <w:r>
              <w:rPr>
                <w:sz w:val="4"/>
                <w:szCs w:val="4"/>
              </w:rPr>
            </w:r>
          </w:p>
        </w:tc>
        <w:tc>
          <w:tcPr>
            <w:tcW w:w="1937" w:type="dxa"/>
            <w:gridSpan w:val="4"/>
            <w:tcBorders/>
            <w:shd w:fill="E5E5E5" w:val="clear"/>
            <w:vAlign w:val="center"/>
          </w:tcPr>
          <w:p>
            <w:pPr>
              <w:pStyle w:val="TableContents"/>
              <w:spacing w:before="0" w:after="283"/>
              <w:rPr>
                <w:sz w:val="4"/>
                <w:szCs w:val="4"/>
              </w:rPr>
            </w:pPr>
            <w:r>
              <w:rPr>
                <w:sz w:val="4"/>
                <w:szCs w:val="4"/>
              </w:rPr>
            </w:r>
          </w:p>
        </w:tc>
        <w:tc>
          <w:tcPr>
            <w:tcW w:w="1806" w:type="dxa"/>
            <w:gridSpan w:val="4"/>
            <w:tcBorders/>
            <w:shd w:fill="E5E5E5" w:val="clear"/>
            <w:vAlign w:val="center"/>
          </w:tcPr>
          <w:p>
            <w:pPr>
              <w:pStyle w:val="TableContents"/>
              <w:spacing w:before="0" w:after="283"/>
              <w:rPr>
                <w:sz w:val="4"/>
                <w:szCs w:val="4"/>
              </w:rPr>
            </w:pPr>
            <w:r>
              <w:rPr>
                <w:sz w:val="4"/>
                <w:szCs w:val="4"/>
              </w:rPr>
            </w:r>
          </w:p>
        </w:tc>
      </w:tr>
      <w:tr>
        <w:trPr/>
        <w:tc>
          <w:tcPr>
            <w:tcW w:w="4502" w:type="dxa"/>
            <w:tcBorders/>
            <w:shd w:fill="E5E5E5" w:val="clear"/>
          </w:tcPr>
          <w:p>
            <w:pPr>
              <w:pStyle w:val="TableContents"/>
              <w:spacing w:before="0" w:after="0"/>
              <w:rPr>
                <w:rFonts w:ascii="arial" w:hAnsi="arial"/>
                <w:sz w:val="16"/>
              </w:rPr>
            </w:pPr>
            <w:r>
              <w:rPr>
                <w:rFonts w:ascii="arial" w:hAnsi="arial"/>
                <w:sz w:val="16"/>
              </w:rPr>
              <w:t>Sempra Energy</w:t>
            </w:r>
          </w:p>
        </w:tc>
        <w:tc>
          <w:tcPr>
            <w:tcW w:w="254"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261" w:type="dxa"/>
            <w:tcBorders/>
            <w:shd w:fill="E5E5E5" w:val="clear"/>
            <w:vAlign w:val="bottom"/>
          </w:tcPr>
          <w:p>
            <w:pPr>
              <w:pStyle w:val="TableContents"/>
              <w:spacing w:before="0" w:after="283"/>
              <w:jc w:val="right"/>
              <w:rPr/>
            </w:pPr>
            <w:r>
              <w:rPr/>
              <w:t>$ 36,754</w:t>
            </w:r>
          </w:p>
        </w:tc>
        <w:tc>
          <w:tcPr>
            <w:tcW w:w="359" w:type="dxa"/>
            <w:tcBorders/>
            <w:shd w:fill="E5E5E5" w:val="clear"/>
            <w:vAlign w:val="bottom"/>
          </w:tcPr>
          <w:p>
            <w:pPr>
              <w:pStyle w:val="TableContents"/>
              <w:spacing w:before="0" w:after="283"/>
              <w:rPr/>
            </w:pPr>
            <w:r>
              <w:rPr/>
              <w:t> </w:t>
            </w:r>
          </w:p>
        </w:tc>
        <w:tc>
          <w:tcPr>
            <w:tcW w:w="254"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178" w:type="dxa"/>
            <w:tcBorders/>
            <w:shd w:fill="E5E5E5" w:val="clear"/>
            <w:vAlign w:val="bottom"/>
          </w:tcPr>
          <w:p>
            <w:pPr>
              <w:pStyle w:val="TableContents"/>
              <w:spacing w:before="0" w:after="283"/>
              <w:jc w:val="right"/>
              <w:rPr/>
            </w:pPr>
            <w:r>
              <w:rPr/>
              <w:t>$ 3,764</w:t>
            </w:r>
          </w:p>
        </w:tc>
        <w:tc>
          <w:tcPr>
            <w:tcW w:w="414" w:type="dxa"/>
            <w:tcBorders/>
            <w:shd w:fill="E5E5E5" w:val="clear"/>
            <w:vAlign w:val="bottom"/>
          </w:tcPr>
          <w:p>
            <w:pPr>
              <w:pStyle w:val="TableContents"/>
              <w:spacing w:before="0" w:after="283"/>
              <w:rPr/>
            </w:pPr>
            <w:r>
              <w:rPr/>
              <w:t> </w:t>
            </w:r>
          </w:p>
        </w:tc>
        <w:tc>
          <w:tcPr>
            <w:tcW w:w="254" w:type="dxa"/>
            <w:tcBorders/>
            <w:shd w:fill="E5E5E5" w:val="clear"/>
            <w:vAlign w:val="bottom"/>
          </w:tcPr>
          <w:p>
            <w:pPr>
              <w:pStyle w:val="TableContents"/>
              <w:spacing w:before="0" w:after="283"/>
              <w:rPr/>
            </w:pPr>
            <w:r>
              <w:rPr/>
              <w:t>  </w:t>
            </w:r>
          </w:p>
        </w:tc>
        <w:tc>
          <w:tcPr>
            <w:tcW w:w="76"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$ 11,370</w:t>
            </w:r>
          </w:p>
        </w:tc>
        <w:tc>
          <w:tcPr>
            <w:tcW w:w="376" w:type="dxa"/>
            <w:tcBorders/>
            <w:shd w:fill="E5E5E5" w:val="clear"/>
            <w:vAlign w:val="bottom"/>
          </w:tcPr>
          <w:p>
            <w:pPr>
              <w:pStyle w:val="TableContents"/>
              <w:spacing w:before="0" w:after="283"/>
              <w:rPr/>
            </w:pPr>
            <w:r>
              <w:rPr/>
              <w:t> </w:t>
            </w:r>
          </w:p>
        </w:tc>
      </w:tr>
      <w:tr>
        <w:trPr>
          <w:trHeight w:val="60" w:hRule="atLeast"/>
        </w:trPr>
        <w:tc>
          <w:tcPr>
            <w:tcW w:w="4502" w:type="dxa"/>
            <w:tcBorders/>
            <w:shd w:fill="auto" w:val="clear"/>
            <w:vAlign w:val="center"/>
          </w:tcPr>
          <w:p>
            <w:pPr>
              <w:pStyle w:val="TableContents"/>
              <w:spacing w:before="0" w:after="283"/>
              <w:rPr>
                <w:sz w:val="4"/>
                <w:szCs w:val="4"/>
              </w:rPr>
            </w:pPr>
            <w:r>
              <w:rPr>
                <w:sz w:val="4"/>
                <w:szCs w:val="4"/>
              </w:rPr>
            </w:r>
          </w:p>
        </w:tc>
        <w:tc>
          <w:tcPr>
            <w:tcW w:w="1960" w:type="dxa"/>
            <w:gridSpan w:val="4"/>
            <w:tcBorders/>
            <w:shd w:fill="auto" w:val="clear"/>
            <w:vAlign w:val="center"/>
          </w:tcPr>
          <w:p>
            <w:pPr>
              <w:pStyle w:val="TableContents"/>
              <w:spacing w:before="0" w:after="283"/>
              <w:rPr>
                <w:sz w:val="4"/>
                <w:szCs w:val="4"/>
              </w:rPr>
            </w:pPr>
            <w:r>
              <w:rPr>
                <w:sz w:val="4"/>
                <w:szCs w:val="4"/>
              </w:rPr>
            </w:r>
          </w:p>
        </w:tc>
        <w:tc>
          <w:tcPr>
            <w:tcW w:w="1937" w:type="dxa"/>
            <w:gridSpan w:val="4"/>
            <w:tcBorders/>
            <w:shd w:fill="auto" w:val="clear"/>
            <w:vAlign w:val="center"/>
          </w:tcPr>
          <w:p>
            <w:pPr>
              <w:pStyle w:val="TableContents"/>
              <w:spacing w:before="0" w:after="283"/>
              <w:rPr>
                <w:sz w:val="4"/>
                <w:szCs w:val="4"/>
              </w:rPr>
            </w:pPr>
            <w:r>
              <w:rPr>
                <w:sz w:val="4"/>
                <w:szCs w:val="4"/>
              </w:rPr>
            </w:r>
          </w:p>
        </w:tc>
        <w:tc>
          <w:tcPr>
            <w:tcW w:w="1806" w:type="dxa"/>
            <w:gridSpan w:val="4"/>
            <w:tcBorders/>
            <w:shd w:fill="auto" w:val="clear"/>
            <w:vAlign w:val="center"/>
          </w:tcPr>
          <w:p>
            <w:pPr>
              <w:pStyle w:val="TableContents"/>
              <w:spacing w:before="0" w:after="283"/>
              <w:rPr>
                <w:sz w:val="4"/>
                <w:szCs w:val="4"/>
              </w:rPr>
            </w:pPr>
            <w:r>
              <w:rPr>
                <w:sz w:val="4"/>
                <w:szCs w:val="4"/>
              </w:rPr>
            </w:r>
          </w:p>
        </w:tc>
      </w:tr>
      <w:tr>
        <w:trPr/>
        <w:tc>
          <w:tcPr>
            <w:tcW w:w="4502" w:type="dxa"/>
            <w:tcBorders/>
            <w:shd w:fill="auto" w:val="clear"/>
          </w:tcPr>
          <w:p>
            <w:pPr>
              <w:pStyle w:val="TableContents"/>
              <w:spacing w:before="0" w:after="0"/>
              <w:rPr>
                <w:rFonts w:ascii="arial" w:hAnsi="arial"/>
                <w:sz w:val="16"/>
              </w:rPr>
            </w:pPr>
            <w:r>
              <w:rPr>
                <w:rFonts w:ascii="arial" w:hAnsi="arial"/>
                <w:sz w:val="16"/>
              </w:rPr>
              <w:t>Sempra Percentile Rank</w:t>
            </w:r>
          </w:p>
        </w:tc>
        <w:tc>
          <w:tcPr>
            <w:tcW w:w="25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77</w:t>
            </w:r>
          </w:p>
        </w:tc>
        <w:tc>
          <w:tcPr>
            <w:tcW w:w="359" w:type="dxa"/>
            <w:tcBorders/>
            <w:shd w:fill="auto" w:val="clear"/>
            <w:vAlign w:val="bottom"/>
          </w:tcPr>
          <w:p>
            <w:pPr>
              <w:pStyle w:val="TableContents"/>
              <w:spacing w:before="0" w:after="283"/>
              <w:rPr/>
            </w:pPr>
            <w:r>
              <w:rPr/>
              <w:t>th </w:t>
            </w:r>
          </w:p>
        </w:tc>
        <w:tc>
          <w:tcPr>
            <w:tcW w:w="25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pPr>
            <w:r>
              <w:rPr/>
              <w:t>100</w:t>
            </w:r>
          </w:p>
        </w:tc>
        <w:tc>
          <w:tcPr>
            <w:tcW w:w="414" w:type="dxa"/>
            <w:tcBorders/>
            <w:shd w:fill="auto" w:val="clear"/>
            <w:vAlign w:val="bottom"/>
          </w:tcPr>
          <w:p>
            <w:pPr>
              <w:pStyle w:val="TableContents"/>
              <w:spacing w:before="0" w:after="283"/>
              <w:rPr/>
            </w:pPr>
            <w:r>
              <w:rPr/>
              <w:t>th </w:t>
            </w:r>
          </w:p>
        </w:tc>
        <w:tc>
          <w:tcPr>
            <w:tcW w:w="2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63</w:t>
            </w:r>
          </w:p>
        </w:tc>
        <w:tc>
          <w:tcPr>
            <w:tcW w:w="376" w:type="dxa"/>
            <w:tcBorders/>
            <w:shd w:fill="auto" w:val="clear"/>
            <w:vAlign w:val="bottom"/>
          </w:tcPr>
          <w:p>
            <w:pPr>
              <w:pStyle w:val="TableContents"/>
              <w:spacing w:before="0" w:after="283"/>
              <w:rPr/>
            </w:pPr>
            <w:r>
              <w:rPr/>
              <w:t>rd </w:t>
            </w:r>
          </w:p>
        </w:tc>
      </w:tr>
      <w:tr>
        <w:trPr>
          <w:trHeight w:val="60" w:hRule="atLeast"/>
        </w:trPr>
        <w:tc>
          <w:tcPr>
            <w:tcW w:w="4502" w:type="dxa"/>
            <w:tcBorders/>
            <w:shd w:fill="E5E5E5" w:val="clear"/>
            <w:vAlign w:val="center"/>
          </w:tcPr>
          <w:p>
            <w:pPr>
              <w:pStyle w:val="TableContents"/>
              <w:spacing w:before="0" w:after="283"/>
              <w:rPr>
                <w:sz w:val="4"/>
                <w:szCs w:val="4"/>
              </w:rPr>
            </w:pPr>
            <w:r>
              <w:rPr>
                <w:sz w:val="4"/>
                <w:szCs w:val="4"/>
              </w:rPr>
            </w:r>
          </w:p>
        </w:tc>
        <w:tc>
          <w:tcPr>
            <w:tcW w:w="1960" w:type="dxa"/>
            <w:gridSpan w:val="4"/>
            <w:tcBorders/>
            <w:shd w:fill="E5E5E5" w:val="clear"/>
            <w:vAlign w:val="center"/>
          </w:tcPr>
          <w:p>
            <w:pPr>
              <w:pStyle w:val="TableContents"/>
              <w:spacing w:before="0" w:after="283"/>
              <w:rPr>
                <w:sz w:val="4"/>
                <w:szCs w:val="4"/>
              </w:rPr>
            </w:pPr>
            <w:r>
              <w:rPr>
                <w:sz w:val="4"/>
                <w:szCs w:val="4"/>
              </w:rPr>
            </w:r>
          </w:p>
        </w:tc>
        <w:tc>
          <w:tcPr>
            <w:tcW w:w="1937" w:type="dxa"/>
            <w:gridSpan w:val="4"/>
            <w:tcBorders/>
            <w:shd w:fill="E5E5E5" w:val="clear"/>
            <w:vAlign w:val="center"/>
          </w:tcPr>
          <w:p>
            <w:pPr>
              <w:pStyle w:val="TableContents"/>
              <w:spacing w:before="0" w:after="283"/>
              <w:rPr>
                <w:sz w:val="4"/>
                <w:szCs w:val="4"/>
              </w:rPr>
            </w:pPr>
            <w:r>
              <w:rPr>
                <w:sz w:val="4"/>
                <w:szCs w:val="4"/>
              </w:rPr>
            </w:r>
          </w:p>
        </w:tc>
        <w:tc>
          <w:tcPr>
            <w:tcW w:w="1806" w:type="dxa"/>
            <w:gridSpan w:val="4"/>
            <w:tcBorders/>
            <w:shd w:fill="E5E5E5" w:val="clear"/>
            <w:vAlign w:val="center"/>
          </w:tcPr>
          <w:p>
            <w:pPr>
              <w:pStyle w:val="TableContents"/>
              <w:spacing w:before="0" w:after="283"/>
              <w:rPr>
                <w:sz w:val="4"/>
                <w:szCs w:val="4"/>
              </w:rPr>
            </w:pPr>
            <w:r>
              <w:rPr>
                <w:sz w:val="4"/>
                <w:szCs w:val="4"/>
              </w:rPr>
            </w:r>
          </w:p>
        </w:tc>
      </w:tr>
      <w:tr>
        <w:trPr/>
        <w:tc>
          <w:tcPr>
            <w:tcW w:w="4502" w:type="dxa"/>
            <w:tcBorders/>
            <w:shd w:fill="E5E5E5" w:val="clear"/>
          </w:tcPr>
          <w:p>
            <w:pPr>
              <w:pStyle w:val="TableContents"/>
              <w:spacing w:before="0" w:after="0"/>
              <w:rPr>
                <w:rFonts w:ascii="arial" w:hAnsi="arial"/>
                <w:sz w:val="16"/>
              </w:rPr>
            </w:pPr>
            <w:r>
              <w:rPr>
                <w:rFonts w:ascii="arial" w:hAnsi="arial"/>
                <w:sz w:val="16"/>
              </w:rPr>
              <w:t>75th Percentile</w:t>
            </w:r>
          </w:p>
        </w:tc>
        <w:tc>
          <w:tcPr>
            <w:tcW w:w="254"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261" w:type="dxa"/>
            <w:tcBorders/>
            <w:shd w:fill="E5E5E5" w:val="clear"/>
            <w:vAlign w:val="bottom"/>
          </w:tcPr>
          <w:p>
            <w:pPr>
              <w:pStyle w:val="TableContents"/>
              <w:spacing w:before="0" w:after="283"/>
              <w:jc w:val="right"/>
              <w:rPr/>
            </w:pPr>
            <w:r>
              <w:rPr/>
              <w:t>$ 34,281</w:t>
            </w:r>
          </w:p>
        </w:tc>
        <w:tc>
          <w:tcPr>
            <w:tcW w:w="359" w:type="dxa"/>
            <w:tcBorders/>
            <w:shd w:fill="E5E5E5" w:val="clear"/>
            <w:vAlign w:val="bottom"/>
          </w:tcPr>
          <w:p>
            <w:pPr>
              <w:pStyle w:val="TableContents"/>
              <w:spacing w:before="0" w:after="283"/>
              <w:rPr/>
            </w:pPr>
            <w:r>
              <w:rPr/>
              <w:t> </w:t>
            </w:r>
          </w:p>
        </w:tc>
        <w:tc>
          <w:tcPr>
            <w:tcW w:w="254"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178" w:type="dxa"/>
            <w:tcBorders/>
            <w:shd w:fill="E5E5E5" w:val="clear"/>
            <w:vAlign w:val="bottom"/>
          </w:tcPr>
          <w:p>
            <w:pPr>
              <w:pStyle w:val="TableContents"/>
              <w:spacing w:before="0" w:after="283"/>
              <w:jc w:val="right"/>
              <w:rPr/>
            </w:pPr>
            <w:r>
              <w:rPr/>
              <w:t>$ 1,449</w:t>
            </w:r>
          </w:p>
        </w:tc>
        <w:tc>
          <w:tcPr>
            <w:tcW w:w="414" w:type="dxa"/>
            <w:tcBorders/>
            <w:shd w:fill="E5E5E5" w:val="clear"/>
            <w:vAlign w:val="bottom"/>
          </w:tcPr>
          <w:p>
            <w:pPr>
              <w:pStyle w:val="TableContents"/>
              <w:spacing w:before="0" w:after="283"/>
              <w:rPr/>
            </w:pPr>
            <w:r>
              <w:rPr/>
              <w:t> </w:t>
            </w:r>
          </w:p>
        </w:tc>
        <w:tc>
          <w:tcPr>
            <w:tcW w:w="254" w:type="dxa"/>
            <w:tcBorders/>
            <w:shd w:fill="E5E5E5" w:val="clear"/>
            <w:vAlign w:val="bottom"/>
          </w:tcPr>
          <w:p>
            <w:pPr>
              <w:pStyle w:val="TableContents"/>
              <w:spacing w:before="0" w:after="283"/>
              <w:rPr/>
            </w:pPr>
            <w:r>
              <w:rPr/>
              <w:t>  </w:t>
            </w:r>
          </w:p>
        </w:tc>
        <w:tc>
          <w:tcPr>
            <w:tcW w:w="76"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$ 13,245</w:t>
            </w:r>
          </w:p>
        </w:tc>
        <w:tc>
          <w:tcPr>
            <w:tcW w:w="376" w:type="dxa"/>
            <w:tcBorders/>
            <w:shd w:fill="E5E5E5" w:val="clear"/>
            <w:vAlign w:val="bottom"/>
          </w:tcPr>
          <w:p>
            <w:pPr>
              <w:pStyle w:val="TableContents"/>
              <w:spacing w:before="0" w:after="283"/>
              <w:rPr/>
            </w:pPr>
            <w:r>
              <w:rPr/>
              <w:t> </w:t>
            </w:r>
          </w:p>
        </w:tc>
      </w:tr>
      <w:tr>
        <w:trPr>
          <w:trHeight w:val="60" w:hRule="atLeast"/>
        </w:trPr>
        <w:tc>
          <w:tcPr>
            <w:tcW w:w="4502" w:type="dxa"/>
            <w:tcBorders/>
            <w:shd w:fill="auto" w:val="clear"/>
            <w:vAlign w:val="center"/>
          </w:tcPr>
          <w:p>
            <w:pPr>
              <w:pStyle w:val="TableContents"/>
              <w:spacing w:before="0" w:after="283"/>
              <w:rPr>
                <w:sz w:val="4"/>
                <w:szCs w:val="4"/>
              </w:rPr>
            </w:pPr>
            <w:r>
              <w:rPr>
                <w:sz w:val="4"/>
                <w:szCs w:val="4"/>
              </w:rPr>
            </w:r>
          </w:p>
        </w:tc>
        <w:tc>
          <w:tcPr>
            <w:tcW w:w="1960" w:type="dxa"/>
            <w:gridSpan w:val="4"/>
            <w:tcBorders/>
            <w:shd w:fill="auto" w:val="clear"/>
            <w:vAlign w:val="center"/>
          </w:tcPr>
          <w:p>
            <w:pPr>
              <w:pStyle w:val="TableContents"/>
              <w:spacing w:before="0" w:after="283"/>
              <w:rPr>
                <w:sz w:val="4"/>
                <w:szCs w:val="4"/>
              </w:rPr>
            </w:pPr>
            <w:r>
              <w:rPr>
                <w:sz w:val="4"/>
                <w:szCs w:val="4"/>
              </w:rPr>
            </w:r>
          </w:p>
        </w:tc>
        <w:tc>
          <w:tcPr>
            <w:tcW w:w="1937" w:type="dxa"/>
            <w:gridSpan w:val="4"/>
            <w:tcBorders/>
            <w:shd w:fill="auto" w:val="clear"/>
            <w:vAlign w:val="center"/>
          </w:tcPr>
          <w:p>
            <w:pPr>
              <w:pStyle w:val="TableContents"/>
              <w:spacing w:before="0" w:after="283"/>
              <w:rPr>
                <w:sz w:val="4"/>
                <w:szCs w:val="4"/>
              </w:rPr>
            </w:pPr>
            <w:r>
              <w:rPr>
                <w:sz w:val="4"/>
                <w:szCs w:val="4"/>
              </w:rPr>
            </w:r>
          </w:p>
        </w:tc>
        <w:tc>
          <w:tcPr>
            <w:tcW w:w="1806" w:type="dxa"/>
            <w:gridSpan w:val="4"/>
            <w:tcBorders/>
            <w:shd w:fill="auto" w:val="clear"/>
            <w:vAlign w:val="center"/>
          </w:tcPr>
          <w:p>
            <w:pPr>
              <w:pStyle w:val="TableContents"/>
              <w:spacing w:before="0" w:after="283"/>
              <w:rPr>
                <w:sz w:val="4"/>
                <w:szCs w:val="4"/>
              </w:rPr>
            </w:pPr>
            <w:r>
              <w:rPr>
                <w:sz w:val="4"/>
                <w:szCs w:val="4"/>
              </w:rPr>
            </w:r>
          </w:p>
        </w:tc>
      </w:tr>
      <w:tr>
        <w:trPr/>
        <w:tc>
          <w:tcPr>
            <w:tcW w:w="4502" w:type="dxa"/>
            <w:tcBorders/>
            <w:shd w:fill="auto" w:val="clear"/>
          </w:tcPr>
          <w:p>
            <w:pPr>
              <w:pStyle w:val="TableContents"/>
              <w:spacing w:before="0" w:after="0"/>
              <w:rPr>
                <w:rFonts w:ascii="arial" w:hAnsi="arial"/>
                <w:sz w:val="16"/>
              </w:rPr>
            </w:pPr>
            <w:r>
              <w:rPr>
                <w:rFonts w:ascii="arial" w:hAnsi="arial"/>
                <w:sz w:val="16"/>
              </w:rPr>
              <w:t>Median</w:t>
            </w:r>
          </w:p>
        </w:tc>
        <w:tc>
          <w:tcPr>
            <w:tcW w:w="25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$ 22,591</w:t>
            </w:r>
          </w:p>
        </w:tc>
        <w:tc>
          <w:tcPr>
            <w:tcW w:w="35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pPr>
            <w:r>
              <w:rPr/>
              <w:t>$ 1,090</w:t>
            </w:r>
          </w:p>
        </w:tc>
        <w:tc>
          <w:tcPr>
            <w:tcW w:w="41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9,632</w:t>
            </w:r>
          </w:p>
        </w:tc>
        <w:tc>
          <w:tcPr>
            <w:tcW w:w="376" w:type="dxa"/>
            <w:tcBorders/>
            <w:shd w:fill="auto" w:val="clear"/>
            <w:vAlign w:val="bottom"/>
          </w:tcPr>
          <w:p>
            <w:pPr>
              <w:pStyle w:val="TableContents"/>
              <w:spacing w:before="0" w:after="283"/>
              <w:rPr/>
            </w:pPr>
            <w:r>
              <w:rPr/>
              <w:t> </w:t>
            </w:r>
          </w:p>
        </w:tc>
      </w:tr>
      <w:tr>
        <w:trPr>
          <w:trHeight w:val="60" w:hRule="atLeast"/>
        </w:trPr>
        <w:tc>
          <w:tcPr>
            <w:tcW w:w="4502" w:type="dxa"/>
            <w:tcBorders/>
            <w:shd w:fill="E5E5E5" w:val="clear"/>
            <w:vAlign w:val="center"/>
          </w:tcPr>
          <w:p>
            <w:pPr>
              <w:pStyle w:val="TableContents"/>
              <w:spacing w:before="0" w:after="283"/>
              <w:rPr>
                <w:sz w:val="4"/>
                <w:szCs w:val="4"/>
              </w:rPr>
            </w:pPr>
            <w:r>
              <w:rPr>
                <w:sz w:val="4"/>
                <w:szCs w:val="4"/>
              </w:rPr>
            </w:r>
          </w:p>
        </w:tc>
        <w:tc>
          <w:tcPr>
            <w:tcW w:w="1960" w:type="dxa"/>
            <w:gridSpan w:val="4"/>
            <w:tcBorders/>
            <w:shd w:fill="E5E5E5" w:val="clear"/>
            <w:vAlign w:val="center"/>
          </w:tcPr>
          <w:p>
            <w:pPr>
              <w:pStyle w:val="TableContents"/>
              <w:spacing w:before="0" w:after="283"/>
              <w:rPr>
                <w:sz w:val="4"/>
                <w:szCs w:val="4"/>
              </w:rPr>
            </w:pPr>
            <w:r>
              <w:rPr>
                <w:sz w:val="4"/>
                <w:szCs w:val="4"/>
              </w:rPr>
            </w:r>
          </w:p>
        </w:tc>
        <w:tc>
          <w:tcPr>
            <w:tcW w:w="1937" w:type="dxa"/>
            <w:gridSpan w:val="4"/>
            <w:tcBorders/>
            <w:shd w:fill="E5E5E5" w:val="clear"/>
            <w:vAlign w:val="center"/>
          </w:tcPr>
          <w:p>
            <w:pPr>
              <w:pStyle w:val="TableContents"/>
              <w:spacing w:before="0" w:after="283"/>
              <w:rPr>
                <w:sz w:val="4"/>
                <w:szCs w:val="4"/>
              </w:rPr>
            </w:pPr>
            <w:r>
              <w:rPr>
                <w:sz w:val="4"/>
                <w:szCs w:val="4"/>
              </w:rPr>
            </w:r>
          </w:p>
        </w:tc>
        <w:tc>
          <w:tcPr>
            <w:tcW w:w="1806" w:type="dxa"/>
            <w:gridSpan w:val="4"/>
            <w:tcBorders/>
            <w:shd w:fill="E5E5E5" w:val="clear"/>
            <w:vAlign w:val="center"/>
          </w:tcPr>
          <w:p>
            <w:pPr>
              <w:pStyle w:val="TableContents"/>
              <w:spacing w:before="0" w:after="283"/>
              <w:rPr>
                <w:sz w:val="4"/>
                <w:szCs w:val="4"/>
              </w:rPr>
            </w:pPr>
            <w:r>
              <w:rPr>
                <w:sz w:val="4"/>
                <w:szCs w:val="4"/>
              </w:rPr>
            </w:r>
          </w:p>
        </w:tc>
      </w:tr>
      <w:tr>
        <w:trPr/>
        <w:tc>
          <w:tcPr>
            <w:tcW w:w="4502" w:type="dxa"/>
            <w:tcBorders>
              <w:bottom w:val="single" w:sz="8" w:space="0" w:color="001C71"/>
            </w:tcBorders>
            <w:shd w:fill="E5E5E5" w:val="clear"/>
            <w:tcMar>
              <w:bottom w:w="40" w:type="dxa"/>
            </w:tcMar>
          </w:tcPr>
          <w:p>
            <w:pPr>
              <w:pStyle w:val="TableContents"/>
              <w:spacing w:before="0" w:after="0"/>
              <w:rPr>
                <w:rFonts w:ascii="arial" w:hAnsi="arial"/>
                <w:sz w:val="16"/>
              </w:rPr>
            </w:pPr>
            <w:r>
              <w:rPr>
                <w:rFonts w:ascii="arial" w:hAnsi="arial"/>
                <w:sz w:val="16"/>
              </w:rPr>
              <w:t>25th Percentile</w:t>
            </w:r>
          </w:p>
        </w:tc>
        <w:tc>
          <w:tcPr>
            <w:tcW w:w="254"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40" w:type="dxa"/>
            </w:tcMar>
            <w:vAlign w:val="bottom"/>
          </w:tcPr>
          <w:p>
            <w:pPr>
              <w:pStyle w:val="TableContents"/>
              <w:spacing w:before="0" w:after="283"/>
              <w:rPr/>
            </w:pPr>
            <w:r>
              <w:rPr/>
              <w:t> </w:t>
            </w:r>
          </w:p>
        </w:tc>
        <w:tc>
          <w:tcPr>
            <w:tcW w:w="1261" w:type="dxa"/>
            <w:tcBorders>
              <w:bottom w:val="single" w:sz="8" w:space="0" w:color="001C71"/>
            </w:tcBorders>
            <w:shd w:fill="E5E5E5" w:val="clear"/>
            <w:tcMar>
              <w:bottom w:w="40" w:type="dxa"/>
            </w:tcMar>
            <w:vAlign w:val="bottom"/>
          </w:tcPr>
          <w:p>
            <w:pPr>
              <w:pStyle w:val="TableContents"/>
              <w:spacing w:before="0" w:after="283"/>
              <w:jc w:val="right"/>
              <w:rPr/>
            </w:pPr>
            <w:r>
              <w:rPr/>
              <w:t>$ 13,560</w:t>
            </w:r>
          </w:p>
        </w:tc>
        <w:tc>
          <w:tcPr>
            <w:tcW w:w="359" w:type="dxa"/>
            <w:tcBorders>
              <w:bottom w:val="single" w:sz="8" w:space="0" w:color="001C71"/>
            </w:tcBorders>
            <w:shd w:fill="E5E5E5" w:val="clear"/>
            <w:tcMar>
              <w:bottom w:w="40" w:type="dxa"/>
            </w:tcMar>
            <w:vAlign w:val="bottom"/>
          </w:tcPr>
          <w:p>
            <w:pPr>
              <w:pStyle w:val="TableContents"/>
              <w:spacing w:before="0" w:after="283"/>
              <w:rPr/>
            </w:pPr>
            <w:r>
              <w:rPr/>
              <w:t> </w:t>
            </w:r>
          </w:p>
        </w:tc>
        <w:tc>
          <w:tcPr>
            <w:tcW w:w="254" w:type="dxa"/>
            <w:tcBorders>
              <w:bottom w:val="single" w:sz="8" w:space="0" w:color="001C71"/>
            </w:tcBorders>
            <w:shd w:fill="E5E5E5" w:val="clear"/>
            <w:tcMar>
              <w:bottom w:w="28" w:type="dxa"/>
            </w:tcMar>
            <w:vAlign w:val="bottom"/>
          </w:tcPr>
          <w:p>
            <w:pPr>
              <w:pStyle w:val="TableContents"/>
              <w:spacing w:before="0" w:after="283"/>
              <w:rPr/>
            </w:pPr>
            <w:r>
              <w:rPr/>
              <w:t>  </w:t>
            </w:r>
          </w:p>
        </w:tc>
        <w:tc>
          <w:tcPr>
            <w:tcW w:w="91" w:type="dxa"/>
            <w:tcBorders>
              <w:bottom w:val="single" w:sz="8" w:space="0" w:color="001C71"/>
            </w:tcBorders>
            <w:shd w:fill="E5E5E5" w:val="clear"/>
            <w:tcMar>
              <w:bottom w:w="40" w:type="dxa"/>
            </w:tcMar>
            <w:vAlign w:val="bottom"/>
          </w:tcPr>
          <w:p>
            <w:pPr>
              <w:pStyle w:val="TableContents"/>
              <w:spacing w:before="0" w:after="283"/>
              <w:rPr/>
            </w:pPr>
            <w:r>
              <w:rPr/>
              <w:t> </w:t>
            </w:r>
          </w:p>
        </w:tc>
        <w:tc>
          <w:tcPr>
            <w:tcW w:w="1178" w:type="dxa"/>
            <w:tcBorders>
              <w:bottom w:val="single" w:sz="8" w:space="0" w:color="001C71"/>
            </w:tcBorders>
            <w:shd w:fill="E5E5E5" w:val="clear"/>
            <w:tcMar>
              <w:bottom w:w="40" w:type="dxa"/>
            </w:tcMar>
            <w:vAlign w:val="bottom"/>
          </w:tcPr>
          <w:p>
            <w:pPr>
              <w:pStyle w:val="TableContents"/>
              <w:spacing w:before="0" w:after="283"/>
              <w:jc w:val="right"/>
              <w:rPr/>
            </w:pPr>
            <w:r>
              <w:rPr/>
              <w:t>$    605</w:t>
            </w:r>
          </w:p>
        </w:tc>
        <w:tc>
          <w:tcPr>
            <w:tcW w:w="414" w:type="dxa"/>
            <w:tcBorders>
              <w:bottom w:val="single" w:sz="8" w:space="0" w:color="001C71"/>
            </w:tcBorders>
            <w:shd w:fill="E5E5E5" w:val="clear"/>
            <w:tcMar>
              <w:bottom w:w="40" w:type="dxa"/>
            </w:tcMar>
            <w:vAlign w:val="bottom"/>
          </w:tcPr>
          <w:p>
            <w:pPr>
              <w:pStyle w:val="TableContents"/>
              <w:spacing w:before="0" w:after="283"/>
              <w:rPr/>
            </w:pPr>
            <w:r>
              <w:rPr/>
              <w:t> </w:t>
            </w:r>
          </w:p>
        </w:tc>
        <w:tc>
          <w:tcPr>
            <w:tcW w:w="254" w:type="dxa"/>
            <w:tcBorders>
              <w:bottom w:val="single" w:sz="8" w:space="0" w:color="001C71"/>
            </w:tcBorders>
            <w:shd w:fill="E5E5E5" w:val="clear"/>
            <w:tcMar>
              <w:bottom w:w="28" w:type="dxa"/>
            </w:tcMar>
            <w:vAlign w:val="bottom"/>
          </w:tcPr>
          <w:p>
            <w:pPr>
              <w:pStyle w:val="TableContents"/>
              <w:spacing w:before="0" w:after="283"/>
              <w:rPr/>
            </w:pPr>
            <w:r>
              <w:rPr/>
              <w:t>  </w:t>
            </w:r>
          </w:p>
        </w:tc>
        <w:tc>
          <w:tcPr>
            <w:tcW w:w="76" w:type="dxa"/>
            <w:tcBorders>
              <w:bottom w:val="single" w:sz="8" w:space="0" w:color="001C71"/>
            </w:tcBorders>
            <w:shd w:fill="E5E5E5" w:val="clear"/>
            <w:tcMar>
              <w:bottom w:w="40" w:type="dxa"/>
            </w:tcMar>
            <w:vAlign w:val="bottom"/>
          </w:tcPr>
          <w:p>
            <w:pPr>
              <w:pStyle w:val="TableContents"/>
              <w:spacing w:before="0" w:after="283"/>
              <w:rPr/>
            </w:pPr>
            <w:r>
              <w:rPr/>
              <w:t> </w:t>
            </w:r>
          </w:p>
        </w:tc>
        <w:tc>
          <w:tcPr>
            <w:tcW w:w="1100" w:type="dxa"/>
            <w:tcBorders>
              <w:bottom w:val="single" w:sz="8" w:space="0" w:color="001C71"/>
            </w:tcBorders>
            <w:shd w:fill="E5E5E5" w:val="clear"/>
            <w:tcMar>
              <w:bottom w:w="40" w:type="dxa"/>
            </w:tcMar>
            <w:vAlign w:val="bottom"/>
          </w:tcPr>
          <w:p>
            <w:pPr>
              <w:pStyle w:val="TableContents"/>
              <w:spacing w:before="0" w:after="283"/>
              <w:jc w:val="right"/>
              <w:rPr/>
            </w:pPr>
            <w:r>
              <w:rPr/>
              <w:t>$   6,820</w:t>
            </w:r>
          </w:p>
        </w:tc>
        <w:tc>
          <w:tcPr>
            <w:tcW w:w="376" w:type="dxa"/>
            <w:tcBorders>
              <w:bottom w:val="single" w:sz="8" w:space="0" w:color="001C71"/>
            </w:tcBorders>
            <w:shd w:fill="E5E5E5" w:val="clear"/>
            <w:tcMar>
              <w:bottom w:w="40" w:type="dxa"/>
            </w:tcMar>
            <w:vAlign w:val="bottom"/>
          </w:tcPr>
          <w:p>
            <w:pPr>
              <w:pStyle w:val="TableContents"/>
              <w:spacing w:before="0" w:after="283"/>
              <w:rPr/>
            </w:pPr>
            <w:r>
              <w:rPr/>
              <w:t> </w:t>
            </w:r>
          </w:p>
        </w:tc>
      </w:tr>
    </w:tbl>
    <w:p>
      <w:pPr>
        <w:pStyle w:val="TextBody"/>
        <w:spacing w:before="80" w:after="0"/>
        <w:jc w:val="left"/>
        <w:rPr>
          <w:rFonts w:ascii="arial" w:hAnsi="arial"/>
          <w:i/>
          <w:sz w:val="14"/>
        </w:rPr>
      </w:pPr>
      <w:r>
        <w:rPr>
          <w:rFonts w:ascii="arial" w:hAnsi="arial"/>
          <w:i/>
          <w:sz w:val="14"/>
        </w:rPr>
        <w:t xml:space="preserve">Table 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(1)</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Market capitalization used for benchmarking purposes is calculated using the closing price of the common stock on December 31, 2020 and the number of outstanding shares of common stock based on publicly reported information available as of December 31,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Earnings and revenue for the utilities peer group companies are for fiscal year 2020. </w:t>
            </w:r>
          </w:p>
        </w:tc>
      </w:tr>
    </w:tbl>
    <w:p>
      <w:pPr>
        <w:pStyle w:val="TextBody"/>
        <w:spacing w:before="280" w:after="0"/>
        <w:jc w:val="left"/>
        <w:rPr>
          <w:rFonts w:ascii="arial" w:hAnsi="arial"/>
          <w:b/>
          <w:color w:val="001C71"/>
          <w:sz w:val="24"/>
        </w:rPr>
      </w:pPr>
      <w:r>
        <w:rPr>
          <w:rFonts w:ascii="arial" w:hAnsi="arial"/>
          <w:b/>
          <w:color w:val="001C71"/>
          <w:sz w:val="24"/>
        </w:rPr>
        <w:t xml:space="preserve">Role of Internal Equity in Determining Pay </w:t>
      </w:r>
    </w:p>
    <w:p>
      <w:pPr>
        <w:pStyle w:val="TextBody"/>
        <w:spacing w:before="120" w:after="0"/>
        <w:jc w:val="left"/>
        <w:rPr>
          <w:rFonts w:ascii="arial" w:hAnsi="arial"/>
          <w:sz w:val="16"/>
        </w:rPr>
      </w:pPr>
      <w:r>
        <w:rPr>
          <w:rFonts w:ascii="arial" w:hAnsi="arial"/>
          <w:sz w:val="16"/>
        </w:rPr>
        <w:t xml:space="preserve">The Compensation and Talent Development Committee uses internal pay equity principles to determine the compensation for positions that are unique or difficult to benchmark against market data. Internal equity is also considered in establishing compensation for positions considered to be equivalent in responsibilities and importance, especially where precise external data is not available.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53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28"/>
        </w:rPr>
      </w:pPr>
      <w:bookmarkStart w:id="33" w:name="tx108157_12"/>
      <w:bookmarkEnd w:id="33"/>
      <w:r>
        <w:rPr>
          <w:rFonts w:ascii="arial" w:hAnsi="arial"/>
          <w:sz w:val="28"/>
        </w:rPr>
        <w:t xml:space="preserve">Compensation Components </w:t>
      </w:r>
    </w:p>
    <w:p>
      <w:pPr>
        <w:pStyle w:val="TextBody"/>
        <w:pBdr>
          <w:bottom w:val="single" w:sz="2" w:space="1" w:color="001C71"/>
        </w:pBdr>
        <w:spacing w:lineRule="atLeast" w:line="180" w:before="0" w:after="40"/>
        <w:jc w:val="left"/>
        <w:rPr/>
      </w:pPr>
      <w:r>
        <w:rPr/>
        <w:t> </w:t>
      </w:r>
    </w:p>
    <w:p>
      <w:pPr>
        <w:pStyle w:val="TextBody"/>
        <w:spacing w:before="280" w:after="0"/>
        <w:jc w:val="left"/>
        <w:rPr>
          <w:rFonts w:ascii="arial" w:hAnsi="arial"/>
          <w:b/>
          <w:color w:val="001C71"/>
          <w:sz w:val="24"/>
        </w:rPr>
      </w:pPr>
      <w:r>
        <w:rPr>
          <w:rFonts w:ascii="arial" w:hAnsi="arial"/>
          <w:b/>
          <w:color w:val="001C71"/>
          <w:sz w:val="24"/>
        </w:rPr>
        <w:t xml:space="preserve">Primary Components of Executive Compensation Program </w:t>
      </w:r>
    </w:p>
    <w:p>
      <w:pPr>
        <w:pStyle w:val="TextBody"/>
        <w:spacing w:before="120" w:after="0"/>
        <w:jc w:val="left"/>
        <w:rPr>
          <w:rFonts w:ascii="arial" w:hAnsi="arial"/>
          <w:sz w:val="16"/>
        </w:rPr>
      </w:pPr>
      <w:r>
        <w:rPr>
          <w:rFonts w:ascii="arial" w:hAnsi="arial"/>
          <w:sz w:val="16"/>
        </w:rPr>
        <w:t xml:space="preserve">The primary components of our executive compensation program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4"/>
        <w:gridCol w:w="129"/>
        <w:gridCol w:w="9872"/>
      </w:tblGrid>
      <w:tr>
        <w:trPr/>
        <w:tc>
          <w:tcPr>
            <w:tcW w:w="204" w:type="dxa"/>
            <w:tcBorders/>
            <w:shd w:fill="auto" w:val="clear"/>
          </w:tcPr>
          <w:p>
            <w:pPr>
              <w:pStyle w:val="TableContents"/>
              <w:spacing w:before="0" w:after="283"/>
              <w:jc w:val="left"/>
              <w:rPr>
                <w:color w:val="001C71"/>
              </w:rPr>
            </w:pPr>
            <w:r>
              <w:rPr>
                <w:color w:val="001C71"/>
              </w:rPr>
              <w:t></w:t>
            </w:r>
          </w:p>
        </w:tc>
        <w:tc>
          <w:tcPr>
            <w:tcW w:w="129"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Base salaries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6"/>
        <w:gridCol w:w="9874"/>
      </w:tblGrid>
      <w:tr>
        <w:trPr/>
        <w:tc>
          <w:tcPr>
            <w:tcW w:w="205"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0"/>
              <w:jc w:val="left"/>
              <w:rPr>
                <w:rFonts w:ascii="arial" w:hAnsi="arial"/>
                <w:sz w:val="16"/>
              </w:rPr>
            </w:pPr>
            <w:r>
              <w:rPr>
                <w:rFonts w:ascii="arial" w:hAnsi="arial"/>
                <w:sz w:val="16"/>
              </w:rPr>
              <w:t xml:space="preserve">Performance-based annual bonuses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0"/>
        <w:gridCol w:w="127"/>
        <w:gridCol w:w="9878"/>
      </w:tblGrid>
      <w:tr>
        <w:trPr/>
        <w:tc>
          <w:tcPr>
            <w:tcW w:w="200"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8" w:type="dxa"/>
            <w:tcBorders/>
            <w:shd w:fill="auto" w:val="clear"/>
          </w:tcPr>
          <w:p>
            <w:pPr>
              <w:pStyle w:val="TableContents"/>
              <w:spacing w:before="0" w:after="0"/>
              <w:jc w:val="left"/>
              <w:rPr>
                <w:rFonts w:ascii="arial" w:hAnsi="arial"/>
                <w:sz w:val="16"/>
              </w:rPr>
            </w:pPr>
            <w:r>
              <w:rPr>
                <w:rFonts w:ascii="arial" w:hAnsi="arial"/>
                <w:sz w:val="16"/>
              </w:rPr>
              <w:t xml:space="preserve">Long-term equity-based incentives </w:t>
            </w:r>
          </w:p>
        </w:tc>
      </w:tr>
    </w:tbl>
    <w:p>
      <w:pPr>
        <w:pStyle w:val="TextBody"/>
        <w:spacing w:before="160" w:after="0"/>
        <w:jc w:val="left"/>
        <w:rPr>
          <w:rFonts w:ascii="arial" w:hAnsi="arial"/>
          <w:sz w:val="16"/>
        </w:rPr>
      </w:pPr>
      <w:r>
        <w:rPr>
          <w:rFonts w:ascii="arial" w:hAnsi="arial"/>
          <w:sz w:val="16"/>
        </w:rPr>
        <w:t xml:space="preserve">Additional benefits include health and welfare programs, retirement and savings plans, personal benefits and severance pay. </w:t>
      </w:r>
    </w:p>
    <w:p>
      <w:pPr>
        <w:pStyle w:val="TextBody"/>
        <w:spacing w:before="160" w:after="0"/>
        <w:jc w:val="left"/>
        <w:rPr>
          <w:rFonts w:ascii="arial" w:hAnsi="arial"/>
          <w:sz w:val="16"/>
        </w:rPr>
      </w:pPr>
      <w:r>
        <w:rPr>
          <w:rFonts w:ascii="arial" w:hAnsi="arial"/>
          <w:sz w:val="16"/>
        </w:rPr>
        <w:t xml:space="preserve">All of our named executive officers generally participate in the same compensation program. However, compensation levels for named executive officers vary substantially based on the roles and responsibilities of the individual officers.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2"/>
        <w:gridCol w:w="9493"/>
      </w:tblGrid>
      <w:tr>
        <w:trPr/>
        <w:tc>
          <w:tcPr>
            <w:tcW w:w="510" w:type="dxa"/>
            <w:tcBorders/>
            <w:shd w:fill="auto" w:val="clear"/>
          </w:tcPr>
          <w:p>
            <w:pPr>
              <w:pStyle w:val="TableContents"/>
              <w:spacing w:before="0" w:after="283"/>
              <w:jc w:val="left"/>
              <w:rPr>
                <w:color w:val="001C71"/>
              </w:rPr>
            </w:pPr>
            <w:bookmarkStart w:id="34" w:name="tx108157_13"/>
            <w:bookmarkEnd w:id="34"/>
            <w:r>
              <w:rPr>
                <w:color w:val="001C71"/>
              </w:rPr>
              <w:t>1.</w:t>
            </w:r>
          </w:p>
        </w:tc>
        <w:tc>
          <w:tcPr>
            <w:tcW w:w="2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color w:val="001C71"/>
              </w:rPr>
            </w:pPr>
            <w:r>
              <w:rPr>
                <w:color w:val="001C71"/>
              </w:rPr>
              <w:t xml:space="preserve">Base Salaries </w:t>
            </w:r>
          </w:p>
        </w:tc>
      </w:tr>
    </w:tbl>
    <w:p>
      <w:pPr>
        <w:pStyle w:val="TextBody"/>
        <w:spacing w:before="160" w:after="0"/>
        <w:jc w:val="left"/>
        <w:rPr>
          <w:rFonts w:ascii="arial" w:hAnsi="arial"/>
          <w:sz w:val="16"/>
        </w:rPr>
      </w:pPr>
      <w:r>
        <w:rPr>
          <w:rFonts w:ascii="arial" w:hAnsi="arial"/>
          <w:sz w:val="16"/>
        </w:rPr>
        <w:t xml:space="preserve">Our executive compensation program emphasizes performance-based pay. This includes annual cash bonuses and long-term equity-based incentives. However, base salaries remain a necessary and typical element of compensation for attracting and retaining outstanding employees at all levels. </w:t>
      </w:r>
    </w:p>
    <w:p>
      <w:pPr>
        <w:pStyle w:val="TextBody"/>
        <w:spacing w:before="160" w:after="0"/>
        <w:jc w:val="left"/>
        <w:rPr>
          <w:rFonts w:ascii="arial" w:hAnsi="arial"/>
          <w:sz w:val="16"/>
        </w:rPr>
      </w:pPr>
      <w:r>
        <w:rPr>
          <w:rFonts w:ascii="arial" w:hAnsi="arial"/>
          <w:sz w:val="16"/>
        </w:rPr>
        <w:t xml:space="preserve">The Compensation and Talent Development Committee annually reviews base salaries for executive officers. The committee considers the following factors in its review: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130175"/>
            <wp:effectExtent l="0" t="0" r="0" b="0"/>
            <wp:docPr id="7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1" descr=""/>
                    <pic:cNvPicPr>
                      <a:picLocks noChangeAspect="1" noChangeArrowheads="1"/>
                    </pic:cNvPicPr>
                  </pic:nvPicPr>
                  <pic:blipFill>
                    <a:blip r:embed="rId62"/>
                    <a:stretch>
                      <a:fillRect/>
                    </a:stretch>
                  </pic:blipFill>
                  <pic:spPr bwMode="auto">
                    <a:xfrm>
                      <a:off x="0" y="0"/>
                      <a:ext cx="625475" cy="130175"/>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Factors Considered in Determining Base Salaries Peer group salary data Complexity of roles and responsibilities Reporting relationships Individual contributions and performance Succession planning Internal equity Labor market conditions Retention needs Experience </w:t>
      </w:r>
    </w:p>
    <w:p>
      <w:pPr>
        <w:pStyle w:val="TextBody"/>
        <w:spacing w:before="280" w:after="0"/>
        <w:jc w:val="left"/>
        <w:rPr>
          <w:rFonts w:ascii="arial" w:hAnsi="arial"/>
          <w:b/>
          <w:sz w:val="20"/>
        </w:rPr>
      </w:pPr>
      <w:r>
        <w:rPr>
          <w:rFonts w:ascii="arial" w:hAnsi="arial"/>
          <w:b/>
          <w:sz w:val="20"/>
        </w:rPr>
        <w:t xml:space="preserve">2020 Adjustments to Base Salaries </w:t>
      </w:r>
    </w:p>
    <w:p>
      <w:pPr>
        <w:pStyle w:val="TextBody"/>
        <w:spacing w:before="120" w:after="0"/>
        <w:jc w:val="left"/>
        <w:rPr>
          <w:rFonts w:ascii="arial" w:hAnsi="arial"/>
          <w:sz w:val="16"/>
        </w:rPr>
      </w:pPr>
      <w:r>
        <w:rPr>
          <w:rFonts w:ascii="arial" w:hAnsi="arial"/>
          <w:sz w:val="16"/>
        </w:rPr>
        <w:t xml:space="preserve">Messrs. Martin and Mihalik received 2020 salary planning increases of 8.3% and 12.3%, respectively, in order to bring their salaries closer to the median salary of our general industry peer group. For additional information, see Target Market Alignment above. Mr. Wall received a salary increase of 13.7% in 2020, which reflects his promotion to Senior Vice President, Controller and Chief Accounting Officer effective April 4, 2020. Mr. Sagara received a 2020 salary planning increase of 4.0% in his prior role with SDG&amp;E and an additional salary increase of 28.1% when he was promoted to Executive Vice President and Group President of Sempra Energy effective June 27, 2020. Messrs. Arriola and Bilicic received 2020 salary planning increases of 6.1% and 3.0%, respectively.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204"/>
        <w:gridCol w:w="9494"/>
      </w:tblGrid>
      <w:tr>
        <w:trPr/>
        <w:tc>
          <w:tcPr>
            <w:tcW w:w="507" w:type="dxa"/>
            <w:tcBorders/>
            <w:shd w:fill="auto" w:val="clear"/>
          </w:tcPr>
          <w:p>
            <w:pPr>
              <w:pStyle w:val="TableContents"/>
              <w:spacing w:before="0" w:after="283"/>
              <w:jc w:val="left"/>
              <w:rPr>
                <w:color w:val="001C71"/>
              </w:rPr>
            </w:pPr>
            <w:bookmarkStart w:id="35" w:name="tx108157_14"/>
            <w:bookmarkEnd w:id="35"/>
            <w:r>
              <w:rPr>
                <w:color w:val="001C71"/>
              </w:rPr>
              <w:t>2.</w:t>
            </w:r>
          </w:p>
        </w:tc>
        <w:tc>
          <w:tcPr>
            <w:tcW w:w="204"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color w:val="001C71"/>
              </w:rPr>
            </w:pPr>
            <w:r>
              <w:rPr>
                <w:color w:val="001C71"/>
              </w:rPr>
              <w:t xml:space="preserve">Performance-Based Annual Bonuses </w:t>
            </w:r>
          </w:p>
        </w:tc>
      </w:tr>
    </w:tbl>
    <w:p>
      <w:pPr>
        <w:pStyle w:val="TextBody"/>
        <w:spacing w:before="160" w:after="0"/>
        <w:jc w:val="left"/>
        <w:rPr>
          <w:rFonts w:ascii="arial" w:hAnsi="arial"/>
          <w:b/>
          <w:sz w:val="20"/>
        </w:rPr>
      </w:pPr>
      <w:r>
        <w:rPr>
          <w:rFonts w:ascii="arial" w:hAnsi="arial"/>
          <w:b/>
          <w:sz w:val="20"/>
        </w:rPr>
        <w:t xml:space="preserve">Performance Guidelines </w:t>
      </w:r>
    </w:p>
    <w:p>
      <w:pPr>
        <w:pStyle w:val="TextBody"/>
        <w:spacing w:before="120" w:after="0"/>
        <w:jc w:val="left"/>
        <w:rPr>
          <w:rFonts w:ascii="arial" w:hAnsi="arial"/>
          <w:sz w:val="16"/>
        </w:rPr>
      </w:pPr>
      <w:r>
        <w:rPr>
          <w:rFonts w:ascii="arial" w:hAnsi="arial"/>
          <w:sz w:val="16"/>
        </w:rPr>
        <w:t xml:space="preserve">Each year the Compensation and Talent Development Committee establishes performance measures and dollar guidelines for performance-based cash bonus payments. The committee uses financial and operational performance measures that are linked to our business strategy and shareholder interests. </w:t>
      </w:r>
    </w:p>
    <w:p>
      <w:pPr>
        <w:pStyle w:val="TextBody"/>
        <w:spacing w:before="160" w:after="0"/>
        <w:jc w:val="left"/>
        <w:rPr>
          <w:rFonts w:ascii="arial" w:hAnsi="arial"/>
          <w:sz w:val="16"/>
        </w:rPr>
      </w:pPr>
      <w:r>
        <w:rPr>
          <w:rFonts w:ascii="arial" w:hAnsi="arial"/>
          <w:sz w:val="16"/>
        </w:rPr>
        <w:t xml:space="preserve">Consistent with our pay-for-performance philosophy, the performance measures do not provide for any bonus payment unless the company surpasses the threshold (minimum) performance level for the year. Bonus opportunities increase from zero for performance at the threshold level to 200% of target for performance at the maximum level. </w:t>
      </w:r>
    </w:p>
    <w:p>
      <w:pPr>
        <w:pStyle w:val="TextBody"/>
        <w:spacing w:before="160" w:after="0"/>
        <w:jc w:val="left"/>
        <w:rPr>
          <w:rFonts w:ascii="arial" w:hAnsi="arial"/>
          <w:sz w:val="16"/>
        </w:rPr>
      </w:pPr>
      <w:r>
        <w:rPr>
          <w:rFonts w:ascii="arial" w:hAnsi="arial"/>
          <w:sz w:val="16"/>
        </w:rPr>
        <w:t xml:space="preserve">The committee may apply discretion in determining awards, including determining the results of performance measures and taking into consideration the contributions of each named executive officer or other factors it deems relevant.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54</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Bonus Opportunities for Named Executive Officers </w:t>
      </w:r>
    </w:p>
    <w:p>
      <w:pPr>
        <w:pStyle w:val="TextBody"/>
        <w:spacing w:before="120" w:after="0"/>
        <w:jc w:val="left"/>
        <w:rPr>
          <w:rFonts w:ascii="arial" w:hAnsi="arial"/>
          <w:sz w:val="16"/>
        </w:rPr>
      </w:pPr>
      <w:r>
        <w:rPr>
          <w:rFonts w:ascii="arial" w:hAnsi="arial"/>
          <w:sz w:val="16"/>
        </w:rPr>
        <w:t xml:space="preserve">Potential bonus opportunities at threshold, target and maximum company performance as of December 31, 2020 are expressed as a percentage of each named executive officers base salary as of December 31, 2020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286"/>
        <w:gridCol w:w="23"/>
        <w:gridCol w:w="47"/>
        <w:gridCol w:w="128"/>
        <w:gridCol w:w="718"/>
        <w:gridCol w:w="128"/>
        <w:gridCol w:w="23"/>
        <w:gridCol w:w="23"/>
        <w:gridCol w:w="60"/>
        <w:gridCol w:w="680"/>
        <w:gridCol w:w="60"/>
        <w:gridCol w:w="23"/>
        <w:gridCol w:w="34"/>
        <w:gridCol w:w="119"/>
        <w:gridCol w:w="727"/>
        <w:gridCol w:w="126"/>
      </w:tblGrid>
      <w:tr>
        <w:trPr/>
        <w:tc>
          <w:tcPr>
            <w:tcW w:w="728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7286" w:type="dxa"/>
            <w:tcBorders>
              <w:top w:val="single" w:sz="16" w:space="0" w:color="001C71"/>
            </w:tcBorders>
            <w:shd w:fill="001C71" w:val="clear"/>
            <w:tcMar>
              <w:top w:w="28" w:type="dxa"/>
            </w:tcMar>
            <w:vAlign w:val="center"/>
          </w:tcPr>
          <w:p>
            <w:pPr>
              <w:pStyle w:val="TableContents"/>
              <w:spacing w:before="0" w:after="283"/>
              <w:rPr/>
            </w:pPr>
            <w:r>
              <w:rPr/>
              <w:t> </w:t>
            </w:r>
          </w:p>
        </w:tc>
        <w:tc>
          <w:tcPr>
            <w:tcW w:w="1044" w:type="dxa"/>
            <w:gridSpan w:val="5"/>
            <w:tcBorders>
              <w:top w:val="single" w:sz="16" w:space="0" w:color="001C71"/>
            </w:tcBorders>
            <w:shd w:fill="001C71" w:val="clear"/>
            <w:tcMar>
              <w:top w:w="28" w:type="dxa"/>
            </w:tcMar>
            <w:vAlign w:val="center"/>
          </w:tcPr>
          <w:p>
            <w:pPr>
              <w:pStyle w:val="TableContents"/>
              <w:spacing w:before="0" w:after="283"/>
              <w:rPr/>
            </w:pPr>
            <w:r>
              <w:rPr/>
              <w:t> </w:t>
            </w:r>
          </w:p>
        </w:tc>
        <w:tc>
          <w:tcPr>
            <w:tcW w:w="846" w:type="dxa"/>
            <w:gridSpan w:val="5"/>
            <w:tcBorders>
              <w:top w:val="single" w:sz="16" w:space="0" w:color="001C71"/>
            </w:tcBorders>
            <w:shd w:fill="001C71" w:val="clear"/>
            <w:tcMar>
              <w:top w:w="28" w:type="dxa"/>
            </w:tcMar>
            <w:vAlign w:val="center"/>
          </w:tcPr>
          <w:p>
            <w:pPr>
              <w:pStyle w:val="TableContents"/>
              <w:spacing w:before="0" w:after="283"/>
              <w:rPr/>
            </w:pPr>
            <w:r>
              <w:rPr/>
              <w:t> </w:t>
            </w:r>
          </w:p>
        </w:tc>
        <w:tc>
          <w:tcPr>
            <w:tcW w:w="1029" w:type="dxa"/>
            <w:gridSpan w:val="5"/>
            <w:tcBorders>
              <w:top w:val="single" w:sz="16" w:space="0" w:color="001C71"/>
              <w:right w:val="single" w:sz="2" w:space="0" w:color="001C71"/>
            </w:tcBorders>
            <w:shd w:fill="001C71" w:val="clear"/>
            <w:tcMar>
              <w:top w:w="28" w:type="dxa"/>
              <w:right w:w="28" w:type="dxa"/>
            </w:tcMar>
            <w:vAlign w:val="center"/>
          </w:tcPr>
          <w:p>
            <w:pPr>
              <w:pStyle w:val="TableContents"/>
              <w:spacing w:before="0" w:after="283"/>
              <w:rPr/>
            </w:pPr>
            <w:r>
              <w:rPr/>
              <w:t> </w:t>
            </w:r>
          </w:p>
        </w:tc>
      </w:tr>
      <w:tr>
        <w:trPr/>
        <w:tc>
          <w:tcPr>
            <w:tcW w:w="7286" w:type="dxa"/>
            <w:tcBorders>
              <w:bottom w:val="single" w:sz="16" w:space="0" w:color="001C71"/>
            </w:tcBorders>
            <w:shd w:fill="001C71" w:val="clear"/>
            <w:tcMar>
              <w:bottom w:w="60" w:type="dxa"/>
            </w:tcMar>
            <w:vAlign w:val="bottom"/>
          </w:tcPr>
          <w:p>
            <w:pPr>
              <w:pStyle w:val="TableContents"/>
              <w:spacing w:before="0" w:after="0"/>
              <w:rPr>
                <w:rFonts w:ascii="arial" w:hAnsi="arial"/>
                <w:b/>
                <w:color w:val="FFFFFF"/>
                <w:sz w:val="16"/>
              </w:rPr>
            </w:pPr>
            <w:r>
              <w:rPr>
                <w:rFonts w:ascii="arial" w:hAnsi="arial"/>
                <w:b/>
                <w:color w:val="FFFFFF"/>
                <w:sz w:val="16"/>
              </w:rPr>
              <w:t>Named Executive Officer</w:t>
            </w:r>
          </w:p>
        </w:tc>
        <w:tc>
          <w:tcPr>
            <w:tcW w:w="23" w:type="dxa"/>
            <w:tcBorders>
              <w:bottom w:val="single" w:sz="16" w:space="0" w:color="001C71"/>
            </w:tcBorders>
            <w:shd w:fill="001C71" w:val="clear"/>
            <w:tcMar>
              <w:bottom w:w="28" w:type="dxa"/>
            </w:tcMar>
            <w:vAlign w:val="bottom"/>
          </w:tcPr>
          <w:p>
            <w:pPr>
              <w:pStyle w:val="TableContents"/>
              <w:spacing w:before="0" w:after="283"/>
              <w:rPr>
                <w:sz w:val="4"/>
                <w:szCs w:val="4"/>
              </w:rPr>
            </w:pPr>
            <w:r>
              <w:rPr>
                <w:sz w:val="4"/>
                <w:szCs w:val="4"/>
              </w:rPr>
            </w:r>
          </w:p>
        </w:tc>
        <w:tc>
          <w:tcPr>
            <w:tcW w:w="1021" w:type="dxa"/>
            <w:gridSpan w:val="4"/>
            <w:tcBorders>
              <w:bottom w:val="single" w:sz="16" w:space="0" w:color="001C71"/>
            </w:tcBorders>
            <w:shd w:fill="001C71" w:val="clear"/>
            <w:tcMar>
              <w:bottom w:w="60" w:type="dxa"/>
            </w:tcMar>
            <w:vAlign w:val="bottom"/>
          </w:tcPr>
          <w:p>
            <w:pPr>
              <w:pStyle w:val="TableContents"/>
              <w:spacing w:before="0" w:after="0"/>
              <w:jc w:val="center"/>
              <w:rPr>
                <w:rFonts w:ascii="arial" w:hAnsi="arial"/>
                <w:b/>
                <w:color w:val="FFFFFF"/>
                <w:sz w:val="16"/>
              </w:rPr>
            </w:pPr>
            <w:r>
              <w:rPr>
                <w:rFonts w:ascii="arial" w:hAnsi="arial"/>
                <w:b/>
                <w:color w:val="FFFFFF"/>
                <w:sz w:val="16"/>
              </w:rPr>
              <w:t>Threshold</w:t>
            </w:r>
          </w:p>
        </w:tc>
        <w:tc>
          <w:tcPr>
            <w:tcW w:w="23" w:type="dxa"/>
            <w:tcBorders>
              <w:bottom w:val="single" w:sz="16" w:space="0" w:color="001C71"/>
            </w:tcBorders>
            <w:shd w:fill="001C71" w:val="clear"/>
            <w:tcMar>
              <w:bottom w:w="28" w:type="dxa"/>
            </w:tcMar>
            <w:vAlign w:val="bottom"/>
          </w:tcPr>
          <w:p>
            <w:pPr>
              <w:pStyle w:val="TableContents"/>
              <w:spacing w:before="0" w:after="283"/>
              <w:rPr>
                <w:sz w:val="4"/>
                <w:szCs w:val="4"/>
              </w:rPr>
            </w:pPr>
            <w:r>
              <w:rPr>
                <w:sz w:val="4"/>
                <w:szCs w:val="4"/>
              </w:rPr>
            </w:r>
          </w:p>
        </w:tc>
        <w:tc>
          <w:tcPr>
            <w:tcW w:w="823" w:type="dxa"/>
            <w:gridSpan w:val="4"/>
            <w:tcBorders>
              <w:bottom w:val="single" w:sz="16" w:space="0" w:color="001C71"/>
            </w:tcBorders>
            <w:shd w:fill="001C71" w:val="clear"/>
            <w:tcMar>
              <w:bottom w:w="60" w:type="dxa"/>
            </w:tcMar>
            <w:vAlign w:val="bottom"/>
          </w:tcPr>
          <w:p>
            <w:pPr>
              <w:pStyle w:val="TableContents"/>
              <w:spacing w:before="0" w:after="0"/>
              <w:jc w:val="center"/>
              <w:rPr>
                <w:rFonts w:ascii="arial" w:hAnsi="arial"/>
                <w:b/>
                <w:color w:val="FFFFFF"/>
                <w:sz w:val="16"/>
              </w:rPr>
            </w:pPr>
            <w:r>
              <w:rPr>
                <w:rFonts w:ascii="arial" w:hAnsi="arial"/>
                <w:b/>
                <w:color w:val="FFFFFF"/>
                <w:sz w:val="16"/>
              </w:rPr>
              <w:t>Target</w:t>
            </w:r>
          </w:p>
        </w:tc>
        <w:tc>
          <w:tcPr>
            <w:tcW w:w="23" w:type="dxa"/>
            <w:tcBorders>
              <w:bottom w:val="single" w:sz="16" w:space="0" w:color="001C71"/>
            </w:tcBorders>
            <w:shd w:fill="001C71" w:val="clear"/>
            <w:tcMar>
              <w:bottom w:w="28" w:type="dxa"/>
            </w:tcMar>
            <w:vAlign w:val="bottom"/>
          </w:tcPr>
          <w:p>
            <w:pPr>
              <w:pStyle w:val="TableContents"/>
              <w:spacing w:before="0" w:after="283"/>
              <w:rPr>
                <w:sz w:val="4"/>
                <w:szCs w:val="4"/>
              </w:rPr>
            </w:pPr>
            <w:r>
              <w:rPr>
                <w:sz w:val="4"/>
                <w:szCs w:val="4"/>
              </w:rPr>
            </w:r>
          </w:p>
        </w:tc>
        <w:tc>
          <w:tcPr>
            <w:tcW w:w="1006" w:type="dxa"/>
            <w:gridSpan w:val="4"/>
            <w:tcBorders>
              <w:bottom w:val="single" w:sz="16" w:space="0" w:color="001C71"/>
              <w:right w:val="single" w:sz="2" w:space="0" w:color="001C71"/>
            </w:tcBorders>
            <w:shd w:fill="001C71" w:val="clear"/>
            <w:tcMar>
              <w:bottom w:w="60" w:type="dxa"/>
              <w:right w:w="28" w:type="dxa"/>
            </w:tcMar>
            <w:vAlign w:val="bottom"/>
          </w:tcPr>
          <w:p>
            <w:pPr>
              <w:pStyle w:val="TableContents"/>
              <w:spacing w:before="0" w:after="0"/>
              <w:jc w:val="center"/>
              <w:rPr>
                <w:rFonts w:ascii="arial" w:hAnsi="arial"/>
                <w:b/>
                <w:color w:val="FFFFFF"/>
                <w:sz w:val="16"/>
              </w:rPr>
            </w:pPr>
            <w:r>
              <w:rPr>
                <w:rFonts w:ascii="arial" w:hAnsi="arial"/>
                <w:b/>
                <w:color w:val="FFFFFF"/>
                <w:sz w:val="16"/>
              </w:rPr>
              <w:t>Maximum</w:t>
            </w:r>
          </w:p>
        </w:tc>
      </w:tr>
      <w:tr>
        <w:trPr>
          <w:trHeight w:val="60" w:hRule="atLeast"/>
        </w:trPr>
        <w:tc>
          <w:tcPr>
            <w:tcW w:w="7286" w:type="dxa"/>
            <w:tcBorders/>
            <w:shd w:fill="E5E5E5" w:val="clear"/>
            <w:vAlign w:val="center"/>
          </w:tcPr>
          <w:p>
            <w:pPr>
              <w:pStyle w:val="TableContents"/>
              <w:spacing w:before="0" w:after="283"/>
              <w:rPr>
                <w:sz w:val="4"/>
                <w:szCs w:val="4"/>
              </w:rPr>
            </w:pPr>
            <w:r>
              <w:rPr>
                <w:sz w:val="4"/>
                <w:szCs w:val="4"/>
              </w:rPr>
            </w:r>
          </w:p>
        </w:tc>
        <w:tc>
          <w:tcPr>
            <w:tcW w:w="1044" w:type="dxa"/>
            <w:gridSpan w:val="5"/>
            <w:tcBorders/>
            <w:shd w:fill="E5E5E5" w:val="clear"/>
            <w:vAlign w:val="center"/>
          </w:tcPr>
          <w:p>
            <w:pPr>
              <w:pStyle w:val="TableContents"/>
              <w:spacing w:before="0" w:after="283"/>
              <w:rPr>
                <w:sz w:val="4"/>
                <w:szCs w:val="4"/>
              </w:rPr>
            </w:pPr>
            <w:r>
              <w:rPr>
                <w:sz w:val="4"/>
                <w:szCs w:val="4"/>
              </w:rPr>
            </w:r>
          </w:p>
        </w:tc>
        <w:tc>
          <w:tcPr>
            <w:tcW w:w="846" w:type="dxa"/>
            <w:gridSpan w:val="5"/>
            <w:tcBorders/>
            <w:shd w:fill="E5E5E5" w:val="clear"/>
            <w:vAlign w:val="center"/>
          </w:tcPr>
          <w:p>
            <w:pPr>
              <w:pStyle w:val="TableContents"/>
              <w:spacing w:before="0" w:after="283"/>
              <w:rPr>
                <w:sz w:val="4"/>
                <w:szCs w:val="4"/>
              </w:rPr>
            </w:pPr>
            <w:r>
              <w:rPr>
                <w:sz w:val="4"/>
                <w:szCs w:val="4"/>
              </w:rPr>
            </w:r>
          </w:p>
        </w:tc>
        <w:tc>
          <w:tcPr>
            <w:tcW w:w="1029" w:type="dxa"/>
            <w:gridSpan w:val="5"/>
            <w:tcBorders/>
            <w:shd w:fill="E5E5E5" w:val="clear"/>
            <w:vAlign w:val="center"/>
          </w:tcPr>
          <w:p>
            <w:pPr>
              <w:pStyle w:val="TableContents"/>
              <w:spacing w:before="0" w:after="283"/>
              <w:rPr>
                <w:sz w:val="4"/>
                <w:szCs w:val="4"/>
              </w:rPr>
            </w:pPr>
            <w:r>
              <w:rPr>
                <w:sz w:val="4"/>
                <w:szCs w:val="4"/>
              </w:rPr>
            </w:r>
          </w:p>
        </w:tc>
      </w:tr>
      <w:tr>
        <w:trPr/>
        <w:tc>
          <w:tcPr>
            <w:tcW w:w="7286" w:type="dxa"/>
            <w:tcBorders/>
            <w:shd w:fill="E5E5E5" w:val="clear"/>
          </w:tcPr>
          <w:p>
            <w:pPr>
              <w:pStyle w:val="TableContents"/>
              <w:spacing w:before="0" w:after="0"/>
              <w:rPr>
                <w:rFonts w:ascii="arial" w:hAnsi="arial"/>
                <w:sz w:val="16"/>
              </w:rPr>
            </w:pPr>
            <w:r>
              <w:rPr>
                <w:rFonts w:ascii="arial" w:hAnsi="arial"/>
                <w:sz w:val="16"/>
              </w:rPr>
              <w:t>Jeffrey W. Martin</w:t>
            </w:r>
          </w:p>
        </w:tc>
        <w:tc>
          <w:tcPr>
            <w:tcW w:w="23" w:type="dxa"/>
            <w:tcBorders/>
            <w:shd w:fill="E5E5E5" w:val="clear"/>
            <w:vAlign w:val="bottom"/>
          </w:tcPr>
          <w:p>
            <w:pPr>
              <w:pStyle w:val="TableContents"/>
              <w:spacing w:before="0" w:after="283"/>
              <w:rPr>
                <w:sz w:val="4"/>
                <w:szCs w:val="4"/>
              </w:rPr>
            </w:pPr>
            <w:r>
              <w:rPr>
                <w:sz w:val="4"/>
                <w:szCs w:val="4"/>
              </w:rPr>
            </w:r>
          </w:p>
        </w:tc>
        <w:tc>
          <w:tcPr>
            <w:tcW w:w="47" w:type="dxa"/>
            <w:tcBorders/>
            <w:shd w:fill="E5E5E5" w:val="clear"/>
            <w:vAlign w:val="bottom"/>
          </w:tcPr>
          <w:p>
            <w:pPr>
              <w:pStyle w:val="TableContents"/>
              <w:spacing w:before="0" w:after="283"/>
              <w:rPr>
                <w:sz w:val="4"/>
                <w:szCs w:val="4"/>
              </w:rPr>
            </w:pPr>
            <w:r>
              <w:rPr>
                <w:sz w:val="4"/>
                <w:szCs w:val="4"/>
              </w:rPr>
            </w:r>
          </w:p>
        </w:tc>
        <w:tc>
          <w:tcPr>
            <w:tcW w:w="128" w:type="dxa"/>
            <w:tcBorders/>
            <w:shd w:fill="E5E5E5" w:val="clear"/>
            <w:vAlign w:val="bottom"/>
          </w:tcPr>
          <w:p>
            <w:pPr>
              <w:pStyle w:val="TableContents"/>
              <w:spacing w:before="0" w:after="283"/>
              <w:rPr/>
            </w:pPr>
            <w:r>
              <w:rPr/>
              <w:t> </w:t>
            </w:r>
          </w:p>
        </w:tc>
        <w:tc>
          <w:tcPr>
            <w:tcW w:w="718" w:type="dxa"/>
            <w:tcBorders/>
            <w:shd w:fill="E5E5E5" w:val="clear"/>
            <w:vAlign w:val="bottom"/>
          </w:tcPr>
          <w:p>
            <w:pPr>
              <w:pStyle w:val="TableContents"/>
              <w:spacing w:before="0" w:after="283"/>
              <w:jc w:val="right"/>
              <w:rPr/>
            </w:pPr>
            <w:r>
              <w:rPr/>
              <w:t>0%</w:t>
            </w:r>
          </w:p>
        </w:tc>
        <w:tc>
          <w:tcPr>
            <w:tcW w:w="128" w:type="dxa"/>
            <w:tcBorders/>
            <w:shd w:fill="E5E5E5" w:val="clear"/>
            <w:vAlign w:val="bottom"/>
          </w:tcPr>
          <w:p>
            <w:pPr>
              <w:pStyle w:val="TableContents"/>
              <w:spacing w:before="0" w:after="283"/>
              <w:rPr/>
            </w:pPr>
            <w:r>
              <w:rPr/>
              <w:t> </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145%</w:t>
            </w:r>
          </w:p>
        </w:tc>
        <w:tc>
          <w:tcPr>
            <w:tcW w:w="60" w:type="dxa"/>
            <w:tcBorders/>
            <w:shd w:fill="E5E5E5" w:val="clear"/>
            <w:vAlign w:val="bottom"/>
          </w:tcPr>
          <w:p>
            <w:pPr>
              <w:pStyle w:val="TableContents"/>
              <w:spacing w:before="0" w:after="283"/>
              <w:rPr/>
            </w:pPr>
            <w:r>
              <w:rPr/>
              <w:t> </w:t>
            </w:r>
          </w:p>
        </w:tc>
        <w:tc>
          <w:tcPr>
            <w:tcW w:w="23" w:type="dxa"/>
            <w:tcBorders/>
            <w:shd w:fill="E5E5E5" w:val="clear"/>
            <w:vAlign w:val="bottom"/>
          </w:tcPr>
          <w:p>
            <w:pPr>
              <w:pStyle w:val="TableContents"/>
              <w:spacing w:before="0" w:after="283"/>
              <w:rPr>
                <w:sz w:val="4"/>
                <w:szCs w:val="4"/>
              </w:rPr>
            </w:pPr>
            <w:r>
              <w:rPr>
                <w:sz w:val="4"/>
                <w:szCs w:val="4"/>
              </w:rPr>
            </w:r>
          </w:p>
        </w:tc>
        <w:tc>
          <w:tcPr>
            <w:tcW w:w="34" w:type="dxa"/>
            <w:tcBorders/>
            <w:shd w:fill="E5E5E5" w:val="clear"/>
            <w:vAlign w:val="bottom"/>
          </w:tcPr>
          <w:p>
            <w:pPr>
              <w:pStyle w:val="TableContents"/>
              <w:spacing w:before="0" w:after="283"/>
              <w:rPr>
                <w:sz w:val="4"/>
                <w:szCs w:val="4"/>
              </w:rPr>
            </w:pPr>
            <w:r>
              <w:rPr>
                <w:sz w:val="4"/>
                <w:szCs w:val="4"/>
              </w:rPr>
            </w:r>
          </w:p>
        </w:tc>
        <w:tc>
          <w:tcPr>
            <w:tcW w:w="11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jc w:val="right"/>
              <w:rPr/>
            </w:pPr>
            <w:r>
              <w:rPr/>
              <w:t>290%</w:t>
            </w:r>
          </w:p>
        </w:tc>
        <w:tc>
          <w:tcPr>
            <w:tcW w:w="126" w:type="dxa"/>
            <w:tcBorders/>
            <w:shd w:fill="E5E5E5" w:val="clear"/>
            <w:vAlign w:val="bottom"/>
          </w:tcPr>
          <w:p>
            <w:pPr>
              <w:pStyle w:val="TableContents"/>
              <w:spacing w:before="0" w:after="283"/>
              <w:rPr/>
            </w:pPr>
            <w:r>
              <w:rPr/>
              <w:t> </w:t>
            </w:r>
          </w:p>
        </w:tc>
      </w:tr>
      <w:tr>
        <w:trPr>
          <w:trHeight w:val="60" w:hRule="atLeast"/>
        </w:trPr>
        <w:tc>
          <w:tcPr>
            <w:tcW w:w="7286" w:type="dxa"/>
            <w:tcBorders/>
            <w:shd w:fill="auto" w:val="clear"/>
            <w:vAlign w:val="center"/>
          </w:tcPr>
          <w:p>
            <w:pPr>
              <w:pStyle w:val="TableContents"/>
              <w:spacing w:before="0" w:after="283"/>
              <w:rPr>
                <w:sz w:val="4"/>
                <w:szCs w:val="4"/>
              </w:rPr>
            </w:pPr>
            <w:r>
              <w:rPr>
                <w:sz w:val="4"/>
                <w:szCs w:val="4"/>
              </w:rPr>
            </w:r>
          </w:p>
        </w:tc>
        <w:tc>
          <w:tcPr>
            <w:tcW w:w="1044" w:type="dxa"/>
            <w:gridSpan w:val="5"/>
            <w:tcBorders/>
            <w:shd w:fill="auto" w:val="clear"/>
            <w:vAlign w:val="center"/>
          </w:tcPr>
          <w:p>
            <w:pPr>
              <w:pStyle w:val="TableContents"/>
              <w:spacing w:before="0" w:after="283"/>
              <w:rPr>
                <w:sz w:val="4"/>
                <w:szCs w:val="4"/>
              </w:rPr>
            </w:pPr>
            <w:r>
              <w:rPr>
                <w:sz w:val="4"/>
                <w:szCs w:val="4"/>
              </w:rPr>
            </w:r>
          </w:p>
        </w:tc>
        <w:tc>
          <w:tcPr>
            <w:tcW w:w="846" w:type="dxa"/>
            <w:gridSpan w:val="5"/>
            <w:tcBorders/>
            <w:shd w:fill="auto" w:val="clear"/>
            <w:vAlign w:val="center"/>
          </w:tcPr>
          <w:p>
            <w:pPr>
              <w:pStyle w:val="TableContents"/>
              <w:spacing w:before="0" w:after="283"/>
              <w:rPr>
                <w:sz w:val="4"/>
                <w:szCs w:val="4"/>
              </w:rPr>
            </w:pPr>
            <w:r>
              <w:rPr>
                <w:sz w:val="4"/>
                <w:szCs w:val="4"/>
              </w:rPr>
            </w:r>
          </w:p>
        </w:tc>
        <w:tc>
          <w:tcPr>
            <w:tcW w:w="1029" w:type="dxa"/>
            <w:gridSpan w:val="5"/>
            <w:tcBorders/>
            <w:shd w:fill="auto" w:val="clear"/>
            <w:vAlign w:val="center"/>
          </w:tcPr>
          <w:p>
            <w:pPr>
              <w:pStyle w:val="TableContents"/>
              <w:spacing w:before="0" w:after="283"/>
              <w:rPr>
                <w:sz w:val="4"/>
                <w:szCs w:val="4"/>
              </w:rPr>
            </w:pPr>
            <w:r>
              <w:rPr>
                <w:sz w:val="4"/>
                <w:szCs w:val="4"/>
              </w:rPr>
            </w:r>
          </w:p>
        </w:tc>
      </w:tr>
      <w:tr>
        <w:trPr/>
        <w:tc>
          <w:tcPr>
            <w:tcW w:w="7286" w:type="dxa"/>
            <w:tcBorders/>
            <w:shd w:fill="auto" w:val="clear"/>
          </w:tcPr>
          <w:p>
            <w:pPr>
              <w:pStyle w:val="TableContents"/>
              <w:spacing w:before="0" w:after="0"/>
              <w:rPr>
                <w:rFonts w:ascii="arial" w:hAnsi="arial"/>
                <w:sz w:val="16"/>
              </w:rPr>
            </w:pPr>
            <w:r>
              <w:rPr>
                <w:rFonts w:ascii="arial" w:hAnsi="arial"/>
                <w:sz w:val="16"/>
              </w:rPr>
              <w:t>Trevor I. Mihalik</w:t>
            </w:r>
          </w:p>
        </w:tc>
        <w:tc>
          <w:tcPr>
            <w:tcW w:w="23" w:type="dxa"/>
            <w:tcBorders/>
            <w:shd w:fill="auto" w:val="clear"/>
            <w:vAlign w:val="bottom"/>
          </w:tcPr>
          <w:p>
            <w:pPr>
              <w:pStyle w:val="TableContents"/>
              <w:spacing w:before="0" w:after="283"/>
              <w:rPr>
                <w:sz w:val="4"/>
                <w:szCs w:val="4"/>
              </w:rPr>
            </w:pPr>
            <w:r>
              <w:rPr>
                <w:sz w:val="4"/>
                <w:szCs w:val="4"/>
              </w:rPr>
            </w:r>
          </w:p>
        </w:tc>
        <w:tc>
          <w:tcPr>
            <w:tcW w:w="47"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718" w:type="dxa"/>
            <w:tcBorders/>
            <w:shd w:fill="auto" w:val="clear"/>
            <w:vAlign w:val="bottom"/>
          </w:tcPr>
          <w:p>
            <w:pPr>
              <w:pStyle w:val="TableContents"/>
              <w:spacing w:before="0" w:after="283"/>
              <w:jc w:val="right"/>
              <w:rPr/>
            </w:pPr>
            <w:r>
              <w:rPr/>
              <w:t>0%</w:t>
            </w:r>
          </w:p>
        </w:tc>
        <w:tc>
          <w:tcPr>
            <w:tcW w:w="128"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85%</w:t>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34"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170%</w:t>
            </w:r>
          </w:p>
        </w:tc>
        <w:tc>
          <w:tcPr>
            <w:tcW w:w="126" w:type="dxa"/>
            <w:tcBorders/>
            <w:shd w:fill="auto" w:val="clear"/>
            <w:vAlign w:val="bottom"/>
          </w:tcPr>
          <w:p>
            <w:pPr>
              <w:pStyle w:val="TableContents"/>
              <w:spacing w:before="0" w:after="283"/>
              <w:rPr/>
            </w:pPr>
            <w:r>
              <w:rPr/>
              <w:t> </w:t>
            </w:r>
          </w:p>
        </w:tc>
      </w:tr>
      <w:tr>
        <w:trPr>
          <w:trHeight w:val="60" w:hRule="atLeast"/>
        </w:trPr>
        <w:tc>
          <w:tcPr>
            <w:tcW w:w="7286" w:type="dxa"/>
            <w:tcBorders/>
            <w:shd w:fill="E5E5E5" w:val="clear"/>
            <w:vAlign w:val="center"/>
          </w:tcPr>
          <w:p>
            <w:pPr>
              <w:pStyle w:val="TableContents"/>
              <w:spacing w:before="0" w:after="283"/>
              <w:rPr>
                <w:sz w:val="4"/>
                <w:szCs w:val="4"/>
              </w:rPr>
            </w:pPr>
            <w:r>
              <w:rPr>
                <w:sz w:val="4"/>
                <w:szCs w:val="4"/>
              </w:rPr>
            </w:r>
          </w:p>
        </w:tc>
        <w:tc>
          <w:tcPr>
            <w:tcW w:w="1044" w:type="dxa"/>
            <w:gridSpan w:val="5"/>
            <w:tcBorders/>
            <w:shd w:fill="E5E5E5" w:val="clear"/>
            <w:vAlign w:val="center"/>
          </w:tcPr>
          <w:p>
            <w:pPr>
              <w:pStyle w:val="TableContents"/>
              <w:spacing w:before="0" w:after="283"/>
              <w:rPr>
                <w:sz w:val="4"/>
                <w:szCs w:val="4"/>
              </w:rPr>
            </w:pPr>
            <w:r>
              <w:rPr>
                <w:sz w:val="4"/>
                <w:szCs w:val="4"/>
              </w:rPr>
            </w:r>
          </w:p>
        </w:tc>
        <w:tc>
          <w:tcPr>
            <w:tcW w:w="846" w:type="dxa"/>
            <w:gridSpan w:val="5"/>
            <w:tcBorders/>
            <w:shd w:fill="E5E5E5" w:val="clear"/>
            <w:vAlign w:val="center"/>
          </w:tcPr>
          <w:p>
            <w:pPr>
              <w:pStyle w:val="TableContents"/>
              <w:spacing w:before="0" w:after="283"/>
              <w:rPr>
                <w:sz w:val="4"/>
                <w:szCs w:val="4"/>
              </w:rPr>
            </w:pPr>
            <w:r>
              <w:rPr>
                <w:sz w:val="4"/>
                <w:szCs w:val="4"/>
              </w:rPr>
            </w:r>
          </w:p>
        </w:tc>
        <w:tc>
          <w:tcPr>
            <w:tcW w:w="1029" w:type="dxa"/>
            <w:gridSpan w:val="5"/>
            <w:tcBorders/>
            <w:shd w:fill="E5E5E5" w:val="clear"/>
            <w:vAlign w:val="center"/>
          </w:tcPr>
          <w:p>
            <w:pPr>
              <w:pStyle w:val="TableContents"/>
              <w:spacing w:before="0" w:after="283"/>
              <w:rPr>
                <w:sz w:val="4"/>
                <w:szCs w:val="4"/>
              </w:rPr>
            </w:pPr>
            <w:r>
              <w:rPr>
                <w:sz w:val="4"/>
                <w:szCs w:val="4"/>
              </w:rPr>
            </w:r>
          </w:p>
        </w:tc>
      </w:tr>
      <w:tr>
        <w:trPr/>
        <w:tc>
          <w:tcPr>
            <w:tcW w:w="7286" w:type="dxa"/>
            <w:tcBorders/>
            <w:shd w:fill="E5E5E5" w:val="clear"/>
          </w:tcPr>
          <w:p>
            <w:pPr>
              <w:pStyle w:val="TableContents"/>
              <w:spacing w:before="0" w:after="0"/>
              <w:rPr>
                <w:rFonts w:ascii="arial" w:hAnsi="arial"/>
                <w:sz w:val="16"/>
              </w:rPr>
            </w:pPr>
            <w:r>
              <w:rPr>
                <w:rFonts w:ascii="arial" w:hAnsi="arial"/>
                <w:sz w:val="16"/>
              </w:rPr>
              <w:t>Kevin C. Sagara(1)</w:t>
            </w:r>
          </w:p>
        </w:tc>
        <w:tc>
          <w:tcPr>
            <w:tcW w:w="23" w:type="dxa"/>
            <w:tcBorders/>
            <w:shd w:fill="E5E5E5" w:val="clear"/>
            <w:vAlign w:val="bottom"/>
          </w:tcPr>
          <w:p>
            <w:pPr>
              <w:pStyle w:val="TableContents"/>
              <w:spacing w:before="0" w:after="283"/>
              <w:rPr>
                <w:sz w:val="4"/>
                <w:szCs w:val="4"/>
              </w:rPr>
            </w:pPr>
            <w:r>
              <w:rPr>
                <w:sz w:val="4"/>
                <w:szCs w:val="4"/>
              </w:rPr>
            </w:r>
          </w:p>
        </w:tc>
        <w:tc>
          <w:tcPr>
            <w:tcW w:w="47" w:type="dxa"/>
            <w:tcBorders/>
            <w:shd w:fill="E5E5E5" w:val="clear"/>
            <w:vAlign w:val="bottom"/>
          </w:tcPr>
          <w:p>
            <w:pPr>
              <w:pStyle w:val="TableContents"/>
              <w:spacing w:before="0" w:after="283"/>
              <w:rPr>
                <w:sz w:val="4"/>
                <w:szCs w:val="4"/>
              </w:rPr>
            </w:pPr>
            <w:r>
              <w:rPr>
                <w:sz w:val="4"/>
                <w:szCs w:val="4"/>
              </w:rPr>
            </w:r>
          </w:p>
        </w:tc>
        <w:tc>
          <w:tcPr>
            <w:tcW w:w="128" w:type="dxa"/>
            <w:tcBorders/>
            <w:shd w:fill="E5E5E5" w:val="clear"/>
            <w:vAlign w:val="bottom"/>
          </w:tcPr>
          <w:p>
            <w:pPr>
              <w:pStyle w:val="TableContents"/>
              <w:spacing w:before="0" w:after="283"/>
              <w:rPr/>
            </w:pPr>
            <w:r>
              <w:rPr/>
              <w:t> </w:t>
            </w:r>
          </w:p>
        </w:tc>
        <w:tc>
          <w:tcPr>
            <w:tcW w:w="718" w:type="dxa"/>
            <w:tcBorders/>
            <w:shd w:fill="E5E5E5" w:val="clear"/>
            <w:vAlign w:val="bottom"/>
          </w:tcPr>
          <w:p>
            <w:pPr>
              <w:pStyle w:val="TableContents"/>
              <w:spacing w:before="0" w:after="283"/>
              <w:jc w:val="right"/>
              <w:rPr/>
            </w:pPr>
            <w:r>
              <w:rPr/>
              <w:t>0%</w:t>
            </w:r>
          </w:p>
        </w:tc>
        <w:tc>
          <w:tcPr>
            <w:tcW w:w="128" w:type="dxa"/>
            <w:tcBorders/>
            <w:shd w:fill="E5E5E5" w:val="clear"/>
            <w:vAlign w:val="bottom"/>
          </w:tcPr>
          <w:p>
            <w:pPr>
              <w:pStyle w:val="TableContents"/>
              <w:spacing w:before="0" w:after="283"/>
              <w:rPr/>
            </w:pPr>
            <w:r>
              <w:rPr/>
              <w:t> </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90%</w:t>
            </w:r>
          </w:p>
        </w:tc>
        <w:tc>
          <w:tcPr>
            <w:tcW w:w="60" w:type="dxa"/>
            <w:tcBorders/>
            <w:shd w:fill="E5E5E5" w:val="clear"/>
            <w:vAlign w:val="bottom"/>
          </w:tcPr>
          <w:p>
            <w:pPr>
              <w:pStyle w:val="TableContents"/>
              <w:spacing w:before="0" w:after="283"/>
              <w:rPr/>
            </w:pPr>
            <w:r>
              <w:rPr/>
              <w:t> </w:t>
            </w:r>
          </w:p>
        </w:tc>
        <w:tc>
          <w:tcPr>
            <w:tcW w:w="23" w:type="dxa"/>
            <w:tcBorders/>
            <w:shd w:fill="E5E5E5" w:val="clear"/>
            <w:vAlign w:val="bottom"/>
          </w:tcPr>
          <w:p>
            <w:pPr>
              <w:pStyle w:val="TableContents"/>
              <w:spacing w:before="0" w:after="283"/>
              <w:rPr>
                <w:sz w:val="4"/>
                <w:szCs w:val="4"/>
              </w:rPr>
            </w:pPr>
            <w:r>
              <w:rPr>
                <w:sz w:val="4"/>
                <w:szCs w:val="4"/>
              </w:rPr>
            </w:r>
          </w:p>
        </w:tc>
        <w:tc>
          <w:tcPr>
            <w:tcW w:w="34" w:type="dxa"/>
            <w:tcBorders/>
            <w:shd w:fill="E5E5E5" w:val="clear"/>
            <w:vAlign w:val="bottom"/>
          </w:tcPr>
          <w:p>
            <w:pPr>
              <w:pStyle w:val="TableContents"/>
              <w:spacing w:before="0" w:after="283"/>
              <w:rPr>
                <w:sz w:val="4"/>
                <w:szCs w:val="4"/>
              </w:rPr>
            </w:pPr>
            <w:r>
              <w:rPr>
                <w:sz w:val="4"/>
                <w:szCs w:val="4"/>
              </w:rPr>
            </w:r>
          </w:p>
        </w:tc>
        <w:tc>
          <w:tcPr>
            <w:tcW w:w="11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jc w:val="right"/>
              <w:rPr/>
            </w:pPr>
            <w:r>
              <w:rPr/>
              <w:t>180%</w:t>
            </w:r>
          </w:p>
        </w:tc>
        <w:tc>
          <w:tcPr>
            <w:tcW w:w="126" w:type="dxa"/>
            <w:tcBorders/>
            <w:shd w:fill="E5E5E5" w:val="clear"/>
            <w:vAlign w:val="bottom"/>
          </w:tcPr>
          <w:p>
            <w:pPr>
              <w:pStyle w:val="TableContents"/>
              <w:spacing w:before="0" w:after="283"/>
              <w:rPr/>
            </w:pPr>
            <w:r>
              <w:rPr/>
              <w:t> </w:t>
            </w:r>
          </w:p>
        </w:tc>
      </w:tr>
      <w:tr>
        <w:trPr>
          <w:trHeight w:val="60" w:hRule="atLeast"/>
        </w:trPr>
        <w:tc>
          <w:tcPr>
            <w:tcW w:w="7286" w:type="dxa"/>
            <w:tcBorders/>
            <w:shd w:fill="auto" w:val="clear"/>
            <w:vAlign w:val="center"/>
          </w:tcPr>
          <w:p>
            <w:pPr>
              <w:pStyle w:val="TableContents"/>
              <w:spacing w:before="0" w:after="283"/>
              <w:rPr>
                <w:sz w:val="4"/>
                <w:szCs w:val="4"/>
              </w:rPr>
            </w:pPr>
            <w:r>
              <w:rPr>
                <w:sz w:val="4"/>
                <w:szCs w:val="4"/>
              </w:rPr>
            </w:r>
          </w:p>
        </w:tc>
        <w:tc>
          <w:tcPr>
            <w:tcW w:w="1044" w:type="dxa"/>
            <w:gridSpan w:val="5"/>
            <w:tcBorders/>
            <w:shd w:fill="auto" w:val="clear"/>
            <w:vAlign w:val="center"/>
          </w:tcPr>
          <w:p>
            <w:pPr>
              <w:pStyle w:val="TableContents"/>
              <w:spacing w:before="0" w:after="283"/>
              <w:rPr>
                <w:sz w:val="4"/>
                <w:szCs w:val="4"/>
              </w:rPr>
            </w:pPr>
            <w:r>
              <w:rPr>
                <w:sz w:val="4"/>
                <w:szCs w:val="4"/>
              </w:rPr>
            </w:r>
          </w:p>
        </w:tc>
        <w:tc>
          <w:tcPr>
            <w:tcW w:w="846" w:type="dxa"/>
            <w:gridSpan w:val="5"/>
            <w:tcBorders/>
            <w:shd w:fill="auto" w:val="clear"/>
            <w:vAlign w:val="center"/>
          </w:tcPr>
          <w:p>
            <w:pPr>
              <w:pStyle w:val="TableContents"/>
              <w:spacing w:before="0" w:after="283"/>
              <w:rPr>
                <w:sz w:val="4"/>
                <w:szCs w:val="4"/>
              </w:rPr>
            </w:pPr>
            <w:r>
              <w:rPr>
                <w:sz w:val="4"/>
                <w:szCs w:val="4"/>
              </w:rPr>
            </w:r>
          </w:p>
        </w:tc>
        <w:tc>
          <w:tcPr>
            <w:tcW w:w="1029" w:type="dxa"/>
            <w:gridSpan w:val="5"/>
            <w:tcBorders/>
            <w:shd w:fill="auto" w:val="clear"/>
            <w:vAlign w:val="center"/>
          </w:tcPr>
          <w:p>
            <w:pPr>
              <w:pStyle w:val="TableContents"/>
              <w:spacing w:before="0" w:after="283"/>
              <w:rPr>
                <w:sz w:val="4"/>
                <w:szCs w:val="4"/>
              </w:rPr>
            </w:pPr>
            <w:r>
              <w:rPr>
                <w:sz w:val="4"/>
                <w:szCs w:val="4"/>
              </w:rPr>
            </w:r>
          </w:p>
        </w:tc>
      </w:tr>
      <w:tr>
        <w:trPr/>
        <w:tc>
          <w:tcPr>
            <w:tcW w:w="7286" w:type="dxa"/>
            <w:tcBorders/>
            <w:shd w:fill="auto" w:val="clear"/>
          </w:tcPr>
          <w:p>
            <w:pPr>
              <w:pStyle w:val="TableContents"/>
              <w:spacing w:before="0" w:after="0"/>
              <w:rPr>
                <w:rFonts w:ascii="arial" w:hAnsi="arial"/>
                <w:sz w:val="16"/>
              </w:rPr>
            </w:pPr>
            <w:r>
              <w:rPr>
                <w:rFonts w:ascii="arial" w:hAnsi="arial"/>
                <w:sz w:val="16"/>
              </w:rPr>
              <w:t>Peter R. Wall</w:t>
            </w:r>
          </w:p>
        </w:tc>
        <w:tc>
          <w:tcPr>
            <w:tcW w:w="23" w:type="dxa"/>
            <w:tcBorders/>
            <w:shd w:fill="auto" w:val="clear"/>
            <w:vAlign w:val="bottom"/>
          </w:tcPr>
          <w:p>
            <w:pPr>
              <w:pStyle w:val="TableContents"/>
              <w:spacing w:before="0" w:after="283"/>
              <w:rPr>
                <w:sz w:val="4"/>
                <w:szCs w:val="4"/>
              </w:rPr>
            </w:pPr>
            <w:r>
              <w:rPr>
                <w:sz w:val="4"/>
                <w:szCs w:val="4"/>
              </w:rPr>
            </w:r>
          </w:p>
        </w:tc>
        <w:tc>
          <w:tcPr>
            <w:tcW w:w="47"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718" w:type="dxa"/>
            <w:tcBorders/>
            <w:shd w:fill="auto" w:val="clear"/>
            <w:vAlign w:val="bottom"/>
          </w:tcPr>
          <w:p>
            <w:pPr>
              <w:pStyle w:val="TableContents"/>
              <w:spacing w:before="0" w:after="283"/>
              <w:jc w:val="right"/>
              <w:rPr/>
            </w:pPr>
            <w:r>
              <w:rPr/>
              <w:t>0%</w:t>
            </w:r>
          </w:p>
        </w:tc>
        <w:tc>
          <w:tcPr>
            <w:tcW w:w="128"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50%</w:t>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34"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100%</w:t>
            </w:r>
          </w:p>
        </w:tc>
        <w:tc>
          <w:tcPr>
            <w:tcW w:w="126" w:type="dxa"/>
            <w:tcBorders/>
            <w:shd w:fill="auto" w:val="clear"/>
            <w:vAlign w:val="bottom"/>
          </w:tcPr>
          <w:p>
            <w:pPr>
              <w:pStyle w:val="TableContents"/>
              <w:spacing w:before="0" w:after="283"/>
              <w:rPr/>
            </w:pPr>
            <w:r>
              <w:rPr/>
              <w:t> </w:t>
            </w:r>
          </w:p>
        </w:tc>
      </w:tr>
      <w:tr>
        <w:trPr>
          <w:trHeight w:val="60" w:hRule="atLeast"/>
        </w:trPr>
        <w:tc>
          <w:tcPr>
            <w:tcW w:w="7286" w:type="dxa"/>
            <w:tcBorders/>
            <w:shd w:fill="E5E5E5" w:val="clear"/>
            <w:vAlign w:val="center"/>
          </w:tcPr>
          <w:p>
            <w:pPr>
              <w:pStyle w:val="TableContents"/>
              <w:spacing w:before="0" w:after="283"/>
              <w:rPr>
                <w:sz w:val="4"/>
                <w:szCs w:val="4"/>
              </w:rPr>
            </w:pPr>
            <w:r>
              <w:rPr>
                <w:sz w:val="4"/>
                <w:szCs w:val="4"/>
              </w:rPr>
            </w:r>
          </w:p>
        </w:tc>
        <w:tc>
          <w:tcPr>
            <w:tcW w:w="1044" w:type="dxa"/>
            <w:gridSpan w:val="5"/>
            <w:tcBorders/>
            <w:shd w:fill="E5E5E5" w:val="clear"/>
            <w:vAlign w:val="center"/>
          </w:tcPr>
          <w:p>
            <w:pPr>
              <w:pStyle w:val="TableContents"/>
              <w:spacing w:before="0" w:after="283"/>
              <w:rPr>
                <w:sz w:val="4"/>
                <w:szCs w:val="4"/>
              </w:rPr>
            </w:pPr>
            <w:r>
              <w:rPr>
                <w:sz w:val="4"/>
                <w:szCs w:val="4"/>
              </w:rPr>
            </w:r>
          </w:p>
        </w:tc>
        <w:tc>
          <w:tcPr>
            <w:tcW w:w="846" w:type="dxa"/>
            <w:gridSpan w:val="5"/>
            <w:tcBorders/>
            <w:shd w:fill="E5E5E5" w:val="clear"/>
            <w:vAlign w:val="center"/>
          </w:tcPr>
          <w:p>
            <w:pPr>
              <w:pStyle w:val="TableContents"/>
              <w:spacing w:before="0" w:after="283"/>
              <w:rPr>
                <w:sz w:val="4"/>
                <w:szCs w:val="4"/>
              </w:rPr>
            </w:pPr>
            <w:r>
              <w:rPr>
                <w:sz w:val="4"/>
                <w:szCs w:val="4"/>
              </w:rPr>
            </w:r>
          </w:p>
        </w:tc>
        <w:tc>
          <w:tcPr>
            <w:tcW w:w="1029" w:type="dxa"/>
            <w:gridSpan w:val="5"/>
            <w:tcBorders/>
            <w:shd w:fill="E5E5E5" w:val="clear"/>
            <w:vAlign w:val="center"/>
          </w:tcPr>
          <w:p>
            <w:pPr>
              <w:pStyle w:val="TableContents"/>
              <w:spacing w:before="0" w:after="283"/>
              <w:rPr>
                <w:sz w:val="4"/>
                <w:szCs w:val="4"/>
              </w:rPr>
            </w:pPr>
            <w:r>
              <w:rPr>
                <w:sz w:val="4"/>
                <w:szCs w:val="4"/>
              </w:rPr>
            </w:r>
          </w:p>
        </w:tc>
      </w:tr>
      <w:tr>
        <w:trPr/>
        <w:tc>
          <w:tcPr>
            <w:tcW w:w="7286" w:type="dxa"/>
            <w:tcBorders/>
            <w:shd w:fill="E5E5E5" w:val="clear"/>
          </w:tcPr>
          <w:p>
            <w:pPr>
              <w:pStyle w:val="TableContents"/>
              <w:spacing w:before="0" w:after="0"/>
              <w:rPr>
                <w:rFonts w:ascii="arial" w:hAnsi="arial"/>
                <w:sz w:val="16"/>
              </w:rPr>
            </w:pPr>
            <w:r>
              <w:rPr>
                <w:rFonts w:ascii="arial" w:hAnsi="arial"/>
                <w:sz w:val="16"/>
              </w:rPr>
              <w:t>Dennis V. Arriola(2)</w:t>
            </w:r>
          </w:p>
        </w:tc>
        <w:tc>
          <w:tcPr>
            <w:tcW w:w="23" w:type="dxa"/>
            <w:tcBorders/>
            <w:shd w:fill="E5E5E5" w:val="clear"/>
            <w:vAlign w:val="bottom"/>
          </w:tcPr>
          <w:p>
            <w:pPr>
              <w:pStyle w:val="TableContents"/>
              <w:spacing w:before="0" w:after="283"/>
              <w:rPr>
                <w:sz w:val="4"/>
                <w:szCs w:val="4"/>
              </w:rPr>
            </w:pPr>
            <w:r>
              <w:rPr>
                <w:sz w:val="4"/>
                <w:szCs w:val="4"/>
              </w:rPr>
            </w:r>
          </w:p>
        </w:tc>
        <w:tc>
          <w:tcPr>
            <w:tcW w:w="47" w:type="dxa"/>
            <w:tcBorders/>
            <w:shd w:fill="E5E5E5" w:val="clear"/>
            <w:vAlign w:val="bottom"/>
          </w:tcPr>
          <w:p>
            <w:pPr>
              <w:pStyle w:val="TableContents"/>
              <w:spacing w:before="0" w:after="283"/>
              <w:rPr>
                <w:sz w:val="4"/>
                <w:szCs w:val="4"/>
              </w:rPr>
            </w:pPr>
            <w:r>
              <w:rPr>
                <w:sz w:val="4"/>
                <w:szCs w:val="4"/>
              </w:rPr>
            </w:r>
          </w:p>
        </w:tc>
        <w:tc>
          <w:tcPr>
            <w:tcW w:w="128" w:type="dxa"/>
            <w:tcBorders/>
            <w:shd w:fill="E5E5E5" w:val="clear"/>
            <w:vAlign w:val="bottom"/>
          </w:tcPr>
          <w:p>
            <w:pPr>
              <w:pStyle w:val="TableContents"/>
              <w:spacing w:before="0" w:after="283"/>
              <w:rPr/>
            </w:pPr>
            <w:r>
              <w:rPr/>
              <w:t> </w:t>
            </w:r>
          </w:p>
        </w:tc>
        <w:tc>
          <w:tcPr>
            <w:tcW w:w="718" w:type="dxa"/>
            <w:tcBorders/>
            <w:shd w:fill="E5E5E5" w:val="clear"/>
            <w:vAlign w:val="bottom"/>
          </w:tcPr>
          <w:p>
            <w:pPr>
              <w:pStyle w:val="TableContents"/>
              <w:spacing w:before="0" w:after="283"/>
              <w:jc w:val="right"/>
              <w:rPr/>
            </w:pPr>
            <w:r>
              <w:rPr/>
              <w:t>0%</w:t>
            </w:r>
          </w:p>
        </w:tc>
        <w:tc>
          <w:tcPr>
            <w:tcW w:w="128" w:type="dxa"/>
            <w:tcBorders/>
            <w:shd w:fill="E5E5E5" w:val="clear"/>
            <w:vAlign w:val="bottom"/>
          </w:tcPr>
          <w:p>
            <w:pPr>
              <w:pStyle w:val="TableContents"/>
              <w:spacing w:before="0" w:after="283"/>
              <w:rPr/>
            </w:pPr>
            <w:r>
              <w:rPr/>
              <w:t> </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80%</w:t>
            </w:r>
          </w:p>
        </w:tc>
        <w:tc>
          <w:tcPr>
            <w:tcW w:w="60" w:type="dxa"/>
            <w:tcBorders/>
            <w:shd w:fill="E5E5E5" w:val="clear"/>
            <w:vAlign w:val="bottom"/>
          </w:tcPr>
          <w:p>
            <w:pPr>
              <w:pStyle w:val="TableContents"/>
              <w:spacing w:before="0" w:after="283"/>
              <w:rPr/>
            </w:pPr>
            <w:r>
              <w:rPr/>
              <w:t> </w:t>
            </w:r>
          </w:p>
        </w:tc>
        <w:tc>
          <w:tcPr>
            <w:tcW w:w="23" w:type="dxa"/>
            <w:tcBorders/>
            <w:shd w:fill="E5E5E5" w:val="clear"/>
            <w:vAlign w:val="bottom"/>
          </w:tcPr>
          <w:p>
            <w:pPr>
              <w:pStyle w:val="TableContents"/>
              <w:spacing w:before="0" w:after="283"/>
              <w:rPr>
                <w:sz w:val="4"/>
                <w:szCs w:val="4"/>
              </w:rPr>
            </w:pPr>
            <w:r>
              <w:rPr>
                <w:sz w:val="4"/>
                <w:szCs w:val="4"/>
              </w:rPr>
            </w:r>
          </w:p>
        </w:tc>
        <w:tc>
          <w:tcPr>
            <w:tcW w:w="34" w:type="dxa"/>
            <w:tcBorders/>
            <w:shd w:fill="E5E5E5" w:val="clear"/>
            <w:vAlign w:val="bottom"/>
          </w:tcPr>
          <w:p>
            <w:pPr>
              <w:pStyle w:val="TableContents"/>
              <w:spacing w:before="0" w:after="283"/>
              <w:rPr>
                <w:sz w:val="4"/>
                <w:szCs w:val="4"/>
              </w:rPr>
            </w:pPr>
            <w:r>
              <w:rPr>
                <w:sz w:val="4"/>
                <w:szCs w:val="4"/>
              </w:rPr>
            </w:r>
          </w:p>
        </w:tc>
        <w:tc>
          <w:tcPr>
            <w:tcW w:w="119" w:type="dxa"/>
            <w:tcBorders/>
            <w:shd w:fill="E5E5E5" w:val="clear"/>
            <w:vAlign w:val="bottom"/>
          </w:tcPr>
          <w:p>
            <w:pPr>
              <w:pStyle w:val="TableContents"/>
              <w:spacing w:before="0" w:after="283"/>
              <w:rPr/>
            </w:pPr>
            <w:r>
              <w:rPr/>
              <w:t> </w:t>
            </w:r>
          </w:p>
        </w:tc>
        <w:tc>
          <w:tcPr>
            <w:tcW w:w="727" w:type="dxa"/>
            <w:tcBorders/>
            <w:shd w:fill="E5E5E5" w:val="clear"/>
            <w:vAlign w:val="bottom"/>
          </w:tcPr>
          <w:p>
            <w:pPr>
              <w:pStyle w:val="TableContents"/>
              <w:spacing w:before="0" w:after="283"/>
              <w:jc w:val="right"/>
              <w:rPr/>
            </w:pPr>
            <w:r>
              <w:rPr/>
              <w:t>160%</w:t>
            </w:r>
          </w:p>
        </w:tc>
        <w:tc>
          <w:tcPr>
            <w:tcW w:w="126" w:type="dxa"/>
            <w:tcBorders/>
            <w:shd w:fill="E5E5E5" w:val="clear"/>
            <w:vAlign w:val="bottom"/>
          </w:tcPr>
          <w:p>
            <w:pPr>
              <w:pStyle w:val="TableContents"/>
              <w:spacing w:before="0" w:after="283"/>
              <w:rPr/>
            </w:pPr>
            <w:r>
              <w:rPr/>
              <w:t> </w:t>
            </w:r>
          </w:p>
        </w:tc>
      </w:tr>
      <w:tr>
        <w:trPr>
          <w:trHeight w:val="60" w:hRule="atLeast"/>
        </w:trPr>
        <w:tc>
          <w:tcPr>
            <w:tcW w:w="7286" w:type="dxa"/>
            <w:tcBorders/>
            <w:shd w:fill="auto" w:val="clear"/>
            <w:vAlign w:val="center"/>
          </w:tcPr>
          <w:p>
            <w:pPr>
              <w:pStyle w:val="TableContents"/>
              <w:spacing w:before="0" w:after="283"/>
              <w:rPr>
                <w:sz w:val="4"/>
                <w:szCs w:val="4"/>
              </w:rPr>
            </w:pPr>
            <w:r>
              <w:rPr>
                <w:sz w:val="4"/>
                <w:szCs w:val="4"/>
              </w:rPr>
            </w:r>
          </w:p>
        </w:tc>
        <w:tc>
          <w:tcPr>
            <w:tcW w:w="1044" w:type="dxa"/>
            <w:gridSpan w:val="5"/>
            <w:tcBorders/>
            <w:shd w:fill="auto" w:val="clear"/>
            <w:vAlign w:val="center"/>
          </w:tcPr>
          <w:p>
            <w:pPr>
              <w:pStyle w:val="TableContents"/>
              <w:spacing w:before="0" w:after="283"/>
              <w:rPr>
                <w:sz w:val="4"/>
                <w:szCs w:val="4"/>
              </w:rPr>
            </w:pPr>
            <w:r>
              <w:rPr>
                <w:sz w:val="4"/>
                <w:szCs w:val="4"/>
              </w:rPr>
            </w:r>
          </w:p>
        </w:tc>
        <w:tc>
          <w:tcPr>
            <w:tcW w:w="846" w:type="dxa"/>
            <w:gridSpan w:val="5"/>
            <w:tcBorders/>
            <w:shd w:fill="auto" w:val="clear"/>
            <w:vAlign w:val="center"/>
          </w:tcPr>
          <w:p>
            <w:pPr>
              <w:pStyle w:val="TableContents"/>
              <w:spacing w:before="0" w:after="283"/>
              <w:rPr>
                <w:sz w:val="4"/>
                <w:szCs w:val="4"/>
              </w:rPr>
            </w:pPr>
            <w:r>
              <w:rPr>
                <w:sz w:val="4"/>
                <w:szCs w:val="4"/>
              </w:rPr>
            </w:r>
          </w:p>
        </w:tc>
        <w:tc>
          <w:tcPr>
            <w:tcW w:w="1029" w:type="dxa"/>
            <w:gridSpan w:val="5"/>
            <w:tcBorders/>
            <w:shd w:fill="auto" w:val="clear"/>
            <w:vAlign w:val="center"/>
          </w:tcPr>
          <w:p>
            <w:pPr>
              <w:pStyle w:val="TableContents"/>
              <w:spacing w:before="0" w:after="283"/>
              <w:rPr>
                <w:sz w:val="4"/>
                <w:szCs w:val="4"/>
              </w:rPr>
            </w:pPr>
            <w:r>
              <w:rPr>
                <w:sz w:val="4"/>
                <w:szCs w:val="4"/>
              </w:rPr>
            </w:r>
          </w:p>
        </w:tc>
      </w:tr>
      <w:tr>
        <w:trPr/>
        <w:tc>
          <w:tcPr>
            <w:tcW w:w="7286"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George W. Bilicic(3)</w:t>
            </w:r>
          </w:p>
        </w:tc>
        <w:tc>
          <w:tcPr>
            <w:tcW w:w="23"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47"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128" w:type="dxa"/>
            <w:tcBorders>
              <w:bottom w:val="single" w:sz="8" w:space="0" w:color="001C71"/>
            </w:tcBorders>
            <w:shd w:fill="auto" w:val="clear"/>
            <w:tcMar>
              <w:bottom w:w="60" w:type="dxa"/>
            </w:tcMar>
            <w:vAlign w:val="bottom"/>
          </w:tcPr>
          <w:p>
            <w:pPr>
              <w:pStyle w:val="TableContents"/>
              <w:spacing w:before="0" w:after="283"/>
              <w:rPr/>
            </w:pPr>
            <w:r>
              <w:rPr/>
              <w:t> </w:t>
            </w:r>
          </w:p>
        </w:tc>
        <w:tc>
          <w:tcPr>
            <w:tcW w:w="718" w:type="dxa"/>
            <w:tcBorders>
              <w:bottom w:val="single" w:sz="8" w:space="0" w:color="001C71"/>
            </w:tcBorders>
            <w:shd w:fill="auto" w:val="clear"/>
            <w:tcMar>
              <w:bottom w:w="60" w:type="dxa"/>
            </w:tcMar>
            <w:vAlign w:val="bottom"/>
          </w:tcPr>
          <w:p>
            <w:pPr>
              <w:pStyle w:val="TableContents"/>
              <w:spacing w:before="0" w:after="283"/>
              <w:jc w:val="right"/>
              <w:rPr/>
            </w:pPr>
            <w:r>
              <w:rPr/>
              <w:t>N/A</w:t>
            </w:r>
          </w:p>
        </w:tc>
        <w:tc>
          <w:tcPr>
            <w:tcW w:w="128" w:type="dxa"/>
            <w:tcBorders>
              <w:bottom w:val="single" w:sz="8" w:space="0" w:color="001C71"/>
            </w:tcBorders>
            <w:shd w:fill="auto" w:val="clear"/>
            <w:tcMar>
              <w:bottom w:w="60" w:type="dxa"/>
            </w:tcMar>
            <w:vAlign w:val="bottom"/>
          </w:tcPr>
          <w:p>
            <w:pPr>
              <w:pStyle w:val="TableContents"/>
              <w:spacing w:before="0" w:after="283"/>
              <w:rPr/>
            </w:pPr>
            <w:r>
              <w:rPr/>
              <w:t> </w:t>
            </w:r>
          </w:p>
        </w:tc>
        <w:tc>
          <w:tcPr>
            <w:tcW w:w="23"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680" w:type="dxa"/>
            <w:tcBorders>
              <w:bottom w:val="single" w:sz="8" w:space="0" w:color="001C71"/>
            </w:tcBorders>
            <w:shd w:fill="auto" w:val="clear"/>
            <w:tcMar>
              <w:bottom w:w="60" w:type="dxa"/>
            </w:tcMar>
            <w:vAlign w:val="bottom"/>
          </w:tcPr>
          <w:p>
            <w:pPr>
              <w:pStyle w:val="TableContents"/>
              <w:spacing w:before="0" w:after="283"/>
              <w:jc w:val="right"/>
              <w:rPr/>
            </w:pPr>
            <w:r>
              <w:rPr/>
              <w:t>N/A</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23"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34"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119" w:type="dxa"/>
            <w:tcBorders>
              <w:bottom w:val="single" w:sz="8" w:space="0" w:color="001C71"/>
            </w:tcBorders>
            <w:shd w:fill="auto" w:val="clear"/>
            <w:tcMar>
              <w:bottom w:w="60" w:type="dxa"/>
            </w:tcMar>
            <w:vAlign w:val="bottom"/>
          </w:tcPr>
          <w:p>
            <w:pPr>
              <w:pStyle w:val="TableContents"/>
              <w:spacing w:before="0" w:after="283"/>
              <w:rPr/>
            </w:pPr>
            <w:r>
              <w:rPr/>
              <w:t> </w:t>
            </w:r>
          </w:p>
        </w:tc>
        <w:tc>
          <w:tcPr>
            <w:tcW w:w="727" w:type="dxa"/>
            <w:tcBorders>
              <w:bottom w:val="single" w:sz="8" w:space="0" w:color="001C71"/>
            </w:tcBorders>
            <w:shd w:fill="auto" w:val="clear"/>
            <w:tcMar>
              <w:bottom w:w="60" w:type="dxa"/>
            </w:tcMar>
            <w:vAlign w:val="bottom"/>
          </w:tcPr>
          <w:p>
            <w:pPr>
              <w:pStyle w:val="TableContents"/>
              <w:spacing w:before="0" w:after="283"/>
              <w:jc w:val="right"/>
              <w:rPr/>
            </w:pPr>
            <w:r>
              <w:rPr/>
              <w:t>N/A</w:t>
            </w:r>
          </w:p>
        </w:tc>
        <w:tc>
          <w:tcPr>
            <w:tcW w:w="126"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80" w:after="0"/>
        <w:jc w:val="left"/>
        <w:rPr>
          <w:rFonts w:ascii="arial" w:hAnsi="arial"/>
          <w:i/>
          <w:sz w:val="14"/>
        </w:rPr>
      </w:pPr>
      <w:r>
        <w:rPr>
          <w:rFonts w:ascii="arial" w:hAnsi="arial"/>
          <w:i/>
          <w:sz w:val="14"/>
        </w:rPr>
        <w:t xml:space="preserve">Table 7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Sagaras 2020 performance-based annual bonus was prorated between his prior target of 70% as Chief Executive Officer of SDG&amp;E and his 90% target as Executive Vice President and Group President of Sempra Energy.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Arriolas 2020 performance-based annual bonus was based on his base salary immediately prior to his retirement date and was prorated through his retirement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(3)</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Bilicic was not eligible for a 2020 performance-based annual bonus under the terms of his separation from service. </w:t>
            </w:r>
          </w:p>
        </w:tc>
      </w:tr>
    </w:tbl>
    <w:p>
      <w:pPr>
        <w:pStyle w:val="TextBody"/>
        <w:spacing w:before="280" w:after="0"/>
        <w:jc w:val="left"/>
        <w:rPr>
          <w:rFonts w:ascii="arial" w:hAnsi="arial"/>
          <w:b/>
          <w:sz w:val="20"/>
        </w:rPr>
      </w:pPr>
      <w:r>
        <w:rPr>
          <w:rFonts w:ascii="arial" w:hAnsi="arial"/>
          <w:b/>
          <w:sz w:val="20"/>
        </w:rPr>
        <w:t xml:space="preserve">Annual Bonus Performance Measures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165"/>
        <w:gridCol w:w="101"/>
        <w:gridCol w:w="1939"/>
      </w:tblGrid>
      <w:tr>
        <w:trPr/>
        <w:tc>
          <w:tcPr>
            <w:tcW w:w="816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r>
      <w:tr>
        <w:trPr/>
        <w:tc>
          <w:tcPr>
            <w:tcW w:w="8165" w:type="dxa"/>
            <w:tcBorders/>
            <w:shd w:fill="auto" w:val="clear"/>
            <w:vAlign w:val="bottom"/>
          </w:tcPr>
          <w:p>
            <w:pPr>
              <w:pStyle w:val="TableContents"/>
              <w:spacing w:before="0" w:after="283"/>
              <w:rPr>
                <w:rFonts w:ascii="arial" w:hAnsi="arial"/>
                <w:sz w:val="16"/>
              </w:rPr>
            </w:pPr>
            <w:r>
              <w:rPr>
                <w:rFonts w:ascii="arial" w:hAnsi="arial"/>
                <w:sz w:val="16"/>
              </w:rPr>
              <w:t>For 2020, the Compensation and Talent Development Committee selected earnings, employee and public safety, and customer service and other stakeholder criteria for the measurement of annual corporate performance. The ABP Earnings measure was weighted at 85% and the Safety and Stakeholder Measures were collectively weighted at 15%. For annual bonus plan purposes, ABP Earnings are Sempra Energys GAAP net income, excluding earnings attributable to noncontrolling interests and preferred stock dividends and subject to certain predefined adjustments. ABP Earnings may be higher or lower than earnings reported in our financial statements due to the predefined adjustments. These adjustments are described in Reconciliation of GAAP Earnings to ABP Earnings below and in Appendix D to this proxy statement. The specific components of the Safety and Stakeholder Measures are also described in Appendix D to this proxy statement.</w:t>
            </w:r>
          </w:p>
        </w:tc>
        <w:tc>
          <w:tcPr>
            <w:tcW w:w="101"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0"/>
              <w:jc w:val="center"/>
              <w:rPr/>
            </w:pPr>
            <w:r>
              <w:rPr/>
              <w:drawing>
                <wp:inline distT="0" distB="0" distL="0" distR="0">
                  <wp:extent cx="121285" cy="130175"/>
                  <wp:effectExtent l="0" t="0" r="0" b="0"/>
                  <wp:docPr id="7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2" descr=""/>
                          <pic:cNvPicPr>
                            <a:picLocks noChangeAspect="1" noChangeArrowheads="1"/>
                          </pic:cNvPicPr>
                        </pic:nvPicPr>
                        <pic:blipFill>
                          <a:blip r:embed="rId63"/>
                          <a:stretch>
                            <a:fillRect/>
                          </a:stretch>
                        </pic:blipFill>
                        <pic:spPr bwMode="auto">
                          <a:xfrm>
                            <a:off x="0" y="0"/>
                            <a:ext cx="121285" cy="130175"/>
                          </a:xfrm>
                          <a:prstGeom prst="rect">
                            <a:avLst/>
                          </a:prstGeom>
                        </pic:spPr>
                      </pic:pic>
                    </a:graphicData>
                  </a:graphic>
                </wp:inline>
              </w:drawing>
            </w:r>
            <w:r>
              <w:rPr/>
              <w:t xml:space="preserve"> </w:t>
            </w:r>
          </w:p>
          <w:p>
            <w:pPr>
              <w:pStyle w:val="TableContents"/>
              <w:spacing w:before="0" w:after="0"/>
              <w:jc w:val="right"/>
              <w:rPr>
                <w:rFonts w:ascii="arial" w:hAnsi="arial"/>
                <w:color w:val="FFFFFF"/>
                <w:sz w:val="2"/>
              </w:rPr>
            </w:pPr>
            <w:r>
              <w:rPr>
                <w:rFonts w:ascii="arial" w:hAnsi="arial"/>
                <w:color w:val="FFFFFF"/>
                <w:sz w:val="2"/>
              </w:rPr>
              <w:t xml:space="preserve">85% ABP Earnings 15% Safety and Stakeholder Measures </w:t>
            </w:r>
          </w:p>
        </w:tc>
      </w:tr>
    </w:tbl>
    <w:p>
      <w:pPr>
        <w:pStyle w:val="TextBody"/>
        <w:spacing w:before="280" w:after="0"/>
        <w:jc w:val="left"/>
        <w:rPr>
          <w:rFonts w:ascii="arial" w:hAnsi="arial"/>
          <w:b/>
          <w:sz w:val="20"/>
        </w:rPr>
      </w:pPr>
      <w:r>
        <w:rPr>
          <w:rFonts w:ascii="arial" w:hAnsi="arial"/>
          <w:b/>
          <w:sz w:val="20"/>
        </w:rPr>
        <w:t xml:space="preserve">Rationale for Selection of Performance Measures </w:t>
      </w:r>
    </w:p>
    <w:p>
      <w:pPr>
        <w:pStyle w:val="TextBody"/>
        <w:spacing w:before="120" w:after="0"/>
        <w:jc w:val="left"/>
        <w:rPr>
          <w:rFonts w:ascii="arial" w:hAnsi="arial"/>
          <w:sz w:val="16"/>
        </w:rPr>
      </w:pPr>
      <w:r>
        <w:rPr>
          <w:rFonts w:ascii="arial" w:hAnsi="arial"/>
          <w:sz w:val="16"/>
        </w:rPr>
        <w:t xml:space="preserve">The Compensation and Talent Development Committee selected earnings as the basis of the primary annual bonus plan metric for 2020 because it believes this measure provides an accurate and comprehensive picture of annual company financial performance that plan participants, shareholders, analysts and other parties can clearly understand. </w:t>
      </w:r>
    </w:p>
    <w:p>
      <w:pPr>
        <w:pStyle w:val="TextBody"/>
        <w:spacing w:before="160" w:after="0"/>
        <w:jc w:val="left"/>
        <w:rPr>
          <w:rFonts w:ascii="arial" w:hAnsi="arial"/>
          <w:sz w:val="16"/>
        </w:rPr>
      </w:pPr>
      <w:r>
        <w:rPr>
          <w:rFonts w:ascii="arial" w:hAnsi="arial"/>
          <w:sz w:val="16"/>
        </w:rPr>
        <w:t xml:space="preserve">The committee included Safety and Stakeholder Measures in the 2020 annual bonus plan because it believes that strong safety and customer service performance are critical to our infrastructure-intensive and customer-focused businesses. </w:t>
      </w:r>
    </w:p>
    <w:p>
      <w:pPr>
        <w:pStyle w:val="TextBody"/>
        <w:spacing w:before="160" w:after="0"/>
        <w:jc w:val="left"/>
        <w:rPr>
          <w:rFonts w:ascii="arial" w:hAnsi="arial"/>
          <w:sz w:val="16"/>
        </w:rPr>
      </w:pPr>
      <w:r>
        <w:rPr>
          <w:rFonts w:ascii="arial" w:hAnsi="arial"/>
          <w:sz w:val="16"/>
        </w:rPr>
        <w:t xml:space="preserve">During our shareholder engagement meetings, we solicit shareholders input on the performance measures and other aspects of our incentive plans. Some shareholders expressed a preference for the use of multiple performance measures in annual bonus plans, including a financial performance measure (there was not a clear preference for earnings or EPS), and for the use of different performance measures in our annual and long-term incentive plans. Shareholder feedback related to our annual bonus plan performance measures and structure generally has been positive. </w:t>
      </w:r>
    </w:p>
    <w:p>
      <w:pPr>
        <w:pStyle w:val="TextBody"/>
        <w:spacing w:before="280" w:after="0"/>
        <w:jc w:val="left"/>
        <w:rPr>
          <w:rFonts w:ascii="arial" w:hAnsi="arial"/>
          <w:b/>
          <w:sz w:val="20"/>
        </w:rPr>
      </w:pPr>
      <w:r>
        <w:rPr>
          <w:rFonts w:ascii="arial" w:hAnsi="arial"/>
          <w:b/>
          <w:sz w:val="20"/>
        </w:rPr>
        <w:t xml:space="preserve">ABP Earnings Goal Determination </w:t>
      </w:r>
    </w:p>
    <w:p>
      <w:pPr>
        <w:pStyle w:val="TextBody"/>
        <w:spacing w:before="120" w:after="0"/>
        <w:jc w:val="left"/>
        <w:rPr>
          <w:rFonts w:ascii="arial" w:hAnsi="arial"/>
          <w:sz w:val="16"/>
        </w:rPr>
      </w:pPr>
      <w:r>
        <w:rPr>
          <w:rFonts w:ascii="arial" w:hAnsi="arial"/>
          <w:sz w:val="16"/>
        </w:rPr>
        <w:t xml:space="preserve">Table 8 shows the ABP Earnings criteria for 2020 performance-based annual bonuses: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764"/>
        <w:gridCol w:w="23"/>
        <w:gridCol w:w="42"/>
        <w:gridCol w:w="260"/>
        <w:gridCol w:w="1248"/>
        <w:gridCol w:w="43"/>
        <w:gridCol w:w="23"/>
        <w:gridCol w:w="31"/>
        <w:gridCol w:w="209"/>
        <w:gridCol w:w="909"/>
        <w:gridCol w:w="32"/>
        <w:gridCol w:w="23"/>
        <w:gridCol w:w="41"/>
        <w:gridCol w:w="260"/>
        <w:gridCol w:w="1248"/>
        <w:gridCol w:w="49"/>
      </w:tblGrid>
      <w:tr>
        <w:trPr/>
        <w:tc>
          <w:tcPr>
            <w:tcW w:w="576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5764" w:type="dxa"/>
            <w:tcBorders/>
            <w:shd w:fill="001C71" w:val="clear"/>
            <w:vAlign w:val="center"/>
          </w:tcPr>
          <w:p>
            <w:pPr>
              <w:pStyle w:val="TableContents"/>
              <w:spacing w:before="0" w:after="283"/>
              <w:rPr>
                <w:sz w:val="4"/>
                <w:szCs w:val="4"/>
              </w:rPr>
            </w:pPr>
            <w:r>
              <w:rPr>
                <w:sz w:val="4"/>
                <w:szCs w:val="4"/>
              </w:rPr>
            </w:r>
          </w:p>
        </w:tc>
        <w:tc>
          <w:tcPr>
            <w:tcW w:w="1616" w:type="dxa"/>
            <w:gridSpan w:val="5"/>
            <w:tcBorders/>
            <w:shd w:fill="001C71" w:val="clear"/>
            <w:vAlign w:val="center"/>
          </w:tcPr>
          <w:p>
            <w:pPr>
              <w:pStyle w:val="TableContents"/>
              <w:spacing w:before="0" w:after="283"/>
              <w:rPr>
                <w:sz w:val="4"/>
                <w:szCs w:val="4"/>
              </w:rPr>
            </w:pPr>
            <w:r>
              <w:rPr>
                <w:sz w:val="4"/>
                <w:szCs w:val="4"/>
              </w:rPr>
            </w:r>
          </w:p>
        </w:tc>
        <w:tc>
          <w:tcPr>
            <w:tcW w:w="1204" w:type="dxa"/>
            <w:gridSpan w:val="5"/>
            <w:tcBorders/>
            <w:shd w:fill="001C71" w:val="clear"/>
            <w:vAlign w:val="center"/>
          </w:tcPr>
          <w:p>
            <w:pPr>
              <w:pStyle w:val="TableContents"/>
              <w:spacing w:before="0" w:after="283"/>
              <w:rPr>
                <w:sz w:val="4"/>
                <w:szCs w:val="4"/>
              </w:rPr>
            </w:pPr>
            <w:r>
              <w:rPr>
                <w:sz w:val="4"/>
                <w:szCs w:val="4"/>
              </w:rPr>
            </w:r>
          </w:p>
        </w:tc>
        <w:tc>
          <w:tcPr>
            <w:tcW w:w="1621" w:type="dxa"/>
            <w:gridSpan w:val="5"/>
            <w:tcBorders/>
            <w:shd w:fill="001C71" w:val="clear"/>
            <w:vAlign w:val="center"/>
          </w:tcPr>
          <w:p>
            <w:pPr>
              <w:pStyle w:val="TableContents"/>
              <w:spacing w:before="0" w:after="283"/>
              <w:rPr>
                <w:sz w:val="4"/>
                <w:szCs w:val="4"/>
              </w:rPr>
            </w:pPr>
            <w:r>
              <w:rPr>
                <w:sz w:val="4"/>
                <w:szCs w:val="4"/>
              </w:rPr>
            </w:r>
          </w:p>
        </w:tc>
      </w:tr>
      <w:tr>
        <w:trPr/>
        <w:tc>
          <w:tcPr>
            <w:tcW w:w="5764"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Financial Performance Measure (Dollars in Millions)</w:t>
            </w:r>
          </w:p>
        </w:tc>
        <w:tc>
          <w:tcPr>
            <w:tcW w:w="23" w:type="dxa"/>
            <w:tcBorders/>
            <w:shd w:fill="001C71" w:val="clear"/>
            <w:vAlign w:val="bottom"/>
          </w:tcPr>
          <w:p>
            <w:pPr>
              <w:pStyle w:val="TableContents"/>
              <w:spacing w:before="0" w:after="283"/>
              <w:rPr>
                <w:sz w:val="4"/>
                <w:szCs w:val="4"/>
              </w:rPr>
            </w:pPr>
            <w:r>
              <w:rPr>
                <w:sz w:val="4"/>
                <w:szCs w:val="4"/>
              </w:rPr>
            </w:r>
          </w:p>
        </w:tc>
        <w:tc>
          <w:tcPr>
            <w:tcW w:w="1593" w:type="dxa"/>
            <w:gridSpan w:val="4"/>
            <w:tcBorders/>
            <w:shd w:fill="001C71" w:val="clear"/>
            <w:vAlign w:val="bottom"/>
          </w:tcPr>
          <w:p>
            <w:pPr>
              <w:pStyle w:val="TableContents"/>
              <w:spacing w:before="0" w:after="283"/>
              <w:jc w:val="center"/>
              <w:rPr>
                <w:b/>
                <w:color w:val="FFFFFF"/>
              </w:rPr>
            </w:pPr>
            <w:r>
              <w:rPr>
                <w:b/>
                <w:color w:val="FFFFFF"/>
              </w:rPr>
              <w:t>Threshold     </w:t>
            </w:r>
          </w:p>
        </w:tc>
        <w:tc>
          <w:tcPr>
            <w:tcW w:w="23" w:type="dxa"/>
            <w:tcBorders/>
            <w:shd w:fill="001C71" w:val="clear"/>
            <w:vAlign w:val="bottom"/>
          </w:tcPr>
          <w:p>
            <w:pPr>
              <w:pStyle w:val="TableContents"/>
              <w:spacing w:before="0" w:after="283"/>
              <w:rPr>
                <w:sz w:val="4"/>
                <w:szCs w:val="4"/>
              </w:rPr>
            </w:pPr>
            <w:r>
              <w:rPr>
                <w:sz w:val="4"/>
                <w:szCs w:val="4"/>
              </w:rPr>
            </w:r>
          </w:p>
        </w:tc>
        <w:tc>
          <w:tcPr>
            <w:tcW w:w="1181" w:type="dxa"/>
            <w:gridSpan w:val="4"/>
            <w:tcBorders/>
            <w:shd w:fill="001C71" w:val="clear"/>
            <w:vAlign w:val="bottom"/>
          </w:tcPr>
          <w:p>
            <w:pPr>
              <w:pStyle w:val="TableContents"/>
              <w:spacing w:before="0" w:after="283"/>
              <w:jc w:val="center"/>
              <w:rPr>
                <w:b/>
                <w:color w:val="FFFFFF"/>
              </w:rPr>
            </w:pPr>
            <w:r>
              <w:rPr>
                <w:b/>
                <w:color w:val="FFFFFF"/>
              </w:rPr>
              <w:t>Target     </w:t>
            </w:r>
          </w:p>
        </w:tc>
        <w:tc>
          <w:tcPr>
            <w:tcW w:w="23" w:type="dxa"/>
            <w:tcBorders/>
            <w:shd w:fill="001C71" w:val="clear"/>
            <w:vAlign w:val="bottom"/>
          </w:tcPr>
          <w:p>
            <w:pPr>
              <w:pStyle w:val="TableContents"/>
              <w:spacing w:before="0" w:after="283"/>
              <w:rPr>
                <w:sz w:val="4"/>
                <w:szCs w:val="4"/>
              </w:rPr>
            </w:pPr>
            <w:r>
              <w:rPr>
                <w:sz w:val="4"/>
                <w:szCs w:val="4"/>
              </w:rPr>
            </w:r>
          </w:p>
        </w:tc>
        <w:tc>
          <w:tcPr>
            <w:tcW w:w="1598" w:type="dxa"/>
            <w:gridSpan w:val="4"/>
            <w:tcBorders/>
            <w:shd w:fill="001C71" w:val="clear"/>
            <w:vAlign w:val="bottom"/>
          </w:tcPr>
          <w:p>
            <w:pPr>
              <w:pStyle w:val="TableContents"/>
              <w:spacing w:before="0" w:after="283"/>
              <w:jc w:val="center"/>
              <w:rPr>
                <w:b/>
                <w:color w:val="FFFFFF"/>
              </w:rPr>
            </w:pPr>
            <w:r>
              <w:rPr>
                <w:b/>
                <w:color w:val="FFFFFF"/>
              </w:rPr>
              <w:t>Maximum     </w:t>
            </w:r>
          </w:p>
        </w:tc>
      </w:tr>
      <w:tr>
        <w:trPr>
          <w:trHeight w:val="60" w:hRule="atLeast"/>
        </w:trPr>
        <w:tc>
          <w:tcPr>
            <w:tcW w:w="5764" w:type="dxa"/>
            <w:tcBorders/>
            <w:shd w:fill="E5E5E5" w:val="clear"/>
            <w:vAlign w:val="center"/>
          </w:tcPr>
          <w:p>
            <w:pPr>
              <w:pStyle w:val="TableContents"/>
              <w:spacing w:before="0" w:after="283"/>
              <w:rPr>
                <w:sz w:val="4"/>
                <w:szCs w:val="4"/>
              </w:rPr>
            </w:pPr>
            <w:r>
              <w:rPr>
                <w:sz w:val="4"/>
                <w:szCs w:val="4"/>
              </w:rPr>
            </w:r>
          </w:p>
        </w:tc>
        <w:tc>
          <w:tcPr>
            <w:tcW w:w="1616" w:type="dxa"/>
            <w:gridSpan w:val="5"/>
            <w:tcBorders/>
            <w:shd w:fill="E5E5E5" w:val="clear"/>
            <w:vAlign w:val="center"/>
          </w:tcPr>
          <w:p>
            <w:pPr>
              <w:pStyle w:val="TableContents"/>
              <w:spacing w:before="0" w:after="283"/>
              <w:rPr>
                <w:sz w:val="4"/>
                <w:szCs w:val="4"/>
              </w:rPr>
            </w:pPr>
            <w:r>
              <w:rPr>
                <w:sz w:val="4"/>
                <w:szCs w:val="4"/>
              </w:rPr>
            </w:r>
          </w:p>
        </w:tc>
        <w:tc>
          <w:tcPr>
            <w:tcW w:w="1204" w:type="dxa"/>
            <w:gridSpan w:val="5"/>
            <w:tcBorders/>
            <w:shd w:fill="E5E5E5" w:val="clear"/>
            <w:vAlign w:val="center"/>
          </w:tcPr>
          <w:p>
            <w:pPr>
              <w:pStyle w:val="TableContents"/>
              <w:spacing w:before="0" w:after="283"/>
              <w:rPr>
                <w:sz w:val="4"/>
                <w:szCs w:val="4"/>
              </w:rPr>
            </w:pPr>
            <w:r>
              <w:rPr>
                <w:sz w:val="4"/>
                <w:szCs w:val="4"/>
              </w:rPr>
            </w:r>
          </w:p>
        </w:tc>
        <w:tc>
          <w:tcPr>
            <w:tcW w:w="1621" w:type="dxa"/>
            <w:gridSpan w:val="5"/>
            <w:tcBorders/>
            <w:shd w:fill="E5E5E5" w:val="clear"/>
            <w:vAlign w:val="center"/>
          </w:tcPr>
          <w:p>
            <w:pPr>
              <w:pStyle w:val="TableContents"/>
              <w:spacing w:before="0" w:after="283"/>
              <w:rPr>
                <w:sz w:val="4"/>
                <w:szCs w:val="4"/>
              </w:rPr>
            </w:pPr>
            <w:r>
              <w:rPr>
                <w:sz w:val="4"/>
                <w:szCs w:val="4"/>
              </w:rPr>
            </w:r>
          </w:p>
        </w:tc>
      </w:tr>
      <w:tr>
        <w:trPr/>
        <w:tc>
          <w:tcPr>
            <w:tcW w:w="5764"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ABP Earnings (Attributable to Common Shares)</w:t>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4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60" w:type="dxa"/>
            <w:tcBorders>
              <w:bottom w:val="single" w:sz="8" w:space="0" w:color="001C71"/>
            </w:tcBorders>
            <w:shd w:fill="E5E5E5" w:val="clear"/>
            <w:tcMar>
              <w:bottom w:w="60" w:type="dxa"/>
            </w:tcMar>
            <w:vAlign w:val="bottom"/>
          </w:tcPr>
          <w:p>
            <w:pPr>
              <w:pStyle w:val="TableContents"/>
              <w:spacing w:before="0" w:after="283"/>
              <w:rPr/>
            </w:pPr>
            <w:r>
              <w:rPr/>
              <w:t>$</w:t>
            </w:r>
          </w:p>
        </w:tc>
        <w:tc>
          <w:tcPr>
            <w:tcW w:w="1248" w:type="dxa"/>
            <w:tcBorders>
              <w:bottom w:val="single" w:sz="8" w:space="0" w:color="001C71"/>
            </w:tcBorders>
            <w:shd w:fill="E5E5E5" w:val="clear"/>
            <w:tcMar>
              <w:bottom w:w="60" w:type="dxa"/>
            </w:tcMar>
            <w:vAlign w:val="bottom"/>
          </w:tcPr>
          <w:p>
            <w:pPr>
              <w:pStyle w:val="TableContents"/>
              <w:spacing w:before="0" w:after="283"/>
              <w:jc w:val="right"/>
              <w:rPr/>
            </w:pPr>
            <w:r>
              <w:rPr/>
              <w:t>1,951</w:t>
            </w:r>
          </w:p>
        </w:tc>
        <w:tc>
          <w:tcPr>
            <w:tcW w:w="43"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31"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09" w:type="dxa"/>
            <w:tcBorders>
              <w:bottom w:val="single" w:sz="8" w:space="0" w:color="001C71"/>
            </w:tcBorders>
            <w:shd w:fill="E5E5E5" w:val="clear"/>
            <w:tcMar>
              <w:bottom w:w="60" w:type="dxa"/>
            </w:tcMar>
            <w:vAlign w:val="bottom"/>
          </w:tcPr>
          <w:p>
            <w:pPr>
              <w:pStyle w:val="TableContents"/>
              <w:spacing w:before="0" w:after="283"/>
              <w:rPr/>
            </w:pPr>
            <w:r>
              <w:rPr/>
              <w:t>$</w:t>
            </w:r>
          </w:p>
        </w:tc>
        <w:tc>
          <w:tcPr>
            <w:tcW w:w="909" w:type="dxa"/>
            <w:tcBorders>
              <w:bottom w:val="single" w:sz="8" w:space="0" w:color="001C71"/>
            </w:tcBorders>
            <w:shd w:fill="E5E5E5" w:val="clear"/>
            <w:tcMar>
              <w:bottom w:w="60" w:type="dxa"/>
            </w:tcMar>
            <w:vAlign w:val="bottom"/>
          </w:tcPr>
          <w:p>
            <w:pPr>
              <w:pStyle w:val="TableContents"/>
              <w:spacing w:before="0" w:after="283"/>
              <w:jc w:val="right"/>
              <w:rPr/>
            </w:pPr>
            <w:r>
              <w:rPr/>
              <w:t>2,032</w:t>
            </w:r>
          </w:p>
        </w:tc>
        <w:tc>
          <w:tcPr>
            <w:tcW w:w="32"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41"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60" w:type="dxa"/>
            <w:tcBorders>
              <w:bottom w:val="single" w:sz="8" w:space="0" w:color="001C71"/>
            </w:tcBorders>
            <w:shd w:fill="E5E5E5" w:val="clear"/>
            <w:tcMar>
              <w:bottom w:w="60" w:type="dxa"/>
            </w:tcMar>
            <w:vAlign w:val="bottom"/>
          </w:tcPr>
          <w:p>
            <w:pPr>
              <w:pStyle w:val="TableContents"/>
              <w:spacing w:before="0" w:after="283"/>
              <w:rPr/>
            </w:pPr>
            <w:r>
              <w:rPr/>
              <w:t>$</w:t>
            </w:r>
          </w:p>
        </w:tc>
        <w:tc>
          <w:tcPr>
            <w:tcW w:w="1248" w:type="dxa"/>
            <w:tcBorders>
              <w:bottom w:val="single" w:sz="8" w:space="0" w:color="001C71"/>
            </w:tcBorders>
            <w:shd w:fill="E5E5E5" w:val="clear"/>
            <w:tcMar>
              <w:bottom w:w="60" w:type="dxa"/>
            </w:tcMar>
            <w:vAlign w:val="bottom"/>
          </w:tcPr>
          <w:p>
            <w:pPr>
              <w:pStyle w:val="TableContents"/>
              <w:spacing w:before="0" w:after="283"/>
              <w:jc w:val="right"/>
              <w:rPr/>
            </w:pPr>
            <w:r>
              <w:rPr/>
              <w:t>2,113</w:t>
            </w:r>
          </w:p>
        </w:tc>
        <w:tc>
          <w:tcPr>
            <w:tcW w:w="4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bl>
    <w:p>
      <w:pPr>
        <w:pStyle w:val="TextBody"/>
        <w:spacing w:before="80" w:after="0"/>
        <w:jc w:val="left"/>
        <w:rPr>
          <w:rFonts w:ascii="arial" w:hAnsi="arial"/>
          <w:i/>
          <w:sz w:val="14"/>
        </w:rPr>
      </w:pPr>
      <w:r>
        <w:rPr>
          <w:rFonts w:ascii="arial" w:hAnsi="arial"/>
          <w:i/>
          <w:sz w:val="14"/>
        </w:rPr>
        <w:t xml:space="preserve">Table 8 </w:t>
      </w:r>
    </w:p>
    <w:p>
      <w:pPr>
        <w:pStyle w:val="TextBody"/>
        <w:spacing w:before="160" w:after="0"/>
        <w:jc w:val="left"/>
        <w:rPr>
          <w:rFonts w:ascii="arial" w:hAnsi="arial"/>
          <w:sz w:val="16"/>
        </w:rPr>
      </w:pPr>
      <w:r>
        <w:rPr>
          <w:rFonts w:ascii="arial" w:hAnsi="arial"/>
          <w:sz w:val="16"/>
        </w:rPr>
        <w:t xml:space="preserve">The Compensation and Talent Development Committee set 2020 earnings goals, with the target of $2,032 million in ABP Earnings, based on the companys financial plan and with certain adjustments for annual bonus plan purposes. The financial plan takes into account anticipated earnings for each of our businesses, planned purchases or sales of assets, major capital projects and other significant issues that may impact the companys earnings. The financial plan also is used to develop the companys public earnings guidance. The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55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target reflected an increase of $332 million, or 20%, over our 2019 target ABP Earnings of $1,700 million, and an increase of $52 million, or 3%, over our 2019 actual ABP Earnings. </w:t>
      </w:r>
    </w:p>
    <w:p>
      <w:pPr>
        <w:pStyle w:val="TextBody"/>
        <w:spacing w:before="160" w:after="0"/>
        <w:jc w:val="left"/>
        <w:rPr>
          <w:rFonts w:ascii="arial" w:hAnsi="arial"/>
          <w:sz w:val="16"/>
        </w:rPr>
      </w:pPr>
      <w:r>
        <w:rPr>
          <w:rFonts w:ascii="arial" w:hAnsi="arial"/>
          <w:sz w:val="16"/>
        </w:rPr>
        <w:t xml:space="preserve">Consistent with the approach taken in prior years, the Compensation and Talent Development Committee also determined when it set earnings goals that the earnings calculation for 2020 bonus purposes would be adjusted by excluding the impact of major changes in accounting rules, certain items related to acquisitions and divestitures and other adjustments as described in Appendix D to this proxy statement. In addition, the Compensation and Talent Development Committee has, but did not use, discretion to adjust earnings for other unplanned or unforeseen items that may occur during the course of the year. </w:t>
      </w:r>
    </w:p>
    <w:p>
      <w:pPr>
        <w:pStyle w:val="TextBody"/>
        <w:spacing w:before="280" w:after="0"/>
        <w:jc w:val="left"/>
        <w:rPr>
          <w:rFonts w:ascii="arial" w:hAnsi="arial"/>
          <w:b/>
          <w:sz w:val="20"/>
        </w:rPr>
      </w:pPr>
      <w:r>
        <w:rPr>
          <w:rFonts w:ascii="arial" w:hAnsi="arial"/>
          <w:b/>
          <w:sz w:val="20"/>
        </w:rPr>
        <w:t xml:space="preserve">Reconciliation of GAAP Earnings to ABP Earnings </w:t>
      </w:r>
    </w:p>
    <w:p>
      <w:pPr>
        <w:pStyle w:val="TextBody"/>
        <w:spacing w:before="120" w:after="0"/>
        <w:jc w:val="left"/>
        <w:rPr>
          <w:rFonts w:ascii="arial" w:hAnsi="arial"/>
          <w:sz w:val="16"/>
        </w:rPr>
      </w:pPr>
      <w:r>
        <w:rPr>
          <w:rFonts w:ascii="arial" w:hAnsi="arial"/>
          <w:sz w:val="16"/>
        </w:rPr>
        <w:t xml:space="preserve">A reconciliation of 2020 GAAP earnings to ABP Earnings is provided in Table 9. For additional information about the adjustments made to GAAP earnings to calculate ABP Earnings, please see Appendix D to this proxy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734"/>
        <w:gridCol w:w="204"/>
        <w:gridCol w:w="282"/>
        <w:gridCol w:w="204"/>
        <w:gridCol w:w="113"/>
        <w:gridCol w:w="264"/>
        <w:gridCol w:w="1219"/>
        <w:gridCol w:w="185"/>
      </w:tblGrid>
      <w:tr>
        <w:trPr/>
        <w:tc>
          <w:tcPr>
            <w:tcW w:w="773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7734" w:type="dxa"/>
            <w:tcBorders/>
            <w:shd w:fill="001C71" w:val="clear"/>
            <w:vAlign w:val="center"/>
          </w:tcPr>
          <w:p>
            <w:pPr>
              <w:pStyle w:val="TableContents"/>
              <w:spacing w:before="0" w:after="283"/>
              <w:rPr>
                <w:sz w:val="4"/>
                <w:szCs w:val="4"/>
              </w:rPr>
            </w:pPr>
            <w:r>
              <w:rPr>
                <w:sz w:val="4"/>
                <w:szCs w:val="4"/>
              </w:rPr>
            </w:r>
          </w:p>
        </w:tc>
        <w:tc>
          <w:tcPr>
            <w:tcW w:w="486" w:type="dxa"/>
            <w:gridSpan w:val="2"/>
            <w:tcBorders/>
            <w:shd w:fill="001C71" w:val="clear"/>
            <w:vAlign w:val="center"/>
          </w:tcPr>
          <w:p>
            <w:pPr>
              <w:pStyle w:val="TableContents"/>
              <w:spacing w:before="0" w:after="283"/>
              <w:rPr>
                <w:sz w:val="4"/>
                <w:szCs w:val="4"/>
              </w:rPr>
            </w:pPr>
            <w:r>
              <w:rPr>
                <w:sz w:val="4"/>
                <w:szCs w:val="4"/>
              </w:rPr>
            </w:r>
          </w:p>
        </w:tc>
        <w:tc>
          <w:tcPr>
            <w:tcW w:w="1985" w:type="dxa"/>
            <w:gridSpan w:val="5"/>
            <w:tcBorders/>
            <w:shd w:fill="001C71" w:val="clear"/>
            <w:vAlign w:val="center"/>
          </w:tcPr>
          <w:p>
            <w:pPr>
              <w:pStyle w:val="TableContents"/>
              <w:spacing w:before="0" w:after="283"/>
              <w:rPr>
                <w:sz w:val="4"/>
                <w:szCs w:val="4"/>
              </w:rPr>
            </w:pPr>
            <w:r>
              <w:rPr>
                <w:sz w:val="4"/>
                <w:szCs w:val="4"/>
              </w:rPr>
            </w:r>
          </w:p>
        </w:tc>
      </w:tr>
      <w:tr>
        <w:trPr/>
        <w:tc>
          <w:tcPr>
            <w:tcW w:w="7734"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(Dollars in Millions)</w:t>
            </w:r>
          </w:p>
        </w:tc>
        <w:tc>
          <w:tcPr>
            <w:tcW w:w="204" w:type="dxa"/>
            <w:tcBorders/>
            <w:shd w:fill="001C71" w:val="clear"/>
            <w:vAlign w:val="bottom"/>
          </w:tcPr>
          <w:p>
            <w:pPr>
              <w:pStyle w:val="TableContents"/>
              <w:spacing w:before="0" w:after="283"/>
              <w:rPr/>
            </w:pPr>
            <w:r>
              <w:rPr/>
              <w:t> </w:t>
            </w:r>
          </w:p>
        </w:tc>
        <w:tc>
          <w:tcPr>
            <w:tcW w:w="282" w:type="dxa"/>
            <w:tcBorders/>
            <w:shd w:fill="001C71" w:val="clear"/>
            <w:vAlign w:val="bottom"/>
          </w:tcPr>
          <w:p>
            <w:pPr>
              <w:pStyle w:val="TableContents"/>
              <w:rPr/>
            </w:pPr>
            <w:r>
              <w:rPr/>
              <w:t> </w:t>
            </w:r>
          </w:p>
          <w:p>
            <w:pPr>
              <w:pStyle w:val="TableContents"/>
              <w:spacing w:before="0" w:after="0"/>
              <w:rPr/>
            </w:pPr>
            <w:r>
              <w:rPr/>
              <w:t> </w:t>
            </w:r>
          </w:p>
        </w:tc>
        <w:tc>
          <w:tcPr>
            <w:tcW w:w="204" w:type="dxa"/>
            <w:tcBorders/>
            <w:shd w:fill="001C71" w:val="clear"/>
            <w:vAlign w:val="bottom"/>
          </w:tcPr>
          <w:p>
            <w:pPr>
              <w:pStyle w:val="TableContents"/>
              <w:spacing w:before="0" w:after="283"/>
              <w:rPr/>
            </w:pPr>
            <w:r>
              <w:rPr/>
              <w:t> </w:t>
            </w:r>
          </w:p>
        </w:tc>
        <w:tc>
          <w:tcPr>
            <w:tcW w:w="1781" w:type="dxa"/>
            <w:gridSpan w:val="4"/>
            <w:tcBorders/>
            <w:shd w:fill="001C71" w:val="clear"/>
            <w:vAlign w:val="bottom"/>
          </w:tcPr>
          <w:p>
            <w:pPr>
              <w:pStyle w:val="TableContents"/>
              <w:spacing w:before="0" w:after="283"/>
              <w:jc w:val="right"/>
              <w:rPr>
                <w:b/>
                <w:color w:val="FFFFFF"/>
              </w:rPr>
            </w:pPr>
            <w:r>
              <w:rPr>
                <w:b/>
                <w:color w:val="FFFFFF"/>
              </w:rPr>
              <w:t>Reconciliation     </w:t>
            </w:r>
          </w:p>
        </w:tc>
      </w:tr>
      <w:tr>
        <w:trPr>
          <w:trHeight w:val="60" w:hRule="atLeast"/>
        </w:trPr>
        <w:tc>
          <w:tcPr>
            <w:tcW w:w="7734" w:type="dxa"/>
            <w:tcBorders/>
            <w:shd w:fill="E5E5E5" w:val="clear"/>
            <w:vAlign w:val="center"/>
          </w:tcPr>
          <w:p>
            <w:pPr>
              <w:pStyle w:val="TableContents"/>
              <w:spacing w:before="0" w:after="283"/>
              <w:rPr>
                <w:sz w:val="4"/>
                <w:szCs w:val="4"/>
              </w:rPr>
            </w:pPr>
            <w:r>
              <w:rPr>
                <w:sz w:val="4"/>
                <w:szCs w:val="4"/>
              </w:rPr>
            </w:r>
          </w:p>
        </w:tc>
        <w:tc>
          <w:tcPr>
            <w:tcW w:w="486" w:type="dxa"/>
            <w:gridSpan w:val="2"/>
            <w:tcBorders/>
            <w:shd w:fill="E5E5E5" w:val="clear"/>
            <w:vAlign w:val="center"/>
          </w:tcPr>
          <w:p>
            <w:pPr>
              <w:pStyle w:val="TableContents"/>
              <w:spacing w:before="0" w:after="283"/>
              <w:rPr>
                <w:sz w:val="4"/>
                <w:szCs w:val="4"/>
              </w:rPr>
            </w:pPr>
            <w:r>
              <w:rPr>
                <w:sz w:val="4"/>
                <w:szCs w:val="4"/>
              </w:rPr>
            </w:r>
          </w:p>
        </w:tc>
        <w:tc>
          <w:tcPr>
            <w:tcW w:w="1985" w:type="dxa"/>
            <w:gridSpan w:val="5"/>
            <w:tcBorders/>
            <w:shd w:fill="E5E5E5" w:val="clear"/>
            <w:vAlign w:val="center"/>
          </w:tcPr>
          <w:p>
            <w:pPr>
              <w:pStyle w:val="TableContents"/>
              <w:spacing w:before="0" w:after="283"/>
              <w:rPr>
                <w:sz w:val="4"/>
                <w:szCs w:val="4"/>
              </w:rPr>
            </w:pPr>
            <w:r>
              <w:rPr>
                <w:sz w:val="4"/>
                <w:szCs w:val="4"/>
              </w:rPr>
            </w:r>
          </w:p>
        </w:tc>
      </w:tr>
      <w:tr>
        <w:trPr/>
        <w:tc>
          <w:tcPr>
            <w:tcW w:w="7734" w:type="dxa"/>
            <w:tcBorders/>
            <w:shd w:fill="E5E5E5" w:val="clear"/>
          </w:tcPr>
          <w:p>
            <w:pPr>
              <w:pStyle w:val="TableContents"/>
              <w:spacing w:before="0" w:after="0"/>
              <w:rPr>
                <w:rFonts w:ascii="arial" w:hAnsi="arial"/>
                <w:sz w:val="16"/>
              </w:rPr>
            </w:pPr>
            <w:r>
              <w:rPr>
                <w:rFonts w:ascii="arial" w:hAnsi="arial"/>
                <w:sz w:val="16"/>
              </w:rPr>
              <w:t>GAAP Earnings</w:t>
            </w:r>
          </w:p>
        </w:tc>
        <w:tc>
          <w:tcPr>
            <w:tcW w:w="204" w:type="dxa"/>
            <w:tcBorders/>
            <w:shd w:fill="E5E5E5" w:val="clear"/>
            <w:vAlign w:val="bottom"/>
          </w:tcPr>
          <w:p>
            <w:pPr>
              <w:pStyle w:val="TableContents"/>
              <w:spacing w:before="0" w:after="283"/>
              <w:rPr/>
            </w:pPr>
            <w:r>
              <w:rPr/>
              <w:t> </w:t>
            </w:r>
          </w:p>
        </w:tc>
        <w:tc>
          <w:tcPr>
            <w:tcW w:w="282" w:type="dxa"/>
            <w:tcBorders/>
            <w:shd w:fill="E5E5E5" w:val="clear"/>
            <w:vAlign w:val="bottom"/>
          </w:tcPr>
          <w:p>
            <w:pPr>
              <w:pStyle w:val="TableContents"/>
              <w:spacing w:before="0" w:after="283"/>
              <w:rPr>
                <w:sz w:val="4"/>
                <w:szCs w:val="4"/>
              </w:rPr>
            </w:pPr>
            <w:r>
              <w:rPr>
                <w:sz w:val="4"/>
                <w:szCs w:val="4"/>
              </w:rPr>
            </w:r>
          </w:p>
        </w:tc>
        <w:tc>
          <w:tcPr>
            <w:tcW w:w="204" w:type="dxa"/>
            <w:tcBorders/>
            <w:shd w:fill="E5E5E5" w:val="clear"/>
            <w:vAlign w:val="bottom"/>
          </w:tcPr>
          <w:p>
            <w:pPr>
              <w:pStyle w:val="TableContents"/>
              <w:spacing w:before="0" w:after="283"/>
              <w:rPr/>
            </w:pPr>
            <w:r>
              <w:rPr/>
              <w:t> </w:t>
            </w:r>
          </w:p>
        </w:tc>
        <w:tc>
          <w:tcPr>
            <w:tcW w:w="113" w:type="dxa"/>
            <w:tcBorders/>
            <w:shd w:fill="E5E5E5" w:val="clear"/>
            <w:vAlign w:val="bottom"/>
          </w:tcPr>
          <w:p>
            <w:pPr>
              <w:pStyle w:val="TableContents"/>
              <w:spacing w:before="0" w:after="283"/>
              <w:rPr/>
            </w:pPr>
            <w:r>
              <w:rPr/>
              <w:t> </w:t>
            </w:r>
          </w:p>
        </w:tc>
        <w:tc>
          <w:tcPr>
            <w:tcW w:w="264" w:type="dxa"/>
            <w:tcBorders/>
            <w:shd w:fill="E5E5E5" w:val="clear"/>
            <w:vAlign w:val="bottom"/>
          </w:tcPr>
          <w:p>
            <w:pPr>
              <w:pStyle w:val="TableContents"/>
              <w:spacing w:before="0" w:after="283"/>
              <w:rPr/>
            </w:pPr>
            <w:r>
              <w:rPr/>
              <w:t>$</w:t>
            </w:r>
          </w:p>
        </w:tc>
        <w:tc>
          <w:tcPr>
            <w:tcW w:w="1219" w:type="dxa"/>
            <w:tcBorders/>
            <w:shd w:fill="E5E5E5" w:val="clear"/>
            <w:vAlign w:val="bottom"/>
          </w:tcPr>
          <w:p>
            <w:pPr>
              <w:pStyle w:val="TableContents"/>
              <w:spacing w:before="0" w:after="283"/>
              <w:jc w:val="right"/>
              <w:rPr/>
            </w:pPr>
            <w:r>
              <w:rPr/>
              <w:t>3,764</w:t>
            </w:r>
          </w:p>
        </w:tc>
        <w:tc>
          <w:tcPr>
            <w:tcW w:w="185"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7734" w:type="dxa"/>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c>
          <w:tcPr>
            <w:tcW w:w="1985" w:type="dxa"/>
            <w:gridSpan w:val="5"/>
            <w:tcBorders/>
            <w:shd w:fill="auto" w:val="clear"/>
            <w:vAlign w:val="center"/>
          </w:tcPr>
          <w:p>
            <w:pPr>
              <w:pStyle w:val="TableContents"/>
              <w:spacing w:before="0" w:after="283"/>
              <w:rPr>
                <w:sz w:val="4"/>
                <w:szCs w:val="4"/>
              </w:rPr>
            </w:pPr>
            <w:r>
              <w:rPr>
                <w:sz w:val="4"/>
                <w:szCs w:val="4"/>
              </w:rPr>
            </w:r>
          </w:p>
        </w:tc>
      </w:tr>
      <w:tr>
        <w:trPr/>
        <w:tc>
          <w:tcPr>
            <w:tcW w:w="7734" w:type="dxa"/>
            <w:tcBorders/>
            <w:shd w:fill="auto" w:val="clear"/>
          </w:tcPr>
          <w:p>
            <w:pPr>
              <w:pStyle w:val="TableContents"/>
              <w:spacing w:before="0" w:after="0"/>
              <w:rPr>
                <w:rFonts w:ascii="arial" w:hAnsi="arial"/>
                <w:sz w:val="16"/>
              </w:rPr>
            </w:pPr>
            <w:r>
              <w:rPr>
                <w:rFonts w:ascii="arial" w:hAnsi="arial"/>
                <w:sz w:val="16"/>
              </w:rPr>
              <w:t>Predefined Adjustments:</w:t>
            </w:r>
          </w:p>
        </w:tc>
        <w:tc>
          <w:tcPr>
            <w:tcW w:w="2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sz w:val="4"/>
                <w:szCs w:val="4"/>
              </w:rPr>
            </w:pPr>
            <w:r>
              <w:rPr>
                <w:sz w:val="4"/>
                <w:szCs w:val="4"/>
              </w:rPr>
            </w:r>
          </w:p>
        </w:tc>
        <w:tc>
          <w:tcPr>
            <w:tcW w:w="1219"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7734" w:type="dxa"/>
            <w:tcBorders/>
            <w:shd w:fill="E5E5E5" w:val="clear"/>
            <w:vAlign w:val="center"/>
          </w:tcPr>
          <w:p>
            <w:pPr>
              <w:pStyle w:val="TableContents"/>
              <w:spacing w:before="0" w:after="283"/>
              <w:rPr>
                <w:sz w:val="4"/>
                <w:szCs w:val="4"/>
              </w:rPr>
            </w:pPr>
            <w:r>
              <w:rPr>
                <w:sz w:val="4"/>
                <w:szCs w:val="4"/>
              </w:rPr>
            </w:r>
          </w:p>
        </w:tc>
        <w:tc>
          <w:tcPr>
            <w:tcW w:w="486" w:type="dxa"/>
            <w:gridSpan w:val="2"/>
            <w:tcBorders/>
            <w:shd w:fill="E5E5E5" w:val="clear"/>
            <w:vAlign w:val="center"/>
          </w:tcPr>
          <w:p>
            <w:pPr>
              <w:pStyle w:val="TableContents"/>
              <w:spacing w:before="0" w:after="283"/>
              <w:rPr>
                <w:sz w:val="4"/>
                <w:szCs w:val="4"/>
              </w:rPr>
            </w:pPr>
            <w:r>
              <w:rPr>
                <w:sz w:val="4"/>
                <w:szCs w:val="4"/>
              </w:rPr>
            </w:r>
          </w:p>
        </w:tc>
        <w:tc>
          <w:tcPr>
            <w:tcW w:w="1985" w:type="dxa"/>
            <w:gridSpan w:val="5"/>
            <w:tcBorders/>
            <w:shd w:fill="E5E5E5" w:val="clear"/>
            <w:vAlign w:val="center"/>
          </w:tcPr>
          <w:p>
            <w:pPr>
              <w:pStyle w:val="TableContents"/>
              <w:spacing w:before="0" w:after="283"/>
              <w:rPr>
                <w:sz w:val="4"/>
                <w:szCs w:val="4"/>
              </w:rPr>
            </w:pPr>
            <w:r>
              <w:rPr>
                <w:sz w:val="4"/>
                <w:szCs w:val="4"/>
              </w:rPr>
            </w:r>
          </w:p>
        </w:tc>
      </w:tr>
      <w:tr>
        <w:trPr/>
        <w:tc>
          <w:tcPr>
            <w:tcW w:w="7734" w:type="dxa"/>
            <w:tcBorders/>
            <w:shd w:fill="E5E5E5" w:val="clear"/>
          </w:tcPr>
          <w:p>
            <w:pPr>
              <w:pStyle w:val="TableContents"/>
              <w:spacing w:before="0" w:after="0"/>
              <w:rPr>
                <w:rFonts w:ascii="arial" w:hAnsi="arial"/>
                <w:sz w:val="16"/>
              </w:rPr>
            </w:pPr>
            <w:r>
              <w:rPr>
                <w:rFonts w:ascii="arial" w:hAnsi="arial"/>
                <w:sz w:val="16"/>
              </w:rPr>
              <w:t>Exclude gain on sale of South American businesses and related items</w:t>
            </w:r>
          </w:p>
        </w:tc>
        <w:tc>
          <w:tcPr>
            <w:tcW w:w="204" w:type="dxa"/>
            <w:tcBorders/>
            <w:shd w:fill="E5E5E5" w:val="clear"/>
            <w:vAlign w:val="bottom"/>
          </w:tcPr>
          <w:p>
            <w:pPr>
              <w:pStyle w:val="TableContents"/>
              <w:spacing w:before="0" w:after="283"/>
              <w:rPr/>
            </w:pPr>
            <w:r>
              <w:rPr/>
              <w:t> </w:t>
            </w:r>
          </w:p>
        </w:tc>
        <w:tc>
          <w:tcPr>
            <w:tcW w:w="282" w:type="dxa"/>
            <w:tcBorders/>
            <w:shd w:fill="E5E5E5" w:val="clear"/>
            <w:vAlign w:val="bottom"/>
          </w:tcPr>
          <w:p>
            <w:pPr>
              <w:pStyle w:val="TableContents"/>
              <w:spacing w:before="0" w:after="283"/>
              <w:rPr>
                <w:sz w:val="4"/>
                <w:szCs w:val="4"/>
              </w:rPr>
            </w:pPr>
            <w:r>
              <w:rPr>
                <w:sz w:val="4"/>
                <w:szCs w:val="4"/>
              </w:rPr>
            </w:r>
          </w:p>
        </w:tc>
        <w:tc>
          <w:tcPr>
            <w:tcW w:w="204" w:type="dxa"/>
            <w:tcBorders/>
            <w:shd w:fill="E5E5E5" w:val="clear"/>
            <w:vAlign w:val="bottom"/>
          </w:tcPr>
          <w:p>
            <w:pPr>
              <w:pStyle w:val="TableContents"/>
              <w:spacing w:before="0" w:after="283"/>
              <w:rPr/>
            </w:pPr>
            <w:r>
              <w:rPr/>
              <w:t> </w:t>
            </w:r>
          </w:p>
        </w:tc>
        <w:tc>
          <w:tcPr>
            <w:tcW w:w="113" w:type="dxa"/>
            <w:tcBorders/>
            <w:shd w:fill="E5E5E5" w:val="clear"/>
            <w:vAlign w:val="bottom"/>
          </w:tcPr>
          <w:p>
            <w:pPr>
              <w:pStyle w:val="TableContents"/>
              <w:spacing w:before="0" w:after="283"/>
              <w:rPr/>
            </w:pPr>
            <w:r>
              <w:rPr/>
              <w:t> </w:t>
            </w:r>
          </w:p>
        </w:tc>
        <w:tc>
          <w:tcPr>
            <w:tcW w:w="264" w:type="dxa"/>
            <w:tcBorders/>
            <w:shd w:fill="E5E5E5" w:val="clear"/>
            <w:vAlign w:val="bottom"/>
          </w:tcPr>
          <w:p>
            <w:pPr>
              <w:pStyle w:val="TableContents"/>
              <w:spacing w:before="0" w:after="283"/>
              <w:rPr/>
            </w:pPr>
            <w:r>
              <w:rPr/>
              <w:t> </w:t>
            </w:r>
          </w:p>
        </w:tc>
        <w:tc>
          <w:tcPr>
            <w:tcW w:w="1219" w:type="dxa"/>
            <w:tcBorders/>
            <w:shd w:fill="E5E5E5" w:val="clear"/>
            <w:vAlign w:val="bottom"/>
          </w:tcPr>
          <w:p>
            <w:pPr>
              <w:pStyle w:val="TableContents"/>
              <w:spacing w:before="0" w:after="283"/>
              <w:jc w:val="right"/>
              <w:rPr/>
            </w:pPr>
            <w:r>
              <w:rPr/>
              <w:t>(1,752</w:t>
            </w:r>
          </w:p>
        </w:tc>
        <w:tc>
          <w:tcPr>
            <w:tcW w:w="185" w:type="dxa"/>
            <w:tcBorders/>
            <w:shd w:fill="E5E5E5" w:val="clear"/>
            <w:vAlign w:val="bottom"/>
          </w:tcPr>
          <w:p>
            <w:pPr>
              <w:pStyle w:val="TableContents"/>
              <w:spacing w:before="0" w:after="283"/>
              <w:rPr/>
            </w:pPr>
            <w:r>
              <w:rPr/>
              <w:t>)</w:t>
            </w:r>
          </w:p>
        </w:tc>
      </w:tr>
      <w:tr>
        <w:trPr>
          <w:trHeight w:val="60" w:hRule="atLeast"/>
        </w:trPr>
        <w:tc>
          <w:tcPr>
            <w:tcW w:w="7734" w:type="dxa"/>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c>
          <w:tcPr>
            <w:tcW w:w="1985" w:type="dxa"/>
            <w:gridSpan w:val="5"/>
            <w:tcBorders/>
            <w:shd w:fill="auto" w:val="clear"/>
            <w:vAlign w:val="center"/>
          </w:tcPr>
          <w:p>
            <w:pPr>
              <w:pStyle w:val="TableContents"/>
              <w:spacing w:before="0" w:after="283"/>
              <w:rPr>
                <w:sz w:val="4"/>
                <w:szCs w:val="4"/>
              </w:rPr>
            </w:pPr>
            <w:r>
              <w:rPr>
                <w:sz w:val="4"/>
                <w:szCs w:val="4"/>
              </w:rPr>
            </w:r>
          </w:p>
        </w:tc>
      </w:tr>
      <w:tr>
        <w:trPr/>
        <w:tc>
          <w:tcPr>
            <w:tcW w:w="7734" w:type="dxa"/>
            <w:tcBorders/>
            <w:shd w:fill="auto" w:val="clear"/>
          </w:tcPr>
          <w:p>
            <w:pPr>
              <w:pStyle w:val="TableContents"/>
              <w:spacing w:before="0" w:after="0"/>
              <w:rPr>
                <w:rFonts w:ascii="arial" w:hAnsi="arial"/>
                <w:sz w:val="16"/>
              </w:rPr>
            </w:pPr>
            <w:r>
              <w:rPr>
                <w:rFonts w:ascii="arial" w:hAnsi="arial"/>
                <w:sz w:val="16"/>
              </w:rPr>
              <w:t>Exclude variance to plan of foreign exchange gains or losses at Mexico</w:t>
            </w:r>
          </w:p>
        </w:tc>
        <w:tc>
          <w:tcPr>
            <w:tcW w:w="2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43</w:t>
            </w:r>
          </w:p>
        </w:tc>
        <w:tc>
          <w:tcPr>
            <w:tcW w:w="185"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7734" w:type="dxa"/>
            <w:tcBorders/>
            <w:shd w:fill="E5E5E5" w:val="clear"/>
            <w:vAlign w:val="center"/>
          </w:tcPr>
          <w:p>
            <w:pPr>
              <w:pStyle w:val="TableContents"/>
              <w:spacing w:before="0" w:after="283"/>
              <w:rPr>
                <w:sz w:val="4"/>
                <w:szCs w:val="4"/>
              </w:rPr>
            </w:pPr>
            <w:r>
              <w:rPr>
                <w:sz w:val="4"/>
                <w:szCs w:val="4"/>
              </w:rPr>
            </w:r>
          </w:p>
        </w:tc>
        <w:tc>
          <w:tcPr>
            <w:tcW w:w="486" w:type="dxa"/>
            <w:gridSpan w:val="2"/>
            <w:tcBorders/>
            <w:shd w:fill="E5E5E5" w:val="clear"/>
            <w:vAlign w:val="center"/>
          </w:tcPr>
          <w:p>
            <w:pPr>
              <w:pStyle w:val="TableContents"/>
              <w:spacing w:before="0" w:after="283"/>
              <w:rPr>
                <w:sz w:val="4"/>
                <w:szCs w:val="4"/>
              </w:rPr>
            </w:pPr>
            <w:r>
              <w:rPr>
                <w:sz w:val="4"/>
                <w:szCs w:val="4"/>
              </w:rPr>
            </w:r>
          </w:p>
        </w:tc>
        <w:tc>
          <w:tcPr>
            <w:tcW w:w="1985" w:type="dxa"/>
            <w:gridSpan w:val="5"/>
            <w:tcBorders/>
            <w:shd w:fill="E5E5E5" w:val="clear"/>
            <w:vAlign w:val="center"/>
          </w:tcPr>
          <w:p>
            <w:pPr>
              <w:pStyle w:val="TableContents"/>
              <w:spacing w:before="0" w:after="283"/>
              <w:rPr>
                <w:sz w:val="4"/>
                <w:szCs w:val="4"/>
              </w:rPr>
            </w:pPr>
            <w:r>
              <w:rPr>
                <w:sz w:val="4"/>
                <w:szCs w:val="4"/>
              </w:rPr>
            </w:r>
          </w:p>
        </w:tc>
      </w:tr>
      <w:tr>
        <w:trPr/>
        <w:tc>
          <w:tcPr>
            <w:tcW w:w="7734" w:type="dxa"/>
            <w:tcBorders/>
            <w:shd w:fill="E5E5E5" w:val="clear"/>
          </w:tcPr>
          <w:p>
            <w:pPr>
              <w:pStyle w:val="TableContents"/>
              <w:spacing w:before="0" w:after="0"/>
              <w:rPr>
                <w:rFonts w:ascii="arial" w:hAnsi="arial"/>
                <w:sz w:val="16"/>
              </w:rPr>
            </w:pPr>
            <w:r>
              <w:rPr>
                <w:rFonts w:ascii="arial" w:hAnsi="arial"/>
                <w:sz w:val="16"/>
              </w:rPr>
              <w:t>Exclude unplanned rabbi trust investment returns (related to nonqualified pension and deferred compensation) in excess of specified limits and nonqualified pension settlement charges to the extent not included in the plan</w:t>
            </w:r>
          </w:p>
        </w:tc>
        <w:tc>
          <w:tcPr>
            <w:tcW w:w="204" w:type="dxa"/>
            <w:tcBorders/>
            <w:shd w:fill="E5E5E5" w:val="clear"/>
            <w:vAlign w:val="bottom"/>
          </w:tcPr>
          <w:p>
            <w:pPr>
              <w:pStyle w:val="TableContents"/>
              <w:spacing w:before="0" w:after="283"/>
              <w:rPr/>
            </w:pPr>
            <w:r>
              <w:rPr/>
              <w:t> </w:t>
            </w:r>
          </w:p>
        </w:tc>
        <w:tc>
          <w:tcPr>
            <w:tcW w:w="282" w:type="dxa"/>
            <w:tcBorders/>
            <w:shd w:fill="E5E5E5" w:val="clear"/>
            <w:vAlign w:val="bottom"/>
          </w:tcPr>
          <w:p>
            <w:pPr>
              <w:pStyle w:val="TableContents"/>
              <w:spacing w:before="0" w:after="283"/>
              <w:rPr>
                <w:sz w:val="4"/>
                <w:szCs w:val="4"/>
              </w:rPr>
            </w:pPr>
            <w:r>
              <w:rPr>
                <w:sz w:val="4"/>
                <w:szCs w:val="4"/>
              </w:rPr>
            </w:r>
          </w:p>
        </w:tc>
        <w:tc>
          <w:tcPr>
            <w:tcW w:w="204" w:type="dxa"/>
            <w:tcBorders/>
            <w:shd w:fill="E5E5E5" w:val="clear"/>
            <w:vAlign w:val="bottom"/>
          </w:tcPr>
          <w:p>
            <w:pPr>
              <w:pStyle w:val="TableContents"/>
              <w:spacing w:before="0" w:after="283"/>
              <w:rPr/>
            </w:pPr>
            <w:r>
              <w:rPr/>
              <w:t> </w:t>
            </w:r>
          </w:p>
        </w:tc>
        <w:tc>
          <w:tcPr>
            <w:tcW w:w="113" w:type="dxa"/>
            <w:tcBorders/>
            <w:shd w:fill="E5E5E5" w:val="clear"/>
            <w:vAlign w:val="bottom"/>
          </w:tcPr>
          <w:p>
            <w:pPr>
              <w:pStyle w:val="TableContents"/>
              <w:spacing w:before="0" w:after="283"/>
              <w:rPr/>
            </w:pPr>
            <w:r>
              <w:rPr/>
              <w:t> </w:t>
            </w:r>
          </w:p>
        </w:tc>
        <w:tc>
          <w:tcPr>
            <w:tcW w:w="264" w:type="dxa"/>
            <w:tcBorders/>
            <w:shd w:fill="E5E5E5" w:val="clear"/>
            <w:vAlign w:val="bottom"/>
          </w:tcPr>
          <w:p>
            <w:pPr>
              <w:pStyle w:val="TableContents"/>
              <w:spacing w:before="0" w:after="283"/>
              <w:rPr/>
            </w:pPr>
            <w:r>
              <w:rPr/>
              <w:t> </w:t>
            </w:r>
          </w:p>
        </w:tc>
        <w:tc>
          <w:tcPr>
            <w:tcW w:w="1219" w:type="dxa"/>
            <w:tcBorders/>
            <w:shd w:fill="E5E5E5" w:val="clear"/>
            <w:vAlign w:val="bottom"/>
          </w:tcPr>
          <w:p>
            <w:pPr>
              <w:pStyle w:val="TableContents"/>
              <w:spacing w:before="0" w:after="283"/>
              <w:jc w:val="right"/>
              <w:rPr/>
            </w:pPr>
            <w:r>
              <w:rPr/>
              <w:t>(19</w:t>
            </w:r>
          </w:p>
        </w:tc>
        <w:tc>
          <w:tcPr>
            <w:tcW w:w="185" w:type="dxa"/>
            <w:tcBorders/>
            <w:shd w:fill="E5E5E5" w:val="clear"/>
            <w:vAlign w:val="bottom"/>
          </w:tcPr>
          <w:p>
            <w:pPr>
              <w:pStyle w:val="TableContents"/>
              <w:spacing w:before="0" w:after="283"/>
              <w:rPr/>
            </w:pPr>
            <w:r>
              <w:rPr/>
              <w:t>)</w:t>
            </w:r>
          </w:p>
        </w:tc>
      </w:tr>
      <w:tr>
        <w:trPr>
          <w:trHeight w:val="60" w:hRule="atLeast"/>
        </w:trPr>
        <w:tc>
          <w:tcPr>
            <w:tcW w:w="7734" w:type="dxa"/>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c>
          <w:tcPr>
            <w:tcW w:w="1985" w:type="dxa"/>
            <w:gridSpan w:val="5"/>
            <w:tcBorders/>
            <w:shd w:fill="auto" w:val="clear"/>
            <w:vAlign w:val="center"/>
          </w:tcPr>
          <w:p>
            <w:pPr>
              <w:pStyle w:val="TableContents"/>
              <w:spacing w:before="0" w:after="283"/>
              <w:rPr>
                <w:sz w:val="4"/>
                <w:szCs w:val="4"/>
              </w:rPr>
            </w:pPr>
            <w:r>
              <w:rPr>
                <w:sz w:val="4"/>
                <w:szCs w:val="4"/>
              </w:rPr>
            </w:r>
          </w:p>
        </w:tc>
      </w:tr>
      <w:tr>
        <w:trPr/>
        <w:tc>
          <w:tcPr>
            <w:tcW w:w="7734" w:type="dxa"/>
            <w:tcBorders/>
            <w:shd w:fill="auto" w:val="clear"/>
          </w:tcPr>
          <w:p>
            <w:pPr>
              <w:pStyle w:val="TableContents"/>
              <w:spacing w:before="0" w:after="0"/>
              <w:rPr>
                <w:rFonts w:ascii="arial" w:hAnsi="arial"/>
                <w:sz w:val="16"/>
              </w:rPr>
            </w:pPr>
            <w:r>
              <w:rPr>
                <w:rFonts w:ascii="arial" w:hAnsi="arial"/>
                <w:sz w:val="16"/>
              </w:rPr>
              <w:t>Exclude legacy litigation costs, costs related to Sempra Commodities, which was sold, and the impact of unplanned changes in tax law</w:t>
            </w:r>
          </w:p>
        </w:tc>
        <w:tc>
          <w:tcPr>
            <w:tcW w:w="2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sz w:val="4"/>
                <w:szCs w:val="4"/>
              </w:rPr>
            </w:pPr>
            <w:r>
              <w:rPr>
                <w:sz w:val="4"/>
                <w:szCs w:val="4"/>
              </w:rPr>
            </w:r>
          </w:p>
        </w:tc>
        <w:tc>
          <w:tcPr>
            <w:tcW w:w="204" w:type="dxa"/>
            <w:tcBorders>
              <w:bottom w:val="single" w:sz="2" w:space="0" w:color="001C71"/>
            </w:tcBorders>
            <w:shd w:fill="auto" w:val="clear"/>
            <w:tcMar>
              <w:bottom w:w="28" w:type="dxa"/>
            </w:tcMar>
            <w:vAlign w:val="bottom"/>
          </w:tcPr>
          <w:p>
            <w:pPr>
              <w:pStyle w:val="TableContents"/>
              <w:spacing w:before="0" w:after="283"/>
              <w:rPr/>
            </w:pPr>
            <w:r>
              <w:rPr/>
              <w:t> </w:t>
            </w:r>
          </w:p>
        </w:tc>
        <w:tc>
          <w:tcPr>
            <w:tcW w:w="113" w:type="dxa"/>
            <w:tcBorders>
              <w:bottom w:val="single" w:sz="2" w:space="0" w:color="001C71"/>
            </w:tcBorders>
            <w:shd w:fill="auto" w:val="clear"/>
            <w:tcMar>
              <w:bottom w:w="28" w:type="dxa"/>
            </w:tcMar>
            <w:vAlign w:val="bottom"/>
          </w:tcPr>
          <w:p>
            <w:pPr>
              <w:pStyle w:val="TableContents"/>
              <w:spacing w:before="0" w:after="283"/>
              <w:rPr/>
            </w:pPr>
            <w:r>
              <w:rPr/>
              <w:t> </w:t>
            </w:r>
          </w:p>
        </w:tc>
        <w:tc>
          <w:tcPr>
            <w:tcW w:w="264" w:type="dxa"/>
            <w:tcBorders>
              <w:bottom w:val="single" w:sz="2" w:space="0" w:color="001C71"/>
            </w:tcBorders>
            <w:shd w:fill="auto" w:val="clear"/>
            <w:tcMar>
              <w:bottom w:w="60" w:type="dxa"/>
            </w:tcMar>
            <w:vAlign w:val="bottom"/>
          </w:tcPr>
          <w:p>
            <w:pPr>
              <w:pStyle w:val="TableContents"/>
              <w:spacing w:before="0" w:after="283"/>
              <w:rPr/>
            </w:pPr>
            <w:r>
              <w:rPr/>
              <w:t> </w:t>
            </w:r>
          </w:p>
        </w:tc>
        <w:tc>
          <w:tcPr>
            <w:tcW w:w="1219" w:type="dxa"/>
            <w:tcBorders>
              <w:bottom w:val="single" w:sz="2" w:space="0" w:color="001C71"/>
            </w:tcBorders>
            <w:shd w:fill="auto" w:val="clear"/>
            <w:tcMar>
              <w:bottom w:w="60" w:type="dxa"/>
            </w:tcMar>
            <w:vAlign w:val="bottom"/>
          </w:tcPr>
          <w:p>
            <w:pPr>
              <w:pStyle w:val="TableContents"/>
              <w:spacing w:before="0" w:after="283"/>
              <w:jc w:val="right"/>
              <w:rPr/>
            </w:pPr>
            <w:r>
              <w:rPr/>
              <w:t>303</w:t>
            </w:r>
          </w:p>
        </w:tc>
        <w:tc>
          <w:tcPr>
            <w:tcW w:w="185" w:type="dxa"/>
            <w:tcBorders>
              <w:bottom w:val="single" w:sz="2" w:space="0" w:color="001C71"/>
            </w:tcBorders>
            <w:shd w:fill="auto"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7734" w:type="dxa"/>
            <w:tcBorders/>
            <w:shd w:fill="E5E5E5" w:val="clear"/>
            <w:vAlign w:val="center"/>
          </w:tcPr>
          <w:p>
            <w:pPr>
              <w:pStyle w:val="TableContents"/>
              <w:spacing w:before="0" w:after="283"/>
              <w:rPr>
                <w:sz w:val="4"/>
                <w:szCs w:val="4"/>
              </w:rPr>
            </w:pPr>
            <w:r>
              <w:rPr>
                <w:sz w:val="4"/>
                <w:szCs w:val="4"/>
              </w:rPr>
            </w:r>
          </w:p>
        </w:tc>
        <w:tc>
          <w:tcPr>
            <w:tcW w:w="486" w:type="dxa"/>
            <w:gridSpan w:val="2"/>
            <w:tcBorders/>
            <w:shd w:fill="E5E5E5" w:val="clear"/>
            <w:vAlign w:val="center"/>
          </w:tcPr>
          <w:p>
            <w:pPr>
              <w:pStyle w:val="TableContents"/>
              <w:spacing w:before="0" w:after="283"/>
              <w:rPr>
                <w:sz w:val="4"/>
                <w:szCs w:val="4"/>
              </w:rPr>
            </w:pPr>
            <w:r>
              <w:rPr>
                <w:sz w:val="4"/>
                <w:szCs w:val="4"/>
              </w:rPr>
            </w:r>
          </w:p>
        </w:tc>
        <w:tc>
          <w:tcPr>
            <w:tcW w:w="1985" w:type="dxa"/>
            <w:gridSpan w:val="5"/>
            <w:tcBorders/>
            <w:shd w:fill="E5E5E5" w:val="clear"/>
            <w:vAlign w:val="center"/>
          </w:tcPr>
          <w:p>
            <w:pPr>
              <w:pStyle w:val="TableContents"/>
              <w:spacing w:before="0" w:after="283"/>
              <w:rPr>
                <w:sz w:val="4"/>
                <w:szCs w:val="4"/>
              </w:rPr>
            </w:pPr>
            <w:r>
              <w:rPr>
                <w:sz w:val="4"/>
                <w:szCs w:val="4"/>
              </w:rPr>
            </w:r>
          </w:p>
        </w:tc>
      </w:tr>
      <w:tr>
        <w:trPr/>
        <w:tc>
          <w:tcPr>
            <w:tcW w:w="7734"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ABP Earnings</w:t>
            </w:r>
          </w:p>
        </w:tc>
        <w:tc>
          <w:tcPr>
            <w:tcW w:w="204" w:type="dxa"/>
            <w:tcBorders>
              <w:bottom w:val="single" w:sz="8" w:space="0" w:color="001C71"/>
            </w:tcBorders>
            <w:shd w:fill="E5E5E5" w:val="clear"/>
            <w:tcMar>
              <w:bottom w:w="28" w:type="dxa"/>
            </w:tcMar>
            <w:vAlign w:val="bottom"/>
          </w:tcPr>
          <w:p>
            <w:pPr>
              <w:pStyle w:val="TableContents"/>
              <w:spacing w:before="0" w:after="283"/>
              <w:rPr/>
            </w:pPr>
            <w:r>
              <w:rPr/>
              <w:t> </w:t>
            </w:r>
          </w:p>
        </w:tc>
        <w:tc>
          <w:tcPr>
            <w:tcW w:w="282" w:type="dxa"/>
            <w:tcBorders>
              <w:bottom w:val="single" w:sz="8" w:space="0" w:color="001C71"/>
            </w:tcBorders>
            <w:shd w:fill="E5E5E5" w:val="clear"/>
            <w:tcMar>
              <w:bottom w:w="28" w:type="dxa"/>
            </w:tcMar>
            <w:vAlign w:val="bottom"/>
          </w:tcPr>
          <w:p>
            <w:pPr>
              <w:pStyle w:val="TableContents"/>
              <w:spacing w:before="0" w:after="283"/>
              <w:rPr/>
            </w:pPr>
            <w:r>
              <w:rPr/>
              <w:t> </w:t>
            </w:r>
          </w:p>
        </w:tc>
        <w:tc>
          <w:tcPr>
            <w:tcW w:w="204"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3" w:type="dxa"/>
            <w:tcBorders>
              <w:bottom w:val="single" w:sz="8" w:space="0" w:color="001C71"/>
            </w:tcBorders>
            <w:shd w:fill="E5E5E5" w:val="clear"/>
            <w:tcMar>
              <w:bottom w:w="28" w:type="dxa"/>
            </w:tcMar>
            <w:vAlign w:val="bottom"/>
          </w:tcPr>
          <w:p>
            <w:pPr>
              <w:pStyle w:val="TableContents"/>
              <w:spacing w:before="0" w:after="283"/>
              <w:rPr/>
            </w:pPr>
            <w:r>
              <w:rPr/>
              <w:t> </w:t>
            </w:r>
          </w:p>
        </w:tc>
        <w:tc>
          <w:tcPr>
            <w:tcW w:w="264" w:type="dxa"/>
            <w:tcBorders>
              <w:bottom w:val="single" w:sz="8" w:space="0" w:color="001C71"/>
            </w:tcBorders>
            <w:shd w:fill="E5E5E5" w:val="clear"/>
            <w:tcMar>
              <w:bottom w:w="60" w:type="dxa"/>
            </w:tcMar>
            <w:vAlign w:val="bottom"/>
          </w:tcPr>
          <w:p>
            <w:pPr>
              <w:pStyle w:val="TableContents"/>
              <w:spacing w:before="0" w:after="283"/>
              <w:rPr/>
            </w:pPr>
            <w:r>
              <w:rPr/>
              <w:t>$</w:t>
            </w:r>
          </w:p>
        </w:tc>
        <w:tc>
          <w:tcPr>
            <w:tcW w:w="1219" w:type="dxa"/>
            <w:tcBorders>
              <w:bottom w:val="single" w:sz="8" w:space="0" w:color="001C71"/>
            </w:tcBorders>
            <w:shd w:fill="E5E5E5" w:val="clear"/>
            <w:tcMar>
              <w:bottom w:w="60" w:type="dxa"/>
            </w:tcMar>
            <w:vAlign w:val="bottom"/>
          </w:tcPr>
          <w:p>
            <w:pPr>
              <w:pStyle w:val="TableContents"/>
              <w:spacing w:before="0" w:after="283"/>
              <w:jc w:val="right"/>
              <w:rPr/>
            </w:pPr>
            <w:r>
              <w:rPr/>
              <w:t>2,339</w:t>
            </w:r>
          </w:p>
        </w:tc>
        <w:tc>
          <w:tcPr>
            <w:tcW w:w="185"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bl>
    <w:p>
      <w:pPr>
        <w:pStyle w:val="TextBody"/>
        <w:spacing w:before="80" w:after="0"/>
        <w:jc w:val="left"/>
        <w:rPr>
          <w:rFonts w:ascii="arial" w:hAnsi="arial"/>
          <w:i/>
          <w:sz w:val="14"/>
        </w:rPr>
      </w:pPr>
      <w:r>
        <w:rPr>
          <w:rFonts w:ascii="arial" w:hAnsi="arial"/>
          <w:i/>
          <w:sz w:val="14"/>
        </w:rPr>
        <w:t xml:space="preserve">Table 9 </w:t>
      </w:r>
    </w:p>
    <w:p>
      <w:pPr>
        <w:pStyle w:val="TextBody"/>
        <w:spacing w:before="280" w:after="0"/>
        <w:jc w:val="left"/>
        <w:rPr>
          <w:rFonts w:ascii="arial" w:hAnsi="arial"/>
          <w:b/>
          <w:sz w:val="20"/>
        </w:rPr>
      </w:pPr>
      <w:r>
        <w:rPr>
          <w:rFonts w:ascii="arial" w:hAnsi="arial"/>
          <w:b/>
          <w:sz w:val="20"/>
        </w:rPr>
        <w:t xml:space="preserve">Annual Bonus Performance Results </w:t>
      </w:r>
    </w:p>
    <w:p>
      <w:pPr>
        <w:pStyle w:val="TextBody"/>
        <w:spacing w:before="120" w:after="0"/>
        <w:jc w:val="left"/>
        <w:rPr>
          <w:rFonts w:ascii="arial" w:hAnsi="arial"/>
          <w:sz w:val="16"/>
        </w:rPr>
      </w:pPr>
      <w:r>
        <w:rPr>
          <w:rFonts w:ascii="arial" w:hAnsi="arial"/>
          <w:sz w:val="16"/>
        </w:rPr>
        <w:t xml:space="preserve">Overall company performance on the 2020 annual bonus plan performance measures was at 198% of target performance. A summary of the plan metrics and results is provided in Table 10 below, with additional detail in Appendix D to this proxy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80"/>
        <w:gridCol w:w="133"/>
        <w:gridCol w:w="205"/>
        <w:gridCol w:w="1311"/>
        <w:gridCol w:w="102"/>
        <w:gridCol w:w="126"/>
        <w:gridCol w:w="102"/>
        <w:gridCol w:w="126"/>
        <w:gridCol w:w="214"/>
        <w:gridCol w:w="856"/>
        <w:gridCol w:w="60"/>
        <w:gridCol w:w="181"/>
        <w:gridCol w:w="142"/>
        <w:gridCol w:w="568"/>
        <w:gridCol w:w="60"/>
        <w:gridCol w:w="181"/>
        <w:gridCol w:w="214"/>
        <w:gridCol w:w="856"/>
        <w:gridCol w:w="60"/>
        <w:gridCol w:w="181"/>
        <w:gridCol w:w="140"/>
        <w:gridCol w:w="560"/>
        <w:gridCol w:w="60"/>
        <w:gridCol w:w="133"/>
        <w:gridCol w:w="168"/>
        <w:gridCol w:w="1074"/>
        <w:gridCol w:w="312"/>
      </w:tblGrid>
      <w:tr>
        <w:trPr/>
        <w:tc>
          <w:tcPr>
            <w:tcW w:w="208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2080" w:type="dxa"/>
            <w:tcBorders/>
            <w:shd w:fill="001C71" w:val="clear"/>
            <w:vAlign w:val="center"/>
          </w:tcPr>
          <w:p>
            <w:pPr>
              <w:pStyle w:val="TableContents"/>
              <w:spacing w:before="0" w:after="283"/>
              <w:rPr>
                <w:sz w:val="4"/>
                <w:szCs w:val="4"/>
              </w:rPr>
            </w:pPr>
            <w:r>
              <w:rPr>
                <w:sz w:val="4"/>
                <w:szCs w:val="4"/>
              </w:rPr>
            </w:r>
          </w:p>
        </w:tc>
        <w:tc>
          <w:tcPr>
            <w:tcW w:w="1751" w:type="dxa"/>
            <w:gridSpan w:val="4"/>
            <w:tcBorders/>
            <w:shd w:fill="001C71" w:val="clear"/>
            <w:vAlign w:val="center"/>
          </w:tcPr>
          <w:p>
            <w:pPr>
              <w:pStyle w:val="TableContents"/>
              <w:spacing w:before="0" w:after="283"/>
              <w:rPr>
                <w:sz w:val="4"/>
                <w:szCs w:val="4"/>
              </w:rPr>
            </w:pPr>
            <w:r>
              <w:rPr>
                <w:sz w:val="4"/>
                <w:szCs w:val="4"/>
              </w:rPr>
            </w:r>
          </w:p>
        </w:tc>
        <w:tc>
          <w:tcPr>
            <w:tcW w:w="228" w:type="dxa"/>
            <w:gridSpan w:val="2"/>
            <w:tcBorders/>
            <w:shd w:fill="001C71" w:val="clear"/>
            <w:vAlign w:val="center"/>
          </w:tcPr>
          <w:p>
            <w:pPr>
              <w:pStyle w:val="TableContents"/>
              <w:spacing w:before="0" w:after="283"/>
              <w:rPr>
                <w:sz w:val="4"/>
                <w:szCs w:val="4"/>
              </w:rPr>
            </w:pPr>
            <w:r>
              <w:rPr>
                <w:sz w:val="4"/>
                <w:szCs w:val="4"/>
              </w:rPr>
            </w:r>
          </w:p>
        </w:tc>
        <w:tc>
          <w:tcPr>
            <w:tcW w:w="3518" w:type="dxa"/>
            <w:gridSpan w:val="12"/>
            <w:tcBorders/>
            <w:shd w:fill="001C71" w:val="clear"/>
            <w:vAlign w:val="center"/>
          </w:tcPr>
          <w:p>
            <w:pPr>
              <w:pStyle w:val="TableContents"/>
              <w:spacing w:before="0" w:after="283"/>
              <w:rPr>
                <w:sz w:val="4"/>
                <w:szCs w:val="4"/>
              </w:rPr>
            </w:pPr>
            <w:r>
              <w:rPr>
                <w:sz w:val="4"/>
                <w:szCs w:val="4"/>
              </w:rPr>
            </w:r>
          </w:p>
        </w:tc>
        <w:tc>
          <w:tcPr>
            <w:tcW w:w="941" w:type="dxa"/>
            <w:gridSpan w:val="4"/>
            <w:tcBorders/>
            <w:shd w:fill="001C71" w:val="clear"/>
            <w:vAlign w:val="center"/>
          </w:tcPr>
          <w:p>
            <w:pPr>
              <w:pStyle w:val="TableContents"/>
              <w:spacing w:before="0" w:after="283"/>
              <w:rPr>
                <w:sz w:val="4"/>
                <w:szCs w:val="4"/>
              </w:rPr>
            </w:pPr>
            <w:r>
              <w:rPr>
                <w:sz w:val="4"/>
                <w:szCs w:val="4"/>
              </w:rPr>
            </w:r>
          </w:p>
        </w:tc>
        <w:tc>
          <w:tcPr>
            <w:tcW w:w="1687" w:type="dxa"/>
            <w:gridSpan w:val="4"/>
            <w:tcBorders/>
            <w:shd w:fill="001C71" w:val="clear"/>
            <w:vAlign w:val="center"/>
          </w:tcPr>
          <w:p>
            <w:pPr>
              <w:pStyle w:val="TableContents"/>
              <w:spacing w:before="0" w:after="283"/>
              <w:rPr>
                <w:sz w:val="4"/>
                <w:szCs w:val="4"/>
              </w:rPr>
            </w:pPr>
            <w:r>
              <w:rPr>
                <w:sz w:val="4"/>
                <w:szCs w:val="4"/>
              </w:rPr>
            </w:r>
          </w:p>
        </w:tc>
      </w:tr>
      <w:tr>
        <w:trPr/>
        <w:tc>
          <w:tcPr>
            <w:tcW w:w="2080" w:type="dxa"/>
            <w:vMerge w:val="restart"/>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2020 Performance Measures</w:t>
            </w:r>
          </w:p>
        </w:tc>
        <w:tc>
          <w:tcPr>
            <w:tcW w:w="133" w:type="dxa"/>
            <w:tcBorders/>
            <w:shd w:fill="001C71" w:val="clear"/>
            <w:vAlign w:val="bottom"/>
          </w:tcPr>
          <w:p>
            <w:pPr>
              <w:pStyle w:val="TableContents"/>
              <w:spacing w:before="0" w:after="283"/>
              <w:rPr/>
            </w:pPr>
            <w:r>
              <w:rPr/>
              <w:t>  </w:t>
            </w:r>
          </w:p>
        </w:tc>
        <w:tc>
          <w:tcPr>
            <w:tcW w:w="1516" w:type="dxa"/>
            <w:gridSpan w:val="2"/>
            <w:tcBorders/>
            <w:shd w:fill="001C71" w:val="clear"/>
            <w:vAlign w:val="bottom"/>
          </w:tcPr>
          <w:p>
            <w:pPr>
              <w:pStyle w:val="TableContents"/>
              <w:spacing w:before="0" w:after="283"/>
              <w:rPr/>
            </w:pPr>
            <w:r>
              <w:rPr/>
              <w:t> </w:t>
            </w:r>
          </w:p>
        </w:tc>
        <w:tc>
          <w:tcPr>
            <w:tcW w:w="102" w:type="dxa"/>
            <w:tcBorders/>
            <w:shd w:fill="001C71" w:val="clear"/>
            <w:vAlign w:val="bottom"/>
          </w:tcPr>
          <w:p>
            <w:pPr>
              <w:pStyle w:val="TableContents"/>
              <w:spacing w:before="0" w:after="283"/>
              <w:rPr/>
            </w:pPr>
            <w:r>
              <w:rPr/>
              <w:t> </w:t>
            </w:r>
          </w:p>
        </w:tc>
        <w:tc>
          <w:tcPr>
            <w:tcW w:w="126" w:type="dxa"/>
            <w:tcBorders/>
            <w:shd w:fill="001C71" w:val="clear"/>
            <w:vAlign w:val="bottom"/>
          </w:tcPr>
          <w:p>
            <w:pPr>
              <w:pStyle w:val="TableContents"/>
              <w:spacing w:before="0" w:after="283"/>
              <w:rPr/>
            </w:pPr>
            <w:r>
              <w:rPr/>
              <w:t> </w:t>
            </w:r>
          </w:p>
        </w:tc>
        <w:tc>
          <w:tcPr>
            <w:tcW w:w="102" w:type="dxa"/>
            <w:tcBorders/>
            <w:shd w:fill="001C71" w:val="clear"/>
            <w:vAlign w:val="bottom"/>
          </w:tcPr>
          <w:p>
            <w:pPr>
              <w:pStyle w:val="TableContents"/>
              <w:spacing w:before="0" w:after="283"/>
              <w:rPr/>
            </w:pPr>
            <w:r>
              <w:rPr/>
              <w:t> </w:t>
            </w:r>
          </w:p>
        </w:tc>
        <w:tc>
          <w:tcPr>
            <w:tcW w:w="126" w:type="dxa"/>
            <w:tcBorders/>
            <w:shd w:fill="001C71" w:val="clear"/>
            <w:vAlign w:val="bottom"/>
          </w:tcPr>
          <w:p>
            <w:pPr>
              <w:pStyle w:val="TableContents"/>
              <w:spacing w:before="0" w:after="283"/>
              <w:rPr/>
            </w:pPr>
            <w:r>
              <w:rPr/>
              <w:t> </w:t>
            </w:r>
          </w:p>
        </w:tc>
        <w:tc>
          <w:tcPr>
            <w:tcW w:w="3332" w:type="dxa"/>
            <w:gridSpan w:val="10"/>
            <w:tcBorders>
              <w:bottom w:val="single" w:sz="2" w:space="0" w:color="FFFFFF"/>
            </w:tcBorders>
            <w:shd w:fill="001C71" w:val="clear"/>
            <w:tcMar>
              <w:bottom w:w="80" w:type="dxa"/>
            </w:tcMar>
            <w:vAlign w:val="bottom"/>
          </w:tcPr>
          <w:p>
            <w:pPr>
              <w:pStyle w:val="TableContents"/>
              <w:spacing w:before="0" w:after="283"/>
              <w:jc w:val="center"/>
              <w:rPr>
                <w:b/>
                <w:color w:val="FFFFFF"/>
              </w:rPr>
            </w:pPr>
            <w:r>
              <w:rPr>
                <w:b/>
                <w:color w:val="FFFFFF"/>
              </w:rPr>
              <w:t>Goals</w:t>
            </w:r>
          </w:p>
        </w:tc>
        <w:tc>
          <w:tcPr>
            <w:tcW w:w="60" w:type="dxa"/>
            <w:tcBorders/>
            <w:shd w:fill="001C71" w:val="clear"/>
            <w:vAlign w:val="bottom"/>
          </w:tcPr>
          <w:p>
            <w:pPr>
              <w:pStyle w:val="TableContents"/>
              <w:spacing w:before="0" w:after="283"/>
              <w:rPr/>
            </w:pPr>
            <w:r>
              <w:rPr/>
              <w:t> </w:t>
            </w:r>
          </w:p>
        </w:tc>
        <w:tc>
          <w:tcPr>
            <w:tcW w:w="181" w:type="dxa"/>
            <w:tcBorders/>
            <w:shd w:fill="001C71" w:val="clear"/>
            <w:vAlign w:val="bottom"/>
          </w:tcPr>
          <w:p>
            <w:pPr>
              <w:pStyle w:val="TableContents"/>
              <w:spacing w:before="0" w:after="283"/>
              <w:rPr/>
            </w:pPr>
            <w:r>
              <w:rPr/>
              <w:t>  </w:t>
            </w:r>
          </w:p>
        </w:tc>
        <w:tc>
          <w:tcPr>
            <w:tcW w:w="700" w:type="dxa"/>
            <w:gridSpan w:val="2"/>
            <w:tcBorders/>
            <w:shd w:fill="001C71" w:val="clear"/>
            <w:vAlign w:val="bottom"/>
          </w:tcPr>
          <w:p>
            <w:pPr>
              <w:pStyle w:val="TableContents"/>
              <w:spacing w:before="0" w:after="283"/>
              <w:rPr/>
            </w:pPr>
            <w:r>
              <w:rPr/>
              <w:t> </w:t>
            </w:r>
          </w:p>
        </w:tc>
        <w:tc>
          <w:tcPr>
            <w:tcW w:w="60" w:type="dxa"/>
            <w:tcBorders/>
            <w:shd w:fill="001C71" w:val="clear"/>
            <w:vAlign w:val="bottom"/>
          </w:tcPr>
          <w:p>
            <w:pPr>
              <w:pStyle w:val="TableContents"/>
              <w:spacing w:before="0" w:after="283"/>
              <w:rPr/>
            </w:pPr>
            <w:r>
              <w:rPr/>
              <w:t> </w:t>
            </w:r>
          </w:p>
        </w:tc>
        <w:tc>
          <w:tcPr>
            <w:tcW w:w="133" w:type="dxa"/>
            <w:tcBorders/>
            <w:shd w:fill="001C71" w:val="clear"/>
            <w:vAlign w:val="bottom"/>
          </w:tcPr>
          <w:p>
            <w:pPr>
              <w:pStyle w:val="TableContents"/>
              <w:spacing w:before="0" w:after="283"/>
              <w:rPr/>
            </w:pPr>
            <w:r>
              <w:rPr/>
              <w:t>  </w:t>
            </w:r>
          </w:p>
        </w:tc>
        <w:tc>
          <w:tcPr>
            <w:tcW w:w="1242" w:type="dxa"/>
            <w:gridSpan w:val="2"/>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Weighted</w:t>
            </w:r>
          </w:p>
          <w:p>
            <w:pPr>
              <w:pStyle w:val="TableContents"/>
              <w:spacing w:before="0" w:after="20"/>
              <w:jc w:val="center"/>
              <w:rPr>
                <w:rFonts w:ascii="arial" w:hAnsi="arial"/>
                <w:b/>
                <w:color w:val="FFFFFF"/>
                <w:sz w:val="16"/>
              </w:rPr>
            </w:pPr>
            <w:r>
              <w:rPr>
                <w:rFonts w:ascii="arial" w:hAnsi="arial"/>
                <w:b/>
                <w:color w:val="FFFFFF"/>
                <w:sz w:val="16"/>
              </w:rPr>
              <w:t>Percent of</w:t>
            </w:r>
          </w:p>
        </w:tc>
        <w:tc>
          <w:tcPr>
            <w:tcW w:w="312" w:type="dxa"/>
            <w:tcBorders/>
            <w:shd w:fill="001C71" w:val="clear"/>
            <w:vAlign w:val="bottom"/>
          </w:tcPr>
          <w:p>
            <w:pPr>
              <w:pStyle w:val="TableContents"/>
              <w:spacing w:before="0" w:after="283"/>
              <w:rPr/>
            </w:pPr>
            <w:r>
              <w:rPr/>
              <w:t> </w:t>
            </w:r>
          </w:p>
        </w:tc>
      </w:tr>
      <w:tr>
        <w:trPr/>
        <w:tc>
          <w:tcPr>
            <w:tcW w:w="2080" w:type="dxa"/>
            <w:vMerge w:val="continue"/>
            <w:tcBorders/>
            <w:shd w:fill="001C71" w:val="clear"/>
            <w:vAlign w:val="bottom"/>
          </w:tcPr>
          <w:p>
            <w:pPr>
              <w:pStyle w:val="Normal"/>
              <w:rPr/>
            </w:pPr>
            <w:r>
              <w:rPr/>
            </w:r>
          </w:p>
        </w:tc>
        <w:tc>
          <w:tcPr>
            <w:tcW w:w="133" w:type="dxa"/>
            <w:tcBorders/>
            <w:shd w:fill="001C71" w:val="clear"/>
            <w:vAlign w:val="bottom"/>
          </w:tcPr>
          <w:p>
            <w:pPr>
              <w:pStyle w:val="TableContents"/>
              <w:spacing w:before="0" w:after="283"/>
              <w:rPr/>
            </w:pPr>
            <w:r>
              <w:rPr/>
              <w:t>  </w:t>
            </w:r>
          </w:p>
        </w:tc>
        <w:tc>
          <w:tcPr>
            <w:tcW w:w="1516" w:type="dxa"/>
            <w:gridSpan w:val="2"/>
            <w:tcBorders/>
            <w:shd w:fill="001C71" w:val="clear"/>
            <w:vAlign w:val="bottom"/>
          </w:tcPr>
          <w:p>
            <w:pPr>
              <w:pStyle w:val="TableContents"/>
              <w:spacing w:before="0" w:after="283"/>
              <w:jc w:val="center"/>
              <w:rPr>
                <w:b/>
                <w:color w:val="FFFFFF"/>
              </w:rPr>
            </w:pPr>
            <w:r>
              <w:rPr>
                <w:b/>
                <w:color w:val="FFFFFF"/>
              </w:rPr>
              <w:t>Target Weight</w:t>
            </w:r>
          </w:p>
        </w:tc>
        <w:tc>
          <w:tcPr>
            <w:tcW w:w="102" w:type="dxa"/>
            <w:tcBorders/>
            <w:shd w:fill="001C71" w:val="clear"/>
            <w:vAlign w:val="bottom"/>
          </w:tcPr>
          <w:p>
            <w:pPr>
              <w:pStyle w:val="TableContents"/>
              <w:spacing w:before="0" w:after="283"/>
              <w:rPr/>
            </w:pPr>
            <w:r>
              <w:rPr/>
              <w:t> </w:t>
            </w:r>
          </w:p>
        </w:tc>
        <w:tc>
          <w:tcPr>
            <w:tcW w:w="126" w:type="dxa"/>
            <w:tcBorders/>
            <w:shd w:fill="001C71" w:val="clear"/>
            <w:vAlign w:val="bottom"/>
          </w:tcPr>
          <w:p>
            <w:pPr>
              <w:pStyle w:val="TableContents"/>
              <w:spacing w:before="0" w:after="283"/>
              <w:rPr/>
            </w:pPr>
            <w:r>
              <w:rPr/>
              <w:t> </w:t>
            </w:r>
          </w:p>
        </w:tc>
        <w:tc>
          <w:tcPr>
            <w:tcW w:w="102" w:type="dxa"/>
            <w:tcBorders/>
            <w:shd w:fill="001C71" w:val="clear"/>
            <w:vAlign w:val="bottom"/>
          </w:tcPr>
          <w:p>
            <w:pPr>
              <w:pStyle w:val="TableContents"/>
              <w:spacing w:before="0" w:after="283"/>
              <w:rPr/>
            </w:pPr>
            <w:r>
              <w:rPr/>
              <w:t> </w:t>
            </w:r>
          </w:p>
        </w:tc>
        <w:tc>
          <w:tcPr>
            <w:tcW w:w="126" w:type="dxa"/>
            <w:tcBorders/>
            <w:shd w:fill="001C71" w:val="clear"/>
            <w:vAlign w:val="bottom"/>
          </w:tcPr>
          <w:p>
            <w:pPr>
              <w:pStyle w:val="TableContents"/>
              <w:spacing w:before="0" w:after="283"/>
              <w:rPr/>
            </w:pPr>
            <w:r>
              <w:rPr/>
              <w:t> </w:t>
            </w:r>
          </w:p>
        </w:tc>
        <w:tc>
          <w:tcPr>
            <w:tcW w:w="1070" w:type="dxa"/>
            <w:gridSpan w:val="2"/>
            <w:tcBorders/>
            <w:shd w:fill="001C71" w:val="clear"/>
            <w:vAlign w:val="bottom"/>
          </w:tcPr>
          <w:p>
            <w:pPr>
              <w:pStyle w:val="TableContents"/>
              <w:spacing w:before="0" w:after="283"/>
              <w:jc w:val="center"/>
              <w:rPr>
                <w:b/>
                <w:color w:val="FFFFFF"/>
              </w:rPr>
            </w:pPr>
            <w:r>
              <w:rPr>
                <w:b/>
                <w:color w:val="FFFFFF"/>
              </w:rPr>
              <w:t>Threshold</w:t>
            </w:r>
          </w:p>
        </w:tc>
        <w:tc>
          <w:tcPr>
            <w:tcW w:w="60" w:type="dxa"/>
            <w:tcBorders/>
            <w:shd w:fill="001C71" w:val="clear"/>
            <w:vAlign w:val="bottom"/>
          </w:tcPr>
          <w:p>
            <w:pPr>
              <w:pStyle w:val="TableContents"/>
              <w:spacing w:before="0" w:after="283"/>
              <w:rPr/>
            </w:pPr>
            <w:r>
              <w:rPr/>
              <w:t> </w:t>
            </w:r>
          </w:p>
        </w:tc>
        <w:tc>
          <w:tcPr>
            <w:tcW w:w="181" w:type="dxa"/>
            <w:tcBorders/>
            <w:shd w:fill="001C71" w:val="clear"/>
            <w:vAlign w:val="bottom"/>
          </w:tcPr>
          <w:p>
            <w:pPr>
              <w:pStyle w:val="TableContents"/>
              <w:spacing w:before="0" w:after="283"/>
              <w:rPr/>
            </w:pPr>
            <w:r>
              <w:rPr/>
              <w:t>  </w:t>
            </w:r>
          </w:p>
        </w:tc>
        <w:tc>
          <w:tcPr>
            <w:tcW w:w="710" w:type="dxa"/>
            <w:gridSpan w:val="2"/>
            <w:tcBorders/>
            <w:shd w:fill="001C71" w:val="clear"/>
            <w:vAlign w:val="bottom"/>
          </w:tcPr>
          <w:p>
            <w:pPr>
              <w:pStyle w:val="TableContents"/>
              <w:spacing w:before="0" w:after="283"/>
              <w:jc w:val="center"/>
              <w:rPr>
                <w:b/>
                <w:color w:val="FFFFFF"/>
              </w:rPr>
            </w:pPr>
            <w:r>
              <w:rPr>
                <w:b/>
                <w:color w:val="FFFFFF"/>
              </w:rPr>
              <w:t>Target</w:t>
            </w:r>
          </w:p>
        </w:tc>
        <w:tc>
          <w:tcPr>
            <w:tcW w:w="60" w:type="dxa"/>
            <w:tcBorders/>
            <w:shd w:fill="001C71" w:val="clear"/>
            <w:vAlign w:val="bottom"/>
          </w:tcPr>
          <w:p>
            <w:pPr>
              <w:pStyle w:val="TableContents"/>
              <w:spacing w:before="0" w:after="283"/>
              <w:rPr/>
            </w:pPr>
            <w:r>
              <w:rPr/>
              <w:t> </w:t>
            </w:r>
          </w:p>
        </w:tc>
        <w:tc>
          <w:tcPr>
            <w:tcW w:w="181" w:type="dxa"/>
            <w:tcBorders/>
            <w:shd w:fill="001C71" w:val="clear"/>
            <w:vAlign w:val="bottom"/>
          </w:tcPr>
          <w:p>
            <w:pPr>
              <w:pStyle w:val="TableContents"/>
              <w:spacing w:before="0" w:after="283"/>
              <w:rPr/>
            </w:pPr>
            <w:r>
              <w:rPr/>
              <w:t>  </w:t>
            </w:r>
          </w:p>
        </w:tc>
        <w:tc>
          <w:tcPr>
            <w:tcW w:w="1070" w:type="dxa"/>
            <w:gridSpan w:val="2"/>
            <w:tcBorders/>
            <w:shd w:fill="001C71" w:val="clear"/>
            <w:vAlign w:val="bottom"/>
          </w:tcPr>
          <w:p>
            <w:pPr>
              <w:pStyle w:val="TableContents"/>
              <w:spacing w:before="0" w:after="283"/>
              <w:jc w:val="center"/>
              <w:rPr>
                <w:b/>
                <w:color w:val="FFFFFF"/>
              </w:rPr>
            </w:pPr>
            <w:r>
              <w:rPr>
                <w:b/>
                <w:color w:val="FFFFFF"/>
              </w:rPr>
              <w:t>Maximum</w:t>
            </w:r>
          </w:p>
        </w:tc>
        <w:tc>
          <w:tcPr>
            <w:tcW w:w="60" w:type="dxa"/>
            <w:tcBorders/>
            <w:shd w:fill="001C71" w:val="clear"/>
            <w:vAlign w:val="bottom"/>
          </w:tcPr>
          <w:p>
            <w:pPr>
              <w:pStyle w:val="TableContents"/>
              <w:spacing w:before="0" w:after="283"/>
              <w:rPr/>
            </w:pPr>
            <w:r>
              <w:rPr/>
              <w:t> </w:t>
            </w:r>
          </w:p>
        </w:tc>
        <w:tc>
          <w:tcPr>
            <w:tcW w:w="181" w:type="dxa"/>
            <w:tcBorders/>
            <w:shd w:fill="001C71" w:val="clear"/>
            <w:vAlign w:val="bottom"/>
          </w:tcPr>
          <w:p>
            <w:pPr>
              <w:pStyle w:val="TableContents"/>
              <w:spacing w:before="0" w:after="283"/>
              <w:rPr/>
            </w:pPr>
            <w:r>
              <w:rPr/>
              <w:t>  </w:t>
            </w:r>
          </w:p>
        </w:tc>
        <w:tc>
          <w:tcPr>
            <w:tcW w:w="700" w:type="dxa"/>
            <w:gridSpan w:val="2"/>
            <w:tcBorders/>
            <w:shd w:fill="001C71" w:val="clear"/>
            <w:vAlign w:val="bottom"/>
          </w:tcPr>
          <w:p>
            <w:pPr>
              <w:pStyle w:val="TableContents"/>
              <w:spacing w:before="0" w:after="283"/>
              <w:jc w:val="center"/>
              <w:rPr>
                <w:b/>
                <w:color w:val="FFFFFF"/>
              </w:rPr>
            </w:pPr>
            <w:r>
              <w:rPr>
                <w:b/>
                <w:color w:val="FFFFFF"/>
              </w:rPr>
              <w:t>Actual</w:t>
            </w:r>
          </w:p>
        </w:tc>
        <w:tc>
          <w:tcPr>
            <w:tcW w:w="60" w:type="dxa"/>
            <w:tcBorders/>
            <w:shd w:fill="001C71" w:val="clear"/>
            <w:vAlign w:val="bottom"/>
          </w:tcPr>
          <w:p>
            <w:pPr>
              <w:pStyle w:val="TableContents"/>
              <w:spacing w:before="0" w:after="283"/>
              <w:rPr/>
            </w:pPr>
            <w:r>
              <w:rPr/>
              <w:t> </w:t>
            </w:r>
          </w:p>
        </w:tc>
        <w:tc>
          <w:tcPr>
            <w:tcW w:w="133" w:type="dxa"/>
            <w:tcBorders/>
            <w:shd w:fill="001C71" w:val="clear"/>
            <w:vAlign w:val="bottom"/>
          </w:tcPr>
          <w:p>
            <w:pPr>
              <w:pStyle w:val="TableContents"/>
              <w:spacing w:before="0" w:after="283"/>
              <w:rPr/>
            </w:pPr>
            <w:r>
              <w:rPr/>
              <w:t>  </w:t>
            </w:r>
          </w:p>
        </w:tc>
        <w:tc>
          <w:tcPr>
            <w:tcW w:w="1242" w:type="dxa"/>
            <w:gridSpan w:val="2"/>
            <w:tcBorders/>
            <w:shd w:fill="001C71" w:val="clear"/>
            <w:vAlign w:val="bottom"/>
          </w:tcPr>
          <w:p>
            <w:pPr>
              <w:pStyle w:val="TableContents"/>
              <w:spacing w:before="0" w:after="283"/>
              <w:jc w:val="center"/>
              <w:rPr>
                <w:b/>
                <w:color w:val="FFFFFF"/>
              </w:rPr>
            </w:pPr>
            <w:r>
              <w:rPr>
                <w:b/>
                <w:color w:val="FFFFFF"/>
              </w:rPr>
              <w:t>Target</w:t>
              <w:br/>
              <w:t>Achieved(1)</w:t>
            </w:r>
          </w:p>
        </w:tc>
        <w:tc>
          <w:tcPr>
            <w:tcW w:w="312" w:type="dxa"/>
            <w:tcBorders/>
            <w:shd w:fill="001C71" w:val="clear"/>
            <w:vAlign w:val="bottom"/>
          </w:tcPr>
          <w:p>
            <w:pPr>
              <w:pStyle w:val="TableContents"/>
              <w:spacing w:before="0" w:after="283"/>
              <w:rPr/>
            </w:pPr>
            <w:r>
              <w:rPr/>
              <w:t> </w:t>
            </w:r>
          </w:p>
        </w:tc>
      </w:tr>
      <w:tr>
        <w:trPr>
          <w:trHeight w:val="60" w:hRule="atLeast"/>
        </w:trPr>
        <w:tc>
          <w:tcPr>
            <w:tcW w:w="2080" w:type="dxa"/>
            <w:tcBorders/>
            <w:shd w:fill="E5E5E5" w:val="clear"/>
            <w:vAlign w:val="center"/>
          </w:tcPr>
          <w:p>
            <w:pPr>
              <w:pStyle w:val="TableContents"/>
              <w:spacing w:before="0" w:after="283"/>
              <w:rPr>
                <w:sz w:val="4"/>
                <w:szCs w:val="4"/>
              </w:rPr>
            </w:pPr>
            <w:r>
              <w:rPr>
                <w:sz w:val="4"/>
                <w:szCs w:val="4"/>
              </w:rPr>
            </w:r>
          </w:p>
        </w:tc>
        <w:tc>
          <w:tcPr>
            <w:tcW w:w="1751" w:type="dxa"/>
            <w:gridSpan w:val="4"/>
            <w:tcBorders/>
            <w:shd w:fill="E5E5E5" w:val="clear"/>
            <w:vAlign w:val="center"/>
          </w:tcPr>
          <w:p>
            <w:pPr>
              <w:pStyle w:val="TableContents"/>
              <w:spacing w:before="0" w:after="283"/>
              <w:rPr>
                <w:sz w:val="4"/>
                <w:szCs w:val="4"/>
              </w:rPr>
            </w:pPr>
            <w:r>
              <w:rPr>
                <w:sz w:val="4"/>
                <w:szCs w:val="4"/>
              </w:rPr>
            </w:r>
          </w:p>
        </w:tc>
        <w:tc>
          <w:tcPr>
            <w:tcW w:w="228" w:type="dxa"/>
            <w:gridSpan w:val="2"/>
            <w:tcBorders/>
            <w:shd w:fill="E5E5E5" w:val="clear"/>
            <w:vAlign w:val="center"/>
          </w:tcPr>
          <w:p>
            <w:pPr>
              <w:pStyle w:val="TableContents"/>
              <w:spacing w:before="0" w:after="283"/>
              <w:rPr>
                <w:sz w:val="4"/>
                <w:szCs w:val="4"/>
              </w:rPr>
            </w:pPr>
            <w:r>
              <w:rPr>
                <w:sz w:val="4"/>
                <w:szCs w:val="4"/>
              </w:rPr>
            </w:r>
          </w:p>
        </w:tc>
        <w:tc>
          <w:tcPr>
            <w:tcW w:w="1256" w:type="dxa"/>
            <w:gridSpan w:val="4"/>
            <w:tcBorders/>
            <w:shd w:fill="E5E5E5" w:val="clear"/>
            <w:vAlign w:val="center"/>
          </w:tcPr>
          <w:p>
            <w:pPr>
              <w:pStyle w:val="TableContents"/>
              <w:spacing w:before="0" w:after="283"/>
              <w:rPr>
                <w:sz w:val="4"/>
                <w:szCs w:val="4"/>
              </w:rPr>
            </w:pPr>
            <w:r>
              <w:rPr>
                <w:sz w:val="4"/>
                <w:szCs w:val="4"/>
              </w:rPr>
            </w:r>
          </w:p>
        </w:tc>
        <w:tc>
          <w:tcPr>
            <w:tcW w:w="951" w:type="dxa"/>
            <w:gridSpan w:val="4"/>
            <w:tcBorders/>
            <w:shd w:fill="E5E5E5" w:val="clear"/>
            <w:vAlign w:val="center"/>
          </w:tcPr>
          <w:p>
            <w:pPr>
              <w:pStyle w:val="TableContents"/>
              <w:spacing w:before="0" w:after="283"/>
              <w:rPr>
                <w:sz w:val="4"/>
                <w:szCs w:val="4"/>
              </w:rPr>
            </w:pPr>
            <w:r>
              <w:rPr>
                <w:sz w:val="4"/>
                <w:szCs w:val="4"/>
              </w:rPr>
            </w:r>
          </w:p>
        </w:tc>
        <w:tc>
          <w:tcPr>
            <w:tcW w:w="1311" w:type="dxa"/>
            <w:gridSpan w:val="4"/>
            <w:tcBorders/>
            <w:shd w:fill="E5E5E5" w:val="clear"/>
            <w:vAlign w:val="center"/>
          </w:tcPr>
          <w:p>
            <w:pPr>
              <w:pStyle w:val="TableContents"/>
              <w:spacing w:before="0" w:after="283"/>
              <w:rPr>
                <w:sz w:val="4"/>
                <w:szCs w:val="4"/>
              </w:rPr>
            </w:pPr>
            <w:r>
              <w:rPr>
                <w:sz w:val="4"/>
                <w:szCs w:val="4"/>
              </w:rPr>
            </w:r>
          </w:p>
        </w:tc>
        <w:tc>
          <w:tcPr>
            <w:tcW w:w="941" w:type="dxa"/>
            <w:gridSpan w:val="4"/>
            <w:tcBorders/>
            <w:shd w:fill="E5E5E5" w:val="clear"/>
            <w:vAlign w:val="center"/>
          </w:tcPr>
          <w:p>
            <w:pPr>
              <w:pStyle w:val="TableContents"/>
              <w:spacing w:before="0" w:after="283"/>
              <w:rPr>
                <w:sz w:val="4"/>
                <w:szCs w:val="4"/>
              </w:rPr>
            </w:pPr>
            <w:r>
              <w:rPr>
                <w:sz w:val="4"/>
                <w:szCs w:val="4"/>
              </w:rPr>
            </w:r>
          </w:p>
        </w:tc>
        <w:tc>
          <w:tcPr>
            <w:tcW w:w="1687" w:type="dxa"/>
            <w:gridSpan w:val="4"/>
            <w:tcBorders/>
            <w:shd w:fill="E5E5E5" w:val="clear"/>
            <w:vAlign w:val="center"/>
          </w:tcPr>
          <w:p>
            <w:pPr>
              <w:pStyle w:val="TableContents"/>
              <w:spacing w:before="0" w:after="283"/>
              <w:rPr>
                <w:sz w:val="4"/>
                <w:szCs w:val="4"/>
              </w:rPr>
            </w:pPr>
            <w:r>
              <w:rPr>
                <w:sz w:val="4"/>
                <w:szCs w:val="4"/>
              </w:rPr>
            </w:r>
          </w:p>
        </w:tc>
      </w:tr>
      <w:tr>
        <w:trPr/>
        <w:tc>
          <w:tcPr>
            <w:tcW w:w="2080" w:type="dxa"/>
            <w:tcBorders/>
            <w:shd w:fill="E5E5E5" w:val="clear"/>
          </w:tcPr>
          <w:p>
            <w:pPr>
              <w:pStyle w:val="TableContents"/>
              <w:spacing w:before="0" w:after="0"/>
              <w:rPr>
                <w:rFonts w:ascii="arial" w:hAnsi="arial"/>
                <w:b/>
                <w:sz w:val="16"/>
              </w:rPr>
            </w:pPr>
            <w:r>
              <w:rPr>
                <w:rFonts w:ascii="arial" w:hAnsi="arial"/>
                <w:b/>
                <w:sz w:val="16"/>
              </w:rPr>
              <w:t>Financial:</w:t>
            </w:r>
          </w:p>
        </w:tc>
        <w:tc>
          <w:tcPr>
            <w:tcW w:w="133" w:type="dxa"/>
            <w:tcBorders/>
            <w:shd w:fill="E5E5E5" w:val="clear"/>
            <w:vAlign w:val="bottom"/>
          </w:tcPr>
          <w:p>
            <w:pPr>
              <w:pStyle w:val="TableContents"/>
              <w:spacing w:before="0" w:after="283"/>
              <w:rPr/>
            </w:pPr>
            <w:r>
              <w:rPr/>
              <w:t>  </w:t>
            </w:r>
          </w:p>
        </w:tc>
        <w:tc>
          <w:tcPr>
            <w:tcW w:w="205" w:type="dxa"/>
            <w:tcBorders/>
            <w:shd w:fill="E5E5E5" w:val="clear"/>
            <w:vAlign w:val="bottom"/>
          </w:tcPr>
          <w:p>
            <w:pPr>
              <w:pStyle w:val="TableContents"/>
              <w:spacing w:before="0" w:after="283"/>
              <w:rPr>
                <w:sz w:val="4"/>
                <w:szCs w:val="4"/>
              </w:rPr>
            </w:pPr>
            <w:r>
              <w:rPr>
                <w:sz w:val="4"/>
                <w:szCs w:val="4"/>
              </w:rPr>
            </w:r>
          </w:p>
        </w:tc>
        <w:tc>
          <w:tcPr>
            <w:tcW w:w="1311" w:type="dxa"/>
            <w:tcBorders/>
            <w:shd w:fill="E5E5E5" w:val="clear"/>
            <w:vAlign w:val="bottom"/>
          </w:tcPr>
          <w:p>
            <w:pPr>
              <w:pStyle w:val="TableContents"/>
              <w:spacing w:before="0" w:after="283"/>
              <w:rPr>
                <w:sz w:val="4"/>
                <w:szCs w:val="4"/>
              </w:rPr>
            </w:pPr>
            <w:r>
              <w:rPr>
                <w:sz w:val="4"/>
                <w:szCs w:val="4"/>
              </w:rPr>
            </w:r>
          </w:p>
        </w:tc>
        <w:tc>
          <w:tcPr>
            <w:tcW w:w="102" w:type="dxa"/>
            <w:tcBorders/>
            <w:shd w:fill="E5E5E5" w:val="clear"/>
            <w:vAlign w:val="bottom"/>
          </w:tcPr>
          <w:p>
            <w:pPr>
              <w:pStyle w:val="TableContents"/>
              <w:spacing w:before="0" w:after="283"/>
              <w:rPr>
                <w:sz w:val="4"/>
                <w:szCs w:val="4"/>
              </w:rPr>
            </w:pPr>
            <w:r>
              <w:rPr>
                <w:sz w:val="4"/>
                <w:szCs w:val="4"/>
              </w:rPr>
            </w:r>
          </w:p>
        </w:tc>
        <w:tc>
          <w:tcPr>
            <w:tcW w:w="126" w:type="dxa"/>
            <w:tcBorders/>
            <w:shd w:fill="E5E5E5" w:val="clear"/>
            <w:vAlign w:val="bottom"/>
          </w:tcPr>
          <w:p>
            <w:pPr>
              <w:pStyle w:val="TableContents"/>
              <w:spacing w:before="0" w:after="283"/>
              <w:rPr/>
            </w:pPr>
            <w:r>
              <w:rPr/>
              <w:t> </w:t>
            </w:r>
          </w:p>
        </w:tc>
        <w:tc>
          <w:tcPr>
            <w:tcW w:w="102" w:type="dxa"/>
            <w:tcBorders/>
            <w:shd w:fill="E5E5E5" w:val="clear"/>
            <w:vAlign w:val="bottom"/>
          </w:tcPr>
          <w:p>
            <w:pPr>
              <w:pStyle w:val="TableContents"/>
              <w:spacing w:before="0" w:after="283"/>
              <w:rPr>
                <w:sz w:val="4"/>
                <w:szCs w:val="4"/>
              </w:rPr>
            </w:pPr>
            <w:r>
              <w:rPr>
                <w:sz w:val="4"/>
                <w:szCs w:val="4"/>
              </w:rPr>
            </w:r>
          </w:p>
        </w:tc>
        <w:tc>
          <w:tcPr>
            <w:tcW w:w="126" w:type="dxa"/>
            <w:tcBorders/>
            <w:shd w:fill="E5E5E5" w:val="clear"/>
            <w:vAlign w:val="bottom"/>
          </w:tcPr>
          <w:p>
            <w:pPr>
              <w:pStyle w:val="TableContents"/>
              <w:spacing w:before="0" w:after="283"/>
              <w:rPr/>
            </w:pPr>
            <w:r>
              <w:rPr/>
              <w:t> </w:t>
            </w:r>
          </w:p>
        </w:tc>
        <w:tc>
          <w:tcPr>
            <w:tcW w:w="214" w:type="dxa"/>
            <w:tcBorders/>
            <w:shd w:fill="E5E5E5" w:val="clear"/>
            <w:vAlign w:val="bottom"/>
          </w:tcPr>
          <w:p>
            <w:pPr>
              <w:pStyle w:val="TableContents"/>
              <w:spacing w:before="0" w:after="283"/>
              <w:rPr>
                <w:sz w:val="4"/>
                <w:szCs w:val="4"/>
              </w:rPr>
            </w:pPr>
            <w:r>
              <w:rPr>
                <w:sz w:val="4"/>
                <w:szCs w:val="4"/>
              </w:rPr>
            </w:r>
          </w:p>
        </w:tc>
        <w:tc>
          <w:tcPr>
            <w:tcW w:w="856"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81" w:type="dxa"/>
            <w:tcBorders/>
            <w:shd w:fill="E5E5E5" w:val="clear"/>
            <w:vAlign w:val="bottom"/>
          </w:tcPr>
          <w:p>
            <w:pPr>
              <w:pStyle w:val="TableContents"/>
              <w:spacing w:before="0" w:after="283"/>
              <w:rPr/>
            </w:pPr>
            <w:r>
              <w:rPr/>
              <w:t>  </w:t>
            </w:r>
          </w:p>
        </w:tc>
        <w:tc>
          <w:tcPr>
            <w:tcW w:w="142" w:type="dxa"/>
            <w:tcBorders/>
            <w:shd w:fill="E5E5E5" w:val="clear"/>
            <w:vAlign w:val="bottom"/>
          </w:tcPr>
          <w:p>
            <w:pPr>
              <w:pStyle w:val="TableContents"/>
              <w:spacing w:before="0" w:after="283"/>
              <w:rPr>
                <w:sz w:val="4"/>
                <w:szCs w:val="4"/>
              </w:rPr>
            </w:pPr>
            <w:r>
              <w:rPr>
                <w:sz w:val="4"/>
                <w:szCs w:val="4"/>
              </w:rPr>
            </w:r>
          </w:p>
        </w:tc>
        <w:tc>
          <w:tcPr>
            <w:tcW w:w="56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81" w:type="dxa"/>
            <w:tcBorders/>
            <w:shd w:fill="E5E5E5" w:val="clear"/>
            <w:vAlign w:val="bottom"/>
          </w:tcPr>
          <w:p>
            <w:pPr>
              <w:pStyle w:val="TableContents"/>
              <w:spacing w:before="0" w:after="283"/>
              <w:rPr/>
            </w:pPr>
            <w:r>
              <w:rPr/>
              <w:t>  </w:t>
            </w:r>
          </w:p>
        </w:tc>
        <w:tc>
          <w:tcPr>
            <w:tcW w:w="214" w:type="dxa"/>
            <w:tcBorders/>
            <w:shd w:fill="E5E5E5" w:val="clear"/>
            <w:vAlign w:val="bottom"/>
          </w:tcPr>
          <w:p>
            <w:pPr>
              <w:pStyle w:val="TableContents"/>
              <w:spacing w:before="0" w:after="283"/>
              <w:rPr>
                <w:sz w:val="4"/>
                <w:szCs w:val="4"/>
              </w:rPr>
            </w:pPr>
            <w:r>
              <w:rPr>
                <w:sz w:val="4"/>
                <w:szCs w:val="4"/>
              </w:rPr>
            </w:r>
          </w:p>
        </w:tc>
        <w:tc>
          <w:tcPr>
            <w:tcW w:w="856"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5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074" w:type="dxa"/>
            <w:tcBorders/>
            <w:shd w:fill="E5E5E5" w:val="clear"/>
            <w:vAlign w:val="bottom"/>
          </w:tcPr>
          <w:p>
            <w:pPr>
              <w:pStyle w:val="TableContents"/>
              <w:spacing w:before="0" w:after="283"/>
              <w:rPr>
                <w:sz w:val="4"/>
                <w:szCs w:val="4"/>
              </w:rPr>
            </w:pPr>
            <w:r>
              <w:rPr>
                <w:sz w:val="4"/>
                <w:szCs w:val="4"/>
              </w:rPr>
            </w:r>
          </w:p>
        </w:tc>
        <w:tc>
          <w:tcPr>
            <w:tcW w:w="312"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2080" w:type="dxa"/>
            <w:tcBorders/>
            <w:shd w:fill="auto" w:val="clear"/>
            <w:vAlign w:val="center"/>
          </w:tcPr>
          <w:p>
            <w:pPr>
              <w:pStyle w:val="TableContents"/>
              <w:spacing w:before="0" w:after="283"/>
              <w:rPr>
                <w:sz w:val="4"/>
                <w:szCs w:val="4"/>
              </w:rPr>
            </w:pPr>
            <w:r>
              <w:rPr>
                <w:sz w:val="4"/>
                <w:szCs w:val="4"/>
              </w:rPr>
            </w:r>
          </w:p>
        </w:tc>
        <w:tc>
          <w:tcPr>
            <w:tcW w:w="1751" w:type="dxa"/>
            <w:gridSpan w:val="4"/>
            <w:tcBorders/>
            <w:shd w:fill="auto" w:val="clear"/>
            <w:vAlign w:val="center"/>
          </w:tcPr>
          <w:p>
            <w:pPr>
              <w:pStyle w:val="TableContents"/>
              <w:spacing w:before="0" w:after="283"/>
              <w:rPr>
                <w:sz w:val="4"/>
                <w:szCs w:val="4"/>
              </w:rPr>
            </w:pPr>
            <w:r>
              <w:rPr>
                <w:sz w:val="4"/>
                <w:szCs w:val="4"/>
              </w:rPr>
            </w:r>
          </w:p>
        </w:tc>
        <w:tc>
          <w:tcPr>
            <w:tcW w:w="228" w:type="dxa"/>
            <w:gridSpan w:val="2"/>
            <w:tcBorders/>
            <w:shd w:fill="auto" w:val="clear"/>
            <w:vAlign w:val="center"/>
          </w:tcPr>
          <w:p>
            <w:pPr>
              <w:pStyle w:val="TableContents"/>
              <w:spacing w:before="0" w:after="283"/>
              <w:rPr>
                <w:sz w:val="4"/>
                <w:szCs w:val="4"/>
              </w:rPr>
            </w:pPr>
            <w:r>
              <w:rPr>
                <w:sz w:val="4"/>
                <w:szCs w:val="4"/>
              </w:rPr>
            </w:r>
          </w:p>
        </w:tc>
        <w:tc>
          <w:tcPr>
            <w:tcW w:w="1256" w:type="dxa"/>
            <w:gridSpan w:val="4"/>
            <w:tcBorders/>
            <w:shd w:fill="auto" w:val="clear"/>
            <w:vAlign w:val="center"/>
          </w:tcPr>
          <w:p>
            <w:pPr>
              <w:pStyle w:val="TableContents"/>
              <w:spacing w:before="0" w:after="283"/>
              <w:rPr>
                <w:sz w:val="4"/>
                <w:szCs w:val="4"/>
              </w:rPr>
            </w:pPr>
            <w:r>
              <w:rPr>
                <w:sz w:val="4"/>
                <w:szCs w:val="4"/>
              </w:rPr>
            </w:r>
          </w:p>
        </w:tc>
        <w:tc>
          <w:tcPr>
            <w:tcW w:w="951" w:type="dxa"/>
            <w:gridSpan w:val="4"/>
            <w:tcBorders/>
            <w:shd w:fill="auto" w:val="clear"/>
            <w:vAlign w:val="center"/>
          </w:tcPr>
          <w:p>
            <w:pPr>
              <w:pStyle w:val="TableContents"/>
              <w:spacing w:before="0" w:after="283"/>
              <w:rPr>
                <w:sz w:val="4"/>
                <w:szCs w:val="4"/>
              </w:rPr>
            </w:pPr>
            <w:r>
              <w:rPr>
                <w:sz w:val="4"/>
                <w:szCs w:val="4"/>
              </w:rPr>
            </w:r>
          </w:p>
        </w:tc>
        <w:tc>
          <w:tcPr>
            <w:tcW w:w="1311" w:type="dxa"/>
            <w:gridSpan w:val="4"/>
            <w:tcBorders/>
            <w:shd w:fill="auto" w:val="clear"/>
            <w:vAlign w:val="center"/>
          </w:tcPr>
          <w:p>
            <w:pPr>
              <w:pStyle w:val="TableContents"/>
              <w:spacing w:before="0" w:after="283"/>
              <w:rPr>
                <w:sz w:val="4"/>
                <w:szCs w:val="4"/>
              </w:rPr>
            </w:pPr>
            <w:r>
              <w:rPr>
                <w:sz w:val="4"/>
                <w:szCs w:val="4"/>
              </w:rPr>
            </w:r>
          </w:p>
        </w:tc>
        <w:tc>
          <w:tcPr>
            <w:tcW w:w="941" w:type="dxa"/>
            <w:gridSpan w:val="4"/>
            <w:tcBorders/>
            <w:shd w:fill="auto" w:val="clear"/>
            <w:vAlign w:val="center"/>
          </w:tcPr>
          <w:p>
            <w:pPr>
              <w:pStyle w:val="TableContents"/>
              <w:spacing w:before="0" w:after="283"/>
              <w:rPr>
                <w:sz w:val="4"/>
                <w:szCs w:val="4"/>
              </w:rPr>
            </w:pPr>
            <w:r>
              <w:rPr>
                <w:sz w:val="4"/>
                <w:szCs w:val="4"/>
              </w:rPr>
            </w:r>
          </w:p>
        </w:tc>
        <w:tc>
          <w:tcPr>
            <w:tcW w:w="1687" w:type="dxa"/>
            <w:gridSpan w:val="4"/>
            <w:tcBorders/>
            <w:shd w:fill="auto" w:val="clear"/>
            <w:vAlign w:val="center"/>
          </w:tcPr>
          <w:p>
            <w:pPr>
              <w:pStyle w:val="TableContents"/>
              <w:spacing w:before="0" w:after="283"/>
              <w:rPr>
                <w:sz w:val="4"/>
                <w:szCs w:val="4"/>
              </w:rPr>
            </w:pPr>
            <w:r>
              <w:rPr>
                <w:sz w:val="4"/>
                <w:szCs w:val="4"/>
              </w:rPr>
            </w:r>
          </w:p>
        </w:tc>
      </w:tr>
      <w:tr>
        <w:trPr/>
        <w:tc>
          <w:tcPr>
            <w:tcW w:w="2080" w:type="dxa"/>
            <w:tcBorders/>
            <w:shd w:fill="auto" w:val="clear"/>
          </w:tcPr>
          <w:p>
            <w:pPr>
              <w:pStyle w:val="TableContents"/>
              <w:spacing w:before="0" w:after="0"/>
              <w:rPr>
                <w:rFonts w:ascii="arial" w:hAnsi="arial"/>
                <w:sz w:val="16"/>
              </w:rPr>
            </w:pPr>
            <w:r>
              <w:rPr>
                <w:rFonts w:ascii="arial" w:hAnsi="arial"/>
                <w:sz w:val="16"/>
              </w:rPr>
              <w:t xml:space="preserve">ABP Earnings </w:t>
            </w:r>
            <w:r>
              <w:rPr>
                <w:rFonts w:ascii="arial" w:hAnsi="arial"/>
                <w:i/>
                <w:sz w:val="16"/>
              </w:rPr>
              <w:t>(Dollars in Millions)</w:t>
            </w:r>
          </w:p>
        </w:tc>
        <w:tc>
          <w:tcPr>
            <w:tcW w:w="13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311" w:type="dxa"/>
            <w:tcBorders/>
            <w:shd w:fill="auto" w:val="clear"/>
            <w:vAlign w:val="bottom"/>
          </w:tcPr>
          <w:p>
            <w:pPr>
              <w:pStyle w:val="TableContents"/>
              <w:spacing w:before="0" w:after="283"/>
              <w:jc w:val="right"/>
              <w:rPr/>
            </w:pPr>
            <w:r>
              <w:rPr/>
              <w:t>85%</w:t>
            </w:r>
          </w:p>
        </w:tc>
        <w:tc>
          <w:tcPr>
            <w:tcW w:w="10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w:t>
            </w:r>
          </w:p>
        </w:tc>
        <w:tc>
          <w:tcPr>
            <w:tcW w:w="856" w:type="dxa"/>
            <w:tcBorders/>
            <w:shd w:fill="auto" w:val="clear"/>
            <w:vAlign w:val="bottom"/>
          </w:tcPr>
          <w:p>
            <w:pPr>
              <w:pStyle w:val="TableContents"/>
              <w:spacing w:before="0" w:after="283"/>
              <w:jc w:val="right"/>
              <w:rPr/>
            </w:pPr>
            <w:r>
              <w:rPr/>
              <w:t>1,951</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568" w:type="dxa"/>
            <w:tcBorders/>
            <w:shd w:fill="auto" w:val="clear"/>
            <w:vAlign w:val="bottom"/>
          </w:tcPr>
          <w:p>
            <w:pPr>
              <w:pStyle w:val="TableContents"/>
              <w:spacing w:before="0" w:after="283"/>
              <w:jc w:val="right"/>
              <w:rPr/>
            </w:pPr>
            <w:r>
              <w:rPr/>
              <w:t>2,032</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w:t>
            </w:r>
          </w:p>
        </w:tc>
        <w:tc>
          <w:tcPr>
            <w:tcW w:w="856" w:type="dxa"/>
            <w:tcBorders/>
            <w:shd w:fill="auto" w:val="clear"/>
            <w:vAlign w:val="bottom"/>
          </w:tcPr>
          <w:p>
            <w:pPr>
              <w:pStyle w:val="TableContents"/>
              <w:spacing w:before="0" w:after="283"/>
              <w:jc w:val="right"/>
              <w:rPr/>
            </w:pPr>
            <w:r>
              <w:rPr/>
              <w:t>2,113</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0" w:type="dxa"/>
            <w:tcBorders/>
            <w:shd w:fill="auto" w:val="clear"/>
            <w:vAlign w:val="bottom"/>
          </w:tcPr>
          <w:p>
            <w:pPr>
              <w:pStyle w:val="TableContents"/>
              <w:spacing w:before="0" w:after="283"/>
              <w:jc w:val="right"/>
              <w:rPr/>
            </w:pPr>
            <w:r>
              <w:rPr/>
              <w:t>2,339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170</w:t>
            </w:r>
          </w:p>
        </w:tc>
        <w:tc>
          <w:tcPr>
            <w:tcW w:w="312" w:type="dxa"/>
            <w:tcBorders/>
            <w:shd w:fill="auto" w:val="clear"/>
            <w:vAlign w:val="bottom"/>
          </w:tcPr>
          <w:p>
            <w:pPr>
              <w:pStyle w:val="TableContents"/>
              <w:spacing w:before="0" w:after="283"/>
              <w:rPr/>
            </w:pPr>
            <w:r>
              <w:rPr/>
              <w:t>% </w:t>
            </w:r>
          </w:p>
        </w:tc>
      </w:tr>
      <w:tr>
        <w:trPr>
          <w:trHeight w:val="60" w:hRule="atLeast"/>
        </w:trPr>
        <w:tc>
          <w:tcPr>
            <w:tcW w:w="2080" w:type="dxa"/>
            <w:tcBorders/>
            <w:shd w:fill="E5E5E5" w:val="clear"/>
            <w:vAlign w:val="center"/>
          </w:tcPr>
          <w:p>
            <w:pPr>
              <w:pStyle w:val="TableContents"/>
              <w:spacing w:before="0" w:after="283"/>
              <w:rPr>
                <w:sz w:val="4"/>
                <w:szCs w:val="4"/>
              </w:rPr>
            </w:pPr>
            <w:r>
              <w:rPr>
                <w:sz w:val="4"/>
                <w:szCs w:val="4"/>
              </w:rPr>
            </w:r>
          </w:p>
        </w:tc>
        <w:tc>
          <w:tcPr>
            <w:tcW w:w="1751" w:type="dxa"/>
            <w:gridSpan w:val="4"/>
            <w:tcBorders/>
            <w:shd w:fill="E5E5E5" w:val="clear"/>
            <w:vAlign w:val="center"/>
          </w:tcPr>
          <w:p>
            <w:pPr>
              <w:pStyle w:val="TableContents"/>
              <w:spacing w:before="0" w:after="283"/>
              <w:rPr>
                <w:sz w:val="4"/>
                <w:szCs w:val="4"/>
              </w:rPr>
            </w:pPr>
            <w:r>
              <w:rPr>
                <w:sz w:val="4"/>
                <w:szCs w:val="4"/>
              </w:rPr>
            </w:r>
          </w:p>
        </w:tc>
        <w:tc>
          <w:tcPr>
            <w:tcW w:w="228" w:type="dxa"/>
            <w:gridSpan w:val="2"/>
            <w:tcBorders/>
            <w:shd w:fill="E5E5E5" w:val="clear"/>
            <w:vAlign w:val="center"/>
          </w:tcPr>
          <w:p>
            <w:pPr>
              <w:pStyle w:val="TableContents"/>
              <w:spacing w:before="0" w:after="283"/>
              <w:rPr>
                <w:sz w:val="4"/>
                <w:szCs w:val="4"/>
              </w:rPr>
            </w:pPr>
            <w:r>
              <w:rPr>
                <w:sz w:val="4"/>
                <w:szCs w:val="4"/>
              </w:rPr>
            </w:r>
          </w:p>
        </w:tc>
        <w:tc>
          <w:tcPr>
            <w:tcW w:w="1256" w:type="dxa"/>
            <w:gridSpan w:val="4"/>
            <w:tcBorders/>
            <w:shd w:fill="E5E5E5" w:val="clear"/>
            <w:vAlign w:val="center"/>
          </w:tcPr>
          <w:p>
            <w:pPr>
              <w:pStyle w:val="TableContents"/>
              <w:spacing w:before="0" w:after="283"/>
              <w:rPr>
                <w:sz w:val="4"/>
                <w:szCs w:val="4"/>
              </w:rPr>
            </w:pPr>
            <w:r>
              <w:rPr>
                <w:sz w:val="4"/>
                <w:szCs w:val="4"/>
              </w:rPr>
            </w:r>
          </w:p>
        </w:tc>
        <w:tc>
          <w:tcPr>
            <w:tcW w:w="951" w:type="dxa"/>
            <w:gridSpan w:val="4"/>
            <w:tcBorders/>
            <w:shd w:fill="E5E5E5" w:val="clear"/>
            <w:vAlign w:val="center"/>
          </w:tcPr>
          <w:p>
            <w:pPr>
              <w:pStyle w:val="TableContents"/>
              <w:spacing w:before="0" w:after="283"/>
              <w:rPr>
                <w:sz w:val="4"/>
                <w:szCs w:val="4"/>
              </w:rPr>
            </w:pPr>
            <w:r>
              <w:rPr>
                <w:sz w:val="4"/>
                <w:szCs w:val="4"/>
              </w:rPr>
            </w:r>
          </w:p>
        </w:tc>
        <w:tc>
          <w:tcPr>
            <w:tcW w:w="1311" w:type="dxa"/>
            <w:gridSpan w:val="4"/>
            <w:tcBorders/>
            <w:shd w:fill="E5E5E5" w:val="clear"/>
            <w:vAlign w:val="center"/>
          </w:tcPr>
          <w:p>
            <w:pPr>
              <w:pStyle w:val="TableContents"/>
              <w:spacing w:before="0" w:after="283"/>
              <w:rPr>
                <w:sz w:val="4"/>
                <w:szCs w:val="4"/>
              </w:rPr>
            </w:pPr>
            <w:r>
              <w:rPr>
                <w:sz w:val="4"/>
                <w:szCs w:val="4"/>
              </w:rPr>
            </w:r>
          </w:p>
        </w:tc>
        <w:tc>
          <w:tcPr>
            <w:tcW w:w="941" w:type="dxa"/>
            <w:gridSpan w:val="4"/>
            <w:tcBorders/>
            <w:shd w:fill="E5E5E5" w:val="clear"/>
            <w:vAlign w:val="center"/>
          </w:tcPr>
          <w:p>
            <w:pPr>
              <w:pStyle w:val="TableContents"/>
              <w:spacing w:before="0" w:after="283"/>
              <w:rPr>
                <w:sz w:val="4"/>
                <w:szCs w:val="4"/>
              </w:rPr>
            </w:pPr>
            <w:r>
              <w:rPr>
                <w:sz w:val="4"/>
                <w:szCs w:val="4"/>
              </w:rPr>
            </w:r>
          </w:p>
        </w:tc>
        <w:tc>
          <w:tcPr>
            <w:tcW w:w="1687" w:type="dxa"/>
            <w:gridSpan w:val="4"/>
            <w:tcBorders/>
            <w:shd w:fill="E5E5E5" w:val="clear"/>
            <w:vAlign w:val="center"/>
          </w:tcPr>
          <w:p>
            <w:pPr>
              <w:pStyle w:val="TableContents"/>
              <w:spacing w:before="0" w:after="283"/>
              <w:rPr>
                <w:sz w:val="4"/>
                <w:szCs w:val="4"/>
              </w:rPr>
            </w:pPr>
            <w:r>
              <w:rPr>
                <w:sz w:val="4"/>
                <w:szCs w:val="4"/>
              </w:rPr>
            </w:r>
          </w:p>
        </w:tc>
      </w:tr>
      <w:tr>
        <w:trPr/>
        <w:tc>
          <w:tcPr>
            <w:tcW w:w="2080" w:type="dxa"/>
            <w:tcBorders/>
            <w:shd w:fill="E5E5E5" w:val="clear"/>
          </w:tcPr>
          <w:p>
            <w:pPr>
              <w:pStyle w:val="TableContents"/>
              <w:spacing w:before="0" w:after="0"/>
              <w:rPr>
                <w:rFonts w:ascii="arial" w:hAnsi="arial"/>
                <w:b/>
                <w:sz w:val="16"/>
              </w:rPr>
            </w:pPr>
            <w:r>
              <w:rPr>
                <w:rFonts w:ascii="arial" w:hAnsi="arial"/>
                <w:b/>
                <w:sz w:val="16"/>
              </w:rPr>
              <w:t>Safety Measures:</w:t>
            </w:r>
          </w:p>
        </w:tc>
        <w:tc>
          <w:tcPr>
            <w:tcW w:w="133" w:type="dxa"/>
            <w:tcBorders/>
            <w:shd w:fill="E5E5E5" w:val="clear"/>
            <w:vAlign w:val="bottom"/>
          </w:tcPr>
          <w:p>
            <w:pPr>
              <w:pStyle w:val="TableContents"/>
              <w:spacing w:before="0" w:after="283"/>
              <w:rPr/>
            </w:pPr>
            <w:r>
              <w:rPr/>
              <w:t>  </w:t>
            </w:r>
          </w:p>
        </w:tc>
        <w:tc>
          <w:tcPr>
            <w:tcW w:w="205" w:type="dxa"/>
            <w:tcBorders/>
            <w:shd w:fill="E5E5E5" w:val="clear"/>
            <w:vAlign w:val="bottom"/>
          </w:tcPr>
          <w:p>
            <w:pPr>
              <w:pStyle w:val="TableContents"/>
              <w:spacing w:before="0" w:after="283"/>
              <w:rPr>
                <w:sz w:val="4"/>
                <w:szCs w:val="4"/>
              </w:rPr>
            </w:pPr>
            <w:r>
              <w:rPr>
                <w:sz w:val="4"/>
                <w:szCs w:val="4"/>
              </w:rPr>
            </w:r>
          </w:p>
        </w:tc>
        <w:tc>
          <w:tcPr>
            <w:tcW w:w="1311" w:type="dxa"/>
            <w:tcBorders/>
            <w:shd w:fill="E5E5E5" w:val="clear"/>
            <w:vAlign w:val="bottom"/>
          </w:tcPr>
          <w:p>
            <w:pPr>
              <w:pStyle w:val="TableContents"/>
              <w:spacing w:before="0" w:after="283"/>
              <w:rPr>
                <w:sz w:val="4"/>
                <w:szCs w:val="4"/>
              </w:rPr>
            </w:pPr>
            <w:r>
              <w:rPr>
                <w:sz w:val="4"/>
                <w:szCs w:val="4"/>
              </w:rPr>
            </w:r>
          </w:p>
        </w:tc>
        <w:tc>
          <w:tcPr>
            <w:tcW w:w="102" w:type="dxa"/>
            <w:tcBorders/>
            <w:shd w:fill="E5E5E5" w:val="clear"/>
            <w:vAlign w:val="bottom"/>
          </w:tcPr>
          <w:p>
            <w:pPr>
              <w:pStyle w:val="TableContents"/>
              <w:spacing w:before="0" w:after="283"/>
              <w:rPr>
                <w:sz w:val="4"/>
                <w:szCs w:val="4"/>
              </w:rPr>
            </w:pPr>
            <w:r>
              <w:rPr>
                <w:sz w:val="4"/>
                <w:szCs w:val="4"/>
              </w:rPr>
            </w:r>
          </w:p>
        </w:tc>
        <w:tc>
          <w:tcPr>
            <w:tcW w:w="126" w:type="dxa"/>
            <w:tcBorders/>
            <w:shd w:fill="E5E5E5" w:val="clear"/>
            <w:vAlign w:val="bottom"/>
          </w:tcPr>
          <w:p>
            <w:pPr>
              <w:pStyle w:val="TableContents"/>
              <w:spacing w:before="0" w:after="283"/>
              <w:rPr/>
            </w:pPr>
            <w:r>
              <w:rPr/>
              <w:t> </w:t>
            </w:r>
          </w:p>
        </w:tc>
        <w:tc>
          <w:tcPr>
            <w:tcW w:w="102" w:type="dxa"/>
            <w:tcBorders/>
            <w:shd w:fill="E5E5E5" w:val="clear"/>
            <w:vAlign w:val="bottom"/>
          </w:tcPr>
          <w:p>
            <w:pPr>
              <w:pStyle w:val="TableContents"/>
              <w:spacing w:before="0" w:after="283"/>
              <w:rPr>
                <w:sz w:val="4"/>
                <w:szCs w:val="4"/>
              </w:rPr>
            </w:pPr>
            <w:r>
              <w:rPr>
                <w:sz w:val="4"/>
                <w:szCs w:val="4"/>
              </w:rPr>
            </w:r>
          </w:p>
        </w:tc>
        <w:tc>
          <w:tcPr>
            <w:tcW w:w="126" w:type="dxa"/>
            <w:tcBorders/>
            <w:shd w:fill="E5E5E5" w:val="clear"/>
            <w:vAlign w:val="bottom"/>
          </w:tcPr>
          <w:p>
            <w:pPr>
              <w:pStyle w:val="TableContents"/>
              <w:spacing w:before="0" w:after="283"/>
              <w:rPr/>
            </w:pPr>
            <w:r>
              <w:rPr/>
              <w:t> </w:t>
            </w:r>
          </w:p>
        </w:tc>
        <w:tc>
          <w:tcPr>
            <w:tcW w:w="214" w:type="dxa"/>
            <w:tcBorders/>
            <w:shd w:fill="E5E5E5" w:val="clear"/>
            <w:vAlign w:val="bottom"/>
          </w:tcPr>
          <w:p>
            <w:pPr>
              <w:pStyle w:val="TableContents"/>
              <w:spacing w:before="0" w:after="283"/>
              <w:rPr>
                <w:sz w:val="4"/>
                <w:szCs w:val="4"/>
              </w:rPr>
            </w:pPr>
            <w:r>
              <w:rPr>
                <w:sz w:val="4"/>
                <w:szCs w:val="4"/>
              </w:rPr>
            </w:r>
          </w:p>
        </w:tc>
        <w:tc>
          <w:tcPr>
            <w:tcW w:w="856"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81" w:type="dxa"/>
            <w:tcBorders/>
            <w:shd w:fill="E5E5E5" w:val="clear"/>
            <w:vAlign w:val="bottom"/>
          </w:tcPr>
          <w:p>
            <w:pPr>
              <w:pStyle w:val="TableContents"/>
              <w:spacing w:before="0" w:after="283"/>
              <w:rPr/>
            </w:pPr>
            <w:r>
              <w:rPr/>
              <w:t>  </w:t>
            </w:r>
          </w:p>
        </w:tc>
        <w:tc>
          <w:tcPr>
            <w:tcW w:w="142" w:type="dxa"/>
            <w:tcBorders/>
            <w:shd w:fill="E5E5E5" w:val="clear"/>
            <w:vAlign w:val="bottom"/>
          </w:tcPr>
          <w:p>
            <w:pPr>
              <w:pStyle w:val="TableContents"/>
              <w:spacing w:before="0" w:after="283"/>
              <w:rPr>
                <w:sz w:val="4"/>
                <w:szCs w:val="4"/>
              </w:rPr>
            </w:pPr>
            <w:r>
              <w:rPr>
                <w:sz w:val="4"/>
                <w:szCs w:val="4"/>
              </w:rPr>
            </w:r>
          </w:p>
        </w:tc>
        <w:tc>
          <w:tcPr>
            <w:tcW w:w="56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81" w:type="dxa"/>
            <w:tcBorders/>
            <w:shd w:fill="E5E5E5" w:val="clear"/>
            <w:vAlign w:val="bottom"/>
          </w:tcPr>
          <w:p>
            <w:pPr>
              <w:pStyle w:val="TableContents"/>
              <w:spacing w:before="0" w:after="283"/>
              <w:rPr/>
            </w:pPr>
            <w:r>
              <w:rPr/>
              <w:t>  </w:t>
            </w:r>
          </w:p>
        </w:tc>
        <w:tc>
          <w:tcPr>
            <w:tcW w:w="214" w:type="dxa"/>
            <w:tcBorders/>
            <w:shd w:fill="E5E5E5" w:val="clear"/>
            <w:vAlign w:val="bottom"/>
          </w:tcPr>
          <w:p>
            <w:pPr>
              <w:pStyle w:val="TableContents"/>
              <w:spacing w:before="0" w:after="283"/>
              <w:rPr>
                <w:sz w:val="4"/>
                <w:szCs w:val="4"/>
              </w:rPr>
            </w:pPr>
            <w:r>
              <w:rPr>
                <w:sz w:val="4"/>
                <w:szCs w:val="4"/>
              </w:rPr>
            </w:r>
          </w:p>
        </w:tc>
        <w:tc>
          <w:tcPr>
            <w:tcW w:w="856"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5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074" w:type="dxa"/>
            <w:tcBorders/>
            <w:shd w:fill="E5E5E5" w:val="clear"/>
            <w:vAlign w:val="bottom"/>
          </w:tcPr>
          <w:p>
            <w:pPr>
              <w:pStyle w:val="TableContents"/>
              <w:spacing w:before="0" w:after="283"/>
              <w:rPr>
                <w:sz w:val="4"/>
                <w:szCs w:val="4"/>
              </w:rPr>
            </w:pPr>
            <w:r>
              <w:rPr>
                <w:sz w:val="4"/>
                <w:szCs w:val="4"/>
              </w:rPr>
            </w:r>
          </w:p>
        </w:tc>
        <w:tc>
          <w:tcPr>
            <w:tcW w:w="312"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2080" w:type="dxa"/>
            <w:tcBorders/>
            <w:shd w:fill="auto" w:val="clear"/>
            <w:vAlign w:val="center"/>
          </w:tcPr>
          <w:p>
            <w:pPr>
              <w:pStyle w:val="TableContents"/>
              <w:spacing w:before="0" w:after="283"/>
              <w:rPr>
                <w:sz w:val="4"/>
                <w:szCs w:val="4"/>
              </w:rPr>
            </w:pPr>
            <w:r>
              <w:rPr>
                <w:sz w:val="4"/>
                <w:szCs w:val="4"/>
              </w:rPr>
            </w:r>
          </w:p>
        </w:tc>
        <w:tc>
          <w:tcPr>
            <w:tcW w:w="1751" w:type="dxa"/>
            <w:gridSpan w:val="4"/>
            <w:tcBorders/>
            <w:shd w:fill="auto" w:val="clear"/>
            <w:vAlign w:val="center"/>
          </w:tcPr>
          <w:p>
            <w:pPr>
              <w:pStyle w:val="TableContents"/>
              <w:spacing w:before="0" w:after="283"/>
              <w:rPr>
                <w:sz w:val="4"/>
                <w:szCs w:val="4"/>
              </w:rPr>
            </w:pPr>
            <w:r>
              <w:rPr>
                <w:sz w:val="4"/>
                <w:szCs w:val="4"/>
              </w:rPr>
            </w:r>
          </w:p>
        </w:tc>
        <w:tc>
          <w:tcPr>
            <w:tcW w:w="228" w:type="dxa"/>
            <w:gridSpan w:val="2"/>
            <w:tcBorders/>
            <w:shd w:fill="auto" w:val="clear"/>
            <w:vAlign w:val="center"/>
          </w:tcPr>
          <w:p>
            <w:pPr>
              <w:pStyle w:val="TableContents"/>
              <w:spacing w:before="0" w:after="283"/>
              <w:rPr>
                <w:sz w:val="4"/>
                <w:szCs w:val="4"/>
              </w:rPr>
            </w:pPr>
            <w:r>
              <w:rPr>
                <w:sz w:val="4"/>
                <w:szCs w:val="4"/>
              </w:rPr>
            </w:r>
          </w:p>
        </w:tc>
        <w:tc>
          <w:tcPr>
            <w:tcW w:w="4459" w:type="dxa"/>
            <w:gridSpan w:val="16"/>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687" w:type="dxa"/>
            <w:gridSpan w:val="4"/>
            <w:tcBorders/>
            <w:shd w:fill="auto" w:val="clear"/>
            <w:vAlign w:val="center"/>
          </w:tcPr>
          <w:p>
            <w:pPr>
              <w:pStyle w:val="TableContents"/>
              <w:spacing w:before="0" w:after="283"/>
              <w:rPr>
                <w:sz w:val="4"/>
                <w:szCs w:val="4"/>
              </w:rPr>
            </w:pPr>
            <w:r>
              <w:rPr>
                <w:sz w:val="4"/>
                <w:szCs w:val="4"/>
              </w:rPr>
            </w:r>
          </w:p>
        </w:tc>
      </w:tr>
      <w:tr>
        <w:trPr/>
        <w:tc>
          <w:tcPr>
            <w:tcW w:w="2080" w:type="dxa"/>
            <w:tcBorders/>
            <w:shd w:fill="auto" w:val="clear"/>
          </w:tcPr>
          <w:p>
            <w:pPr>
              <w:pStyle w:val="TableContents"/>
              <w:spacing w:before="0" w:after="0"/>
              <w:rPr>
                <w:rFonts w:ascii="arial" w:hAnsi="arial"/>
                <w:sz w:val="16"/>
              </w:rPr>
            </w:pPr>
            <w:r>
              <w:rPr>
                <w:rFonts w:ascii="arial" w:hAnsi="arial"/>
                <w:sz w:val="16"/>
              </w:rPr>
              <w:t>Employee and Public Safety</w:t>
            </w:r>
          </w:p>
        </w:tc>
        <w:tc>
          <w:tcPr>
            <w:tcW w:w="13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311"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sz w:val="4"/>
                <w:szCs w:val="4"/>
              </w:rPr>
            </w:pPr>
            <w:r>
              <w:rPr>
                <w:sz w:val="4"/>
                <w:szCs w:val="4"/>
              </w:rPr>
            </w:r>
          </w:p>
        </w:tc>
        <w:tc>
          <w:tcPr>
            <w:tcW w:w="126" w:type="dxa"/>
            <w:vMerge w:val="restart"/>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14" w:type="dxa"/>
            <w:vMerge w:val="restart"/>
            <w:tcBorders>
              <w:bottom w:val="single" w:sz="2" w:space="0" w:color="000000"/>
            </w:tcBorders>
            <w:shd w:fill="auto" w:val="clear"/>
            <w:tcMar>
              <w:bottom w:w="60" w:type="dxa"/>
            </w:tcMar>
            <w:vAlign w:val="center"/>
          </w:tcPr>
          <w:p>
            <w:pPr>
              <w:pStyle w:val="TableContents"/>
              <w:spacing w:before="0" w:after="283"/>
              <w:jc w:val="center"/>
              <w:rPr/>
            </w:pPr>
            <w:r>
              <w:rPr/>
              <w:t> </w:t>
            </w:r>
          </w:p>
        </w:tc>
        <w:tc>
          <w:tcPr>
            <w:tcW w:w="4059" w:type="dxa"/>
            <w:gridSpan w:val="13"/>
            <w:vMerge w:val="restart"/>
            <w:tcBorders>
              <w:bottom w:val="single" w:sz="2" w:space="0" w:color="000000"/>
            </w:tcBorders>
            <w:shd w:fill="auto" w:val="clear"/>
            <w:tcMar>
              <w:bottom w:w="60" w:type="dxa"/>
            </w:tcMar>
            <w:vAlign w:val="center"/>
          </w:tcPr>
          <w:p>
            <w:pPr>
              <w:pStyle w:val="TableContents"/>
              <w:spacing w:before="0" w:after="283"/>
              <w:jc w:val="center"/>
              <w:rPr/>
            </w:pPr>
            <w:r>
              <w:rPr/>
              <w:t>See Appendix D for Detail      </w:t>
            </w:r>
          </w:p>
        </w:tc>
        <w:tc>
          <w:tcPr>
            <w:tcW w:w="60" w:type="dxa"/>
            <w:vMerge w:val="restart"/>
            <w:tcBorders>
              <w:bottom w:val="single" w:sz="2" w:space="0" w:color="000000"/>
              <w:right w:val="single" w:sz="2" w:space="0" w:color="000000"/>
            </w:tcBorders>
            <w:shd w:fill="auto" w:val="clear"/>
            <w:tcMar>
              <w:bottom w:w="60" w:type="dxa"/>
              <w:right w:w="28" w:type="dxa"/>
            </w:tcM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23</w:t>
            </w:r>
          </w:p>
        </w:tc>
        <w:tc>
          <w:tcPr>
            <w:tcW w:w="312" w:type="dxa"/>
            <w:tcBorders/>
            <w:shd w:fill="auto" w:val="clear"/>
            <w:vAlign w:val="bottom"/>
          </w:tcPr>
          <w:p>
            <w:pPr>
              <w:pStyle w:val="TableContents"/>
              <w:spacing w:before="0" w:after="283"/>
              <w:rPr/>
            </w:pPr>
            <w:r>
              <w:rPr/>
              <w:t>% </w:t>
            </w:r>
          </w:p>
        </w:tc>
      </w:tr>
      <w:tr>
        <w:trPr/>
        <w:tc>
          <w:tcPr>
            <w:tcW w:w="2080" w:type="dxa"/>
            <w:tcBorders/>
            <w:shd w:fill="E5E5E5" w:val="clear"/>
          </w:tcPr>
          <w:p>
            <w:pPr>
              <w:pStyle w:val="TableContents"/>
              <w:spacing w:before="0" w:after="0"/>
              <w:rPr>
                <w:rFonts w:ascii="arial" w:hAnsi="arial"/>
                <w:b/>
                <w:sz w:val="16"/>
              </w:rPr>
            </w:pPr>
            <w:r>
              <w:rPr>
                <w:rFonts w:ascii="arial" w:hAnsi="arial"/>
                <w:b/>
                <w:sz w:val="16"/>
              </w:rPr>
              <w:t>Stakeholder Measures:</w:t>
            </w:r>
          </w:p>
        </w:tc>
        <w:tc>
          <w:tcPr>
            <w:tcW w:w="133" w:type="dxa"/>
            <w:tcBorders/>
            <w:shd w:fill="E5E5E5" w:val="clear"/>
            <w:vAlign w:val="bottom"/>
          </w:tcPr>
          <w:p>
            <w:pPr>
              <w:pStyle w:val="TableContents"/>
              <w:spacing w:before="0" w:after="283"/>
              <w:rPr/>
            </w:pPr>
            <w:r>
              <w:rPr/>
              <w:t>  </w:t>
            </w:r>
          </w:p>
        </w:tc>
        <w:tc>
          <w:tcPr>
            <w:tcW w:w="205" w:type="dxa"/>
            <w:tcBorders/>
            <w:shd w:fill="E5E5E5" w:val="clear"/>
            <w:vAlign w:val="bottom"/>
          </w:tcPr>
          <w:p>
            <w:pPr>
              <w:pStyle w:val="TableContents"/>
              <w:spacing w:before="0" w:after="283"/>
              <w:rPr>
                <w:sz w:val="4"/>
                <w:szCs w:val="4"/>
              </w:rPr>
            </w:pPr>
            <w:r>
              <w:rPr>
                <w:sz w:val="4"/>
                <w:szCs w:val="4"/>
              </w:rPr>
            </w:r>
          </w:p>
        </w:tc>
        <w:tc>
          <w:tcPr>
            <w:tcW w:w="1311" w:type="dxa"/>
            <w:tcBorders/>
            <w:shd w:fill="E5E5E5" w:val="clear"/>
            <w:vAlign w:val="bottom"/>
          </w:tcPr>
          <w:p>
            <w:pPr>
              <w:pStyle w:val="TableContents"/>
              <w:spacing w:before="0" w:after="283"/>
              <w:rPr>
                <w:sz w:val="4"/>
                <w:szCs w:val="4"/>
              </w:rPr>
            </w:pPr>
            <w:r>
              <w:rPr>
                <w:sz w:val="4"/>
                <w:szCs w:val="4"/>
              </w:rPr>
            </w:r>
          </w:p>
        </w:tc>
        <w:tc>
          <w:tcPr>
            <w:tcW w:w="102" w:type="dxa"/>
            <w:tcBorders/>
            <w:shd w:fill="E5E5E5" w:val="clear"/>
            <w:vAlign w:val="bottom"/>
          </w:tcPr>
          <w:p>
            <w:pPr>
              <w:pStyle w:val="TableContents"/>
              <w:spacing w:before="0" w:after="283"/>
              <w:rPr>
                <w:sz w:val="4"/>
                <w:szCs w:val="4"/>
              </w:rPr>
            </w:pPr>
            <w:r>
              <w:rPr>
                <w:sz w:val="4"/>
                <w:szCs w:val="4"/>
              </w:rPr>
            </w:r>
          </w:p>
        </w:tc>
        <w:tc>
          <w:tcPr>
            <w:tcW w:w="126" w:type="dxa"/>
            <w:tcBorders/>
            <w:shd w:fill="E5E5E5" w:val="clear"/>
            <w:vAlign w:val="bottom"/>
          </w:tcPr>
          <w:p>
            <w:pPr>
              <w:pStyle w:val="TableContents"/>
              <w:spacing w:before="0" w:after="283"/>
              <w:rPr/>
            </w:pPr>
            <w:r>
              <w:rPr/>
              <w:t> </w:t>
            </w:r>
          </w:p>
        </w:tc>
        <w:tc>
          <w:tcPr>
            <w:tcW w:w="102" w:type="dxa"/>
            <w:tcBorders/>
            <w:shd w:fill="E5E5E5" w:val="clear"/>
            <w:vAlign w:val="bottom"/>
          </w:tcPr>
          <w:p>
            <w:pPr>
              <w:pStyle w:val="TableContents"/>
              <w:spacing w:before="0" w:after="283"/>
              <w:rPr>
                <w:sz w:val="4"/>
                <w:szCs w:val="4"/>
              </w:rPr>
            </w:pPr>
            <w:r>
              <w:rPr>
                <w:sz w:val="4"/>
                <w:szCs w:val="4"/>
              </w:rPr>
            </w:r>
          </w:p>
        </w:tc>
        <w:tc>
          <w:tcPr>
            <w:tcW w:w="126" w:type="dxa"/>
            <w:vMerge w:val="continue"/>
            <w:tcBorders>
              <w:left w:val="single" w:sz="2" w:space="0" w:color="000000"/>
              <w:bottom w:val="single" w:sz="2" w:space="0" w:color="000000"/>
            </w:tcBorders>
            <w:shd w:fill="auto" w:val="clear"/>
            <w:tcMar>
              <w:left w:w="28" w:type="dxa"/>
              <w:bottom w:w="28" w:type="dxa"/>
            </w:tcMar>
            <w:vAlign w:val="bottom"/>
          </w:tcPr>
          <w:p>
            <w:pPr>
              <w:pStyle w:val="Normal"/>
              <w:rPr/>
            </w:pPr>
            <w:r>
              <w:rPr/>
            </w:r>
          </w:p>
        </w:tc>
        <w:tc>
          <w:tcPr>
            <w:tcW w:w="214" w:type="dxa"/>
            <w:vMerge w:val="continue"/>
            <w:tcBorders>
              <w:bottom w:val="single" w:sz="2" w:space="0" w:color="000000"/>
            </w:tcBorders>
            <w:shd w:fill="auto" w:val="clear"/>
            <w:tcMar>
              <w:bottom w:w="60" w:type="dxa"/>
            </w:tcMar>
            <w:vAlign w:val="center"/>
          </w:tcPr>
          <w:p>
            <w:pPr>
              <w:pStyle w:val="Normal"/>
              <w:rPr/>
            </w:pPr>
            <w:r>
              <w:rPr/>
            </w:r>
          </w:p>
        </w:tc>
        <w:tc>
          <w:tcPr>
            <w:tcW w:w="4059" w:type="dxa"/>
            <w:gridSpan w:val="13"/>
            <w:vMerge w:val="continue"/>
            <w:tcBorders>
              <w:bottom w:val="single" w:sz="2" w:space="0" w:color="000000"/>
            </w:tcBorders>
            <w:shd w:fill="auto" w:val="clear"/>
            <w:tcMar>
              <w:bottom w:w="60" w:type="dxa"/>
            </w:tcMar>
            <w:vAlign w:val="center"/>
          </w:tcPr>
          <w:p>
            <w:pPr>
              <w:pStyle w:val="Normal"/>
              <w:rPr/>
            </w:pPr>
            <w:r>
              <w:rPr/>
            </w:r>
          </w:p>
        </w:tc>
        <w:tc>
          <w:tcPr>
            <w:tcW w:w="60" w:type="dxa"/>
            <w:vMerge w:val="continue"/>
            <w:tcBorders>
              <w:bottom w:val="single" w:sz="2" w:space="0" w:color="000000"/>
              <w:right w:val="single" w:sz="2" w:space="0" w:color="000000"/>
            </w:tcBorders>
            <w:shd w:fill="auto" w:val="clear"/>
            <w:tcMar>
              <w:bottom w:w="60" w:type="dxa"/>
              <w:right w:w="28" w:type="dxa"/>
            </w:tcMar>
            <w:vAlign w:val="center"/>
          </w:tcPr>
          <w:p>
            <w:pPr>
              <w:pStyle w:val="Normal"/>
              <w:rPr/>
            </w:pPr>
            <w:r>
              <w:rPr/>
            </w:r>
          </w:p>
        </w:tc>
        <w:tc>
          <w:tcPr>
            <w:tcW w:w="133"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074" w:type="dxa"/>
            <w:tcBorders/>
            <w:shd w:fill="E5E5E5" w:val="clear"/>
            <w:vAlign w:val="bottom"/>
          </w:tcPr>
          <w:p>
            <w:pPr>
              <w:pStyle w:val="TableContents"/>
              <w:spacing w:before="0" w:after="283"/>
              <w:rPr>
                <w:sz w:val="4"/>
                <w:szCs w:val="4"/>
              </w:rPr>
            </w:pPr>
            <w:r>
              <w:rPr>
                <w:sz w:val="4"/>
                <w:szCs w:val="4"/>
              </w:rPr>
            </w:r>
          </w:p>
        </w:tc>
        <w:tc>
          <w:tcPr>
            <w:tcW w:w="312" w:type="dxa"/>
            <w:tcBorders/>
            <w:shd w:fill="E5E5E5" w:val="clear"/>
            <w:vAlign w:val="bottom"/>
          </w:tcPr>
          <w:p>
            <w:pPr>
              <w:pStyle w:val="TableContents"/>
              <w:spacing w:before="0" w:after="283"/>
              <w:rPr>
                <w:sz w:val="4"/>
                <w:szCs w:val="4"/>
              </w:rPr>
            </w:pPr>
            <w:r>
              <w:rPr>
                <w:sz w:val="4"/>
                <w:szCs w:val="4"/>
              </w:rPr>
            </w:r>
          </w:p>
        </w:tc>
      </w:tr>
      <w:tr>
        <w:trPr/>
        <w:tc>
          <w:tcPr>
            <w:tcW w:w="2080" w:type="dxa"/>
            <w:tcBorders/>
            <w:shd w:fill="auto" w:val="clear"/>
          </w:tcPr>
          <w:p>
            <w:pPr>
              <w:pStyle w:val="TableContents"/>
              <w:spacing w:before="0" w:after="0"/>
              <w:rPr>
                <w:rFonts w:ascii="arial" w:hAnsi="arial"/>
                <w:sz w:val="16"/>
              </w:rPr>
            </w:pPr>
            <w:r>
              <w:rPr>
                <w:rFonts w:ascii="arial" w:hAnsi="arial"/>
                <w:sz w:val="16"/>
              </w:rPr>
              <w:t>SDG&amp;E and SoCalGas Customer Service and Other Stakeholders</w:t>
            </w:r>
          </w:p>
        </w:tc>
        <w:tc>
          <w:tcPr>
            <w:tcW w:w="13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311" w:type="dxa"/>
            <w:tcBorders/>
            <w:shd w:fill="auto" w:val="clear"/>
            <w:vAlign w:val="bottom"/>
          </w:tcPr>
          <w:p>
            <w:pPr>
              <w:pStyle w:val="TableContents"/>
              <w:spacing w:before="0" w:after="283"/>
              <w:jc w:val="right"/>
              <w:rPr/>
            </w:pPr>
            <w:r>
              <w:rPr/>
              <w:t>3%</w:t>
            </w:r>
          </w:p>
        </w:tc>
        <w:tc>
          <w:tcPr>
            <w:tcW w:w="10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sz w:val="4"/>
                <w:szCs w:val="4"/>
              </w:rPr>
            </w:pPr>
            <w:r>
              <w:rPr>
                <w:sz w:val="4"/>
                <w:szCs w:val="4"/>
              </w:rPr>
            </w:r>
          </w:p>
        </w:tc>
        <w:tc>
          <w:tcPr>
            <w:tcW w:w="126" w:type="dxa"/>
            <w:vMerge w:val="continue"/>
            <w:tcBorders>
              <w:left w:val="single" w:sz="2" w:space="0" w:color="000000"/>
              <w:bottom w:val="single" w:sz="2" w:space="0" w:color="000000"/>
            </w:tcBorders>
            <w:shd w:fill="auto" w:val="clear"/>
            <w:tcMar>
              <w:left w:w="28" w:type="dxa"/>
              <w:bottom w:w="28" w:type="dxa"/>
            </w:tcMar>
            <w:vAlign w:val="bottom"/>
          </w:tcPr>
          <w:p>
            <w:pPr>
              <w:pStyle w:val="Normal"/>
              <w:rPr/>
            </w:pPr>
            <w:r>
              <w:rPr/>
            </w:r>
          </w:p>
        </w:tc>
        <w:tc>
          <w:tcPr>
            <w:tcW w:w="214" w:type="dxa"/>
            <w:vMerge w:val="continue"/>
            <w:tcBorders>
              <w:bottom w:val="single" w:sz="2" w:space="0" w:color="000000"/>
            </w:tcBorders>
            <w:shd w:fill="auto" w:val="clear"/>
            <w:tcMar>
              <w:bottom w:w="60" w:type="dxa"/>
            </w:tcMar>
            <w:vAlign w:val="center"/>
          </w:tcPr>
          <w:p>
            <w:pPr>
              <w:pStyle w:val="Normal"/>
              <w:rPr/>
            </w:pPr>
            <w:r>
              <w:rPr/>
            </w:r>
          </w:p>
        </w:tc>
        <w:tc>
          <w:tcPr>
            <w:tcW w:w="4059" w:type="dxa"/>
            <w:gridSpan w:val="13"/>
            <w:vMerge w:val="continue"/>
            <w:tcBorders>
              <w:bottom w:val="single" w:sz="2" w:space="0" w:color="000000"/>
            </w:tcBorders>
            <w:shd w:fill="auto" w:val="clear"/>
            <w:tcMar>
              <w:bottom w:w="60" w:type="dxa"/>
            </w:tcMar>
            <w:vAlign w:val="center"/>
          </w:tcPr>
          <w:p>
            <w:pPr>
              <w:pStyle w:val="Normal"/>
              <w:rPr/>
            </w:pPr>
            <w:r>
              <w:rPr/>
            </w:r>
          </w:p>
        </w:tc>
        <w:tc>
          <w:tcPr>
            <w:tcW w:w="60" w:type="dxa"/>
            <w:vMerge w:val="continue"/>
            <w:tcBorders>
              <w:bottom w:val="single" w:sz="2" w:space="0" w:color="000000"/>
              <w:right w:val="single" w:sz="2" w:space="0" w:color="000000"/>
            </w:tcBorders>
            <w:shd w:fill="auto" w:val="clear"/>
            <w:tcMar>
              <w:bottom w:w="60" w:type="dxa"/>
              <w:right w:w="28" w:type="dxa"/>
            </w:tcMar>
            <w:vAlign w:val="center"/>
          </w:tcPr>
          <w:p>
            <w:pPr>
              <w:pStyle w:val="Normal"/>
              <w:rPr/>
            </w:pPr>
            <w:r>
              <w:rPr/>
            </w:r>
          </w:p>
        </w:tc>
        <w:tc>
          <w:tcPr>
            <w:tcW w:w="13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5</w:t>
            </w:r>
          </w:p>
        </w:tc>
        <w:tc>
          <w:tcPr>
            <w:tcW w:w="312" w:type="dxa"/>
            <w:tcBorders/>
            <w:shd w:fill="auto" w:val="clear"/>
            <w:vAlign w:val="bottom"/>
          </w:tcPr>
          <w:p>
            <w:pPr>
              <w:pStyle w:val="TableContents"/>
              <w:spacing w:before="0" w:after="283"/>
              <w:rPr/>
            </w:pPr>
            <w:r>
              <w:rPr/>
              <w:t>% </w:t>
            </w:r>
          </w:p>
        </w:tc>
      </w:tr>
      <w:tr>
        <w:trPr>
          <w:trHeight w:val="60" w:hRule="atLeast"/>
        </w:trPr>
        <w:tc>
          <w:tcPr>
            <w:tcW w:w="2080" w:type="dxa"/>
            <w:tcBorders/>
            <w:shd w:fill="E5E5E5" w:val="clear"/>
            <w:vAlign w:val="center"/>
          </w:tcPr>
          <w:p>
            <w:pPr>
              <w:pStyle w:val="TableContents"/>
              <w:spacing w:before="0" w:after="283"/>
              <w:rPr>
                <w:sz w:val="4"/>
                <w:szCs w:val="4"/>
              </w:rPr>
            </w:pPr>
            <w:r>
              <w:rPr>
                <w:sz w:val="4"/>
                <w:szCs w:val="4"/>
              </w:rPr>
            </w:r>
          </w:p>
        </w:tc>
        <w:tc>
          <w:tcPr>
            <w:tcW w:w="1751" w:type="dxa"/>
            <w:gridSpan w:val="4"/>
            <w:tcBorders/>
            <w:shd w:fill="E5E5E5" w:val="clear"/>
            <w:vAlign w:val="center"/>
          </w:tcPr>
          <w:p>
            <w:pPr>
              <w:pStyle w:val="TableContents"/>
              <w:spacing w:before="0" w:after="283"/>
              <w:rPr>
                <w:sz w:val="4"/>
                <w:szCs w:val="4"/>
              </w:rPr>
            </w:pPr>
            <w:r>
              <w:rPr>
                <w:sz w:val="4"/>
                <w:szCs w:val="4"/>
              </w:rPr>
            </w:r>
          </w:p>
        </w:tc>
        <w:tc>
          <w:tcPr>
            <w:tcW w:w="228" w:type="dxa"/>
            <w:gridSpan w:val="2"/>
            <w:tcBorders/>
            <w:shd w:fill="E5E5E5" w:val="clear"/>
            <w:vAlign w:val="center"/>
          </w:tcPr>
          <w:p>
            <w:pPr>
              <w:pStyle w:val="TableContents"/>
              <w:spacing w:before="0" w:after="283"/>
              <w:rPr>
                <w:sz w:val="4"/>
                <w:szCs w:val="4"/>
              </w:rPr>
            </w:pPr>
            <w:r>
              <w:rPr>
                <w:sz w:val="4"/>
                <w:szCs w:val="4"/>
              </w:rPr>
            </w:r>
          </w:p>
        </w:tc>
        <w:tc>
          <w:tcPr>
            <w:tcW w:w="1256" w:type="dxa"/>
            <w:gridSpan w:val="4"/>
            <w:tcBorders/>
            <w:shd w:fill="E5E5E5" w:val="clear"/>
            <w:vAlign w:val="center"/>
          </w:tcPr>
          <w:p>
            <w:pPr>
              <w:pStyle w:val="TableContents"/>
              <w:spacing w:before="0" w:after="283"/>
              <w:rPr>
                <w:sz w:val="4"/>
                <w:szCs w:val="4"/>
              </w:rPr>
            </w:pPr>
            <w:r>
              <w:rPr>
                <w:sz w:val="4"/>
                <w:szCs w:val="4"/>
              </w:rPr>
            </w:r>
          </w:p>
        </w:tc>
        <w:tc>
          <w:tcPr>
            <w:tcW w:w="951" w:type="dxa"/>
            <w:gridSpan w:val="4"/>
            <w:tcBorders/>
            <w:shd w:fill="E5E5E5" w:val="clear"/>
            <w:vAlign w:val="center"/>
          </w:tcPr>
          <w:p>
            <w:pPr>
              <w:pStyle w:val="TableContents"/>
              <w:spacing w:before="0" w:after="283"/>
              <w:rPr>
                <w:sz w:val="4"/>
                <w:szCs w:val="4"/>
              </w:rPr>
            </w:pPr>
            <w:r>
              <w:rPr>
                <w:sz w:val="4"/>
                <w:szCs w:val="4"/>
              </w:rPr>
            </w:r>
          </w:p>
        </w:tc>
        <w:tc>
          <w:tcPr>
            <w:tcW w:w="1311" w:type="dxa"/>
            <w:gridSpan w:val="4"/>
            <w:tcBorders/>
            <w:shd w:fill="E5E5E5" w:val="clear"/>
            <w:vAlign w:val="center"/>
          </w:tcPr>
          <w:p>
            <w:pPr>
              <w:pStyle w:val="TableContents"/>
              <w:spacing w:before="0" w:after="283"/>
              <w:rPr>
                <w:sz w:val="4"/>
                <w:szCs w:val="4"/>
              </w:rPr>
            </w:pPr>
            <w:r>
              <w:rPr>
                <w:sz w:val="4"/>
                <w:szCs w:val="4"/>
              </w:rPr>
            </w:r>
          </w:p>
        </w:tc>
        <w:tc>
          <w:tcPr>
            <w:tcW w:w="941" w:type="dxa"/>
            <w:gridSpan w:val="4"/>
            <w:tcBorders/>
            <w:shd w:fill="E5E5E5" w:val="clear"/>
            <w:vAlign w:val="center"/>
          </w:tcPr>
          <w:p>
            <w:pPr>
              <w:pStyle w:val="TableContents"/>
              <w:spacing w:before="0" w:after="283"/>
              <w:rPr>
                <w:sz w:val="4"/>
                <w:szCs w:val="4"/>
              </w:rPr>
            </w:pPr>
            <w:r>
              <w:rPr>
                <w:sz w:val="4"/>
                <w:szCs w:val="4"/>
              </w:rPr>
            </w:r>
          </w:p>
        </w:tc>
        <w:tc>
          <w:tcPr>
            <w:tcW w:w="1687" w:type="dxa"/>
            <w:gridSpan w:val="4"/>
            <w:tcBorders/>
            <w:shd w:fill="E5E5E5" w:val="clear"/>
            <w:vAlign w:val="center"/>
          </w:tcPr>
          <w:p>
            <w:pPr>
              <w:pStyle w:val="TableContents"/>
              <w:spacing w:before="0" w:after="283"/>
              <w:rPr>
                <w:sz w:val="4"/>
                <w:szCs w:val="4"/>
              </w:rPr>
            </w:pPr>
            <w:r>
              <w:rPr>
                <w:sz w:val="4"/>
                <w:szCs w:val="4"/>
              </w:rPr>
            </w:r>
          </w:p>
        </w:tc>
      </w:tr>
      <w:tr>
        <w:trPr/>
        <w:tc>
          <w:tcPr>
            <w:tcW w:w="2080" w:type="dxa"/>
            <w:tcBorders>
              <w:bottom w:val="single" w:sz="8" w:space="0" w:color="001C71"/>
            </w:tcBorders>
            <w:shd w:fill="E5E5E5" w:val="clear"/>
            <w:tcMar>
              <w:bottom w:w="60" w:type="dxa"/>
            </w:tcMar>
          </w:tcPr>
          <w:p>
            <w:pPr>
              <w:pStyle w:val="TableContents"/>
              <w:spacing w:before="0" w:after="0"/>
              <w:rPr>
                <w:rFonts w:ascii="arial" w:hAnsi="arial"/>
                <w:b/>
                <w:sz w:val="16"/>
              </w:rPr>
            </w:pPr>
            <w:r>
              <w:rPr>
                <w:rFonts w:ascii="arial" w:hAnsi="arial"/>
                <w:b/>
                <w:sz w:val="16"/>
              </w:rPr>
              <w:t>TOTAL</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205"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11" w:type="dxa"/>
            <w:tcBorders>
              <w:bottom w:val="single" w:sz="8" w:space="0" w:color="001C71"/>
            </w:tcBorders>
            <w:shd w:fill="E5E5E5" w:val="clear"/>
            <w:tcMar>
              <w:bottom w:w="60" w:type="dxa"/>
            </w:tcMar>
            <w:vAlign w:val="bottom"/>
          </w:tcPr>
          <w:p>
            <w:pPr>
              <w:pStyle w:val="TableContents"/>
              <w:spacing w:before="0" w:after="283"/>
              <w:jc w:val="right"/>
              <w:rPr/>
            </w:pPr>
            <w:r>
              <w:rPr/>
              <w:t>100%</w:t>
            </w:r>
          </w:p>
        </w:tc>
        <w:tc>
          <w:tcPr>
            <w:tcW w:w="102" w:type="dxa"/>
            <w:tcBorders>
              <w:bottom w:val="single" w:sz="8" w:space="0" w:color="001C71"/>
            </w:tcBorders>
            <w:shd w:fill="E5E5E5" w:val="clear"/>
            <w:tcMar>
              <w:bottom w:w="60" w:type="dxa"/>
            </w:tcMar>
            <w:vAlign w:val="bottom"/>
          </w:tcPr>
          <w:p>
            <w:pPr>
              <w:pStyle w:val="TableContents"/>
              <w:spacing w:before="0" w:after="283"/>
              <w:rPr/>
            </w:pPr>
            <w:r>
              <w:rPr/>
              <w:t> </w:t>
            </w:r>
          </w:p>
        </w:tc>
        <w:tc>
          <w:tcPr>
            <w:tcW w:w="126"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2"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6" w:type="dxa"/>
            <w:tcBorders>
              <w:bottom w:val="single" w:sz="8" w:space="0" w:color="001C71"/>
            </w:tcBorders>
            <w:shd w:fill="E5E5E5" w:val="clear"/>
            <w:tcMar>
              <w:bottom w:w="28" w:type="dxa"/>
            </w:tcMar>
            <w:vAlign w:val="bottom"/>
          </w:tcPr>
          <w:p>
            <w:pPr>
              <w:pStyle w:val="TableContents"/>
              <w:spacing w:before="0" w:after="283"/>
              <w:rPr/>
            </w:pPr>
            <w:r>
              <w:rPr/>
              <w:t> </w:t>
            </w:r>
          </w:p>
        </w:tc>
        <w:tc>
          <w:tcPr>
            <w:tcW w:w="214" w:type="dxa"/>
            <w:tcBorders>
              <w:bottom w:val="single" w:sz="8" w:space="0" w:color="001C71"/>
            </w:tcBorders>
            <w:shd w:fill="E5E5E5" w:val="clear"/>
            <w:tcMar>
              <w:bottom w:w="28" w:type="dxa"/>
            </w:tcMar>
            <w:vAlign w:val="bottom"/>
          </w:tcPr>
          <w:p>
            <w:pPr>
              <w:pStyle w:val="TableContents"/>
              <w:spacing w:before="0" w:after="283"/>
              <w:rPr/>
            </w:pPr>
            <w:r>
              <w:rPr/>
              <w:t> </w:t>
            </w:r>
          </w:p>
        </w:tc>
        <w:tc>
          <w:tcPr>
            <w:tcW w:w="856"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81"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2" w:type="dxa"/>
            <w:tcBorders>
              <w:bottom w:val="single" w:sz="8" w:space="0" w:color="001C71"/>
            </w:tcBorders>
            <w:shd w:fill="E5E5E5" w:val="clear"/>
            <w:tcMar>
              <w:bottom w:w="28" w:type="dxa"/>
            </w:tcMar>
            <w:vAlign w:val="bottom"/>
          </w:tcPr>
          <w:p>
            <w:pPr>
              <w:pStyle w:val="TableContents"/>
              <w:spacing w:before="0" w:after="283"/>
              <w:rPr/>
            </w:pPr>
            <w:r>
              <w:rPr/>
              <w:t> </w:t>
            </w:r>
          </w:p>
        </w:tc>
        <w:tc>
          <w:tcPr>
            <w:tcW w:w="568"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81" w:type="dxa"/>
            <w:tcBorders>
              <w:bottom w:val="single" w:sz="8" w:space="0" w:color="001C71"/>
            </w:tcBorders>
            <w:shd w:fill="E5E5E5" w:val="clear"/>
            <w:tcMar>
              <w:bottom w:w="28" w:type="dxa"/>
            </w:tcMar>
            <w:vAlign w:val="bottom"/>
          </w:tcPr>
          <w:p>
            <w:pPr>
              <w:pStyle w:val="TableContents"/>
              <w:spacing w:before="0" w:after="283"/>
              <w:rPr/>
            </w:pPr>
            <w:r>
              <w:rPr/>
              <w:t>  </w:t>
            </w:r>
          </w:p>
        </w:tc>
        <w:tc>
          <w:tcPr>
            <w:tcW w:w="214" w:type="dxa"/>
            <w:tcBorders>
              <w:bottom w:val="single" w:sz="8" w:space="0" w:color="001C71"/>
            </w:tcBorders>
            <w:shd w:fill="E5E5E5" w:val="clear"/>
            <w:tcMar>
              <w:bottom w:w="28" w:type="dxa"/>
            </w:tcMar>
            <w:vAlign w:val="bottom"/>
          </w:tcPr>
          <w:p>
            <w:pPr>
              <w:pStyle w:val="TableContents"/>
              <w:spacing w:before="0" w:after="283"/>
              <w:rPr/>
            </w:pPr>
            <w:r>
              <w:rPr/>
              <w:t> </w:t>
            </w:r>
          </w:p>
        </w:tc>
        <w:tc>
          <w:tcPr>
            <w:tcW w:w="856"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81"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bottom"/>
          </w:tcPr>
          <w:p>
            <w:pPr>
              <w:pStyle w:val="TableContents"/>
              <w:spacing w:before="0" w:after="283"/>
              <w:rPr/>
            </w:pPr>
            <w:r>
              <w:rPr/>
              <w:t> </w:t>
            </w:r>
          </w:p>
        </w:tc>
        <w:tc>
          <w:tcPr>
            <w:tcW w:w="5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168"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74" w:type="dxa"/>
            <w:tcBorders>
              <w:bottom w:val="single" w:sz="8" w:space="0" w:color="001C71"/>
            </w:tcBorders>
            <w:shd w:fill="E5E5E5" w:val="clear"/>
            <w:tcMar>
              <w:bottom w:w="60" w:type="dxa"/>
            </w:tcMar>
            <w:vAlign w:val="bottom"/>
          </w:tcPr>
          <w:p>
            <w:pPr>
              <w:pStyle w:val="TableContents"/>
              <w:spacing w:before="0" w:after="283"/>
              <w:jc w:val="right"/>
              <w:rPr/>
            </w:pPr>
            <w:r>
              <w:rPr/>
              <w:t>198</w:t>
            </w:r>
          </w:p>
        </w:tc>
        <w:tc>
          <w:tcPr>
            <w:tcW w:w="312" w:type="dxa"/>
            <w:tcBorders>
              <w:bottom w:val="single" w:sz="8" w:space="0" w:color="001C71"/>
            </w:tcBorders>
            <w:shd w:fill="E5E5E5" w:val="clear"/>
            <w:tcMar>
              <w:bottom w:w="60" w:type="dxa"/>
            </w:tcMar>
            <w:vAlign w:val="bottom"/>
          </w:tcPr>
          <w:p>
            <w:pPr>
              <w:pStyle w:val="TableContents"/>
              <w:spacing w:before="0" w:after="283"/>
              <w:rPr/>
            </w:pPr>
            <w:r>
              <w:rPr/>
              <w:t>% </w:t>
            </w:r>
          </w:p>
        </w:tc>
      </w:tr>
    </w:tbl>
    <w:p>
      <w:pPr>
        <w:pStyle w:val="TextBody"/>
        <w:spacing w:before="80" w:after="0"/>
        <w:jc w:val="left"/>
        <w:rPr>
          <w:rFonts w:ascii="arial" w:hAnsi="arial"/>
          <w:i/>
          <w:sz w:val="14"/>
        </w:rPr>
      </w:pPr>
      <w:r>
        <w:rPr>
          <w:rFonts w:ascii="arial" w:hAnsi="arial"/>
          <w:i/>
          <w:sz w:val="14"/>
        </w:rPr>
        <w:t xml:space="preserve">Table 10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ABP Earnings exceeded the maximum goal, resulting in achievement of 200% of target performance that corresponds to a weighted percent of target achievement of 170%. Overall performance for the Safety and Stakeholder Measures resulted in achievement of 190% of target performance that corresponds to a weighted percent of target achievement of 28%.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56</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2020 Bonus Payouts </w:t>
      </w:r>
    </w:p>
    <w:p>
      <w:pPr>
        <w:pStyle w:val="TextBody"/>
        <w:spacing w:before="120" w:after="0"/>
        <w:jc w:val="left"/>
        <w:rPr>
          <w:rFonts w:ascii="arial" w:hAnsi="arial"/>
          <w:sz w:val="16"/>
        </w:rPr>
      </w:pPr>
      <w:r>
        <w:rPr>
          <w:rFonts w:ascii="arial" w:hAnsi="arial"/>
          <w:sz w:val="16"/>
        </w:rPr>
        <w:t xml:space="preserve">Based on overall performance and its consideration of the contributions of each named executive officer in 2020, the Compensation and Talent Development Committee approved the payment of the annual bonuses shown in Table 11.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819"/>
        <w:gridCol w:w="201"/>
        <w:gridCol w:w="70"/>
        <w:gridCol w:w="129"/>
        <w:gridCol w:w="920"/>
        <w:gridCol w:w="73"/>
        <w:gridCol w:w="201"/>
        <w:gridCol w:w="60"/>
        <w:gridCol w:w="60"/>
        <w:gridCol w:w="60"/>
        <w:gridCol w:w="60"/>
        <w:gridCol w:w="201"/>
        <w:gridCol w:w="72"/>
        <w:gridCol w:w="73"/>
        <w:gridCol w:w="372"/>
        <w:gridCol w:w="209"/>
        <w:gridCol w:w="157"/>
        <w:gridCol w:w="60"/>
        <w:gridCol w:w="60"/>
        <w:gridCol w:w="60"/>
        <w:gridCol w:w="60"/>
        <w:gridCol w:w="201"/>
        <w:gridCol w:w="171"/>
        <w:gridCol w:w="171"/>
        <w:gridCol w:w="829"/>
        <w:gridCol w:w="182"/>
        <w:gridCol w:w="200"/>
        <w:gridCol w:w="60"/>
        <w:gridCol w:w="60"/>
        <w:gridCol w:w="60"/>
        <w:gridCol w:w="60"/>
        <w:gridCol w:w="201"/>
        <w:gridCol w:w="60"/>
        <w:gridCol w:w="110"/>
        <w:gridCol w:w="832"/>
        <w:gridCol w:w="31"/>
      </w:tblGrid>
      <w:tr>
        <w:trPr/>
        <w:tc>
          <w:tcPr>
            <w:tcW w:w="381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819" w:type="dxa"/>
            <w:tcBorders/>
            <w:shd w:fill="001C71" w:val="clear"/>
            <w:vAlign w:val="center"/>
          </w:tcPr>
          <w:p>
            <w:pPr>
              <w:pStyle w:val="TableContents"/>
              <w:spacing w:before="0" w:after="283"/>
              <w:rPr>
                <w:sz w:val="4"/>
                <w:szCs w:val="4"/>
              </w:rPr>
            </w:pPr>
            <w:r>
              <w:rPr>
                <w:sz w:val="4"/>
                <w:szCs w:val="4"/>
              </w:rPr>
            </w:r>
          </w:p>
        </w:tc>
        <w:tc>
          <w:tcPr>
            <w:tcW w:w="1393" w:type="dxa"/>
            <w:gridSpan w:val="5"/>
            <w:tcBorders/>
            <w:shd w:fill="001C71" w:val="clear"/>
            <w:vAlign w:val="center"/>
          </w:tcPr>
          <w:p>
            <w:pPr>
              <w:pStyle w:val="TableContents"/>
              <w:spacing w:before="0" w:after="283"/>
              <w:rPr>
                <w:sz w:val="4"/>
                <w:szCs w:val="4"/>
              </w:rPr>
            </w:pPr>
            <w:r>
              <w:rPr>
                <w:sz w:val="4"/>
                <w:szCs w:val="4"/>
              </w:rPr>
            </w:r>
          </w:p>
        </w:tc>
        <w:tc>
          <w:tcPr>
            <w:tcW w:w="441" w:type="dxa"/>
            <w:gridSpan w:val="5"/>
            <w:tcBorders/>
            <w:shd w:fill="001C71" w:val="clear"/>
            <w:vAlign w:val="center"/>
          </w:tcPr>
          <w:p>
            <w:pPr>
              <w:pStyle w:val="TableContents"/>
              <w:spacing w:before="0" w:after="283"/>
              <w:rPr>
                <w:sz w:val="4"/>
                <w:szCs w:val="4"/>
              </w:rPr>
            </w:pPr>
            <w:r>
              <w:rPr>
                <w:sz w:val="4"/>
                <w:szCs w:val="4"/>
              </w:rPr>
            </w:r>
          </w:p>
        </w:tc>
        <w:tc>
          <w:tcPr>
            <w:tcW w:w="927" w:type="dxa"/>
            <w:gridSpan w:val="5"/>
            <w:tcBorders/>
            <w:shd w:fill="001C71" w:val="clear"/>
            <w:vAlign w:val="center"/>
          </w:tcPr>
          <w:p>
            <w:pPr>
              <w:pStyle w:val="TableContents"/>
              <w:spacing w:before="0" w:after="283"/>
              <w:rPr>
                <w:sz w:val="4"/>
                <w:szCs w:val="4"/>
              </w:rPr>
            </w:pPr>
            <w:r>
              <w:rPr>
                <w:sz w:val="4"/>
                <w:szCs w:val="4"/>
              </w:rPr>
            </w:r>
          </w:p>
        </w:tc>
        <w:tc>
          <w:tcPr>
            <w:tcW w:w="397" w:type="dxa"/>
            <w:gridSpan w:val="5"/>
            <w:tcBorders/>
            <w:shd w:fill="001C71" w:val="clear"/>
            <w:vAlign w:val="center"/>
          </w:tcPr>
          <w:p>
            <w:pPr>
              <w:pStyle w:val="TableContents"/>
              <w:spacing w:before="0" w:after="283"/>
              <w:rPr>
                <w:sz w:val="4"/>
                <w:szCs w:val="4"/>
              </w:rPr>
            </w:pPr>
            <w:r>
              <w:rPr>
                <w:sz w:val="4"/>
                <w:szCs w:val="4"/>
              </w:rPr>
            </w:r>
          </w:p>
        </w:tc>
        <w:tc>
          <w:tcPr>
            <w:tcW w:w="1554" w:type="dxa"/>
            <w:gridSpan w:val="5"/>
            <w:tcBorders/>
            <w:shd w:fill="001C71" w:val="clear"/>
            <w:vAlign w:val="center"/>
          </w:tcPr>
          <w:p>
            <w:pPr>
              <w:pStyle w:val="TableContents"/>
              <w:spacing w:before="0" w:after="283"/>
              <w:rPr>
                <w:sz w:val="4"/>
                <w:szCs w:val="4"/>
              </w:rPr>
            </w:pPr>
            <w:r>
              <w:rPr>
                <w:sz w:val="4"/>
                <w:szCs w:val="4"/>
              </w:rPr>
            </w:r>
          </w:p>
        </w:tc>
        <w:tc>
          <w:tcPr>
            <w:tcW w:w="440" w:type="dxa"/>
            <w:gridSpan w:val="5"/>
            <w:tcBorders/>
            <w:shd w:fill="001C71" w:val="clear"/>
            <w:vAlign w:val="center"/>
          </w:tcPr>
          <w:p>
            <w:pPr>
              <w:pStyle w:val="TableContents"/>
              <w:spacing w:before="0" w:after="283"/>
              <w:rPr>
                <w:sz w:val="4"/>
                <w:szCs w:val="4"/>
              </w:rPr>
            </w:pPr>
            <w:r>
              <w:rPr>
                <w:sz w:val="4"/>
                <w:szCs w:val="4"/>
              </w:rPr>
            </w:r>
          </w:p>
        </w:tc>
        <w:tc>
          <w:tcPr>
            <w:tcW w:w="1234" w:type="dxa"/>
            <w:gridSpan w:val="5"/>
            <w:tcBorders/>
            <w:shd w:fill="001C71" w:val="clear"/>
            <w:vAlign w:val="center"/>
          </w:tcPr>
          <w:p>
            <w:pPr>
              <w:pStyle w:val="TableContents"/>
              <w:spacing w:before="0" w:after="283"/>
              <w:rPr>
                <w:sz w:val="4"/>
                <w:szCs w:val="4"/>
              </w:rPr>
            </w:pPr>
            <w:r>
              <w:rPr>
                <w:sz w:val="4"/>
                <w:szCs w:val="4"/>
              </w:rPr>
            </w:r>
          </w:p>
        </w:tc>
      </w:tr>
      <w:tr>
        <w:trPr/>
        <w:tc>
          <w:tcPr>
            <w:tcW w:w="3819"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Named Executive Officer</w:t>
            </w:r>
          </w:p>
        </w:tc>
        <w:tc>
          <w:tcPr>
            <w:tcW w:w="201" w:type="dxa"/>
            <w:tcBorders/>
            <w:shd w:fill="001C71" w:val="clear"/>
            <w:vAlign w:val="bottom"/>
          </w:tcPr>
          <w:p>
            <w:pPr>
              <w:pStyle w:val="TableContents"/>
              <w:spacing w:before="0" w:after="283"/>
              <w:rPr/>
            </w:pPr>
            <w:r>
              <w:rPr/>
              <w:t>  </w:t>
            </w:r>
          </w:p>
        </w:tc>
        <w:tc>
          <w:tcPr>
            <w:tcW w:w="1192" w:type="dxa"/>
            <w:gridSpan w:val="4"/>
            <w:tcBorders/>
            <w:shd w:fill="001C71" w:val="clear"/>
            <w:vAlign w:val="bottom"/>
          </w:tcPr>
          <w:p>
            <w:pPr>
              <w:pStyle w:val="TableContents"/>
              <w:spacing w:before="0" w:after="0"/>
              <w:jc w:val="right"/>
              <w:rPr>
                <w:rFonts w:ascii="arial" w:hAnsi="arial"/>
                <w:b/>
                <w:color w:val="FFFFFF"/>
                <w:sz w:val="16"/>
              </w:rPr>
            </w:pPr>
            <w:r>
              <w:rPr>
                <w:rFonts w:ascii="arial" w:hAnsi="arial"/>
                <w:b/>
                <w:color w:val="FFFFFF"/>
                <w:sz w:val="16"/>
              </w:rPr>
              <w:t>Base Salary at</w:t>
            </w:r>
          </w:p>
          <w:p>
            <w:pPr>
              <w:pStyle w:val="TableContents"/>
              <w:spacing w:before="0" w:after="20"/>
              <w:jc w:val="right"/>
              <w:rPr>
                <w:rFonts w:ascii="arial" w:hAnsi="arial"/>
                <w:b/>
                <w:color w:val="FFFFFF"/>
                <w:sz w:val="16"/>
              </w:rPr>
            </w:pPr>
            <w:r>
              <w:rPr>
                <w:rFonts w:ascii="arial" w:hAnsi="arial"/>
                <w:b/>
                <w:color w:val="FFFFFF"/>
                <w:sz w:val="16"/>
              </w:rPr>
              <w:t>Year-End 2020</w:t>
            </w:r>
          </w:p>
        </w:tc>
        <w:tc>
          <w:tcPr>
            <w:tcW w:w="201" w:type="dxa"/>
            <w:tcBorders/>
            <w:shd w:fill="001C71" w:val="clear"/>
            <w:vAlign w:val="bottom"/>
          </w:tcPr>
          <w:p>
            <w:pPr>
              <w:pStyle w:val="TableContents"/>
              <w:spacing w:before="0" w:after="283"/>
              <w:rPr/>
            </w:pPr>
            <w:r>
              <w:rPr/>
              <w:t>  </w:t>
            </w:r>
          </w:p>
        </w:tc>
        <w:tc>
          <w:tcPr>
            <w:tcW w:w="240" w:type="dxa"/>
            <w:gridSpan w:val="4"/>
            <w:tcBorders/>
            <w:shd w:fill="001C71" w:val="clear"/>
            <w:vAlign w:val="center"/>
          </w:tcPr>
          <w:p>
            <w:pPr>
              <w:pStyle w:val="TableContents"/>
              <w:spacing w:before="0" w:after="283"/>
              <w:jc w:val="right"/>
              <w:rPr>
                <w:b/>
                <w:color w:val="FFFFFF"/>
              </w:rPr>
            </w:pPr>
            <w:r>
              <w:rPr>
                <w:b/>
                <w:color w:val="FFFFFF"/>
              </w:rPr>
              <w:t>x</w:t>
            </w:r>
          </w:p>
        </w:tc>
        <w:tc>
          <w:tcPr>
            <w:tcW w:w="201" w:type="dxa"/>
            <w:tcBorders/>
            <w:shd w:fill="001C71" w:val="clear"/>
            <w:vAlign w:val="bottom"/>
          </w:tcPr>
          <w:p>
            <w:pPr>
              <w:pStyle w:val="TableContents"/>
              <w:spacing w:before="0" w:after="283"/>
              <w:rPr/>
            </w:pPr>
            <w:r>
              <w:rPr/>
              <w:t>  </w:t>
            </w:r>
          </w:p>
        </w:tc>
        <w:tc>
          <w:tcPr>
            <w:tcW w:w="726" w:type="dxa"/>
            <w:gridSpan w:val="4"/>
            <w:tcBorders/>
            <w:shd w:fill="001C71" w:val="clear"/>
            <w:vAlign w:val="bottom"/>
          </w:tcPr>
          <w:p>
            <w:pPr>
              <w:pStyle w:val="TableContents"/>
              <w:spacing w:before="0" w:after="283"/>
              <w:jc w:val="right"/>
              <w:rPr>
                <w:b/>
                <w:color w:val="FFFFFF"/>
              </w:rPr>
            </w:pPr>
            <w:r>
              <w:rPr>
                <w:b/>
                <w:color w:val="FFFFFF"/>
              </w:rPr>
              <w:t>Bonus</w:t>
              <w:br/>
              <w:t>Target</w:t>
            </w:r>
          </w:p>
        </w:tc>
        <w:tc>
          <w:tcPr>
            <w:tcW w:w="157" w:type="dxa"/>
            <w:tcBorders/>
            <w:shd w:fill="001C71" w:val="clear"/>
            <w:vAlign w:val="bottom"/>
          </w:tcPr>
          <w:p>
            <w:pPr>
              <w:pStyle w:val="TableContents"/>
              <w:spacing w:before="0" w:after="283"/>
              <w:rPr/>
            </w:pPr>
            <w:r>
              <w:rPr/>
              <w:t> </w:t>
            </w:r>
          </w:p>
        </w:tc>
        <w:tc>
          <w:tcPr>
            <w:tcW w:w="240" w:type="dxa"/>
            <w:gridSpan w:val="4"/>
            <w:tcBorders/>
            <w:shd w:fill="001C71" w:val="clear"/>
            <w:vAlign w:val="center"/>
          </w:tcPr>
          <w:p>
            <w:pPr>
              <w:pStyle w:val="TableContents"/>
              <w:spacing w:before="0" w:after="283"/>
              <w:jc w:val="right"/>
              <w:rPr>
                <w:b/>
                <w:color w:val="FFFFFF"/>
              </w:rPr>
            </w:pPr>
            <w:r>
              <w:rPr>
                <w:b/>
                <w:color w:val="FFFFFF"/>
              </w:rPr>
              <w:t>x</w:t>
            </w:r>
          </w:p>
        </w:tc>
        <w:tc>
          <w:tcPr>
            <w:tcW w:w="201" w:type="dxa"/>
            <w:tcBorders/>
            <w:shd w:fill="001C71" w:val="clear"/>
            <w:vAlign w:val="bottom"/>
          </w:tcPr>
          <w:p>
            <w:pPr>
              <w:pStyle w:val="TableContents"/>
              <w:spacing w:before="0" w:after="283"/>
              <w:rPr/>
            </w:pPr>
            <w:r>
              <w:rPr/>
              <w:t>  </w:t>
            </w:r>
          </w:p>
        </w:tc>
        <w:tc>
          <w:tcPr>
            <w:tcW w:w="1353" w:type="dxa"/>
            <w:gridSpan w:val="4"/>
            <w:tcBorders/>
            <w:shd w:fill="001C71" w:val="clear"/>
            <w:vAlign w:val="bottom"/>
          </w:tcPr>
          <w:p>
            <w:pPr>
              <w:pStyle w:val="TableContents"/>
              <w:spacing w:before="0" w:after="283"/>
              <w:jc w:val="right"/>
              <w:rPr>
                <w:b/>
                <w:color w:val="FFFFFF"/>
              </w:rPr>
            </w:pPr>
            <w:r>
              <w:rPr>
                <w:b/>
                <w:color w:val="FFFFFF"/>
              </w:rPr>
              <w:t>Performance</w:t>
              <w:br/>
              <w:t>Score(4)</w:t>
            </w:r>
          </w:p>
        </w:tc>
        <w:tc>
          <w:tcPr>
            <w:tcW w:w="200" w:type="dxa"/>
            <w:tcBorders/>
            <w:shd w:fill="001C71" w:val="clear"/>
            <w:vAlign w:val="bottom"/>
          </w:tcPr>
          <w:p>
            <w:pPr>
              <w:pStyle w:val="TableContents"/>
              <w:spacing w:before="0" w:after="283"/>
              <w:rPr/>
            </w:pPr>
            <w:r>
              <w:rPr/>
              <w:t>  </w:t>
            </w:r>
          </w:p>
        </w:tc>
        <w:tc>
          <w:tcPr>
            <w:tcW w:w="240" w:type="dxa"/>
            <w:gridSpan w:val="4"/>
            <w:tcBorders/>
            <w:shd w:fill="001C71" w:val="clear"/>
            <w:vAlign w:val="center"/>
          </w:tcPr>
          <w:p>
            <w:pPr>
              <w:pStyle w:val="TableContents"/>
              <w:spacing w:before="0" w:after="283"/>
              <w:jc w:val="right"/>
              <w:rPr>
                <w:b/>
                <w:color w:val="FFFFFF"/>
              </w:rPr>
            </w:pPr>
            <w:r>
              <w:rPr>
                <w:b/>
                <w:color w:val="FFFFFF"/>
              </w:rPr>
              <w:t>=</w:t>
            </w:r>
          </w:p>
        </w:tc>
        <w:tc>
          <w:tcPr>
            <w:tcW w:w="201" w:type="dxa"/>
            <w:tcBorders/>
            <w:shd w:fill="001C71" w:val="clear"/>
            <w:vAlign w:val="bottom"/>
          </w:tcPr>
          <w:p>
            <w:pPr>
              <w:pStyle w:val="TableContents"/>
              <w:spacing w:before="0" w:after="283"/>
              <w:rPr/>
            </w:pPr>
            <w:r>
              <w:rPr/>
              <w:t>  </w:t>
            </w:r>
          </w:p>
        </w:tc>
        <w:tc>
          <w:tcPr>
            <w:tcW w:w="1033" w:type="dxa"/>
            <w:gridSpan w:val="4"/>
            <w:tcBorders/>
            <w:shd w:fill="001C71" w:val="clear"/>
            <w:vAlign w:val="bottom"/>
          </w:tcPr>
          <w:p>
            <w:pPr>
              <w:pStyle w:val="TableContents"/>
              <w:spacing w:before="0" w:after="283"/>
              <w:jc w:val="right"/>
              <w:rPr>
                <w:b/>
                <w:color w:val="FFFFFF"/>
              </w:rPr>
            </w:pPr>
            <w:r>
              <w:rPr>
                <w:b/>
                <w:color w:val="FFFFFF"/>
              </w:rPr>
              <w:t>Bonus(5)  </w:t>
            </w:r>
          </w:p>
        </w:tc>
      </w:tr>
      <w:tr>
        <w:trPr/>
        <w:tc>
          <w:tcPr>
            <w:tcW w:w="3819" w:type="dxa"/>
            <w:tcBorders/>
            <w:shd w:fill="E5E5E5" w:val="clear"/>
          </w:tcPr>
          <w:p>
            <w:pPr>
              <w:pStyle w:val="TableContents"/>
              <w:spacing w:lineRule="atLeast" w:line="280" w:before="0" w:after="0"/>
              <w:rPr>
                <w:rFonts w:ascii="arial" w:hAnsi="arial"/>
                <w:sz w:val="16"/>
              </w:rPr>
            </w:pPr>
            <w:r>
              <w:rPr>
                <w:rFonts w:ascii="arial" w:hAnsi="arial"/>
                <w:sz w:val="16"/>
              </w:rPr>
              <w:t>Jeffrey W. Martin</w:t>
            </w:r>
          </w:p>
        </w:tc>
        <w:tc>
          <w:tcPr>
            <w:tcW w:w="201"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1,300,000</w:t>
            </w:r>
          </w:p>
        </w:tc>
        <w:tc>
          <w:tcPr>
            <w:tcW w:w="73"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lineRule="atLeast" w:line="280" w:before="0" w:after="0"/>
              <w:rPr/>
            </w:pPr>
            <w:r>
              <w:rPr/>
              <w:t> </w:t>
            </w:r>
          </w:p>
        </w:tc>
        <w:tc>
          <w:tcPr>
            <w:tcW w:w="37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145</w:t>
            </w:r>
          </w:p>
        </w:tc>
        <w:tc>
          <w:tcPr>
            <w:tcW w:w="209"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5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171" w:type="dxa"/>
            <w:tcBorders/>
            <w:shd w:fill="E5E5E5" w:val="clear"/>
            <w:vAlign w:val="bottom"/>
          </w:tcPr>
          <w:p>
            <w:pPr>
              <w:pStyle w:val="TableContents"/>
              <w:spacing w:before="0" w:after="283"/>
              <w:rPr/>
            </w:pPr>
            <w:r>
              <w:rPr/>
              <w:t> </w:t>
            </w:r>
          </w:p>
        </w:tc>
        <w:tc>
          <w:tcPr>
            <w:tcW w:w="171" w:type="dxa"/>
            <w:tcBorders/>
            <w:shd w:fill="E5E5E5" w:val="clear"/>
            <w:vAlign w:val="bottom"/>
          </w:tcPr>
          <w:p>
            <w:pPr>
              <w:pStyle w:val="TableContents"/>
              <w:spacing w:lineRule="atLeast" w:line="280" w:before="0" w:after="0"/>
              <w:rPr/>
            </w:pPr>
            <w:r>
              <w:rPr/>
              <w:t> </w:t>
            </w:r>
          </w:p>
        </w:tc>
        <w:tc>
          <w:tcPr>
            <w:tcW w:w="829"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198%</w:t>
            </w:r>
          </w:p>
        </w:tc>
        <w:tc>
          <w:tcPr>
            <w:tcW w:w="182" w:type="dxa"/>
            <w:tcBorders/>
            <w:shd w:fill="E5E5E5" w:val="clear"/>
            <w:vAlign w:val="bottom"/>
          </w:tcPr>
          <w:p>
            <w:pPr>
              <w:pStyle w:val="TableContents"/>
              <w:spacing w:lineRule="atLeast" w:line="280" w:before="0" w:after="0"/>
              <w:rPr/>
            </w:pPr>
            <w:r>
              <w:rPr/>
              <w:t> </w:t>
            </w:r>
          </w:p>
        </w:tc>
        <w:tc>
          <w:tcPr>
            <w:tcW w:w="20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83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3,740,600  </w:t>
            </w:r>
          </w:p>
        </w:tc>
        <w:tc>
          <w:tcPr>
            <w:tcW w:w="31" w:type="dxa"/>
            <w:tcBorders/>
            <w:shd w:fill="E5E5E5" w:val="clear"/>
            <w:vAlign w:val="bottom"/>
          </w:tcPr>
          <w:p>
            <w:pPr>
              <w:pStyle w:val="TableContents"/>
              <w:spacing w:before="0" w:after="283"/>
              <w:rPr>
                <w:sz w:val="4"/>
                <w:szCs w:val="4"/>
              </w:rPr>
            </w:pPr>
            <w:r>
              <w:rPr>
                <w:sz w:val="4"/>
                <w:szCs w:val="4"/>
              </w:rPr>
            </w:r>
          </w:p>
        </w:tc>
      </w:tr>
      <w:tr>
        <w:trPr/>
        <w:tc>
          <w:tcPr>
            <w:tcW w:w="3819" w:type="dxa"/>
            <w:tcBorders/>
            <w:shd w:fill="auto" w:val="clear"/>
          </w:tcPr>
          <w:p>
            <w:pPr>
              <w:pStyle w:val="TableContents"/>
              <w:spacing w:lineRule="atLeast" w:line="280" w:before="0" w:after="0"/>
              <w:rPr>
                <w:rFonts w:ascii="arial" w:hAnsi="arial"/>
                <w:sz w:val="16"/>
              </w:rPr>
            </w:pPr>
            <w:r>
              <w:rPr>
                <w:rFonts w:ascii="arial" w:hAnsi="arial"/>
                <w:sz w:val="16"/>
              </w:rPr>
              <w:t>Trevor I. Mihalik</w:t>
            </w:r>
          </w:p>
        </w:tc>
        <w:tc>
          <w:tcPr>
            <w:tcW w:w="20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730,000</w:t>
            </w:r>
          </w:p>
        </w:tc>
        <w:tc>
          <w:tcPr>
            <w:tcW w:w="73"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lineRule="atLeast" w:line="280" w:before="0" w:after="0"/>
              <w:rPr/>
            </w:pPr>
            <w:r>
              <w:rPr/>
              <w:t> </w:t>
            </w:r>
          </w:p>
        </w:tc>
        <w:tc>
          <w:tcPr>
            <w:tcW w:w="372"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85</w:t>
            </w:r>
          </w:p>
        </w:tc>
        <w:tc>
          <w:tcPr>
            <w:tcW w:w="209"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lineRule="atLeast" w:line="280" w:before="0" w:after="0"/>
              <w:rPr/>
            </w:pPr>
            <w:r>
              <w:rPr/>
              <w:t> </w:t>
            </w:r>
          </w:p>
        </w:tc>
        <w:tc>
          <w:tcPr>
            <w:tcW w:w="829"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198%</w:t>
            </w:r>
          </w:p>
        </w:tc>
        <w:tc>
          <w:tcPr>
            <w:tcW w:w="182" w:type="dxa"/>
            <w:tcBorders/>
            <w:shd w:fill="auto" w:val="clear"/>
            <w:vAlign w:val="bottom"/>
          </w:tcPr>
          <w:p>
            <w:pPr>
              <w:pStyle w:val="TableContents"/>
              <w:spacing w:lineRule="atLeast" w:line="280" w:before="0" w:after="0"/>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832"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1,231,400  </w:t>
            </w:r>
          </w:p>
        </w:tc>
        <w:tc>
          <w:tcPr>
            <w:tcW w:w="31" w:type="dxa"/>
            <w:tcBorders/>
            <w:shd w:fill="auto" w:val="clear"/>
            <w:vAlign w:val="bottom"/>
          </w:tcPr>
          <w:p>
            <w:pPr>
              <w:pStyle w:val="TableContents"/>
              <w:spacing w:before="0" w:after="283"/>
              <w:rPr>
                <w:sz w:val="4"/>
                <w:szCs w:val="4"/>
              </w:rPr>
            </w:pPr>
            <w:r>
              <w:rPr>
                <w:sz w:val="4"/>
                <w:szCs w:val="4"/>
              </w:rPr>
            </w:r>
          </w:p>
        </w:tc>
      </w:tr>
      <w:tr>
        <w:trPr/>
        <w:tc>
          <w:tcPr>
            <w:tcW w:w="3819" w:type="dxa"/>
            <w:tcBorders/>
            <w:shd w:fill="E5E5E5" w:val="clear"/>
          </w:tcPr>
          <w:p>
            <w:pPr>
              <w:pStyle w:val="TableContents"/>
              <w:spacing w:lineRule="atLeast" w:line="220" w:before="0" w:after="0"/>
              <w:rPr>
                <w:rFonts w:ascii="arial" w:hAnsi="arial"/>
                <w:sz w:val="16"/>
              </w:rPr>
            </w:pPr>
            <w:r>
              <w:rPr>
                <w:rFonts w:ascii="arial" w:hAnsi="arial"/>
                <w:sz w:val="16"/>
              </w:rPr>
              <w:t>Kevin C. Sagara(1)</w:t>
            </w:r>
          </w:p>
        </w:tc>
        <w:tc>
          <w:tcPr>
            <w:tcW w:w="201"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720,000</w:t>
            </w:r>
          </w:p>
        </w:tc>
        <w:tc>
          <w:tcPr>
            <w:tcW w:w="73"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lineRule="atLeast" w:line="280" w:before="0" w:after="0"/>
              <w:rPr/>
            </w:pPr>
            <w:r>
              <w:rPr/>
              <w:t> </w:t>
            </w:r>
          </w:p>
        </w:tc>
        <w:tc>
          <w:tcPr>
            <w:tcW w:w="37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80</w:t>
            </w:r>
          </w:p>
        </w:tc>
        <w:tc>
          <w:tcPr>
            <w:tcW w:w="209"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5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171" w:type="dxa"/>
            <w:tcBorders/>
            <w:shd w:fill="E5E5E5" w:val="clear"/>
            <w:vAlign w:val="bottom"/>
          </w:tcPr>
          <w:p>
            <w:pPr>
              <w:pStyle w:val="TableContents"/>
              <w:spacing w:before="0" w:after="283"/>
              <w:rPr/>
            </w:pPr>
            <w:r>
              <w:rPr/>
              <w:t> </w:t>
            </w:r>
          </w:p>
        </w:tc>
        <w:tc>
          <w:tcPr>
            <w:tcW w:w="171" w:type="dxa"/>
            <w:tcBorders/>
            <w:shd w:fill="E5E5E5" w:val="clear"/>
            <w:vAlign w:val="bottom"/>
          </w:tcPr>
          <w:p>
            <w:pPr>
              <w:pStyle w:val="TableContents"/>
              <w:spacing w:lineRule="atLeast" w:line="280" w:before="0" w:after="0"/>
              <w:rPr/>
            </w:pPr>
            <w:r>
              <w:rPr/>
              <w:t> </w:t>
            </w:r>
          </w:p>
        </w:tc>
        <w:tc>
          <w:tcPr>
            <w:tcW w:w="829"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196%</w:t>
            </w:r>
          </w:p>
        </w:tc>
        <w:tc>
          <w:tcPr>
            <w:tcW w:w="182" w:type="dxa"/>
            <w:tcBorders/>
            <w:shd w:fill="E5E5E5" w:val="clear"/>
            <w:vAlign w:val="bottom"/>
          </w:tcPr>
          <w:p>
            <w:pPr>
              <w:pStyle w:val="TableContents"/>
              <w:spacing w:lineRule="atLeast" w:line="280" w:before="0" w:after="0"/>
              <w:rPr/>
            </w:pPr>
            <w:r>
              <w:rPr/>
              <w:t> </w:t>
            </w:r>
          </w:p>
        </w:tc>
        <w:tc>
          <w:tcPr>
            <w:tcW w:w="20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83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1,132,500  </w:t>
            </w:r>
          </w:p>
        </w:tc>
        <w:tc>
          <w:tcPr>
            <w:tcW w:w="31" w:type="dxa"/>
            <w:tcBorders/>
            <w:shd w:fill="E5E5E5" w:val="clear"/>
            <w:vAlign w:val="bottom"/>
          </w:tcPr>
          <w:p>
            <w:pPr>
              <w:pStyle w:val="TableContents"/>
              <w:spacing w:before="0" w:after="283"/>
              <w:rPr>
                <w:sz w:val="4"/>
                <w:szCs w:val="4"/>
              </w:rPr>
            </w:pPr>
            <w:r>
              <w:rPr>
                <w:sz w:val="4"/>
                <w:szCs w:val="4"/>
              </w:rPr>
            </w:r>
          </w:p>
        </w:tc>
      </w:tr>
      <w:tr>
        <w:trPr/>
        <w:tc>
          <w:tcPr>
            <w:tcW w:w="3819" w:type="dxa"/>
            <w:tcBorders/>
            <w:shd w:fill="auto" w:val="clear"/>
          </w:tcPr>
          <w:p>
            <w:pPr>
              <w:pStyle w:val="TableContents"/>
              <w:spacing w:lineRule="atLeast" w:line="280" w:before="0" w:after="0"/>
              <w:rPr>
                <w:rFonts w:ascii="arial" w:hAnsi="arial"/>
                <w:sz w:val="16"/>
              </w:rPr>
            </w:pPr>
            <w:r>
              <w:rPr>
                <w:rFonts w:ascii="arial" w:hAnsi="arial"/>
                <w:sz w:val="16"/>
              </w:rPr>
              <w:t>Peter R. Wall</w:t>
            </w:r>
          </w:p>
        </w:tc>
        <w:tc>
          <w:tcPr>
            <w:tcW w:w="20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375,000</w:t>
            </w:r>
          </w:p>
        </w:tc>
        <w:tc>
          <w:tcPr>
            <w:tcW w:w="73"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lineRule="atLeast" w:line="280" w:before="0" w:after="0"/>
              <w:rPr/>
            </w:pPr>
            <w:r>
              <w:rPr/>
              <w:t> </w:t>
            </w:r>
          </w:p>
        </w:tc>
        <w:tc>
          <w:tcPr>
            <w:tcW w:w="372"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50</w:t>
            </w:r>
          </w:p>
        </w:tc>
        <w:tc>
          <w:tcPr>
            <w:tcW w:w="209"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lineRule="atLeast" w:line="280" w:before="0" w:after="0"/>
              <w:rPr/>
            </w:pPr>
            <w:r>
              <w:rPr/>
              <w:t> </w:t>
            </w:r>
          </w:p>
        </w:tc>
        <w:tc>
          <w:tcPr>
            <w:tcW w:w="829"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198%</w:t>
            </w:r>
          </w:p>
        </w:tc>
        <w:tc>
          <w:tcPr>
            <w:tcW w:w="182" w:type="dxa"/>
            <w:tcBorders/>
            <w:shd w:fill="auto" w:val="clear"/>
            <w:vAlign w:val="bottom"/>
          </w:tcPr>
          <w:p>
            <w:pPr>
              <w:pStyle w:val="TableContents"/>
              <w:spacing w:lineRule="atLeast" w:line="280" w:before="0" w:after="0"/>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832"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372,100  </w:t>
            </w:r>
          </w:p>
        </w:tc>
        <w:tc>
          <w:tcPr>
            <w:tcW w:w="31" w:type="dxa"/>
            <w:tcBorders/>
            <w:shd w:fill="auto" w:val="clear"/>
            <w:vAlign w:val="bottom"/>
          </w:tcPr>
          <w:p>
            <w:pPr>
              <w:pStyle w:val="TableContents"/>
              <w:spacing w:before="0" w:after="283"/>
              <w:rPr>
                <w:sz w:val="4"/>
                <w:szCs w:val="4"/>
              </w:rPr>
            </w:pPr>
            <w:r>
              <w:rPr>
                <w:sz w:val="4"/>
                <w:szCs w:val="4"/>
              </w:rPr>
            </w:r>
          </w:p>
        </w:tc>
      </w:tr>
      <w:tr>
        <w:trPr/>
        <w:tc>
          <w:tcPr>
            <w:tcW w:w="3819" w:type="dxa"/>
            <w:tcBorders/>
            <w:shd w:fill="E5E5E5" w:val="clear"/>
          </w:tcPr>
          <w:p>
            <w:pPr>
              <w:pStyle w:val="TableContents"/>
              <w:spacing w:lineRule="atLeast" w:line="220" w:before="0" w:after="0"/>
              <w:rPr>
                <w:rFonts w:ascii="arial" w:hAnsi="arial"/>
                <w:sz w:val="16"/>
              </w:rPr>
            </w:pPr>
            <w:r>
              <w:rPr>
                <w:rFonts w:ascii="arial" w:hAnsi="arial"/>
                <w:sz w:val="16"/>
              </w:rPr>
              <w:t>Dennis V. Arriola(2)</w:t>
            </w:r>
          </w:p>
        </w:tc>
        <w:tc>
          <w:tcPr>
            <w:tcW w:w="201"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343,716</w:t>
            </w:r>
          </w:p>
        </w:tc>
        <w:tc>
          <w:tcPr>
            <w:tcW w:w="73"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lineRule="atLeast" w:line="280" w:before="0" w:after="0"/>
              <w:rPr/>
            </w:pPr>
            <w:r>
              <w:rPr/>
              <w:t> </w:t>
            </w:r>
          </w:p>
        </w:tc>
        <w:tc>
          <w:tcPr>
            <w:tcW w:w="37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80</w:t>
            </w:r>
          </w:p>
        </w:tc>
        <w:tc>
          <w:tcPr>
            <w:tcW w:w="209"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5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171" w:type="dxa"/>
            <w:tcBorders/>
            <w:shd w:fill="E5E5E5" w:val="clear"/>
            <w:vAlign w:val="bottom"/>
          </w:tcPr>
          <w:p>
            <w:pPr>
              <w:pStyle w:val="TableContents"/>
              <w:spacing w:before="0" w:after="283"/>
              <w:rPr/>
            </w:pPr>
            <w:r>
              <w:rPr/>
              <w:t> </w:t>
            </w:r>
          </w:p>
        </w:tc>
        <w:tc>
          <w:tcPr>
            <w:tcW w:w="171" w:type="dxa"/>
            <w:tcBorders/>
            <w:shd w:fill="E5E5E5" w:val="clear"/>
            <w:vAlign w:val="bottom"/>
          </w:tcPr>
          <w:p>
            <w:pPr>
              <w:pStyle w:val="TableContents"/>
              <w:spacing w:lineRule="atLeast" w:line="280" w:before="0" w:after="0"/>
              <w:rPr/>
            </w:pPr>
            <w:r>
              <w:rPr/>
              <w:t> </w:t>
            </w:r>
          </w:p>
        </w:tc>
        <w:tc>
          <w:tcPr>
            <w:tcW w:w="829"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198%</w:t>
            </w:r>
          </w:p>
        </w:tc>
        <w:tc>
          <w:tcPr>
            <w:tcW w:w="182" w:type="dxa"/>
            <w:tcBorders/>
            <w:shd w:fill="E5E5E5" w:val="clear"/>
            <w:vAlign w:val="bottom"/>
          </w:tcPr>
          <w:p>
            <w:pPr>
              <w:pStyle w:val="TableContents"/>
              <w:spacing w:lineRule="atLeast" w:line="280" w:before="0" w:after="0"/>
              <w:rPr/>
            </w:pPr>
            <w:r>
              <w:rPr/>
              <w:t> </w:t>
            </w:r>
          </w:p>
        </w:tc>
        <w:tc>
          <w:tcPr>
            <w:tcW w:w="20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20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83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545,700  </w:t>
            </w:r>
          </w:p>
        </w:tc>
        <w:tc>
          <w:tcPr>
            <w:tcW w:w="31" w:type="dxa"/>
            <w:tcBorders/>
            <w:shd w:fill="E5E5E5" w:val="clear"/>
            <w:vAlign w:val="bottom"/>
          </w:tcPr>
          <w:p>
            <w:pPr>
              <w:pStyle w:val="TableContents"/>
              <w:spacing w:before="0" w:after="283"/>
              <w:rPr>
                <w:sz w:val="4"/>
                <w:szCs w:val="4"/>
              </w:rPr>
            </w:pPr>
            <w:r>
              <w:rPr>
                <w:sz w:val="4"/>
                <w:szCs w:val="4"/>
              </w:rPr>
            </w:r>
          </w:p>
        </w:tc>
      </w:tr>
      <w:tr>
        <w:trPr/>
        <w:tc>
          <w:tcPr>
            <w:tcW w:w="3819" w:type="dxa"/>
            <w:tcBorders>
              <w:bottom w:val="single" w:sz="8" w:space="0" w:color="001C71"/>
            </w:tcBorders>
            <w:shd w:fill="auto" w:val="clear"/>
            <w:tcMar>
              <w:bottom w:w="28" w:type="dxa"/>
            </w:tcMar>
          </w:tcPr>
          <w:p>
            <w:pPr>
              <w:pStyle w:val="TableContents"/>
              <w:spacing w:lineRule="atLeast" w:line="220" w:before="0" w:after="0"/>
              <w:rPr>
                <w:rFonts w:ascii="arial" w:hAnsi="arial"/>
                <w:sz w:val="16"/>
              </w:rPr>
            </w:pPr>
            <w:r>
              <w:rPr>
                <w:rFonts w:ascii="arial" w:hAnsi="arial"/>
                <w:sz w:val="16"/>
              </w:rPr>
              <w:t>George W. Bilicic(3)</w:t>
            </w:r>
          </w:p>
        </w:tc>
        <w:tc>
          <w:tcPr>
            <w:tcW w:w="201"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vAlign w:val="bottom"/>
          </w:tcPr>
          <w:p>
            <w:pPr>
              <w:pStyle w:val="TableContents"/>
              <w:spacing w:before="0" w:after="283"/>
              <w:rPr/>
            </w:pPr>
            <w:r>
              <w:rPr/>
              <w:t> </w:t>
            </w:r>
          </w:p>
        </w:tc>
        <w:tc>
          <w:tcPr>
            <w:tcW w:w="920" w:type="dxa"/>
            <w:tcBorders>
              <w:bottom w:val="single" w:sz="8" w:space="0" w:color="001C71"/>
            </w:tcBorders>
            <w:shd w:fill="auto" w:val="clear"/>
            <w:tcMar>
              <w:bottom w:w="28" w:type="dxa"/>
            </w:tcMar>
            <w:vAlign w:val="bottom"/>
          </w:tcPr>
          <w:p>
            <w:pPr>
              <w:pStyle w:val="TableContents"/>
              <w:spacing w:before="0" w:after="283"/>
              <w:rPr/>
            </w:pPr>
            <w:r>
              <w:rPr/>
              <w:t> </w:t>
            </w:r>
          </w:p>
        </w:tc>
        <w:tc>
          <w:tcPr>
            <w:tcW w:w="73" w:type="dxa"/>
            <w:tcBorders>
              <w:bottom w:val="single" w:sz="8" w:space="0" w:color="001C71"/>
            </w:tcBorders>
            <w:shd w:fill="auto" w:val="clear"/>
            <w:tcMar>
              <w:bottom w:w="28" w:type="dxa"/>
            </w:tcMar>
            <w:vAlign w:val="bottom"/>
          </w:tcPr>
          <w:p>
            <w:pPr>
              <w:pStyle w:val="TableContents"/>
              <w:spacing w:before="0" w:after="283"/>
              <w:rPr/>
            </w:pPr>
            <w:r>
              <w:rPr/>
              <w:t> </w:t>
            </w:r>
          </w:p>
        </w:tc>
        <w:tc>
          <w:tcPr>
            <w:tcW w:w="201"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01" w:type="dxa"/>
            <w:tcBorders>
              <w:bottom w:val="single" w:sz="8" w:space="0" w:color="001C71"/>
            </w:tcBorders>
            <w:shd w:fill="auto" w:val="clear"/>
            <w:tcMar>
              <w:bottom w:w="28" w:type="dxa"/>
            </w:tcMar>
            <w:vAlign w:val="bottom"/>
          </w:tcPr>
          <w:p>
            <w:pPr>
              <w:pStyle w:val="TableContents"/>
              <w:spacing w:before="0" w:after="283"/>
              <w:rPr/>
            </w:pPr>
            <w:r>
              <w:rPr/>
              <w:t>  </w:t>
            </w:r>
          </w:p>
        </w:tc>
        <w:tc>
          <w:tcPr>
            <w:tcW w:w="72" w:type="dxa"/>
            <w:tcBorders>
              <w:bottom w:val="single" w:sz="8" w:space="0" w:color="001C71"/>
            </w:tcBorders>
            <w:shd w:fill="auto" w:val="clear"/>
            <w:tcMar>
              <w:bottom w:w="28" w:type="dxa"/>
            </w:tcMar>
            <w:vAlign w:val="bottom"/>
          </w:tcPr>
          <w:p>
            <w:pPr>
              <w:pStyle w:val="TableContents"/>
              <w:spacing w:before="0" w:after="283"/>
              <w:rPr/>
            </w:pPr>
            <w:r>
              <w:rPr/>
              <w:t> </w:t>
            </w:r>
          </w:p>
        </w:tc>
        <w:tc>
          <w:tcPr>
            <w:tcW w:w="73" w:type="dxa"/>
            <w:tcBorders>
              <w:bottom w:val="single" w:sz="8" w:space="0" w:color="001C71"/>
            </w:tcBorders>
            <w:shd w:fill="auto" w:val="clear"/>
            <w:tcMar>
              <w:bottom w:w="28" w:type="dxa"/>
            </w:tcMar>
            <w:vAlign w:val="bottom"/>
          </w:tcPr>
          <w:p>
            <w:pPr>
              <w:pStyle w:val="TableContents"/>
              <w:spacing w:before="0" w:after="283"/>
              <w:rPr/>
            </w:pPr>
            <w:r>
              <w:rPr/>
              <w:t> </w:t>
            </w:r>
          </w:p>
        </w:tc>
        <w:tc>
          <w:tcPr>
            <w:tcW w:w="372" w:type="dxa"/>
            <w:tcBorders>
              <w:bottom w:val="single" w:sz="8" w:space="0" w:color="001C71"/>
            </w:tcBorders>
            <w:shd w:fill="auto" w:val="clear"/>
            <w:tcMar>
              <w:bottom w:w="28" w:type="dxa"/>
            </w:tcMar>
            <w:vAlign w:val="bottom"/>
          </w:tcPr>
          <w:p>
            <w:pPr>
              <w:pStyle w:val="TableContents"/>
              <w:spacing w:before="0" w:after="283"/>
              <w:rPr/>
            </w:pPr>
            <w:r>
              <w:rPr/>
              <w:t> </w:t>
            </w:r>
          </w:p>
        </w:tc>
        <w:tc>
          <w:tcPr>
            <w:tcW w:w="209" w:type="dxa"/>
            <w:tcBorders>
              <w:bottom w:val="single" w:sz="8" w:space="0" w:color="001C71"/>
            </w:tcBorders>
            <w:shd w:fill="auto" w:val="clear"/>
            <w:tcMar>
              <w:bottom w:w="28" w:type="dxa"/>
            </w:tcMar>
            <w:vAlign w:val="bottom"/>
          </w:tcPr>
          <w:p>
            <w:pPr>
              <w:pStyle w:val="TableContents"/>
              <w:spacing w:before="0" w:after="283"/>
              <w:rPr/>
            </w:pPr>
            <w:r>
              <w:rPr/>
              <w:t> </w:t>
            </w:r>
          </w:p>
        </w:tc>
        <w:tc>
          <w:tcPr>
            <w:tcW w:w="157"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01" w:type="dxa"/>
            <w:tcBorders>
              <w:bottom w:val="single" w:sz="8" w:space="0" w:color="001C71"/>
            </w:tcBorders>
            <w:shd w:fill="auto" w:val="clear"/>
            <w:tcMar>
              <w:bottom w:w="28" w:type="dxa"/>
            </w:tcMar>
            <w:vAlign w:val="bottom"/>
          </w:tcPr>
          <w:p>
            <w:pPr>
              <w:pStyle w:val="TableContents"/>
              <w:spacing w:before="0" w:after="283"/>
              <w:rPr/>
            </w:pPr>
            <w:r>
              <w:rPr/>
              <w:t>  </w:t>
            </w:r>
          </w:p>
        </w:tc>
        <w:tc>
          <w:tcPr>
            <w:tcW w:w="171" w:type="dxa"/>
            <w:tcBorders>
              <w:bottom w:val="single" w:sz="8" w:space="0" w:color="001C71"/>
            </w:tcBorders>
            <w:shd w:fill="auto" w:val="clear"/>
            <w:tcMar>
              <w:bottom w:w="28" w:type="dxa"/>
            </w:tcMar>
            <w:vAlign w:val="bottom"/>
          </w:tcPr>
          <w:p>
            <w:pPr>
              <w:pStyle w:val="TableContents"/>
              <w:spacing w:before="0" w:after="283"/>
              <w:rPr/>
            </w:pPr>
            <w:r>
              <w:rPr/>
              <w:t> </w:t>
            </w:r>
          </w:p>
        </w:tc>
        <w:tc>
          <w:tcPr>
            <w:tcW w:w="171" w:type="dxa"/>
            <w:tcBorders>
              <w:bottom w:val="single" w:sz="8" w:space="0" w:color="001C71"/>
            </w:tcBorders>
            <w:shd w:fill="auto" w:val="clear"/>
            <w:tcMar>
              <w:bottom w:w="28" w:type="dxa"/>
            </w:tcMar>
            <w:vAlign w:val="bottom"/>
          </w:tcPr>
          <w:p>
            <w:pPr>
              <w:pStyle w:val="TableContents"/>
              <w:spacing w:before="0" w:after="283"/>
              <w:rPr/>
            </w:pPr>
            <w:r>
              <w:rPr/>
              <w:t> </w:t>
            </w:r>
          </w:p>
        </w:tc>
        <w:tc>
          <w:tcPr>
            <w:tcW w:w="829" w:type="dxa"/>
            <w:tcBorders>
              <w:bottom w:val="single" w:sz="8" w:space="0" w:color="001C71"/>
            </w:tcBorders>
            <w:shd w:fill="auto" w:val="clear"/>
            <w:tcMar>
              <w:bottom w:w="28" w:type="dxa"/>
            </w:tcMar>
            <w:vAlign w:val="bottom"/>
          </w:tcPr>
          <w:p>
            <w:pPr>
              <w:pStyle w:val="TableContents"/>
              <w:spacing w:before="0" w:after="283"/>
              <w:rPr/>
            </w:pPr>
            <w:r>
              <w:rPr/>
              <w:t> </w:t>
            </w:r>
          </w:p>
        </w:tc>
        <w:tc>
          <w:tcPr>
            <w:tcW w:w="182" w:type="dxa"/>
            <w:tcBorders>
              <w:bottom w:val="single" w:sz="8" w:space="0" w:color="001C71"/>
            </w:tcBorders>
            <w:shd w:fill="auto" w:val="clear"/>
            <w:tcMar>
              <w:bottom w:w="28" w:type="dxa"/>
            </w:tcMar>
            <w:vAlign w:val="bottom"/>
          </w:tcPr>
          <w:p>
            <w:pPr>
              <w:pStyle w:val="TableContents"/>
              <w:spacing w:before="0" w:after="283"/>
              <w:rPr/>
            </w:pPr>
            <w:r>
              <w:rPr/>
              <w:t> </w:t>
            </w:r>
          </w:p>
        </w:tc>
        <w:tc>
          <w:tcPr>
            <w:tcW w:w="20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01"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6"/>
              </w:rPr>
            </w:pPr>
            <w:r>
              <w:rPr>
                <w:rFonts w:ascii="arial" w:hAnsi="arial"/>
                <w:sz w:val="16"/>
              </w:rPr>
              <w:t>$</w:t>
            </w:r>
          </w:p>
        </w:tc>
        <w:tc>
          <w:tcPr>
            <w:tcW w:w="832"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0  </w:t>
            </w:r>
          </w:p>
        </w:tc>
        <w:tc>
          <w:tcPr>
            <w:tcW w:w="31"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r>
    </w:tbl>
    <w:p>
      <w:pPr>
        <w:pStyle w:val="TextBody"/>
        <w:spacing w:before="80" w:after="0"/>
        <w:jc w:val="left"/>
        <w:rPr>
          <w:rFonts w:ascii="arial" w:hAnsi="arial"/>
          <w:i/>
          <w:sz w:val="14"/>
        </w:rPr>
      </w:pPr>
      <w:r>
        <w:rPr>
          <w:rFonts w:ascii="arial" w:hAnsi="arial"/>
          <w:i/>
          <w:sz w:val="14"/>
        </w:rPr>
        <w:t xml:space="preserve">Table 11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Sagaras. 2020 performance-based annual bonus was prorated between his prior target of 70% as Chief Executive Officer of SDG&amp;E and the performance score of 192.55% of target under the SDG&amp;E plan and his 90% target as Executive Vice President and Group President of Sempra Energy.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Arriolas 2020 performance-based annual bonus was prorated through his date of retirement.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(3)</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Bilicic was not eligible for a 2020 performance-based annual bonus under the terms of his separation from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(4)</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actual performance score of 198.44% is rounded in this Table 11.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(5)</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Final award payouts are rounded up to the nearest hundred.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9492"/>
      </w:tblGrid>
      <w:tr>
        <w:trPr/>
        <w:tc>
          <w:tcPr>
            <w:tcW w:w="510" w:type="dxa"/>
            <w:tcBorders/>
            <w:shd w:fill="auto" w:val="clear"/>
          </w:tcPr>
          <w:p>
            <w:pPr>
              <w:pStyle w:val="TableContents"/>
              <w:spacing w:before="0" w:after="283"/>
              <w:jc w:val="left"/>
              <w:rPr>
                <w:color w:val="001C71"/>
              </w:rPr>
            </w:pPr>
            <w:bookmarkStart w:id="36" w:name="tx108157_15"/>
            <w:bookmarkEnd w:id="36"/>
            <w:r>
              <w:rPr>
                <w:color w:val="001C71"/>
              </w:rPr>
              <w:t>3.</w:t>
            </w:r>
          </w:p>
        </w:tc>
        <w:tc>
          <w:tcPr>
            <w:tcW w:w="203"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color w:val="001C71"/>
              </w:rPr>
            </w:pPr>
            <w:r>
              <w:rPr>
                <w:color w:val="001C71"/>
              </w:rPr>
              <w:t xml:space="preserve">Long-Term Equity-Based Incentives </w:t>
            </w:r>
          </w:p>
        </w:tc>
      </w:tr>
    </w:tbl>
    <w:p>
      <w:pPr>
        <w:pStyle w:val="TextBody"/>
        <w:spacing w:before="120" w:after="0"/>
        <w:jc w:val="left"/>
        <w:rPr>
          <w:rFonts w:ascii="arial" w:hAnsi="arial"/>
          <w:sz w:val="16"/>
        </w:rPr>
      </w:pPr>
      <w:r>
        <w:rPr>
          <w:rFonts w:ascii="arial" w:hAnsi="arial"/>
          <w:sz w:val="16"/>
        </w:rPr>
        <w:t xml:space="preserve">Long-term equity-based incentives are the largest single component of each named executive officers total target compensation package. See Figure 3 for these percentages. In accordance with our pay-for-performance philosophy, the performance-based restricted stock units constitute the majority of the 2020 annual long-term incentive plan awards. The key features of our awards and their alignment with shareholder interests are summarized below.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215900"/>
            <wp:effectExtent l="0" t="0" r="0" b="0"/>
            <wp:docPr id="7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3" descr=""/>
                    <pic:cNvPicPr>
                      <a:picLocks noChangeAspect="1" noChangeArrowheads="1"/>
                    </pic:cNvPicPr>
                  </pic:nvPicPr>
                  <pic:blipFill>
                    <a:blip r:embed="rId64"/>
                    <a:stretch>
                      <a:fillRect/>
                    </a:stretch>
                  </pic:blipFill>
                  <pic:spPr bwMode="auto">
                    <a:xfrm>
                      <a:off x="0" y="0"/>
                      <a:ext cx="625475" cy="215900"/>
                    </a:xfrm>
                    <a:prstGeom prst="rect">
                      <a:avLst/>
                    </a:prstGeom>
                  </pic:spPr>
                </pic:pic>
              </a:graphicData>
            </a:graphic>
          </wp:inline>
        </w:drawing>
      </w:r>
      <w:r>
        <w:rPr/>
        <w:t xml:space="preserve"> </w:t>
      </w:r>
    </w:p>
    <w:p>
      <w:pPr>
        <w:pStyle w:val="TextBody"/>
        <w:jc w:val="center"/>
        <w:rPr>
          <w:rFonts w:ascii="arial" w:hAnsi="arial"/>
          <w:color w:val="FFFFFF"/>
          <w:sz w:val="2"/>
        </w:rPr>
      </w:pPr>
      <w:r>
        <w:rPr>
          <w:rFonts w:ascii="arial" w:hAnsi="arial"/>
          <w:color w:val="FFFFFF"/>
          <w:sz w:val="2"/>
        </w:rPr>
        <w:t xml:space="preserve">2020 Annual LTIP Award Metrics Martin Mihalik, Arriola and Bilicic Sagara and Wall TSR vs. Stock Options S&amp;P 500 30% Utilities Index 35% EPS Growth TSR vs. 20% S&amp;P 500 Index 15% Restricted Stock Units 15% TSR vs. S&amp;P 500 Stock Options Utilities Index 35% 15% EPS Growth TSR vs. 20% S&amp;P 500 Index 15% Restricted Stock Units TSR vs. S&amp;P 500 30% Utilities Index 35% EPS Growth TSR vs. 20% S&amp;P 500 Index 15%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(1)</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Stock options were weighted at 30% for Mr. Martin and at 15% for Messrs. Mihalik, Arriola and Bilicic (with the remaining 15% in service-based restricted stock units). Service-based restricted stock units were weighted at 30% for Messrs. Sagara and Wall. </w:t>
            </w:r>
          </w:p>
        </w:tc>
      </w:tr>
    </w:tbl>
    <w:p>
      <w:pPr>
        <w:pStyle w:val="TextBody"/>
        <w:spacing w:before="280" w:after="0"/>
        <w:jc w:val="left"/>
        <w:rPr>
          <w:rFonts w:ascii="arial" w:hAnsi="arial"/>
          <w:b/>
          <w:sz w:val="20"/>
        </w:rPr>
      </w:pPr>
      <w:r>
        <w:rPr>
          <w:rFonts w:ascii="arial" w:hAnsi="arial"/>
          <w:b/>
          <w:sz w:val="20"/>
        </w:rPr>
        <w:t xml:space="preserve">Rationale for 2020 Annual LTIP Award Design </w:t>
      </w:r>
    </w:p>
    <w:p>
      <w:pPr>
        <w:pStyle w:val="TextBody"/>
        <w:spacing w:before="120" w:after="0"/>
        <w:jc w:val="left"/>
        <w:rPr>
          <w:rFonts w:ascii="arial" w:hAnsi="arial"/>
          <w:sz w:val="16"/>
        </w:rPr>
      </w:pPr>
      <w:r>
        <w:rPr>
          <w:rFonts w:ascii="arial" w:hAnsi="arial"/>
          <w:sz w:val="16"/>
        </w:rPr>
        <w:t xml:space="preserve">The Compensation and Talent Development Committee has implemented what it believes is a balanced award design that is based 50% on relative total shareholder return, 20% on relative EPS growth and 30% on nonqualified stock options (and/or service-based restricted stock units for named executive officers other than the Chief Executive Officer). The committee believes this design creates a strong alignment with shareholder interests and with our growth strategy. The committee approved this equity award structure after considering many variables, including alignment with shareholder interests, retention, plan expense, share usage, market trends and feedback from our shareholder outreach.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57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In determining the design of the performance-based components of our 2020 annual LTIP awards, the Compensation and Talent Development Committee sought a direct link to long-term performance in comparison to indices and peers. To achieve this result, the committee used performance-based restricted stock units based on relative total shareholder return (constituting 50% of the target grant date award value, with 35% based on performance relative to the S&amp;P 500 Utilities Index and 15% based on performance relative to the S&amp;P 500 Index). The link between pay and long-term earnings performance is further strengthened by the use of a second performance measure based on relative long-term EPS growth (constituting 20% of the target grant date award value). Stock options (weighted at 30% for Mr. Martin, 15% for Messrs. Mihalik, Arriola and Bilicic) also are aligned with the companys strategic focus on long-term growth and service-based restricted stock units (weighted at 15% for Messrs. Mihalik, Arriola and Bilicic and 30% for Messrs. Sagara and Wall) promote retention. </w:t>
      </w:r>
    </w:p>
    <w:p>
      <w:pPr>
        <w:pStyle w:val="TextBody"/>
        <w:spacing w:before="0" w:after="0"/>
        <w:jc w:val="left"/>
        <w:rPr/>
      </w:pPr>
      <w:r>
        <w:rPr/>
        <w:t> </w:t>
      </w:r>
    </w:p>
    <w:p>
      <w:pPr>
        <w:pStyle w:val="TextBody"/>
        <w:jc w:val="center"/>
        <w:rPr>
          <w:color w:val="FFFFFF"/>
        </w:rPr>
      </w:pPr>
      <w:r>
        <w:rPr>
          <w:color w:val="FFFFFF"/>
        </w:rPr>
        <w:drawing>
          <wp:inline distT="0" distB="0" distL="0" distR="0">
            <wp:extent cx="7810500" cy="3143250"/>
            <wp:effectExtent l="0" t="0" r="0" b="0"/>
            <wp:docPr id="8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4" descr=""/>
                    <pic:cNvPicPr>
                      <a:picLocks noChangeAspect="1" noChangeArrowheads="1"/>
                    </pic:cNvPicPr>
                  </pic:nvPicPr>
                  <pic:blipFill>
                    <a:blip r:embed="rId65"/>
                    <a:stretch>
                      <a:fillRect/>
                    </a:stretch>
                  </pic:blipFill>
                  <pic:spPr bwMode="auto">
                    <a:xfrm>
                      <a:off x="0" y="0"/>
                      <a:ext cx="7810500" cy="3143250"/>
                    </a:xfrm>
                    <a:prstGeom prst="rect">
                      <a:avLst/>
                    </a:prstGeom>
                  </pic:spPr>
                </pic:pic>
              </a:graphicData>
            </a:graphic>
          </wp:inline>
        </w:drawing>
      </w:r>
      <w:r>
        <w:rPr>
          <w:color w:val="FFFFFF"/>
        </w:rPr>
        <w:t xml:space="preserve"> </w:t>
      </w:r>
      <w:r>
        <w:rPr>
          <w:rFonts w:ascii="arial" w:hAnsi="arial"/>
          <w:color w:val="FFFFFF"/>
          <w:sz w:val="2"/>
        </w:rPr>
        <w:t xml:space="preserve">2020 Annual LTIP Award Metrics Martin Mihalik, Arriola and Bilicic Sagara and Wall TSR vs. Stock Options S&amp;P 500 30% Utilities Index 35% EPS Growth TSR vs. 20% S&amp;P 500 Index 15% Restricted Stock Units 15% TSR vs. S&amp;P 500 Stock Options Utilities Index 35% 15% EPS Growth TSR vs. 20% S&amp;P 500 Index 15% Restricted Stock Units TSR vs. S&amp;P 500 30% Utilities Index 35% EPS Growth TSR vs. 20% S&amp;P 500 Index 15% </w:t>
      </w:r>
    </w:p>
    <w:p>
      <w:pPr>
        <w:pStyle w:val="TextBody"/>
        <w:spacing w:before="120" w:after="0"/>
        <w:jc w:val="left"/>
        <w:rPr>
          <w:rFonts w:ascii="arial" w:hAnsi="arial"/>
          <w:i/>
          <w:sz w:val="14"/>
        </w:rPr>
      </w:pPr>
      <w:r>
        <w:rPr>
          <w:rFonts w:ascii="arial" w:hAnsi="arial"/>
          <w:i/>
          <w:sz w:val="14"/>
        </w:rPr>
        <w:t xml:space="preserve">Figures 8, 9 and 10 </w:t>
      </w:r>
    </w:p>
    <w:p>
      <w:pPr>
        <w:pStyle w:val="TextBody"/>
        <w:spacing w:before="280" w:after="0"/>
        <w:jc w:val="left"/>
        <w:rPr>
          <w:rFonts w:ascii="arial" w:hAnsi="arial"/>
          <w:b/>
          <w:sz w:val="20"/>
        </w:rPr>
      </w:pPr>
      <w:r>
        <w:rPr>
          <w:rFonts w:ascii="arial" w:hAnsi="arial"/>
          <w:b/>
          <w:sz w:val="20"/>
        </w:rPr>
        <w:t xml:space="preserve">Determining Individual Equity Award Grants </w:t>
      </w:r>
    </w:p>
    <w:p>
      <w:pPr>
        <w:pStyle w:val="TextBody"/>
        <w:spacing w:before="120" w:after="0"/>
        <w:jc w:val="left"/>
        <w:rPr>
          <w:rFonts w:ascii="arial" w:hAnsi="arial"/>
          <w:sz w:val="16"/>
        </w:rPr>
      </w:pPr>
      <w:r>
        <w:rPr>
          <w:rFonts w:ascii="arial" w:hAnsi="arial"/>
          <w:sz w:val="16"/>
        </w:rPr>
        <w:t xml:space="preserve">In granting the 2020 awards, the Compensation and Talent Development Committee: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6"/>
        <w:gridCol w:w="132"/>
        <w:gridCol w:w="9857"/>
      </w:tblGrid>
      <w:tr>
        <w:trPr/>
        <w:tc>
          <w:tcPr>
            <w:tcW w:w="216" w:type="dxa"/>
            <w:tcBorders/>
            <w:shd w:fill="auto" w:val="clear"/>
          </w:tcPr>
          <w:p>
            <w:pPr>
              <w:pStyle w:val="TableContents"/>
              <w:spacing w:before="0" w:after="283"/>
              <w:jc w:val="left"/>
              <w:rPr>
                <w:color w:val="001C71"/>
              </w:rPr>
            </w:pPr>
            <w:r>
              <w:rPr>
                <w:color w:val="001C71"/>
              </w:rPr>
              <w:t></w:t>
            </w:r>
          </w:p>
        </w:tc>
        <w:tc>
          <w:tcPr>
            <w:tcW w:w="132" w:type="dxa"/>
            <w:tcBorders/>
            <w:shd w:fill="auto" w:val="clear"/>
          </w:tcPr>
          <w:p>
            <w:pPr>
              <w:pStyle w:val="TableContents"/>
              <w:spacing w:before="0" w:after="283"/>
              <w:rPr/>
            </w:pPr>
            <w:r>
              <w:rPr/>
              <w:t> </w:t>
            </w:r>
          </w:p>
        </w:tc>
        <w:tc>
          <w:tcPr>
            <w:tcW w:w="9857" w:type="dxa"/>
            <w:tcBorders/>
            <w:shd w:fill="auto" w:val="clear"/>
          </w:tcPr>
          <w:p>
            <w:pPr>
              <w:pStyle w:val="TableContents"/>
              <w:spacing w:before="0" w:after="0"/>
              <w:jc w:val="left"/>
              <w:rPr>
                <w:rFonts w:ascii="arial" w:hAnsi="arial"/>
                <w:sz w:val="16"/>
              </w:rPr>
            </w:pPr>
            <w:r>
              <w:rPr>
                <w:rFonts w:ascii="arial" w:hAnsi="arial"/>
                <w:sz w:val="16"/>
              </w:rPr>
              <w:t xml:space="preserve">Specified a target dollar value and other terms for each named executive officers award;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0"/>
              <w:jc w:val="left"/>
              <w:rPr>
                <w:rFonts w:ascii="arial" w:hAnsi="arial"/>
                <w:sz w:val="16"/>
              </w:rPr>
            </w:pPr>
            <w:r>
              <w:rPr>
                <w:rFonts w:ascii="arial" w:hAnsi="arial"/>
                <w:sz w:val="16"/>
              </w:rPr>
              <w:t xml:space="preserve">Based the number of shares underlying the awards on the specified target dollar value for each named executive officer, as opposed to a fixed number of shares. This approach allows maintenance of a pay mix the committee believes to be optimal. </w:t>
            </w:r>
          </w:p>
        </w:tc>
      </w:tr>
    </w:tbl>
    <w:p>
      <w:pPr>
        <w:pStyle w:val="TextBody"/>
        <w:spacing w:before="160" w:after="0"/>
        <w:jc w:val="left"/>
        <w:rPr>
          <w:rFonts w:ascii="arial" w:hAnsi="arial"/>
          <w:sz w:val="16"/>
        </w:rPr>
      </w:pPr>
      <w:r>
        <w:rPr>
          <w:rFonts w:ascii="arial" w:hAnsi="arial"/>
          <w:sz w:val="16"/>
        </w:rPr>
        <w:t xml:space="preserve">On the grant date, we calculated the precise number of shares to be granted to each named executive officer by dividing the total target value of each named executive officers award by the grant date closing price of Sempra Energy common stock for the performance-based and service-based restricted stock units and by the Black-Scholes value for nonqualified stock options. </w:t>
      </w:r>
    </w:p>
    <w:p>
      <w:pPr>
        <w:pStyle w:val="TextBody"/>
        <w:spacing w:before="160" w:after="0"/>
        <w:jc w:val="left"/>
        <w:rPr>
          <w:rFonts w:ascii="arial" w:hAnsi="arial"/>
          <w:sz w:val="16"/>
        </w:rPr>
      </w:pPr>
      <w:r>
        <w:rPr>
          <w:rFonts w:ascii="arial" w:hAnsi="arial"/>
          <w:sz w:val="16"/>
        </w:rPr>
        <w:t xml:space="preserve">These values are presented below under Target Value of Long-Term Equity-Based Incentives and differ from the value reported in Compensation TablesSummary Compensation Table and Compensation TablesGrants of Plan-Based Awards with respect to awards based on relative total shareholder return, which are reported in those compensation tables based on a Monte Carlo valuation that is used to reflect the probable outcome of performance conditions and calculate the grant date fair value.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58</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Target Value of Long-Term Equity-Based Incentives </w:t>
      </w:r>
    </w:p>
    <w:p>
      <w:pPr>
        <w:pStyle w:val="TextBody"/>
        <w:spacing w:before="120" w:after="0"/>
        <w:jc w:val="left"/>
        <w:rPr>
          <w:rFonts w:ascii="arial" w:hAnsi="arial"/>
          <w:sz w:val="16"/>
        </w:rPr>
      </w:pPr>
      <w:r>
        <w:rPr>
          <w:rFonts w:ascii="arial" w:hAnsi="arial"/>
          <w:sz w:val="16"/>
        </w:rPr>
        <w:t xml:space="preserve">The target values for the 2020 annual long-term incentive plan awards are summarized below in Table 12.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355"/>
        <w:gridCol w:w="1459"/>
        <w:gridCol w:w="111"/>
        <w:gridCol w:w="2073"/>
        <w:gridCol w:w="207"/>
      </w:tblGrid>
      <w:tr>
        <w:trPr/>
        <w:tc>
          <w:tcPr>
            <w:tcW w:w="6355"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07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355" w:type="dxa"/>
            <w:tcBorders/>
            <w:shd w:fill="001C71" w:val="clear"/>
            <w:vAlign w:val="center"/>
          </w:tcPr>
          <w:p>
            <w:pPr>
              <w:pStyle w:val="TableContents"/>
              <w:spacing w:before="0" w:after="283"/>
              <w:rPr>
                <w:sz w:val="4"/>
                <w:szCs w:val="4"/>
              </w:rPr>
            </w:pPr>
            <w:r>
              <w:rPr>
                <w:sz w:val="4"/>
                <w:szCs w:val="4"/>
              </w:rPr>
            </w:r>
          </w:p>
        </w:tc>
        <w:tc>
          <w:tcPr>
            <w:tcW w:w="3850" w:type="dxa"/>
            <w:gridSpan w:val="4"/>
            <w:tcBorders/>
            <w:shd w:fill="001C71" w:val="clear"/>
            <w:vAlign w:val="center"/>
          </w:tcPr>
          <w:p>
            <w:pPr>
              <w:pStyle w:val="TableContents"/>
              <w:spacing w:before="0" w:after="283"/>
              <w:rPr>
                <w:sz w:val="4"/>
                <w:szCs w:val="4"/>
              </w:rPr>
            </w:pPr>
            <w:r>
              <w:rPr>
                <w:sz w:val="4"/>
                <w:szCs w:val="4"/>
              </w:rPr>
            </w:r>
          </w:p>
        </w:tc>
      </w:tr>
      <w:tr>
        <w:trPr/>
        <w:tc>
          <w:tcPr>
            <w:tcW w:w="6355" w:type="dxa"/>
            <w:tcBorders/>
            <w:shd w:fill="001C71" w:val="clear"/>
            <w:vAlign w:val="bottom"/>
          </w:tcPr>
          <w:p>
            <w:pPr>
              <w:pStyle w:val="TableContents"/>
              <w:rPr/>
            </w:pPr>
            <w:r>
              <w:rPr/>
              <w:t> </w:t>
            </w:r>
          </w:p>
          <w:p>
            <w:pPr>
              <w:pStyle w:val="TableContents"/>
              <w:spacing w:before="0" w:after="0"/>
              <w:rPr/>
            </w:pPr>
            <w:r>
              <w:rPr/>
              <w:t> </w:t>
            </w:r>
          </w:p>
        </w:tc>
        <w:tc>
          <w:tcPr>
            <w:tcW w:w="1459" w:type="dxa"/>
            <w:tcBorders/>
            <w:shd w:fill="001C71" w:val="clear"/>
            <w:vAlign w:val="bottom"/>
          </w:tcPr>
          <w:p>
            <w:pPr>
              <w:pStyle w:val="TableContents"/>
              <w:spacing w:before="0" w:after="283"/>
              <w:rPr/>
            </w:pPr>
            <w:r>
              <w:rPr/>
              <w:t>    </w:t>
            </w:r>
          </w:p>
        </w:tc>
        <w:tc>
          <w:tcPr>
            <w:tcW w:w="2184" w:type="dxa"/>
            <w:gridSpan w:val="2"/>
            <w:tcBorders/>
            <w:shd w:fill="001C71" w:val="clear"/>
            <w:vAlign w:val="bottom"/>
          </w:tcPr>
          <w:p>
            <w:pPr>
              <w:pStyle w:val="TableContents"/>
              <w:spacing w:before="0" w:after="283"/>
              <w:jc w:val="center"/>
              <w:rPr>
                <w:b/>
                <w:color w:val="FFFFFF"/>
              </w:rPr>
            </w:pPr>
            <w:r>
              <w:rPr>
                <w:b/>
                <w:color w:val="FFFFFF"/>
              </w:rPr>
              <w:t>Target Value of 2020</w:t>
              <w:br/>
              <w:t>Annual LTIP Award</w:t>
            </w:r>
          </w:p>
        </w:tc>
        <w:tc>
          <w:tcPr>
            <w:tcW w:w="207" w:type="dxa"/>
            <w:tcBorders/>
            <w:shd w:fill="001C71" w:val="clear"/>
            <w:vAlign w:val="bottom"/>
          </w:tcPr>
          <w:p>
            <w:pPr>
              <w:pStyle w:val="TableContents"/>
              <w:spacing w:before="0" w:after="283"/>
              <w:rPr/>
            </w:pPr>
            <w:r>
              <w:rPr/>
              <w:t> </w:t>
            </w:r>
          </w:p>
        </w:tc>
      </w:tr>
      <w:tr>
        <w:trPr>
          <w:trHeight w:val="75" w:hRule="atLeast"/>
        </w:trPr>
        <w:tc>
          <w:tcPr>
            <w:tcW w:w="6355" w:type="dxa"/>
            <w:tcBorders/>
            <w:shd w:fill="E5E5E5" w:val="clear"/>
            <w:vAlign w:val="center"/>
          </w:tcPr>
          <w:p>
            <w:pPr>
              <w:pStyle w:val="TableContents"/>
              <w:spacing w:before="0" w:after="283"/>
              <w:rPr>
                <w:sz w:val="4"/>
                <w:szCs w:val="4"/>
              </w:rPr>
            </w:pPr>
            <w:r>
              <w:rPr>
                <w:sz w:val="4"/>
                <w:szCs w:val="4"/>
              </w:rPr>
            </w:r>
          </w:p>
        </w:tc>
        <w:tc>
          <w:tcPr>
            <w:tcW w:w="3850" w:type="dxa"/>
            <w:gridSpan w:val="4"/>
            <w:tcBorders/>
            <w:shd w:fill="E5E5E5" w:val="clear"/>
            <w:vAlign w:val="center"/>
          </w:tcPr>
          <w:p>
            <w:pPr>
              <w:pStyle w:val="TableContents"/>
              <w:spacing w:before="0" w:after="283"/>
              <w:rPr>
                <w:sz w:val="4"/>
                <w:szCs w:val="4"/>
              </w:rPr>
            </w:pPr>
            <w:r>
              <w:rPr>
                <w:sz w:val="4"/>
                <w:szCs w:val="4"/>
              </w:rPr>
            </w:r>
          </w:p>
        </w:tc>
      </w:tr>
      <w:tr>
        <w:trPr/>
        <w:tc>
          <w:tcPr>
            <w:tcW w:w="6355" w:type="dxa"/>
            <w:tcBorders/>
            <w:shd w:fill="E5E5E5" w:val="clear"/>
          </w:tcPr>
          <w:p>
            <w:pPr>
              <w:pStyle w:val="TableContents"/>
              <w:spacing w:before="0" w:after="0"/>
              <w:rPr>
                <w:rFonts w:ascii="arial" w:hAnsi="arial"/>
                <w:sz w:val="16"/>
              </w:rPr>
            </w:pPr>
            <w:r>
              <w:rPr>
                <w:rFonts w:ascii="arial" w:hAnsi="arial"/>
                <w:sz w:val="16"/>
              </w:rPr>
              <w:t>Jeffrey W. Martin</w:t>
            </w:r>
          </w:p>
        </w:tc>
        <w:tc>
          <w:tcPr>
            <w:tcW w:w="1459"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2073" w:type="dxa"/>
            <w:tcBorders/>
            <w:shd w:fill="E5E5E5" w:val="clear"/>
            <w:vAlign w:val="bottom"/>
          </w:tcPr>
          <w:p>
            <w:pPr>
              <w:pStyle w:val="TableContents"/>
              <w:spacing w:before="0" w:after="283"/>
              <w:jc w:val="right"/>
              <w:rPr/>
            </w:pPr>
            <w:r>
              <w:rPr/>
              <w:t>$7,000,000</w:t>
            </w:r>
          </w:p>
        </w:tc>
        <w:tc>
          <w:tcPr>
            <w:tcW w:w="207" w:type="dxa"/>
            <w:tcBorders/>
            <w:shd w:fill="E5E5E5" w:val="clear"/>
            <w:vAlign w:val="bottom"/>
          </w:tcPr>
          <w:p>
            <w:pPr>
              <w:pStyle w:val="TableContents"/>
              <w:spacing w:before="0" w:after="283"/>
              <w:rPr/>
            </w:pPr>
            <w:r>
              <w:rPr/>
              <w:t> </w:t>
            </w:r>
          </w:p>
        </w:tc>
      </w:tr>
      <w:tr>
        <w:trPr>
          <w:trHeight w:val="75" w:hRule="atLeast"/>
        </w:trPr>
        <w:tc>
          <w:tcPr>
            <w:tcW w:w="6355" w:type="dxa"/>
            <w:tcBorders/>
            <w:shd w:fill="auto" w:val="clear"/>
            <w:vAlign w:val="center"/>
          </w:tcPr>
          <w:p>
            <w:pPr>
              <w:pStyle w:val="TableContents"/>
              <w:spacing w:before="0" w:after="283"/>
              <w:rPr>
                <w:sz w:val="4"/>
                <w:szCs w:val="4"/>
              </w:rPr>
            </w:pPr>
            <w:r>
              <w:rPr>
                <w:sz w:val="4"/>
                <w:szCs w:val="4"/>
              </w:rPr>
            </w:r>
          </w:p>
        </w:tc>
        <w:tc>
          <w:tcPr>
            <w:tcW w:w="3850" w:type="dxa"/>
            <w:gridSpan w:val="4"/>
            <w:tcBorders/>
            <w:shd w:fill="auto" w:val="clear"/>
            <w:vAlign w:val="center"/>
          </w:tcPr>
          <w:p>
            <w:pPr>
              <w:pStyle w:val="TableContents"/>
              <w:spacing w:before="0" w:after="283"/>
              <w:rPr>
                <w:sz w:val="4"/>
                <w:szCs w:val="4"/>
              </w:rPr>
            </w:pPr>
            <w:r>
              <w:rPr>
                <w:sz w:val="4"/>
                <w:szCs w:val="4"/>
              </w:rPr>
            </w:r>
          </w:p>
        </w:tc>
      </w:tr>
      <w:tr>
        <w:trPr/>
        <w:tc>
          <w:tcPr>
            <w:tcW w:w="6355" w:type="dxa"/>
            <w:tcBorders/>
            <w:shd w:fill="auto" w:val="clear"/>
          </w:tcPr>
          <w:p>
            <w:pPr>
              <w:pStyle w:val="TableContents"/>
              <w:spacing w:before="0" w:after="0"/>
              <w:rPr>
                <w:rFonts w:ascii="arial" w:hAnsi="arial"/>
                <w:sz w:val="16"/>
              </w:rPr>
            </w:pPr>
            <w:r>
              <w:rPr>
                <w:rFonts w:ascii="arial" w:hAnsi="arial"/>
                <w:sz w:val="16"/>
              </w:rPr>
              <w:t>Trevor I. Mihalik</w:t>
            </w:r>
          </w:p>
        </w:tc>
        <w:tc>
          <w:tcPr>
            <w:tcW w:w="145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073" w:type="dxa"/>
            <w:tcBorders/>
            <w:shd w:fill="auto" w:val="clear"/>
            <w:vAlign w:val="bottom"/>
          </w:tcPr>
          <w:p>
            <w:pPr>
              <w:pStyle w:val="TableContents"/>
              <w:spacing w:before="0" w:after="283"/>
              <w:jc w:val="right"/>
              <w:rPr/>
            </w:pPr>
            <w:r>
              <w:rPr/>
              <w:t>$2,100,000</w:t>
            </w:r>
          </w:p>
        </w:tc>
        <w:tc>
          <w:tcPr>
            <w:tcW w:w="207" w:type="dxa"/>
            <w:tcBorders/>
            <w:shd w:fill="auto" w:val="clear"/>
            <w:vAlign w:val="bottom"/>
          </w:tcPr>
          <w:p>
            <w:pPr>
              <w:pStyle w:val="TableContents"/>
              <w:spacing w:before="0" w:after="283"/>
              <w:rPr/>
            </w:pPr>
            <w:r>
              <w:rPr/>
              <w:t> </w:t>
            </w:r>
          </w:p>
        </w:tc>
      </w:tr>
      <w:tr>
        <w:trPr>
          <w:trHeight w:val="75" w:hRule="atLeast"/>
        </w:trPr>
        <w:tc>
          <w:tcPr>
            <w:tcW w:w="6355" w:type="dxa"/>
            <w:tcBorders/>
            <w:shd w:fill="E5E5E5" w:val="clear"/>
            <w:vAlign w:val="center"/>
          </w:tcPr>
          <w:p>
            <w:pPr>
              <w:pStyle w:val="TableContents"/>
              <w:spacing w:before="0" w:after="283"/>
              <w:rPr>
                <w:sz w:val="4"/>
                <w:szCs w:val="4"/>
              </w:rPr>
            </w:pPr>
            <w:r>
              <w:rPr>
                <w:sz w:val="4"/>
                <w:szCs w:val="4"/>
              </w:rPr>
            </w:r>
          </w:p>
        </w:tc>
        <w:tc>
          <w:tcPr>
            <w:tcW w:w="3850" w:type="dxa"/>
            <w:gridSpan w:val="4"/>
            <w:tcBorders/>
            <w:shd w:fill="E5E5E5" w:val="clear"/>
            <w:vAlign w:val="center"/>
          </w:tcPr>
          <w:p>
            <w:pPr>
              <w:pStyle w:val="TableContents"/>
              <w:spacing w:before="0" w:after="283"/>
              <w:rPr>
                <w:sz w:val="4"/>
                <w:szCs w:val="4"/>
              </w:rPr>
            </w:pPr>
            <w:r>
              <w:rPr>
                <w:sz w:val="4"/>
                <w:szCs w:val="4"/>
              </w:rPr>
            </w:r>
          </w:p>
        </w:tc>
      </w:tr>
      <w:tr>
        <w:trPr/>
        <w:tc>
          <w:tcPr>
            <w:tcW w:w="6355" w:type="dxa"/>
            <w:tcBorders/>
            <w:shd w:fill="E5E5E5" w:val="clear"/>
          </w:tcPr>
          <w:p>
            <w:pPr>
              <w:pStyle w:val="TableContents"/>
              <w:spacing w:before="0" w:after="0"/>
              <w:rPr>
                <w:rFonts w:ascii="arial" w:hAnsi="arial"/>
                <w:sz w:val="16"/>
              </w:rPr>
            </w:pPr>
            <w:r>
              <w:rPr>
                <w:rFonts w:ascii="arial" w:hAnsi="arial"/>
                <w:sz w:val="16"/>
              </w:rPr>
              <w:t>Kevin C. Sagara</w:t>
            </w:r>
          </w:p>
        </w:tc>
        <w:tc>
          <w:tcPr>
            <w:tcW w:w="1459"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2073" w:type="dxa"/>
            <w:tcBorders/>
            <w:shd w:fill="E5E5E5" w:val="clear"/>
            <w:vAlign w:val="bottom"/>
          </w:tcPr>
          <w:p>
            <w:pPr>
              <w:pStyle w:val="TableContents"/>
              <w:spacing w:before="0" w:after="283"/>
              <w:jc w:val="right"/>
              <w:rPr/>
            </w:pPr>
            <w:r>
              <w:rPr/>
              <w:t>$1,067,800</w:t>
            </w:r>
          </w:p>
        </w:tc>
        <w:tc>
          <w:tcPr>
            <w:tcW w:w="207" w:type="dxa"/>
            <w:tcBorders/>
            <w:shd w:fill="E5E5E5" w:val="clear"/>
            <w:vAlign w:val="bottom"/>
          </w:tcPr>
          <w:p>
            <w:pPr>
              <w:pStyle w:val="TableContents"/>
              <w:spacing w:before="0" w:after="283"/>
              <w:rPr/>
            </w:pPr>
            <w:r>
              <w:rPr/>
              <w:t> </w:t>
            </w:r>
          </w:p>
        </w:tc>
      </w:tr>
      <w:tr>
        <w:trPr>
          <w:trHeight w:val="75" w:hRule="atLeast"/>
        </w:trPr>
        <w:tc>
          <w:tcPr>
            <w:tcW w:w="6355" w:type="dxa"/>
            <w:tcBorders/>
            <w:shd w:fill="auto" w:val="clear"/>
            <w:vAlign w:val="center"/>
          </w:tcPr>
          <w:p>
            <w:pPr>
              <w:pStyle w:val="TableContents"/>
              <w:spacing w:before="0" w:after="283"/>
              <w:rPr>
                <w:sz w:val="4"/>
                <w:szCs w:val="4"/>
              </w:rPr>
            </w:pPr>
            <w:r>
              <w:rPr>
                <w:sz w:val="4"/>
                <w:szCs w:val="4"/>
              </w:rPr>
            </w:r>
          </w:p>
        </w:tc>
        <w:tc>
          <w:tcPr>
            <w:tcW w:w="3850" w:type="dxa"/>
            <w:gridSpan w:val="4"/>
            <w:tcBorders/>
            <w:shd w:fill="auto" w:val="clear"/>
            <w:vAlign w:val="center"/>
          </w:tcPr>
          <w:p>
            <w:pPr>
              <w:pStyle w:val="TableContents"/>
              <w:spacing w:before="0" w:after="283"/>
              <w:rPr>
                <w:sz w:val="4"/>
                <w:szCs w:val="4"/>
              </w:rPr>
            </w:pPr>
            <w:r>
              <w:rPr>
                <w:sz w:val="4"/>
                <w:szCs w:val="4"/>
              </w:rPr>
            </w:r>
          </w:p>
        </w:tc>
      </w:tr>
      <w:tr>
        <w:trPr/>
        <w:tc>
          <w:tcPr>
            <w:tcW w:w="6355" w:type="dxa"/>
            <w:tcBorders/>
            <w:shd w:fill="auto" w:val="clear"/>
          </w:tcPr>
          <w:p>
            <w:pPr>
              <w:pStyle w:val="TableContents"/>
              <w:spacing w:before="0" w:after="0"/>
              <w:rPr>
                <w:rFonts w:ascii="arial" w:hAnsi="arial"/>
                <w:sz w:val="16"/>
              </w:rPr>
            </w:pPr>
            <w:r>
              <w:rPr>
                <w:rFonts w:ascii="arial" w:hAnsi="arial"/>
                <w:sz w:val="16"/>
              </w:rPr>
              <w:t>Peter R. Wall(1)</w:t>
            </w:r>
          </w:p>
        </w:tc>
        <w:tc>
          <w:tcPr>
            <w:tcW w:w="145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073" w:type="dxa"/>
            <w:tcBorders/>
            <w:shd w:fill="auto" w:val="clear"/>
            <w:vAlign w:val="bottom"/>
          </w:tcPr>
          <w:p>
            <w:pPr>
              <w:pStyle w:val="TableContents"/>
              <w:spacing w:before="0" w:after="283"/>
              <w:jc w:val="right"/>
              <w:rPr/>
            </w:pPr>
            <w:r>
              <w:rPr/>
              <w:t>$   400,000</w:t>
            </w:r>
          </w:p>
        </w:tc>
        <w:tc>
          <w:tcPr>
            <w:tcW w:w="207" w:type="dxa"/>
            <w:tcBorders/>
            <w:shd w:fill="auto" w:val="clear"/>
            <w:vAlign w:val="bottom"/>
          </w:tcPr>
          <w:p>
            <w:pPr>
              <w:pStyle w:val="TableContents"/>
              <w:spacing w:before="0" w:after="283"/>
              <w:rPr/>
            </w:pPr>
            <w:r>
              <w:rPr/>
              <w:t> </w:t>
            </w:r>
          </w:p>
        </w:tc>
      </w:tr>
      <w:tr>
        <w:trPr>
          <w:trHeight w:val="75" w:hRule="atLeast"/>
        </w:trPr>
        <w:tc>
          <w:tcPr>
            <w:tcW w:w="6355" w:type="dxa"/>
            <w:tcBorders/>
            <w:shd w:fill="E5E5E5" w:val="clear"/>
            <w:vAlign w:val="center"/>
          </w:tcPr>
          <w:p>
            <w:pPr>
              <w:pStyle w:val="TableContents"/>
              <w:spacing w:before="0" w:after="283"/>
              <w:rPr>
                <w:sz w:val="4"/>
                <w:szCs w:val="4"/>
              </w:rPr>
            </w:pPr>
            <w:r>
              <w:rPr>
                <w:sz w:val="4"/>
                <w:szCs w:val="4"/>
              </w:rPr>
            </w:r>
          </w:p>
        </w:tc>
        <w:tc>
          <w:tcPr>
            <w:tcW w:w="3850" w:type="dxa"/>
            <w:gridSpan w:val="4"/>
            <w:tcBorders/>
            <w:shd w:fill="E5E5E5" w:val="clear"/>
            <w:vAlign w:val="center"/>
          </w:tcPr>
          <w:p>
            <w:pPr>
              <w:pStyle w:val="TableContents"/>
              <w:spacing w:before="0" w:after="283"/>
              <w:rPr>
                <w:sz w:val="4"/>
                <w:szCs w:val="4"/>
              </w:rPr>
            </w:pPr>
            <w:r>
              <w:rPr>
                <w:sz w:val="4"/>
                <w:szCs w:val="4"/>
              </w:rPr>
            </w:r>
          </w:p>
        </w:tc>
      </w:tr>
      <w:tr>
        <w:trPr/>
        <w:tc>
          <w:tcPr>
            <w:tcW w:w="6355" w:type="dxa"/>
            <w:tcBorders/>
            <w:shd w:fill="E5E5E5" w:val="clear"/>
          </w:tcPr>
          <w:p>
            <w:pPr>
              <w:pStyle w:val="TableContents"/>
              <w:spacing w:before="0" w:after="0"/>
              <w:rPr>
                <w:rFonts w:ascii="arial" w:hAnsi="arial"/>
                <w:sz w:val="16"/>
              </w:rPr>
            </w:pPr>
            <w:r>
              <w:rPr>
                <w:rFonts w:ascii="arial" w:hAnsi="arial"/>
                <w:sz w:val="16"/>
              </w:rPr>
              <w:t>Dennis V. Arriola</w:t>
            </w:r>
          </w:p>
        </w:tc>
        <w:tc>
          <w:tcPr>
            <w:tcW w:w="1459"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2073" w:type="dxa"/>
            <w:tcBorders/>
            <w:shd w:fill="E5E5E5" w:val="clear"/>
            <w:vAlign w:val="bottom"/>
          </w:tcPr>
          <w:p>
            <w:pPr>
              <w:pStyle w:val="TableContents"/>
              <w:spacing w:before="0" w:after="283"/>
              <w:jc w:val="right"/>
              <w:rPr/>
            </w:pPr>
            <w:r>
              <w:rPr/>
              <w:t>$1,800,000</w:t>
            </w:r>
          </w:p>
        </w:tc>
        <w:tc>
          <w:tcPr>
            <w:tcW w:w="207" w:type="dxa"/>
            <w:tcBorders/>
            <w:shd w:fill="E5E5E5" w:val="clear"/>
            <w:vAlign w:val="bottom"/>
          </w:tcPr>
          <w:p>
            <w:pPr>
              <w:pStyle w:val="TableContents"/>
              <w:spacing w:before="0" w:after="283"/>
              <w:rPr/>
            </w:pPr>
            <w:r>
              <w:rPr/>
              <w:t> </w:t>
            </w:r>
          </w:p>
        </w:tc>
      </w:tr>
      <w:tr>
        <w:trPr>
          <w:trHeight w:val="75" w:hRule="atLeast"/>
        </w:trPr>
        <w:tc>
          <w:tcPr>
            <w:tcW w:w="6355" w:type="dxa"/>
            <w:tcBorders/>
            <w:shd w:fill="auto" w:val="clear"/>
            <w:vAlign w:val="center"/>
          </w:tcPr>
          <w:p>
            <w:pPr>
              <w:pStyle w:val="TableContents"/>
              <w:spacing w:before="0" w:after="283"/>
              <w:rPr>
                <w:sz w:val="4"/>
                <w:szCs w:val="4"/>
              </w:rPr>
            </w:pPr>
            <w:r>
              <w:rPr>
                <w:sz w:val="4"/>
                <w:szCs w:val="4"/>
              </w:rPr>
            </w:r>
          </w:p>
        </w:tc>
        <w:tc>
          <w:tcPr>
            <w:tcW w:w="3850" w:type="dxa"/>
            <w:gridSpan w:val="4"/>
            <w:tcBorders/>
            <w:shd w:fill="auto" w:val="clear"/>
            <w:vAlign w:val="center"/>
          </w:tcPr>
          <w:p>
            <w:pPr>
              <w:pStyle w:val="TableContents"/>
              <w:spacing w:before="0" w:after="283"/>
              <w:rPr>
                <w:sz w:val="4"/>
                <w:szCs w:val="4"/>
              </w:rPr>
            </w:pPr>
            <w:r>
              <w:rPr>
                <w:sz w:val="4"/>
                <w:szCs w:val="4"/>
              </w:rPr>
            </w:r>
          </w:p>
        </w:tc>
      </w:tr>
      <w:tr>
        <w:trPr/>
        <w:tc>
          <w:tcPr>
            <w:tcW w:w="6355"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George W. Bilicic</w:t>
            </w:r>
          </w:p>
        </w:tc>
        <w:tc>
          <w:tcPr>
            <w:tcW w:w="1459" w:type="dxa"/>
            <w:tcBorders>
              <w:bottom w:val="single" w:sz="8" w:space="0" w:color="001C71"/>
            </w:tcBorders>
            <w:shd w:fill="auto" w:val="clear"/>
            <w:tcMar>
              <w:bottom w:w="28" w:type="dxa"/>
            </w:tcMar>
            <w:vAlign w:val="bottom"/>
          </w:tcPr>
          <w:p>
            <w:pPr>
              <w:pStyle w:val="TableContents"/>
              <w:spacing w:before="0" w:after="283"/>
              <w:rPr/>
            </w:pPr>
            <w:r>
              <w:rPr/>
              <w:t>    </w:t>
            </w:r>
          </w:p>
        </w:tc>
        <w:tc>
          <w:tcPr>
            <w:tcW w:w="111" w:type="dxa"/>
            <w:tcBorders>
              <w:bottom w:val="single" w:sz="8" w:space="0" w:color="001C71"/>
            </w:tcBorders>
            <w:shd w:fill="auto" w:val="clear"/>
            <w:tcMar>
              <w:bottom w:w="60" w:type="dxa"/>
            </w:tcMar>
            <w:vAlign w:val="bottom"/>
          </w:tcPr>
          <w:p>
            <w:pPr>
              <w:pStyle w:val="TableContents"/>
              <w:spacing w:before="0" w:after="283"/>
              <w:rPr/>
            </w:pPr>
            <w:r>
              <w:rPr/>
              <w:t> </w:t>
            </w:r>
          </w:p>
        </w:tc>
        <w:tc>
          <w:tcPr>
            <w:tcW w:w="2073" w:type="dxa"/>
            <w:tcBorders>
              <w:bottom w:val="single" w:sz="8" w:space="0" w:color="001C71"/>
            </w:tcBorders>
            <w:shd w:fill="auto" w:val="clear"/>
            <w:tcMar>
              <w:bottom w:w="60" w:type="dxa"/>
            </w:tcMar>
            <w:vAlign w:val="bottom"/>
          </w:tcPr>
          <w:p>
            <w:pPr>
              <w:pStyle w:val="TableContents"/>
              <w:spacing w:before="0" w:after="283"/>
              <w:jc w:val="right"/>
              <w:rPr/>
            </w:pPr>
            <w:r>
              <w:rPr/>
              <w:t>$2,500,000</w:t>
            </w:r>
          </w:p>
        </w:tc>
        <w:tc>
          <w:tcPr>
            <w:tcW w:w="207"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80" w:after="0"/>
        <w:jc w:val="left"/>
        <w:rPr>
          <w:rFonts w:ascii="arial" w:hAnsi="arial"/>
          <w:i/>
          <w:sz w:val="14"/>
        </w:rPr>
      </w:pPr>
      <w:r>
        <w:rPr>
          <w:rFonts w:ascii="arial" w:hAnsi="arial"/>
          <w:i/>
          <w:sz w:val="14"/>
        </w:rPr>
        <w:t xml:space="preserve">Table 12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Amount shown includes awards with a collective total target value of $100,000 granted on April 1, 2020 in connection with Mr. Walls promotion to Senior Vice President. This portion of Mr. Walls award is subject to the same award design, weighting, terms and performance periods as the January 2, 2020 LTIP award. </w:t>
            </w:r>
          </w:p>
        </w:tc>
      </w:tr>
    </w:tbl>
    <w:p>
      <w:pPr>
        <w:pStyle w:val="TextBody"/>
        <w:spacing w:before="120" w:after="0"/>
        <w:jc w:val="left"/>
        <w:rPr>
          <w:rFonts w:ascii="arial" w:hAnsi="arial"/>
          <w:sz w:val="16"/>
        </w:rPr>
      </w:pPr>
      <w:r>
        <w:rPr>
          <w:rFonts w:ascii="arial" w:hAnsi="arial"/>
          <w:sz w:val="16"/>
        </w:rPr>
        <w:t xml:space="preserve">The actual amounts realized by equity award recipients will depend on future stock price performance and our EPS performance and the degree to which these performance measures are achieved. The amounts ultimately realized will not necessarily align with the target grant values. </w:t>
      </w:r>
    </w:p>
    <w:p>
      <w:pPr>
        <w:pStyle w:val="TextBody"/>
        <w:spacing w:before="280" w:after="0"/>
        <w:jc w:val="left"/>
        <w:rPr>
          <w:rFonts w:ascii="arial" w:hAnsi="arial"/>
          <w:b/>
          <w:sz w:val="20"/>
        </w:rPr>
      </w:pPr>
      <w:r>
        <w:rPr>
          <w:rFonts w:ascii="arial" w:hAnsi="arial"/>
          <w:b/>
          <w:sz w:val="20"/>
        </w:rPr>
        <w:t xml:space="preserve">Performance Goals for the 2020 Performance-Based Restricted Stock Units </w:t>
      </w:r>
    </w:p>
    <w:p>
      <w:pPr>
        <w:pStyle w:val="TextBody"/>
        <w:spacing w:before="120" w:after="0"/>
        <w:jc w:val="left"/>
        <w:rPr>
          <w:rFonts w:ascii="arial" w:hAnsi="arial"/>
          <w:sz w:val="16"/>
        </w:rPr>
      </w:pPr>
      <w:r>
        <w:rPr>
          <w:rFonts w:ascii="arial" w:hAnsi="arial"/>
          <w:sz w:val="16"/>
        </w:rPr>
        <w:t xml:space="preserve">The 2020 annual long-term incentive plan awards included two performance measures  relative total shareholder return and EPS growth. Fifty percent of the total target award value is linked to relative total shareholder return, with 35% based on total shareholder return relative to the S&amp;P 500 Utilities Index and 15% based on total shareholder return relative to the S&amp;P 500 Index. Twenty percent of the total target award value is linked to EPS growth.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w:t>
            </w:r>
          </w:p>
        </w:tc>
        <w:tc>
          <w:tcPr>
            <w:tcW w:w="9797" w:type="dxa"/>
            <w:tcBorders/>
            <w:shd w:fill="auto" w:val="clear"/>
          </w:tcPr>
          <w:p>
            <w:pPr>
              <w:pStyle w:val="TableContents"/>
              <w:spacing w:before="0" w:after="0"/>
              <w:jc w:val="left"/>
              <w:rPr>
                <w:rFonts w:ascii="arial" w:hAnsi="arial"/>
                <w:b/>
                <w:sz w:val="16"/>
              </w:rPr>
            </w:pPr>
            <w:r>
              <w:rPr>
                <w:rFonts w:ascii="arial" w:hAnsi="arial"/>
                <w:b/>
                <w:sz w:val="16"/>
              </w:rPr>
              <w:t xml:space="preserve">Relative Total Shareholder Return </w:t>
            </w:r>
          </w:p>
        </w:tc>
      </w:tr>
    </w:tbl>
    <w:p>
      <w:pPr>
        <w:pStyle w:val="TextBody"/>
        <w:spacing w:before="120" w:after="0"/>
        <w:jc w:val="left"/>
        <w:rPr>
          <w:rFonts w:ascii="arial" w:hAnsi="arial"/>
          <w:sz w:val="16"/>
        </w:rPr>
      </w:pPr>
      <w:r>
        <w:rPr>
          <w:rFonts w:ascii="arial" w:hAnsi="arial"/>
          <w:sz w:val="16"/>
        </w:rPr>
        <w:t xml:space="preserve">Each performance-based restricted stock unit represents the right to receive between zero and two shares of Sempra Energy common stock based on the companys three-year cumulative total shareholder return compared with the S&amp;P 500 Utilities Index or the S&amp;P 500 Index, as applicable. We measure our total shareholder return against both the S&amp;P 500 Utilities Index and the S&amp;P 500 Index because our operations extend beyond those of a typical utility and we have significant international and non-utility energy infrastructure operations. </w:t>
      </w:r>
    </w:p>
    <w:p>
      <w:pPr>
        <w:pStyle w:val="TextBody"/>
        <w:spacing w:before="160" w:after="0"/>
        <w:jc w:val="left"/>
        <w:rPr>
          <w:rFonts w:ascii="arial" w:hAnsi="arial"/>
          <w:sz w:val="16"/>
        </w:rPr>
      </w:pPr>
      <w:r>
        <w:rPr>
          <w:rFonts w:ascii="arial" w:hAnsi="arial"/>
          <w:sz w:val="16"/>
        </w:rPr>
        <w:t xml:space="preserve">If the companys performance is at the target performance level (the 50th percentile of the applicable index), participants will earn one share for each restricted stock unit. Participants have the opportunity to earn up to two shares for each restricted stock unit if performance exceeds the target performance level. Participants earn a partial share for performance between the threshold and target performance levels, as shown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056"/>
        <w:gridCol w:w="124"/>
        <w:gridCol w:w="4025"/>
      </w:tblGrid>
      <w:tr>
        <w:trPr/>
        <w:tc>
          <w:tcPr>
            <w:tcW w:w="605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4025"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6056" w:type="dxa"/>
            <w:tcBorders/>
            <w:shd w:fill="001C71" w:val="clear"/>
            <w:vAlign w:val="center"/>
          </w:tcPr>
          <w:p>
            <w:pPr>
              <w:pStyle w:val="TableContents"/>
              <w:spacing w:before="0" w:after="283"/>
              <w:rPr>
                <w:sz w:val="4"/>
                <w:szCs w:val="4"/>
              </w:rPr>
            </w:pPr>
            <w:r>
              <w:rPr>
                <w:sz w:val="4"/>
                <w:szCs w:val="4"/>
              </w:rPr>
            </w:r>
          </w:p>
        </w:tc>
        <w:tc>
          <w:tcPr>
            <w:tcW w:w="4149" w:type="dxa"/>
            <w:gridSpan w:val="2"/>
            <w:tcBorders/>
            <w:shd w:fill="001C71" w:val="clear"/>
            <w:vAlign w:val="center"/>
          </w:tcPr>
          <w:p>
            <w:pPr>
              <w:pStyle w:val="TableContents"/>
              <w:spacing w:before="0" w:after="283"/>
              <w:rPr>
                <w:sz w:val="4"/>
                <w:szCs w:val="4"/>
              </w:rPr>
            </w:pPr>
            <w:r>
              <w:rPr>
                <w:sz w:val="4"/>
                <w:szCs w:val="4"/>
              </w:rPr>
            </w:r>
          </w:p>
        </w:tc>
      </w:tr>
      <w:tr>
        <w:trPr/>
        <w:tc>
          <w:tcPr>
            <w:tcW w:w="6056"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Cumulative Total Shareholder Return Percentile Rank vs.</w:t>
            </w:r>
          </w:p>
          <w:p>
            <w:pPr>
              <w:pStyle w:val="TableContents"/>
              <w:spacing w:before="0" w:after="0"/>
              <w:rPr>
                <w:rFonts w:ascii="arial" w:hAnsi="arial"/>
                <w:b/>
                <w:color w:val="FFFFFF"/>
                <w:sz w:val="16"/>
              </w:rPr>
            </w:pPr>
            <w:r>
              <w:rPr>
                <w:rFonts w:ascii="arial" w:hAnsi="arial"/>
                <w:b/>
                <w:color w:val="FFFFFF"/>
                <w:sz w:val="16"/>
              </w:rPr>
              <w:t>S&amp;P 500 Utilities Index or S&amp;P 500 Index</w:t>
            </w:r>
          </w:p>
          <w:p>
            <w:pPr>
              <w:pStyle w:val="TableContents"/>
              <w:spacing w:before="0" w:after="20"/>
              <w:rPr>
                <w:rFonts w:ascii="arial" w:hAnsi="arial"/>
                <w:b/>
                <w:color w:val="FFFFFF"/>
                <w:sz w:val="16"/>
              </w:rPr>
            </w:pPr>
            <w:r>
              <w:rPr>
                <w:rFonts w:ascii="arial" w:hAnsi="arial"/>
                <w:b/>
                <w:color w:val="FFFFFF"/>
                <w:sz w:val="16"/>
              </w:rPr>
              <w:t>(Measured Independently in Separate Award Components)</w:t>
            </w:r>
          </w:p>
        </w:tc>
        <w:tc>
          <w:tcPr>
            <w:tcW w:w="124" w:type="dxa"/>
            <w:tcBorders/>
            <w:shd w:fill="001C71" w:val="clear"/>
            <w:vAlign w:val="bottom"/>
          </w:tcPr>
          <w:p>
            <w:pPr>
              <w:pStyle w:val="TableContents"/>
              <w:spacing w:before="0" w:after="283"/>
              <w:rPr/>
            </w:pPr>
            <w:r>
              <w:rPr/>
              <w:t>  </w:t>
            </w:r>
          </w:p>
        </w:tc>
        <w:tc>
          <w:tcPr>
            <w:tcW w:w="4025" w:type="dxa"/>
            <w:tcBorders/>
            <w:shd w:fill="001C71" w:val="clear"/>
            <w:vAlign w:val="bottom"/>
          </w:tcPr>
          <w:p>
            <w:pPr>
              <w:pStyle w:val="TableContents"/>
              <w:spacing w:before="0" w:after="283"/>
              <w:jc w:val="center"/>
              <w:rPr>
                <w:b/>
                <w:color w:val="FFFFFF"/>
              </w:rPr>
            </w:pPr>
            <w:r>
              <w:rPr>
                <w:b/>
                <w:color w:val="FFFFFF"/>
              </w:rPr>
              <w:t>Sempra Energy Common Stock Shares</w:t>
              <w:br/>
              <w:t>Received for Each</w:t>
              <w:br/>
              <w:t>Restricted Stock Unit(1)</w:t>
            </w:r>
          </w:p>
        </w:tc>
      </w:tr>
      <w:tr>
        <w:trPr>
          <w:trHeight w:val="75" w:hRule="atLeast"/>
        </w:trPr>
        <w:tc>
          <w:tcPr>
            <w:tcW w:w="6056" w:type="dxa"/>
            <w:tcBorders/>
            <w:shd w:fill="E5E5E5" w:val="clear"/>
            <w:vAlign w:val="center"/>
          </w:tcPr>
          <w:p>
            <w:pPr>
              <w:pStyle w:val="TableContents"/>
              <w:spacing w:before="0" w:after="283"/>
              <w:rPr>
                <w:sz w:val="4"/>
                <w:szCs w:val="4"/>
              </w:rPr>
            </w:pPr>
            <w:r>
              <w:rPr>
                <w:sz w:val="4"/>
                <w:szCs w:val="4"/>
              </w:rPr>
            </w:r>
          </w:p>
        </w:tc>
        <w:tc>
          <w:tcPr>
            <w:tcW w:w="4149" w:type="dxa"/>
            <w:gridSpan w:val="2"/>
            <w:tcBorders/>
            <w:shd w:fill="E5E5E5" w:val="clear"/>
            <w:vAlign w:val="center"/>
          </w:tcPr>
          <w:p>
            <w:pPr>
              <w:pStyle w:val="TableContents"/>
              <w:spacing w:before="0" w:after="283"/>
              <w:rPr>
                <w:sz w:val="4"/>
                <w:szCs w:val="4"/>
              </w:rPr>
            </w:pPr>
            <w:r>
              <w:rPr>
                <w:sz w:val="4"/>
                <w:szCs w:val="4"/>
              </w:rPr>
            </w:r>
          </w:p>
        </w:tc>
      </w:tr>
      <w:tr>
        <w:trPr/>
        <w:tc>
          <w:tcPr>
            <w:tcW w:w="6056" w:type="dxa"/>
            <w:tcBorders/>
            <w:shd w:fill="E5E5E5" w:val="clear"/>
          </w:tcPr>
          <w:p>
            <w:pPr>
              <w:pStyle w:val="TableContents"/>
              <w:spacing w:before="0" w:after="0"/>
              <w:rPr>
                <w:rFonts w:ascii="arial" w:hAnsi="arial"/>
                <w:sz w:val="16"/>
              </w:rPr>
            </w:pPr>
            <w:r>
              <w:rPr>
                <w:rFonts w:ascii="arial" w:hAnsi="arial"/>
                <w:sz w:val="16"/>
              </w:rPr>
              <w:t>90th Percentile or higher (Maximum)</w:t>
            </w:r>
          </w:p>
        </w:tc>
        <w:tc>
          <w:tcPr>
            <w:tcW w:w="124" w:type="dxa"/>
            <w:tcBorders/>
            <w:shd w:fill="E5E5E5" w:val="clear"/>
            <w:vAlign w:val="bottom"/>
          </w:tcPr>
          <w:p>
            <w:pPr>
              <w:pStyle w:val="TableContents"/>
              <w:spacing w:before="0" w:after="283"/>
              <w:rPr/>
            </w:pPr>
            <w:r>
              <w:rPr/>
              <w:t>  </w:t>
            </w:r>
          </w:p>
        </w:tc>
        <w:tc>
          <w:tcPr>
            <w:tcW w:w="4025" w:type="dxa"/>
            <w:tcBorders/>
            <w:shd w:fill="E5E5E5" w:val="clear"/>
            <w:vAlign w:val="bottom"/>
          </w:tcPr>
          <w:p>
            <w:pPr>
              <w:pStyle w:val="TableContents"/>
              <w:spacing w:before="0" w:after="283"/>
              <w:jc w:val="center"/>
              <w:rPr/>
            </w:pPr>
            <w:r>
              <w:rPr/>
              <w:t>2.0</w:t>
            </w:r>
          </w:p>
        </w:tc>
      </w:tr>
      <w:tr>
        <w:trPr>
          <w:trHeight w:val="75" w:hRule="atLeast"/>
        </w:trPr>
        <w:tc>
          <w:tcPr>
            <w:tcW w:w="6056" w:type="dxa"/>
            <w:tcBorders/>
            <w:shd w:fill="auto" w:val="clear"/>
            <w:vAlign w:val="center"/>
          </w:tcPr>
          <w:p>
            <w:pPr>
              <w:pStyle w:val="TableContents"/>
              <w:spacing w:before="0" w:after="283"/>
              <w:rPr>
                <w:sz w:val="4"/>
                <w:szCs w:val="4"/>
              </w:rPr>
            </w:pPr>
            <w:r>
              <w:rPr>
                <w:sz w:val="4"/>
                <w:szCs w:val="4"/>
              </w:rPr>
            </w:r>
          </w:p>
        </w:tc>
        <w:tc>
          <w:tcPr>
            <w:tcW w:w="4149" w:type="dxa"/>
            <w:gridSpan w:val="2"/>
            <w:tcBorders/>
            <w:shd w:fill="auto" w:val="clear"/>
            <w:vAlign w:val="center"/>
          </w:tcPr>
          <w:p>
            <w:pPr>
              <w:pStyle w:val="TableContents"/>
              <w:spacing w:before="0" w:after="283"/>
              <w:rPr>
                <w:sz w:val="4"/>
                <w:szCs w:val="4"/>
              </w:rPr>
            </w:pPr>
            <w:r>
              <w:rPr>
                <w:sz w:val="4"/>
                <w:szCs w:val="4"/>
              </w:rPr>
            </w:r>
          </w:p>
        </w:tc>
      </w:tr>
      <w:tr>
        <w:trPr/>
        <w:tc>
          <w:tcPr>
            <w:tcW w:w="6056" w:type="dxa"/>
            <w:tcBorders/>
            <w:shd w:fill="auto" w:val="clear"/>
          </w:tcPr>
          <w:p>
            <w:pPr>
              <w:pStyle w:val="TableContents"/>
              <w:spacing w:before="0" w:after="0"/>
              <w:rPr>
                <w:rFonts w:ascii="arial" w:hAnsi="arial"/>
                <w:sz w:val="16"/>
              </w:rPr>
            </w:pPr>
            <w:r>
              <w:rPr>
                <w:rFonts w:ascii="arial" w:hAnsi="arial"/>
                <w:sz w:val="16"/>
              </w:rPr>
              <w:t>70th Percentile</w:t>
            </w:r>
          </w:p>
        </w:tc>
        <w:tc>
          <w:tcPr>
            <w:tcW w:w="124" w:type="dxa"/>
            <w:tcBorders/>
            <w:shd w:fill="auto" w:val="clear"/>
            <w:vAlign w:val="bottom"/>
          </w:tcPr>
          <w:p>
            <w:pPr>
              <w:pStyle w:val="TableContents"/>
              <w:spacing w:before="0" w:after="283"/>
              <w:rPr/>
            </w:pPr>
            <w:r>
              <w:rPr/>
              <w:t>  </w:t>
            </w:r>
          </w:p>
        </w:tc>
        <w:tc>
          <w:tcPr>
            <w:tcW w:w="4025" w:type="dxa"/>
            <w:tcBorders/>
            <w:shd w:fill="auto" w:val="clear"/>
            <w:vAlign w:val="bottom"/>
          </w:tcPr>
          <w:p>
            <w:pPr>
              <w:pStyle w:val="TableContents"/>
              <w:spacing w:before="0" w:after="283"/>
              <w:jc w:val="center"/>
              <w:rPr/>
            </w:pPr>
            <w:r>
              <w:rPr/>
              <w:t>1.5</w:t>
            </w:r>
          </w:p>
        </w:tc>
      </w:tr>
      <w:tr>
        <w:trPr>
          <w:trHeight w:val="75" w:hRule="atLeast"/>
        </w:trPr>
        <w:tc>
          <w:tcPr>
            <w:tcW w:w="6056" w:type="dxa"/>
            <w:tcBorders/>
            <w:shd w:fill="E5E5E5" w:val="clear"/>
            <w:vAlign w:val="center"/>
          </w:tcPr>
          <w:p>
            <w:pPr>
              <w:pStyle w:val="TableContents"/>
              <w:spacing w:before="0" w:after="283"/>
              <w:rPr>
                <w:sz w:val="4"/>
                <w:szCs w:val="4"/>
              </w:rPr>
            </w:pPr>
            <w:r>
              <w:rPr>
                <w:sz w:val="4"/>
                <w:szCs w:val="4"/>
              </w:rPr>
            </w:r>
          </w:p>
        </w:tc>
        <w:tc>
          <w:tcPr>
            <w:tcW w:w="4149" w:type="dxa"/>
            <w:gridSpan w:val="2"/>
            <w:tcBorders/>
            <w:shd w:fill="E5E5E5" w:val="clear"/>
            <w:vAlign w:val="center"/>
          </w:tcPr>
          <w:p>
            <w:pPr>
              <w:pStyle w:val="TableContents"/>
              <w:spacing w:before="0" w:after="283"/>
              <w:rPr>
                <w:sz w:val="4"/>
                <w:szCs w:val="4"/>
              </w:rPr>
            </w:pPr>
            <w:r>
              <w:rPr>
                <w:sz w:val="4"/>
                <w:szCs w:val="4"/>
              </w:rPr>
            </w:r>
          </w:p>
        </w:tc>
      </w:tr>
      <w:tr>
        <w:trPr/>
        <w:tc>
          <w:tcPr>
            <w:tcW w:w="6056" w:type="dxa"/>
            <w:tcBorders/>
            <w:shd w:fill="E5E5E5" w:val="clear"/>
          </w:tcPr>
          <w:p>
            <w:pPr>
              <w:pStyle w:val="TableContents"/>
              <w:spacing w:before="0" w:after="0"/>
              <w:rPr>
                <w:rFonts w:ascii="arial" w:hAnsi="arial"/>
                <w:sz w:val="16"/>
              </w:rPr>
            </w:pPr>
            <w:r>
              <w:rPr>
                <w:rFonts w:ascii="arial" w:hAnsi="arial"/>
                <w:sz w:val="16"/>
              </w:rPr>
              <w:t>50th Percentile (Target)</w:t>
            </w:r>
          </w:p>
        </w:tc>
        <w:tc>
          <w:tcPr>
            <w:tcW w:w="124" w:type="dxa"/>
            <w:tcBorders/>
            <w:shd w:fill="E5E5E5" w:val="clear"/>
            <w:vAlign w:val="bottom"/>
          </w:tcPr>
          <w:p>
            <w:pPr>
              <w:pStyle w:val="TableContents"/>
              <w:spacing w:before="0" w:after="283"/>
              <w:rPr/>
            </w:pPr>
            <w:r>
              <w:rPr/>
              <w:t>  </w:t>
            </w:r>
          </w:p>
        </w:tc>
        <w:tc>
          <w:tcPr>
            <w:tcW w:w="4025" w:type="dxa"/>
            <w:tcBorders/>
            <w:shd w:fill="E5E5E5" w:val="clear"/>
            <w:vAlign w:val="bottom"/>
          </w:tcPr>
          <w:p>
            <w:pPr>
              <w:pStyle w:val="TableContents"/>
              <w:spacing w:before="0" w:after="283"/>
              <w:jc w:val="center"/>
              <w:rPr/>
            </w:pPr>
            <w:r>
              <w:rPr/>
              <w:t>1.0</w:t>
            </w:r>
          </w:p>
        </w:tc>
      </w:tr>
      <w:tr>
        <w:trPr>
          <w:trHeight w:val="75" w:hRule="atLeast"/>
        </w:trPr>
        <w:tc>
          <w:tcPr>
            <w:tcW w:w="6056" w:type="dxa"/>
            <w:tcBorders/>
            <w:shd w:fill="auto" w:val="clear"/>
            <w:vAlign w:val="center"/>
          </w:tcPr>
          <w:p>
            <w:pPr>
              <w:pStyle w:val="TableContents"/>
              <w:spacing w:before="0" w:after="283"/>
              <w:rPr>
                <w:sz w:val="4"/>
                <w:szCs w:val="4"/>
              </w:rPr>
            </w:pPr>
            <w:r>
              <w:rPr>
                <w:sz w:val="4"/>
                <w:szCs w:val="4"/>
              </w:rPr>
            </w:r>
          </w:p>
        </w:tc>
        <w:tc>
          <w:tcPr>
            <w:tcW w:w="4149" w:type="dxa"/>
            <w:gridSpan w:val="2"/>
            <w:tcBorders/>
            <w:shd w:fill="auto" w:val="clear"/>
            <w:vAlign w:val="center"/>
          </w:tcPr>
          <w:p>
            <w:pPr>
              <w:pStyle w:val="TableContents"/>
              <w:spacing w:before="0" w:after="283"/>
              <w:rPr>
                <w:sz w:val="4"/>
                <w:szCs w:val="4"/>
              </w:rPr>
            </w:pPr>
            <w:r>
              <w:rPr>
                <w:sz w:val="4"/>
                <w:szCs w:val="4"/>
              </w:rPr>
            </w:r>
          </w:p>
        </w:tc>
      </w:tr>
      <w:tr>
        <w:trPr/>
        <w:tc>
          <w:tcPr>
            <w:tcW w:w="6056" w:type="dxa"/>
            <w:tcBorders/>
            <w:shd w:fill="auto" w:val="clear"/>
          </w:tcPr>
          <w:p>
            <w:pPr>
              <w:pStyle w:val="TableContents"/>
              <w:spacing w:before="0" w:after="0"/>
              <w:rPr>
                <w:rFonts w:ascii="arial" w:hAnsi="arial"/>
                <w:sz w:val="16"/>
              </w:rPr>
            </w:pPr>
            <w:r>
              <w:rPr>
                <w:rFonts w:ascii="arial" w:hAnsi="arial"/>
                <w:sz w:val="16"/>
              </w:rPr>
              <w:t>40th Percentile</w:t>
            </w:r>
          </w:p>
        </w:tc>
        <w:tc>
          <w:tcPr>
            <w:tcW w:w="124" w:type="dxa"/>
            <w:tcBorders/>
            <w:shd w:fill="auto" w:val="clear"/>
            <w:vAlign w:val="bottom"/>
          </w:tcPr>
          <w:p>
            <w:pPr>
              <w:pStyle w:val="TableContents"/>
              <w:spacing w:before="0" w:after="283"/>
              <w:rPr/>
            </w:pPr>
            <w:r>
              <w:rPr/>
              <w:t>  </w:t>
            </w:r>
          </w:p>
        </w:tc>
        <w:tc>
          <w:tcPr>
            <w:tcW w:w="4025" w:type="dxa"/>
            <w:tcBorders/>
            <w:shd w:fill="auto" w:val="clear"/>
            <w:vAlign w:val="bottom"/>
          </w:tcPr>
          <w:p>
            <w:pPr>
              <w:pStyle w:val="TableContents"/>
              <w:spacing w:before="0" w:after="283"/>
              <w:jc w:val="center"/>
              <w:rPr/>
            </w:pPr>
            <w:r>
              <w:rPr/>
              <w:t>0.7</w:t>
            </w:r>
          </w:p>
        </w:tc>
      </w:tr>
      <w:tr>
        <w:trPr>
          <w:trHeight w:val="75" w:hRule="atLeast"/>
        </w:trPr>
        <w:tc>
          <w:tcPr>
            <w:tcW w:w="6056" w:type="dxa"/>
            <w:tcBorders/>
            <w:shd w:fill="E5E5E5" w:val="clear"/>
            <w:vAlign w:val="center"/>
          </w:tcPr>
          <w:p>
            <w:pPr>
              <w:pStyle w:val="TableContents"/>
              <w:spacing w:before="0" w:after="283"/>
              <w:rPr>
                <w:sz w:val="4"/>
                <w:szCs w:val="4"/>
              </w:rPr>
            </w:pPr>
            <w:r>
              <w:rPr>
                <w:sz w:val="4"/>
                <w:szCs w:val="4"/>
              </w:rPr>
            </w:r>
          </w:p>
        </w:tc>
        <w:tc>
          <w:tcPr>
            <w:tcW w:w="4149" w:type="dxa"/>
            <w:gridSpan w:val="2"/>
            <w:tcBorders/>
            <w:shd w:fill="E5E5E5" w:val="clear"/>
            <w:vAlign w:val="center"/>
          </w:tcPr>
          <w:p>
            <w:pPr>
              <w:pStyle w:val="TableContents"/>
              <w:spacing w:before="0" w:after="283"/>
              <w:rPr>
                <w:sz w:val="4"/>
                <w:szCs w:val="4"/>
              </w:rPr>
            </w:pPr>
            <w:r>
              <w:rPr>
                <w:sz w:val="4"/>
                <w:szCs w:val="4"/>
              </w:rPr>
            </w:r>
          </w:p>
        </w:tc>
      </w:tr>
      <w:tr>
        <w:trPr/>
        <w:tc>
          <w:tcPr>
            <w:tcW w:w="6056" w:type="dxa"/>
            <w:tcBorders/>
            <w:shd w:fill="E5E5E5" w:val="clear"/>
          </w:tcPr>
          <w:p>
            <w:pPr>
              <w:pStyle w:val="TableContents"/>
              <w:spacing w:before="0" w:after="0"/>
              <w:rPr>
                <w:rFonts w:ascii="arial" w:hAnsi="arial"/>
                <w:sz w:val="16"/>
              </w:rPr>
            </w:pPr>
            <w:r>
              <w:rPr>
                <w:rFonts w:ascii="arial" w:hAnsi="arial"/>
                <w:sz w:val="16"/>
              </w:rPr>
              <w:t>30th Percentile</w:t>
            </w:r>
          </w:p>
        </w:tc>
        <w:tc>
          <w:tcPr>
            <w:tcW w:w="124" w:type="dxa"/>
            <w:tcBorders/>
            <w:shd w:fill="E5E5E5" w:val="clear"/>
            <w:vAlign w:val="bottom"/>
          </w:tcPr>
          <w:p>
            <w:pPr>
              <w:pStyle w:val="TableContents"/>
              <w:spacing w:before="0" w:after="283"/>
              <w:rPr/>
            </w:pPr>
            <w:r>
              <w:rPr/>
              <w:t>  </w:t>
            </w:r>
          </w:p>
        </w:tc>
        <w:tc>
          <w:tcPr>
            <w:tcW w:w="4025" w:type="dxa"/>
            <w:tcBorders/>
            <w:shd w:fill="E5E5E5" w:val="clear"/>
            <w:vAlign w:val="bottom"/>
          </w:tcPr>
          <w:p>
            <w:pPr>
              <w:pStyle w:val="TableContents"/>
              <w:spacing w:before="0" w:after="283"/>
              <w:jc w:val="center"/>
              <w:rPr/>
            </w:pPr>
            <w:r>
              <w:rPr/>
              <w:t>0.4</w:t>
            </w:r>
          </w:p>
        </w:tc>
      </w:tr>
      <w:tr>
        <w:trPr>
          <w:trHeight w:val="75" w:hRule="atLeast"/>
        </w:trPr>
        <w:tc>
          <w:tcPr>
            <w:tcW w:w="6056" w:type="dxa"/>
            <w:tcBorders/>
            <w:shd w:fill="auto" w:val="clear"/>
            <w:vAlign w:val="center"/>
          </w:tcPr>
          <w:p>
            <w:pPr>
              <w:pStyle w:val="TableContents"/>
              <w:spacing w:before="0" w:after="283"/>
              <w:rPr>
                <w:sz w:val="4"/>
                <w:szCs w:val="4"/>
              </w:rPr>
            </w:pPr>
            <w:r>
              <w:rPr>
                <w:sz w:val="4"/>
                <w:szCs w:val="4"/>
              </w:rPr>
            </w:r>
          </w:p>
        </w:tc>
        <w:tc>
          <w:tcPr>
            <w:tcW w:w="4149" w:type="dxa"/>
            <w:gridSpan w:val="2"/>
            <w:tcBorders/>
            <w:shd w:fill="auto" w:val="clear"/>
            <w:vAlign w:val="center"/>
          </w:tcPr>
          <w:p>
            <w:pPr>
              <w:pStyle w:val="TableContents"/>
              <w:spacing w:before="0" w:after="283"/>
              <w:rPr>
                <w:sz w:val="4"/>
                <w:szCs w:val="4"/>
              </w:rPr>
            </w:pPr>
            <w:r>
              <w:rPr>
                <w:sz w:val="4"/>
                <w:szCs w:val="4"/>
              </w:rPr>
            </w:r>
          </w:p>
        </w:tc>
      </w:tr>
      <w:tr>
        <w:trPr/>
        <w:tc>
          <w:tcPr>
            <w:tcW w:w="6056"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25th Percentile or below (Threshold)</w:t>
            </w:r>
          </w:p>
        </w:tc>
        <w:tc>
          <w:tcPr>
            <w:tcW w:w="124" w:type="dxa"/>
            <w:tcBorders>
              <w:bottom w:val="single" w:sz="8" w:space="0" w:color="001C71"/>
            </w:tcBorders>
            <w:shd w:fill="auto" w:val="clear"/>
            <w:tcMar>
              <w:bottom w:w="28" w:type="dxa"/>
            </w:tcMar>
            <w:vAlign w:val="bottom"/>
          </w:tcPr>
          <w:p>
            <w:pPr>
              <w:pStyle w:val="TableContents"/>
              <w:spacing w:before="0" w:after="283"/>
              <w:rPr/>
            </w:pPr>
            <w:r>
              <w:rPr/>
              <w:t>  </w:t>
            </w:r>
          </w:p>
        </w:tc>
        <w:tc>
          <w:tcPr>
            <w:tcW w:w="4025" w:type="dxa"/>
            <w:tcBorders>
              <w:bottom w:val="single" w:sz="8" w:space="0" w:color="001C71"/>
            </w:tcBorders>
            <w:shd w:fill="auto" w:val="clear"/>
            <w:tcMar>
              <w:bottom w:w="60" w:type="dxa"/>
            </w:tcMar>
            <w:vAlign w:val="bottom"/>
          </w:tcPr>
          <w:p>
            <w:pPr>
              <w:pStyle w:val="TableContents"/>
              <w:spacing w:before="0" w:after="283"/>
              <w:jc w:val="center"/>
              <w:rPr/>
            </w:pPr>
            <w:r>
              <w:rPr/>
              <w:t>0.0</w:t>
            </w:r>
          </w:p>
        </w:tc>
      </w:tr>
    </w:tbl>
    <w:p>
      <w:pPr>
        <w:pStyle w:val="TextBody"/>
        <w:spacing w:before="80" w:after="0"/>
        <w:jc w:val="left"/>
        <w:rPr>
          <w:rFonts w:ascii="arial" w:hAnsi="arial"/>
          <w:i/>
          <w:sz w:val="14"/>
        </w:rPr>
      </w:pPr>
      <w:r>
        <w:rPr>
          <w:rFonts w:ascii="arial" w:hAnsi="arial"/>
          <w:i/>
          <w:sz w:val="14"/>
        </w:rPr>
        <w:t xml:space="preserve">Table 13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Participants also receive additional shares for dividend equivalents, which are reinvested to purchase additional units that become subject to the same vesting conditions as the restricted stock units to which the dividends relate. </w:t>
            </w:r>
          </w:p>
        </w:tc>
      </w:tr>
    </w:tbl>
    <w:p>
      <w:pPr>
        <w:pStyle w:val="TextBody"/>
        <w:spacing w:before="80" w:after="0"/>
        <w:jc w:val="left"/>
        <w:rPr>
          <w:rFonts w:ascii="arial" w:hAnsi="arial"/>
          <w:i/>
          <w:sz w:val="14"/>
        </w:rPr>
      </w:pPr>
      <w:r>
        <w:rPr>
          <w:rFonts w:ascii="arial" w:hAnsi="arial"/>
          <w:i/>
          <w:sz w:val="14"/>
        </w:rPr>
        <w:t xml:space="preserve">Note: If performance falls between the tiers shown in Table 13, the payout is calculated using linear interpolation.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59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2.</w:t>
            </w:r>
          </w:p>
        </w:tc>
        <w:tc>
          <w:tcPr>
            <w:tcW w:w="9799" w:type="dxa"/>
            <w:tcBorders/>
            <w:shd w:fill="auto" w:val="clear"/>
          </w:tcPr>
          <w:p>
            <w:pPr>
              <w:pStyle w:val="TableContents"/>
              <w:spacing w:before="0" w:after="0"/>
              <w:jc w:val="left"/>
              <w:rPr>
                <w:rFonts w:ascii="arial" w:hAnsi="arial"/>
                <w:b/>
                <w:sz w:val="16"/>
              </w:rPr>
            </w:pPr>
            <w:r>
              <w:rPr>
                <w:rFonts w:ascii="arial" w:hAnsi="arial"/>
                <w:b/>
                <w:sz w:val="16"/>
              </w:rPr>
              <w:t xml:space="preserve">EPS Growth </w:t>
            </w:r>
          </w:p>
        </w:tc>
      </w:tr>
    </w:tbl>
    <w:p>
      <w:pPr>
        <w:pStyle w:val="TextBody"/>
        <w:spacing w:before="120" w:after="0"/>
        <w:jc w:val="left"/>
        <w:rPr>
          <w:rFonts w:ascii="arial" w:hAnsi="arial"/>
          <w:sz w:val="16"/>
        </w:rPr>
      </w:pPr>
      <w:r>
        <w:rPr>
          <w:rFonts w:ascii="arial" w:hAnsi="arial"/>
          <w:sz w:val="16"/>
        </w:rPr>
        <w:t xml:space="preserve">The 2020 annual long-term incentive plan awards also included a performance-based restricted stock unit award linked to relative EPS growth. The award measures the CAGR of our EPS for the three-year period ending on December 31, 2022. The payout scale is based on the December 31, 2019 analyst consensus three-year EPS growth estimates for the S&amp;P 500 Utilities Index peer companies. The target payout level is based on the 50th percentile of the analyst consensus estimates and the threshold and maximum payout levels are based on the 25th and 90th percentiles, respectively. </w:t>
      </w:r>
    </w:p>
    <w:p>
      <w:pPr>
        <w:pStyle w:val="TextBody"/>
        <w:spacing w:before="240" w:after="0"/>
        <w:jc w:val="left"/>
        <w:rPr>
          <w:rFonts w:ascii="arial" w:hAnsi="arial"/>
          <w:sz w:val="16"/>
        </w:rPr>
      </w:pPr>
      <w:r>
        <w:rPr>
          <w:rFonts w:ascii="arial" w:hAnsi="arial"/>
          <w:sz w:val="16"/>
        </w:rPr>
        <w:t xml:space="preserve">During our 2016-2017 shareholder engagement meetings, some shareholders expressed concern about the potential effect of share buybacks on incentive plans with performance measures based on EPS. The Compensation and Talent Development Committee took this feedback into consideration by including a provision in the 2017 and subsequent years awards that excludes the impact of share buybacks not contemplated in our financial plans publicly communicated prior to the grant date of such awards. </w:t>
      </w:r>
    </w:p>
    <w:p>
      <w:pPr>
        <w:pStyle w:val="TextBody"/>
        <w:spacing w:before="160" w:after="0"/>
        <w:jc w:val="left"/>
        <w:rPr>
          <w:rFonts w:ascii="arial" w:hAnsi="arial"/>
          <w:sz w:val="16"/>
        </w:rPr>
      </w:pPr>
      <w:r>
        <w:rPr>
          <w:rFonts w:ascii="arial" w:hAnsi="arial"/>
          <w:sz w:val="16"/>
        </w:rPr>
        <w:t xml:space="preserve">The Compensation and Talent Development Committee bases the payout scale for our EPS growth-based awards on analyst consensus estimates for the S&amp;P 500 Utilities Index peer companies because: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0"/>
        <w:gridCol w:w="129"/>
        <w:gridCol w:w="9866"/>
      </w:tblGrid>
      <w:tr>
        <w:trPr/>
        <w:tc>
          <w:tcPr>
            <w:tcW w:w="210" w:type="dxa"/>
            <w:tcBorders/>
            <w:shd w:fill="auto" w:val="clear"/>
          </w:tcPr>
          <w:p>
            <w:pPr>
              <w:pStyle w:val="TableContents"/>
              <w:spacing w:before="0" w:after="283"/>
              <w:jc w:val="left"/>
              <w:rPr>
                <w:color w:val="001C71"/>
              </w:rPr>
            </w:pPr>
            <w:r>
              <w:rPr>
                <w:color w:val="001C71"/>
              </w:rPr>
              <w:t></w:t>
            </w:r>
          </w:p>
        </w:tc>
        <w:tc>
          <w:tcPr>
            <w:tcW w:w="129" w:type="dxa"/>
            <w:tcBorders/>
            <w:shd w:fill="auto" w:val="clear"/>
          </w:tcPr>
          <w:p>
            <w:pPr>
              <w:pStyle w:val="TableContents"/>
              <w:spacing w:before="0" w:after="283"/>
              <w:rPr/>
            </w:pPr>
            <w:r>
              <w:rPr/>
              <w:t> </w:t>
            </w:r>
          </w:p>
        </w:tc>
        <w:tc>
          <w:tcPr>
            <w:tcW w:w="9866" w:type="dxa"/>
            <w:tcBorders/>
            <w:shd w:fill="auto" w:val="clear"/>
          </w:tcPr>
          <w:p>
            <w:pPr>
              <w:pStyle w:val="TableContents"/>
              <w:spacing w:before="0" w:after="0"/>
              <w:jc w:val="left"/>
              <w:rPr>
                <w:rFonts w:ascii="arial" w:hAnsi="arial"/>
                <w:sz w:val="16"/>
              </w:rPr>
            </w:pPr>
            <w:r>
              <w:rPr>
                <w:rFonts w:ascii="arial" w:hAnsi="arial"/>
                <w:sz w:val="16"/>
              </w:rPr>
              <w:t xml:space="preserve">Our strategic goal is to deliver higher earnings growth than our utility peers while maintaining a commensurate risk profile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2"/>
        <w:gridCol w:w="130"/>
        <w:gridCol w:w="9863"/>
      </w:tblGrid>
      <w:tr>
        <w:trPr/>
        <w:tc>
          <w:tcPr>
            <w:tcW w:w="212"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863" w:type="dxa"/>
            <w:tcBorders/>
            <w:shd w:fill="auto" w:val="clear"/>
          </w:tcPr>
          <w:p>
            <w:pPr>
              <w:pStyle w:val="TableContents"/>
              <w:spacing w:before="0" w:after="0"/>
              <w:jc w:val="left"/>
              <w:rPr>
                <w:rFonts w:ascii="arial" w:hAnsi="arial"/>
                <w:sz w:val="16"/>
              </w:rPr>
            </w:pPr>
            <w:r>
              <w:rPr>
                <w:rFonts w:ascii="arial" w:hAnsi="arial"/>
                <w:sz w:val="16"/>
              </w:rPr>
              <w:t xml:space="preserve">Our 2020 annual LTIP award design aligns with this strategic goal by measuring our three-year EPS CAGR against a payout scale that is based on analyst consensus estimates, compiled by an independent third party, for our S&amp;P 500 Utilities Index peer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0"/>
              <w:jc w:val="left"/>
              <w:rPr>
                <w:rFonts w:ascii="arial" w:hAnsi="arial"/>
                <w:sz w:val="16"/>
              </w:rPr>
            </w:pPr>
            <w:r>
              <w:rPr>
                <w:rFonts w:ascii="arial" w:hAnsi="arial"/>
                <w:sz w:val="16"/>
              </w:rPr>
              <w:t xml:space="preserve">The earnings growth in the financial plan is not linear from year to year due, in part, to our investment in large-scale, capital-intensive development projects that take multiple years to construct and multiple years for earnings to be generated </w:t>
            </w:r>
          </w:p>
        </w:tc>
      </w:tr>
    </w:tbl>
    <w:p>
      <w:pPr>
        <w:pStyle w:val="TextBody"/>
        <w:spacing w:before="160" w:after="0"/>
        <w:jc w:val="left"/>
        <w:rPr>
          <w:rFonts w:ascii="arial" w:hAnsi="arial"/>
          <w:sz w:val="16"/>
        </w:rPr>
      </w:pPr>
      <w:r>
        <w:rPr>
          <w:rFonts w:ascii="arial" w:hAnsi="arial"/>
          <w:sz w:val="16"/>
        </w:rPr>
        <w:t xml:space="preserve">If the companys EPS CAGR is at the 50th percentile of the analyst consensus estimates for the S&amp;P 500 Utilities Index, participants will earn one share for each restricted stock unit. Participants have the opportunity to earn up to two shares for each restricted stock unit if performance exceeds the 50th percentile. Participants earn a partial share for performance between the 25th and 50th percentiles of the analyst consensus estimates, as shown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45"/>
        <w:gridCol w:w="128"/>
        <w:gridCol w:w="5032"/>
      </w:tblGrid>
      <w:tr>
        <w:trPr/>
        <w:tc>
          <w:tcPr>
            <w:tcW w:w="504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5032"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5045" w:type="dxa"/>
            <w:tcBorders/>
            <w:shd w:fill="001C71" w:val="clear"/>
            <w:vAlign w:val="center"/>
          </w:tcPr>
          <w:p>
            <w:pPr>
              <w:pStyle w:val="TableContents"/>
              <w:spacing w:before="0" w:after="283"/>
              <w:rPr>
                <w:sz w:val="4"/>
                <w:szCs w:val="4"/>
              </w:rPr>
            </w:pPr>
            <w:r>
              <w:rPr>
                <w:sz w:val="4"/>
                <w:szCs w:val="4"/>
              </w:rPr>
            </w:r>
          </w:p>
        </w:tc>
        <w:tc>
          <w:tcPr>
            <w:tcW w:w="5160" w:type="dxa"/>
            <w:gridSpan w:val="2"/>
            <w:tcBorders/>
            <w:shd w:fill="001C71" w:val="clear"/>
            <w:vAlign w:val="center"/>
          </w:tcPr>
          <w:p>
            <w:pPr>
              <w:pStyle w:val="TableContents"/>
              <w:spacing w:before="0" w:after="283"/>
              <w:rPr>
                <w:sz w:val="4"/>
                <w:szCs w:val="4"/>
              </w:rPr>
            </w:pPr>
            <w:r>
              <w:rPr>
                <w:sz w:val="4"/>
                <w:szCs w:val="4"/>
              </w:rPr>
            </w:r>
          </w:p>
        </w:tc>
      </w:tr>
      <w:tr>
        <w:trPr/>
        <w:tc>
          <w:tcPr>
            <w:tcW w:w="5045"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Percentile of Analyst Consensus Estimates for</w:t>
            </w:r>
          </w:p>
          <w:p>
            <w:pPr>
              <w:pStyle w:val="TableContents"/>
              <w:spacing w:before="0" w:after="20"/>
              <w:rPr>
                <w:rFonts w:ascii="arial" w:hAnsi="arial"/>
                <w:b/>
                <w:color w:val="FFFFFF"/>
                <w:sz w:val="16"/>
              </w:rPr>
            </w:pPr>
            <w:r>
              <w:rPr>
                <w:rFonts w:ascii="arial" w:hAnsi="arial"/>
                <w:b/>
                <w:color w:val="FFFFFF"/>
                <w:sz w:val="16"/>
              </w:rPr>
              <w:t>S&amp;P 500 Utilities Index EPS CAGR</w:t>
            </w:r>
          </w:p>
        </w:tc>
        <w:tc>
          <w:tcPr>
            <w:tcW w:w="128" w:type="dxa"/>
            <w:tcBorders/>
            <w:shd w:fill="001C71" w:val="clear"/>
            <w:vAlign w:val="bottom"/>
          </w:tcPr>
          <w:p>
            <w:pPr>
              <w:pStyle w:val="TableContents"/>
              <w:spacing w:before="0" w:after="283"/>
              <w:rPr/>
            </w:pPr>
            <w:r>
              <w:rPr/>
              <w:t>  </w:t>
            </w:r>
          </w:p>
        </w:tc>
        <w:tc>
          <w:tcPr>
            <w:tcW w:w="5032" w:type="dxa"/>
            <w:tcBorders/>
            <w:shd w:fill="001C71" w:val="clear"/>
            <w:vAlign w:val="bottom"/>
          </w:tcPr>
          <w:p>
            <w:pPr>
              <w:pStyle w:val="TableContents"/>
              <w:spacing w:before="0" w:after="283"/>
              <w:jc w:val="center"/>
              <w:rPr>
                <w:b/>
                <w:color w:val="FFFFFF"/>
              </w:rPr>
            </w:pPr>
            <w:r>
              <w:rPr>
                <w:b/>
                <w:color w:val="FFFFFF"/>
              </w:rPr>
              <w:t>Sempra Energy Common Stock Shares Received</w:t>
              <w:br/>
              <w:t>for Each Restricted Stock Unit(1)</w:t>
            </w:r>
          </w:p>
        </w:tc>
      </w:tr>
      <w:tr>
        <w:trPr>
          <w:trHeight w:val="75" w:hRule="atLeast"/>
        </w:trPr>
        <w:tc>
          <w:tcPr>
            <w:tcW w:w="5045" w:type="dxa"/>
            <w:tcBorders/>
            <w:shd w:fill="E5E5E5" w:val="clear"/>
            <w:vAlign w:val="center"/>
          </w:tcPr>
          <w:p>
            <w:pPr>
              <w:pStyle w:val="TableContents"/>
              <w:spacing w:before="0" w:after="283"/>
              <w:rPr>
                <w:sz w:val="4"/>
                <w:szCs w:val="4"/>
              </w:rPr>
            </w:pPr>
            <w:r>
              <w:rPr>
                <w:sz w:val="4"/>
                <w:szCs w:val="4"/>
              </w:rPr>
            </w:r>
          </w:p>
        </w:tc>
        <w:tc>
          <w:tcPr>
            <w:tcW w:w="5160" w:type="dxa"/>
            <w:gridSpan w:val="2"/>
            <w:tcBorders/>
            <w:shd w:fill="E5E5E5" w:val="clear"/>
            <w:vAlign w:val="center"/>
          </w:tcPr>
          <w:p>
            <w:pPr>
              <w:pStyle w:val="TableContents"/>
              <w:spacing w:before="0" w:after="283"/>
              <w:rPr>
                <w:sz w:val="4"/>
                <w:szCs w:val="4"/>
              </w:rPr>
            </w:pPr>
            <w:r>
              <w:rPr>
                <w:sz w:val="4"/>
                <w:szCs w:val="4"/>
              </w:rPr>
            </w:r>
          </w:p>
        </w:tc>
      </w:tr>
      <w:tr>
        <w:trPr/>
        <w:tc>
          <w:tcPr>
            <w:tcW w:w="5045" w:type="dxa"/>
            <w:tcBorders/>
            <w:shd w:fill="E5E5E5" w:val="clear"/>
          </w:tcPr>
          <w:p>
            <w:pPr>
              <w:pStyle w:val="TableContents"/>
              <w:spacing w:before="0" w:after="0"/>
              <w:rPr>
                <w:rFonts w:ascii="arial" w:hAnsi="arial"/>
                <w:sz w:val="16"/>
              </w:rPr>
            </w:pPr>
            <w:r>
              <w:rPr>
                <w:rFonts w:ascii="arial" w:hAnsi="arial"/>
                <w:sz w:val="16"/>
              </w:rPr>
              <w:t>90th Percentile or higher (7.3% or higher)</w:t>
            </w:r>
          </w:p>
        </w:tc>
        <w:tc>
          <w:tcPr>
            <w:tcW w:w="128" w:type="dxa"/>
            <w:tcBorders/>
            <w:shd w:fill="E5E5E5" w:val="clear"/>
            <w:vAlign w:val="bottom"/>
          </w:tcPr>
          <w:p>
            <w:pPr>
              <w:pStyle w:val="TableContents"/>
              <w:spacing w:before="0" w:after="283"/>
              <w:rPr/>
            </w:pPr>
            <w:r>
              <w:rPr/>
              <w:t>  </w:t>
            </w:r>
          </w:p>
        </w:tc>
        <w:tc>
          <w:tcPr>
            <w:tcW w:w="5032" w:type="dxa"/>
            <w:tcBorders/>
            <w:shd w:fill="E5E5E5" w:val="clear"/>
            <w:vAlign w:val="bottom"/>
          </w:tcPr>
          <w:p>
            <w:pPr>
              <w:pStyle w:val="TableContents"/>
              <w:spacing w:before="0" w:after="283"/>
              <w:jc w:val="center"/>
              <w:rPr/>
            </w:pPr>
            <w:r>
              <w:rPr/>
              <w:t>2.0</w:t>
            </w:r>
          </w:p>
        </w:tc>
      </w:tr>
      <w:tr>
        <w:trPr>
          <w:trHeight w:val="75" w:hRule="atLeast"/>
        </w:trPr>
        <w:tc>
          <w:tcPr>
            <w:tcW w:w="504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r>
      <w:tr>
        <w:trPr/>
        <w:tc>
          <w:tcPr>
            <w:tcW w:w="5045" w:type="dxa"/>
            <w:tcBorders/>
            <w:shd w:fill="auto" w:val="clear"/>
          </w:tcPr>
          <w:p>
            <w:pPr>
              <w:pStyle w:val="TableContents"/>
              <w:spacing w:before="0" w:after="0"/>
              <w:rPr>
                <w:rFonts w:ascii="arial" w:hAnsi="arial"/>
                <w:sz w:val="16"/>
              </w:rPr>
            </w:pPr>
            <w:r>
              <w:rPr>
                <w:rFonts w:ascii="arial" w:hAnsi="arial"/>
                <w:sz w:val="16"/>
              </w:rPr>
              <w:t>75th Percentile (6.5%)</w:t>
            </w:r>
          </w:p>
        </w:tc>
        <w:tc>
          <w:tcPr>
            <w:tcW w:w="128" w:type="dxa"/>
            <w:tcBorders/>
            <w:shd w:fill="auto" w:val="clear"/>
            <w:vAlign w:val="bottom"/>
          </w:tcPr>
          <w:p>
            <w:pPr>
              <w:pStyle w:val="TableContents"/>
              <w:spacing w:before="0" w:after="283"/>
              <w:rPr/>
            </w:pPr>
            <w:r>
              <w:rPr/>
              <w:t>  </w:t>
            </w:r>
          </w:p>
        </w:tc>
        <w:tc>
          <w:tcPr>
            <w:tcW w:w="5032" w:type="dxa"/>
            <w:tcBorders/>
            <w:shd w:fill="auto" w:val="clear"/>
            <w:vAlign w:val="bottom"/>
          </w:tcPr>
          <w:p>
            <w:pPr>
              <w:pStyle w:val="TableContents"/>
              <w:spacing w:before="0" w:after="283"/>
              <w:jc w:val="center"/>
              <w:rPr/>
            </w:pPr>
            <w:r>
              <w:rPr/>
              <w:t>1.5</w:t>
            </w:r>
          </w:p>
        </w:tc>
      </w:tr>
      <w:tr>
        <w:trPr>
          <w:trHeight w:val="75" w:hRule="atLeast"/>
        </w:trPr>
        <w:tc>
          <w:tcPr>
            <w:tcW w:w="5045" w:type="dxa"/>
            <w:tcBorders/>
            <w:shd w:fill="E5E5E5" w:val="clear"/>
            <w:vAlign w:val="center"/>
          </w:tcPr>
          <w:p>
            <w:pPr>
              <w:pStyle w:val="TableContents"/>
              <w:spacing w:before="0" w:after="283"/>
              <w:rPr>
                <w:sz w:val="4"/>
                <w:szCs w:val="4"/>
              </w:rPr>
            </w:pPr>
            <w:r>
              <w:rPr>
                <w:sz w:val="4"/>
                <w:szCs w:val="4"/>
              </w:rPr>
            </w:r>
          </w:p>
        </w:tc>
        <w:tc>
          <w:tcPr>
            <w:tcW w:w="5160" w:type="dxa"/>
            <w:gridSpan w:val="2"/>
            <w:tcBorders/>
            <w:shd w:fill="E5E5E5" w:val="clear"/>
            <w:vAlign w:val="center"/>
          </w:tcPr>
          <w:p>
            <w:pPr>
              <w:pStyle w:val="TableContents"/>
              <w:spacing w:before="0" w:after="283"/>
              <w:rPr>
                <w:sz w:val="4"/>
                <w:szCs w:val="4"/>
              </w:rPr>
            </w:pPr>
            <w:r>
              <w:rPr>
                <w:sz w:val="4"/>
                <w:szCs w:val="4"/>
              </w:rPr>
            </w:r>
          </w:p>
        </w:tc>
      </w:tr>
      <w:tr>
        <w:trPr/>
        <w:tc>
          <w:tcPr>
            <w:tcW w:w="5045" w:type="dxa"/>
            <w:tcBorders/>
            <w:shd w:fill="E5E5E5" w:val="clear"/>
          </w:tcPr>
          <w:p>
            <w:pPr>
              <w:pStyle w:val="TableContents"/>
              <w:spacing w:before="0" w:after="0"/>
              <w:rPr>
                <w:rFonts w:ascii="arial" w:hAnsi="arial"/>
                <w:sz w:val="16"/>
              </w:rPr>
            </w:pPr>
            <w:r>
              <w:rPr>
                <w:rFonts w:ascii="arial" w:hAnsi="arial"/>
                <w:sz w:val="16"/>
              </w:rPr>
              <w:t>50th Percentile (5.9%)</w:t>
            </w:r>
          </w:p>
        </w:tc>
        <w:tc>
          <w:tcPr>
            <w:tcW w:w="128" w:type="dxa"/>
            <w:tcBorders/>
            <w:shd w:fill="E5E5E5" w:val="clear"/>
            <w:vAlign w:val="bottom"/>
          </w:tcPr>
          <w:p>
            <w:pPr>
              <w:pStyle w:val="TableContents"/>
              <w:spacing w:before="0" w:after="283"/>
              <w:rPr/>
            </w:pPr>
            <w:r>
              <w:rPr/>
              <w:t>  </w:t>
            </w:r>
          </w:p>
        </w:tc>
        <w:tc>
          <w:tcPr>
            <w:tcW w:w="5032" w:type="dxa"/>
            <w:tcBorders/>
            <w:shd w:fill="E5E5E5" w:val="clear"/>
            <w:vAlign w:val="bottom"/>
          </w:tcPr>
          <w:p>
            <w:pPr>
              <w:pStyle w:val="TableContents"/>
              <w:spacing w:before="0" w:after="283"/>
              <w:jc w:val="center"/>
              <w:rPr/>
            </w:pPr>
            <w:r>
              <w:rPr/>
              <w:t>1.0</w:t>
            </w:r>
          </w:p>
        </w:tc>
      </w:tr>
      <w:tr>
        <w:trPr>
          <w:trHeight w:val="75" w:hRule="atLeast"/>
        </w:trPr>
        <w:tc>
          <w:tcPr>
            <w:tcW w:w="504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r>
      <w:tr>
        <w:trPr/>
        <w:tc>
          <w:tcPr>
            <w:tcW w:w="5045"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25th Percentile (4.2%)</w:t>
            </w:r>
          </w:p>
        </w:tc>
        <w:tc>
          <w:tcPr>
            <w:tcW w:w="128" w:type="dxa"/>
            <w:tcBorders>
              <w:bottom w:val="single" w:sz="8" w:space="0" w:color="001C71"/>
            </w:tcBorders>
            <w:shd w:fill="auto" w:val="clear"/>
            <w:tcMar>
              <w:bottom w:w="28" w:type="dxa"/>
            </w:tcMar>
            <w:vAlign w:val="bottom"/>
          </w:tcPr>
          <w:p>
            <w:pPr>
              <w:pStyle w:val="TableContents"/>
              <w:spacing w:before="0" w:after="283"/>
              <w:rPr/>
            </w:pPr>
            <w:r>
              <w:rPr/>
              <w:t>  </w:t>
            </w:r>
          </w:p>
        </w:tc>
        <w:tc>
          <w:tcPr>
            <w:tcW w:w="5032" w:type="dxa"/>
            <w:tcBorders>
              <w:bottom w:val="single" w:sz="8" w:space="0" w:color="001C71"/>
            </w:tcBorders>
            <w:shd w:fill="auto" w:val="clear"/>
            <w:tcMar>
              <w:bottom w:w="60" w:type="dxa"/>
            </w:tcMar>
            <w:vAlign w:val="bottom"/>
          </w:tcPr>
          <w:p>
            <w:pPr>
              <w:pStyle w:val="TableContents"/>
              <w:spacing w:before="0" w:after="283"/>
              <w:jc w:val="center"/>
              <w:rPr/>
            </w:pPr>
            <w:r>
              <w:rPr/>
              <w:t>0.0</w:t>
            </w:r>
          </w:p>
        </w:tc>
      </w:tr>
    </w:tbl>
    <w:p>
      <w:pPr>
        <w:pStyle w:val="TextBody"/>
        <w:spacing w:before="80" w:after="0"/>
        <w:jc w:val="left"/>
        <w:rPr>
          <w:rFonts w:ascii="arial" w:hAnsi="arial"/>
          <w:i/>
          <w:sz w:val="14"/>
        </w:rPr>
      </w:pPr>
      <w:r>
        <w:rPr>
          <w:rFonts w:ascii="arial" w:hAnsi="arial"/>
          <w:i/>
          <w:sz w:val="14"/>
        </w:rPr>
        <w:t xml:space="preserve">Table 14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Participants also receive additional shares for dividend equivalents, which are reinvested to purchase additional units that become subject to the same vesting conditions as the restricted stock units to which the dividends relate. </w:t>
            </w:r>
          </w:p>
        </w:tc>
      </w:tr>
    </w:tbl>
    <w:p>
      <w:pPr>
        <w:pStyle w:val="TextBody"/>
        <w:spacing w:before="80" w:after="0"/>
        <w:jc w:val="left"/>
        <w:rPr>
          <w:rFonts w:ascii="arial" w:hAnsi="arial"/>
          <w:i/>
          <w:sz w:val="14"/>
        </w:rPr>
      </w:pPr>
      <w:r>
        <w:rPr>
          <w:rFonts w:ascii="arial" w:hAnsi="arial"/>
          <w:i/>
          <w:sz w:val="14"/>
        </w:rPr>
        <w:t xml:space="preserve">Note: If performance falls between the tiers shown in Table 14, the payout is calculated using linear interpolation. </w:t>
      </w:r>
    </w:p>
    <w:p>
      <w:pPr>
        <w:pStyle w:val="TextBody"/>
        <w:spacing w:before="160" w:after="0"/>
        <w:jc w:val="left"/>
        <w:rPr>
          <w:rFonts w:ascii="arial" w:hAnsi="arial"/>
          <w:sz w:val="16"/>
        </w:rPr>
      </w:pPr>
      <w:r>
        <w:rPr>
          <w:rFonts w:ascii="arial" w:hAnsi="arial"/>
          <w:sz w:val="16"/>
        </w:rPr>
        <w:t xml:space="preserve">For purposes of the 2020 annual long-term incentive award, the calculation of EPS may, at the Compensation and Talent Development Committees discretion, include the same types of potential adjustments made to ABP Earnings, as described in Appendix D to this proxy statement, as well as adjustments related to, among other things, other unusual or non-operating items as determined by the Compensation and Talent Development Committee. </w:t>
      </w:r>
    </w:p>
    <w:p>
      <w:pPr>
        <w:pStyle w:val="TextBody"/>
        <w:spacing w:before="280" w:after="0"/>
        <w:jc w:val="left"/>
        <w:rPr>
          <w:rFonts w:ascii="arial" w:hAnsi="arial"/>
          <w:b/>
          <w:sz w:val="20"/>
        </w:rPr>
      </w:pPr>
      <w:r>
        <w:rPr>
          <w:rFonts w:ascii="arial" w:hAnsi="arial"/>
          <w:b/>
          <w:sz w:val="20"/>
        </w:rPr>
        <w:t xml:space="preserve">Results for the 2018-2020 Award Cycle </w:t>
      </w:r>
    </w:p>
    <w:p>
      <w:pPr>
        <w:pStyle w:val="TextBody"/>
        <w:spacing w:before="120" w:after="0"/>
        <w:jc w:val="left"/>
        <w:rPr>
          <w:rFonts w:ascii="arial" w:hAnsi="arial"/>
          <w:sz w:val="16"/>
        </w:rPr>
      </w:pPr>
      <w:r>
        <w:rPr>
          <w:rFonts w:ascii="arial" w:hAnsi="arial"/>
          <w:sz w:val="16"/>
        </w:rPr>
        <w:t xml:space="preserve">The performance period of our 2018-2020 award cycle concluded on January 4, 2021 (for the TSR-based awards, which collectively were weighted at 50% of the award) and December 31, 2020 (for the EPS-based awards, which were weighted at 20% of the award) and were scheduled to vest in 2021. </w:t>
      </w:r>
    </w:p>
    <w:p>
      <w:pPr>
        <w:pStyle w:val="TextBody"/>
        <w:spacing w:before="160" w:after="0"/>
        <w:jc w:val="left"/>
        <w:rPr>
          <w:rFonts w:ascii="arial" w:hAnsi="arial"/>
          <w:sz w:val="16"/>
        </w:rPr>
      </w:pPr>
      <w:r>
        <w:rPr>
          <w:rFonts w:ascii="arial" w:hAnsi="arial"/>
          <w:sz w:val="16"/>
        </w:rPr>
        <w:t xml:space="preserve">Our 2018-2020 relative total shareholder return was at the 55.9th percentile of the S&amp;P 500 Utilities Index, resulting in vesting at 114.75% of target for the S&amp;P 500 Utilities Index-based award component. Our relative total shareholder return was at the 51.2nd percentile of the S&amp;P 500 Index, resulting in vesting at 103% of target for the S&amp;P 500 Index-based award component.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60</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The 2018-2020 awards based on EPS growth vested at 200% of target based on EPS growth (as adjusted for LTIP purposes) of 21.7%. Table 15 below shows the predefined adjustments to GAAP EPS used to calculate EPS growth for purposes of the 2018 annual LTIP award, as well as an additional adjustment to exclude the impact of a $500 million share buyback effected in the summer of 2020. For additional information see Compensation TablesOutstanding Equity Awards at Year-End and Compensation TablesOption Exercises and Stock Vested.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772"/>
        <w:gridCol w:w="409"/>
        <w:gridCol w:w="140"/>
        <w:gridCol w:w="534"/>
        <w:gridCol w:w="155"/>
        <w:gridCol w:w="124"/>
        <w:gridCol w:w="140"/>
        <w:gridCol w:w="567"/>
        <w:gridCol w:w="364"/>
      </w:tblGrid>
      <w:tr>
        <w:trPr/>
        <w:tc>
          <w:tcPr>
            <w:tcW w:w="7772"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7772" w:type="dxa"/>
            <w:tcBorders/>
            <w:shd w:fill="001C71" w:val="clear"/>
            <w:vAlign w:val="center"/>
          </w:tcPr>
          <w:p>
            <w:pPr>
              <w:pStyle w:val="TableContents"/>
              <w:spacing w:before="0" w:after="283"/>
              <w:rPr>
                <w:sz w:val="4"/>
                <w:szCs w:val="4"/>
              </w:rPr>
            </w:pPr>
            <w:r>
              <w:rPr>
                <w:sz w:val="4"/>
                <w:szCs w:val="4"/>
              </w:rPr>
            </w:r>
          </w:p>
        </w:tc>
        <w:tc>
          <w:tcPr>
            <w:tcW w:w="1238" w:type="dxa"/>
            <w:gridSpan w:val="4"/>
            <w:tcBorders/>
            <w:shd w:fill="001C71" w:val="clear"/>
            <w:vAlign w:val="center"/>
          </w:tcPr>
          <w:p>
            <w:pPr>
              <w:pStyle w:val="TableContents"/>
              <w:spacing w:before="0" w:after="283"/>
              <w:rPr>
                <w:sz w:val="4"/>
                <w:szCs w:val="4"/>
              </w:rPr>
            </w:pPr>
            <w:r>
              <w:rPr>
                <w:sz w:val="4"/>
                <w:szCs w:val="4"/>
              </w:rPr>
            </w:r>
          </w:p>
        </w:tc>
        <w:tc>
          <w:tcPr>
            <w:tcW w:w="1195" w:type="dxa"/>
            <w:gridSpan w:val="4"/>
            <w:tcBorders/>
            <w:shd w:fill="001C71" w:val="clear"/>
            <w:vAlign w:val="center"/>
          </w:tcPr>
          <w:p>
            <w:pPr>
              <w:pStyle w:val="TableContents"/>
              <w:spacing w:before="0" w:after="283"/>
              <w:rPr>
                <w:sz w:val="4"/>
                <w:szCs w:val="4"/>
              </w:rPr>
            </w:pPr>
            <w:r>
              <w:rPr>
                <w:sz w:val="4"/>
                <w:szCs w:val="4"/>
              </w:rPr>
            </w:r>
          </w:p>
        </w:tc>
      </w:tr>
      <w:tr>
        <w:trPr/>
        <w:tc>
          <w:tcPr>
            <w:tcW w:w="7772"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EPS Growth (Diluted) for 2018-2020 Award</w:t>
            </w:r>
          </w:p>
        </w:tc>
        <w:tc>
          <w:tcPr>
            <w:tcW w:w="409" w:type="dxa"/>
            <w:tcBorders/>
            <w:shd w:fill="001C71" w:val="clear"/>
            <w:vAlign w:val="bottom"/>
          </w:tcPr>
          <w:p>
            <w:pPr>
              <w:pStyle w:val="TableContents"/>
              <w:spacing w:before="0" w:after="283"/>
              <w:rPr/>
            </w:pPr>
            <w:r>
              <w:rPr/>
              <w:t>  </w:t>
            </w:r>
          </w:p>
        </w:tc>
        <w:tc>
          <w:tcPr>
            <w:tcW w:w="674" w:type="dxa"/>
            <w:gridSpan w:val="2"/>
            <w:tcBorders/>
            <w:shd w:fill="001C71" w:val="clear"/>
            <w:vAlign w:val="bottom"/>
          </w:tcPr>
          <w:p>
            <w:pPr>
              <w:pStyle w:val="TableContents"/>
              <w:spacing w:before="0" w:after="283"/>
              <w:jc w:val="right"/>
              <w:rPr>
                <w:b/>
                <w:color w:val="FFFFFF"/>
              </w:rPr>
            </w:pPr>
            <w:r>
              <w:rPr>
                <w:b/>
                <w:color w:val="FFFFFF"/>
              </w:rPr>
              <w:t>2017</w:t>
            </w:r>
          </w:p>
        </w:tc>
        <w:tc>
          <w:tcPr>
            <w:tcW w:w="155" w:type="dxa"/>
            <w:tcBorders/>
            <w:shd w:fill="001C71" w:val="clear"/>
            <w:vAlign w:val="bottom"/>
          </w:tcPr>
          <w:p>
            <w:pPr>
              <w:pStyle w:val="TableContents"/>
              <w:spacing w:before="0" w:after="283"/>
              <w:rPr/>
            </w:pPr>
            <w:r>
              <w:rPr/>
              <w:t> </w:t>
            </w:r>
          </w:p>
        </w:tc>
        <w:tc>
          <w:tcPr>
            <w:tcW w:w="124" w:type="dxa"/>
            <w:tcBorders/>
            <w:shd w:fill="001C71" w:val="clear"/>
            <w:vAlign w:val="bottom"/>
          </w:tcPr>
          <w:p>
            <w:pPr>
              <w:pStyle w:val="TableContents"/>
              <w:spacing w:before="0" w:after="283"/>
              <w:rPr/>
            </w:pPr>
            <w:r>
              <w:rPr/>
              <w:t> </w:t>
            </w:r>
          </w:p>
        </w:tc>
        <w:tc>
          <w:tcPr>
            <w:tcW w:w="707" w:type="dxa"/>
            <w:gridSpan w:val="2"/>
            <w:tcBorders/>
            <w:shd w:fill="001C71" w:val="clear"/>
            <w:vAlign w:val="bottom"/>
          </w:tcPr>
          <w:p>
            <w:pPr>
              <w:pStyle w:val="TableContents"/>
              <w:spacing w:before="0" w:after="283"/>
              <w:jc w:val="right"/>
              <w:rPr>
                <w:b/>
                <w:color w:val="FFFFFF"/>
              </w:rPr>
            </w:pPr>
            <w:r>
              <w:rPr>
                <w:b/>
                <w:color w:val="FFFFFF"/>
              </w:rPr>
              <w:t>2020</w:t>
            </w:r>
          </w:p>
        </w:tc>
        <w:tc>
          <w:tcPr>
            <w:tcW w:w="364" w:type="dxa"/>
            <w:tcBorders/>
            <w:shd w:fill="001C71" w:val="clear"/>
            <w:vAlign w:val="bottom"/>
          </w:tcPr>
          <w:p>
            <w:pPr>
              <w:pStyle w:val="TableContents"/>
              <w:spacing w:before="0" w:after="283"/>
              <w:rPr/>
            </w:pPr>
            <w:r>
              <w:rPr/>
              <w:t> </w:t>
            </w:r>
          </w:p>
        </w:tc>
      </w:tr>
      <w:tr>
        <w:trPr>
          <w:trHeight w:val="75" w:hRule="atLeast"/>
        </w:trPr>
        <w:tc>
          <w:tcPr>
            <w:tcW w:w="7772" w:type="dxa"/>
            <w:tcBorders/>
            <w:shd w:fill="E5E5E5" w:val="clear"/>
            <w:vAlign w:val="center"/>
          </w:tcPr>
          <w:p>
            <w:pPr>
              <w:pStyle w:val="TableContents"/>
              <w:spacing w:before="0" w:after="283"/>
              <w:rPr>
                <w:sz w:val="4"/>
                <w:szCs w:val="4"/>
              </w:rPr>
            </w:pPr>
            <w:r>
              <w:rPr>
                <w:sz w:val="4"/>
                <w:szCs w:val="4"/>
              </w:rPr>
            </w:r>
          </w:p>
        </w:tc>
        <w:tc>
          <w:tcPr>
            <w:tcW w:w="1238" w:type="dxa"/>
            <w:gridSpan w:val="4"/>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r>
      <w:tr>
        <w:trPr/>
        <w:tc>
          <w:tcPr>
            <w:tcW w:w="7772" w:type="dxa"/>
            <w:tcBorders/>
            <w:shd w:fill="E5E5E5" w:val="clear"/>
          </w:tcPr>
          <w:p>
            <w:pPr>
              <w:pStyle w:val="TableContents"/>
              <w:spacing w:before="0" w:after="0"/>
              <w:rPr>
                <w:rFonts w:ascii="arial" w:hAnsi="arial"/>
                <w:sz w:val="16"/>
              </w:rPr>
            </w:pPr>
            <w:r>
              <w:rPr>
                <w:rFonts w:ascii="arial" w:hAnsi="arial"/>
                <w:sz w:val="16"/>
              </w:rPr>
              <w:t>GAAP EPS</w:t>
            </w:r>
          </w:p>
        </w:tc>
        <w:tc>
          <w:tcPr>
            <w:tcW w:w="40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534" w:type="dxa"/>
            <w:tcBorders/>
            <w:shd w:fill="E5E5E5" w:val="clear"/>
            <w:vAlign w:val="bottom"/>
          </w:tcPr>
          <w:p>
            <w:pPr>
              <w:pStyle w:val="TableContents"/>
              <w:spacing w:before="0" w:after="283"/>
              <w:jc w:val="right"/>
              <w:rPr/>
            </w:pPr>
            <w:r>
              <w:rPr/>
              <w:t>1.01</w:t>
            </w:r>
          </w:p>
        </w:tc>
        <w:tc>
          <w:tcPr>
            <w:tcW w:w="155" w:type="dxa"/>
            <w:tcBorders/>
            <w:shd w:fill="E5E5E5" w:val="clear"/>
            <w:vAlign w:val="bottom"/>
          </w:tcPr>
          <w:p>
            <w:pPr>
              <w:pStyle w:val="TableContents"/>
              <w:spacing w:before="0" w:after="283"/>
              <w:rPr/>
            </w:pPr>
            <w:r>
              <w:rPr/>
              <w:t> </w:t>
            </w:r>
          </w:p>
        </w:tc>
        <w:tc>
          <w:tcPr>
            <w:tcW w:w="124"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567" w:type="dxa"/>
            <w:tcBorders/>
            <w:shd w:fill="E5E5E5" w:val="clear"/>
            <w:vAlign w:val="bottom"/>
          </w:tcPr>
          <w:p>
            <w:pPr>
              <w:pStyle w:val="TableContents"/>
              <w:spacing w:before="0" w:after="283"/>
              <w:jc w:val="right"/>
              <w:rPr/>
            </w:pPr>
            <w:r>
              <w:rPr/>
              <w:t>12.88</w:t>
            </w:r>
          </w:p>
        </w:tc>
        <w:tc>
          <w:tcPr>
            <w:tcW w:w="364" w:type="dxa"/>
            <w:tcBorders/>
            <w:shd w:fill="E5E5E5" w:val="clear"/>
            <w:vAlign w:val="bottom"/>
          </w:tcPr>
          <w:p>
            <w:pPr>
              <w:pStyle w:val="TableContents"/>
              <w:spacing w:before="0" w:after="283"/>
              <w:rPr/>
            </w:pPr>
            <w:r>
              <w:rPr/>
              <w:t> </w:t>
            </w:r>
          </w:p>
        </w:tc>
      </w:tr>
      <w:tr>
        <w:trPr>
          <w:trHeight w:val="75" w:hRule="atLeast"/>
        </w:trPr>
        <w:tc>
          <w:tcPr>
            <w:tcW w:w="7772" w:type="dxa"/>
            <w:tcBorders/>
            <w:shd w:fill="auto" w:val="clear"/>
            <w:vAlign w:val="center"/>
          </w:tcPr>
          <w:p>
            <w:pPr>
              <w:pStyle w:val="TableContents"/>
              <w:spacing w:before="0" w:after="283"/>
              <w:rPr>
                <w:sz w:val="4"/>
                <w:szCs w:val="4"/>
              </w:rPr>
            </w:pPr>
            <w:r>
              <w:rPr>
                <w:sz w:val="4"/>
                <w:szCs w:val="4"/>
              </w:rPr>
            </w:r>
          </w:p>
        </w:tc>
        <w:tc>
          <w:tcPr>
            <w:tcW w:w="1238"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r>
      <w:tr>
        <w:trPr/>
        <w:tc>
          <w:tcPr>
            <w:tcW w:w="7772" w:type="dxa"/>
            <w:tcBorders/>
            <w:shd w:fill="auto" w:val="clear"/>
          </w:tcPr>
          <w:p>
            <w:pPr>
              <w:pStyle w:val="TableContents"/>
              <w:spacing w:before="0" w:after="0"/>
              <w:rPr>
                <w:rFonts w:ascii="arial" w:hAnsi="arial"/>
                <w:sz w:val="16"/>
              </w:rPr>
            </w:pPr>
            <w:r>
              <w:rPr>
                <w:rFonts w:ascii="arial" w:hAnsi="arial"/>
                <w:sz w:val="16"/>
              </w:rPr>
              <w:t>Excluding $500 million share buyback(1)</w:t>
            </w:r>
          </w:p>
        </w:tc>
        <w:tc>
          <w:tcPr>
            <w:tcW w:w="4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pPr>
            <w:r>
              <w:rPr/>
              <w:t>(0.09</w:t>
            </w:r>
          </w:p>
        </w:tc>
        <w:tc>
          <w:tcPr>
            <w:tcW w:w="364" w:type="dxa"/>
            <w:tcBorders/>
            <w:shd w:fill="auto" w:val="clear"/>
            <w:vAlign w:val="bottom"/>
          </w:tcPr>
          <w:p>
            <w:pPr>
              <w:pStyle w:val="TableContents"/>
              <w:spacing w:before="0" w:after="283"/>
              <w:rPr/>
            </w:pPr>
            <w:r>
              <w:rPr/>
              <w:t>) </w:t>
            </w:r>
          </w:p>
        </w:tc>
      </w:tr>
      <w:tr>
        <w:trPr>
          <w:trHeight w:val="75" w:hRule="atLeast"/>
        </w:trPr>
        <w:tc>
          <w:tcPr>
            <w:tcW w:w="7772" w:type="dxa"/>
            <w:tcBorders/>
            <w:shd w:fill="E5E5E5" w:val="clear"/>
            <w:vAlign w:val="center"/>
          </w:tcPr>
          <w:p>
            <w:pPr>
              <w:pStyle w:val="TableContents"/>
              <w:spacing w:before="0" w:after="283"/>
              <w:rPr>
                <w:sz w:val="4"/>
                <w:szCs w:val="4"/>
              </w:rPr>
            </w:pPr>
            <w:r>
              <w:rPr>
                <w:sz w:val="4"/>
                <w:szCs w:val="4"/>
              </w:rPr>
            </w:r>
          </w:p>
        </w:tc>
        <w:tc>
          <w:tcPr>
            <w:tcW w:w="1238" w:type="dxa"/>
            <w:gridSpan w:val="4"/>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r>
      <w:tr>
        <w:trPr/>
        <w:tc>
          <w:tcPr>
            <w:tcW w:w="7772" w:type="dxa"/>
            <w:tcBorders/>
            <w:shd w:fill="E5E5E5" w:val="clear"/>
          </w:tcPr>
          <w:p>
            <w:pPr>
              <w:pStyle w:val="TableContents"/>
              <w:spacing w:before="0" w:after="0"/>
              <w:rPr>
                <w:rFonts w:ascii="arial" w:hAnsi="arial"/>
                <w:sz w:val="16"/>
              </w:rPr>
            </w:pPr>
            <w:r>
              <w:rPr>
                <w:rFonts w:ascii="arial" w:hAnsi="arial"/>
                <w:sz w:val="16"/>
              </w:rPr>
              <w:t>Predefined Adjustments:</w:t>
            </w:r>
          </w:p>
        </w:tc>
        <w:tc>
          <w:tcPr>
            <w:tcW w:w="40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534" w:type="dxa"/>
            <w:tcBorders/>
            <w:shd w:fill="E5E5E5" w:val="clear"/>
            <w:vAlign w:val="bottom"/>
          </w:tcPr>
          <w:p>
            <w:pPr>
              <w:pStyle w:val="TableContents"/>
              <w:spacing w:before="0" w:after="283"/>
              <w:rPr>
                <w:sz w:val="4"/>
                <w:szCs w:val="4"/>
              </w:rPr>
            </w:pPr>
            <w:r>
              <w:rPr>
                <w:sz w:val="4"/>
                <w:szCs w:val="4"/>
              </w:rPr>
            </w:r>
          </w:p>
        </w:tc>
        <w:tc>
          <w:tcPr>
            <w:tcW w:w="155" w:type="dxa"/>
            <w:tcBorders/>
            <w:shd w:fill="E5E5E5" w:val="clear"/>
            <w:vAlign w:val="bottom"/>
          </w:tcPr>
          <w:p>
            <w:pPr>
              <w:pStyle w:val="TableContents"/>
              <w:spacing w:before="0" w:after="283"/>
              <w:rPr>
                <w:sz w:val="4"/>
                <w:szCs w:val="4"/>
              </w:rPr>
            </w:pPr>
            <w:r>
              <w:rPr>
                <w:sz w:val="4"/>
                <w:szCs w:val="4"/>
              </w:rPr>
            </w:r>
          </w:p>
        </w:tc>
        <w:tc>
          <w:tcPr>
            <w:tcW w:w="124"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567" w:type="dxa"/>
            <w:tcBorders/>
            <w:shd w:fill="E5E5E5" w:val="clear"/>
            <w:vAlign w:val="bottom"/>
          </w:tcPr>
          <w:p>
            <w:pPr>
              <w:pStyle w:val="TableContents"/>
              <w:spacing w:before="0" w:after="283"/>
              <w:rPr>
                <w:sz w:val="4"/>
                <w:szCs w:val="4"/>
              </w:rPr>
            </w:pPr>
            <w:r>
              <w:rPr>
                <w:sz w:val="4"/>
                <w:szCs w:val="4"/>
              </w:rPr>
            </w:r>
          </w:p>
        </w:tc>
        <w:tc>
          <w:tcPr>
            <w:tcW w:w="364"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7772" w:type="dxa"/>
            <w:tcBorders/>
            <w:shd w:fill="auto" w:val="clear"/>
            <w:vAlign w:val="center"/>
          </w:tcPr>
          <w:p>
            <w:pPr>
              <w:pStyle w:val="TableContents"/>
              <w:spacing w:before="0" w:after="283"/>
              <w:rPr>
                <w:sz w:val="4"/>
                <w:szCs w:val="4"/>
              </w:rPr>
            </w:pPr>
            <w:r>
              <w:rPr>
                <w:sz w:val="4"/>
                <w:szCs w:val="4"/>
              </w:rPr>
            </w:r>
          </w:p>
        </w:tc>
        <w:tc>
          <w:tcPr>
            <w:tcW w:w="1238"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r>
      <w:tr>
        <w:trPr/>
        <w:tc>
          <w:tcPr>
            <w:tcW w:w="7772" w:type="dxa"/>
            <w:tcBorders/>
            <w:shd w:fill="auto" w:val="clear"/>
          </w:tcPr>
          <w:p>
            <w:pPr>
              <w:pStyle w:val="TableContents"/>
              <w:spacing w:before="0" w:after="0"/>
              <w:rPr>
                <w:rFonts w:ascii="arial" w:hAnsi="arial"/>
                <w:sz w:val="16"/>
              </w:rPr>
            </w:pPr>
            <w:r>
              <w:rPr>
                <w:rFonts w:ascii="arial" w:hAnsi="arial"/>
                <w:sz w:val="16"/>
              </w:rPr>
              <w:t>Acquisitions and divestitures (other than Oncor): gains and losses on sales, related impairments and costs, and related earnings impacts</w:t>
            </w:r>
          </w:p>
        </w:tc>
        <w:tc>
          <w:tcPr>
            <w:tcW w:w="4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(0.91</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pPr>
            <w:r>
              <w:rPr/>
              <w:t>(6.56</w:t>
            </w:r>
          </w:p>
        </w:tc>
        <w:tc>
          <w:tcPr>
            <w:tcW w:w="364" w:type="dxa"/>
            <w:tcBorders/>
            <w:shd w:fill="auto" w:val="clear"/>
            <w:vAlign w:val="bottom"/>
          </w:tcPr>
          <w:p>
            <w:pPr>
              <w:pStyle w:val="TableContents"/>
              <w:spacing w:before="0" w:after="283"/>
              <w:rPr/>
            </w:pPr>
            <w:r>
              <w:rPr/>
              <w:t>) </w:t>
            </w:r>
          </w:p>
        </w:tc>
      </w:tr>
      <w:tr>
        <w:trPr>
          <w:trHeight w:val="75" w:hRule="atLeast"/>
        </w:trPr>
        <w:tc>
          <w:tcPr>
            <w:tcW w:w="7772" w:type="dxa"/>
            <w:tcBorders/>
            <w:shd w:fill="E5E5E5" w:val="clear"/>
            <w:vAlign w:val="center"/>
          </w:tcPr>
          <w:p>
            <w:pPr>
              <w:pStyle w:val="TableContents"/>
              <w:spacing w:before="0" w:after="283"/>
              <w:rPr>
                <w:sz w:val="4"/>
                <w:szCs w:val="4"/>
              </w:rPr>
            </w:pPr>
            <w:r>
              <w:rPr>
                <w:sz w:val="4"/>
                <w:szCs w:val="4"/>
              </w:rPr>
            </w:r>
          </w:p>
        </w:tc>
        <w:tc>
          <w:tcPr>
            <w:tcW w:w="1238" w:type="dxa"/>
            <w:gridSpan w:val="4"/>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r>
      <w:tr>
        <w:trPr/>
        <w:tc>
          <w:tcPr>
            <w:tcW w:w="7772" w:type="dxa"/>
            <w:tcBorders/>
            <w:shd w:fill="E5E5E5" w:val="clear"/>
          </w:tcPr>
          <w:p>
            <w:pPr>
              <w:pStyle w:val="TableContents"/>
              <w:spacing w:before="0" w:after="0"/>
              <w:rPr>
                <w:rFonts w:ascii="arial" w:hAnsi="arial"/>
                <w:sz w:val="16"/>
              </w:rPr>
            </w:pPr>
            <w:r>
              <w:rPr>
                <w:rFonts w:ascii="arial" w:hAnsi="arial"/>
                <w:sz w:val="16"/>
              </w:rPr>
              <w:t>Effect of changes in tax laws, changes in regulatory treatment of tax repairs allowance and foreign exchange gains or losses at Mexico, and legacy litigation costs</w:t>
            </w:r>
          </w:p>
        </w:tc>
        <w:tc>
          <w:tcPr>
            <w:tcW w:w="40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534" w:type="dxa"/>
            <w:tcBorders/>
            <w:shd w:fill="E5E5E5" w:val="clear"/>
            <w:vAlign w:val="bottom"/>
          </w:tcPr>
          <w:p>
            <w:pPr>
              <w:pStyle w:val="TableContents"/>
              <w:spacing w:before="0" w:after="283"/>
              <w:jc w:val="right"/>
              <w:rPr/>
            </w:pPr>
            <w:r>
              <w:rPr/>
              <w:t>4.15</w:t>
            </w:r>
          </w:p>
        </w:tc>
        <w:tc>
          <w:tcPr>
            <w:tcW w:w="155" w:type="dxa"/>
            <w:tcBorders/>
            <w:shd w:fill="E5E5E5" w:val="clear"/>
            <w:vAlign w:val="bottom"/>
          </w:tcPr>
          <w:p>
            <w:pPr>
              <w:pStyle w:val="TableContents"/>
              <w:spacing w:before="0" w:after="283"/>
              <w:rPr/>
            </w:pPr>
            <w:r>
              <w:rPr/>
              <w:t> </w:t>
            </w:r>
          </w:p>
        </w:tc>
        <w:tc>
          <w:tcPr>
            <w:tcW w:w="124"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567" w:type="dxa"/>
            <w:tcBorders/>
            <w:shd w:fill="E5E5E5" w:val="clear"/>
            <w:vAlign w:val="bottom"/>
          </w:tcPr>
          <w:p>
            <w:pPr>
              <w:pStyle w:val="TableContents"/>
              <w:spacing w:before="0" w:after="283"/>
              <w:jc w:val="right"/>
              <w:rPr/>
            </w:pPr>
            <w:r>
              <w:rPr/>
              <w:t>0.64</w:t>
            </w:r>
          </w:p>
        </w:tc>
        <w:tc>
          <w:tcPr>
            <w:tcW w:w="364" w:type="dxa"/>
            <w:tcBorders/>
            <w:shd w:fill="E5E5E5" w:val="clear"/>
            <w:vAlign w:val="bottom"/>
          </w:tcPr>
          <w:p>
            <w:pPr>
              <w:pStyle w:val="TableContents"/>
              <w:spacing w:before="0" w:after="283"/>
              <w:rPr/>
            </w:pPr>
            <w:r>
              <w:rPr/>
              <w:t> </w:t>
            </w:r>
          </w:p>
        </w:tc>
      </w:tr>
      <w:tr>
        <w:trPr>
          <w:trHeight w:val="75" w:hRule="atLeast"/>
        </w:trPr>
        <w:tc>
          <w:tcPr>
            <w:tcW w:w="7772" w:type="dxa"/>
            <w:tcBorders/>
            <w:shd w:fill="auto" w:val="clear"/>
            <w:vAlign w:val="center"/>
          </w:tcPr>
          <w:p>
            <w:pPr>
              <w:pStyle w:val="TableContents"/>
              <w:spacing w:before="0" w:after="283"/>
              <w:rPr>
                <w:sz w:val="4"/>
                <w:szCs w:val="4"/>
              </w:rPr>
            </w:pPr>
            <w:r>
              <w:rPr>
                <w:sz w:val="4"/>
                <w:szCs w:val="4"/>
              </w:rPr>
            </w:r>
          </w:p>
        </w:tc>
        <w:tc>
          <w:tcPr>
            <w:tcW w:w="1238"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r>
      <w:tr>
        <w:trPr/>
        <w:tc>
          <w:tcPr>
            <w:tcW w:w="7772" w:type="dxa"/>
            <w:tcBorders/>
            <w:shd w:fill="auto" w:val="clear"/>
          </w:tcPr>
          <w:p>
            <w:pPr>
              <w:pStyle w:val="TableContents"/>
              <w:spacing w:before="0" w:after="0"/>
              <w:rPr>
                <w:rFonts w:ascii="arial" w:hAnsi="arial"/>
                <w:sz w:val="16"/>
              </w:rPr>
            </w:pPr>
            <w:r>
              <w:rPr>
                <w:rFonts w:ascii="arial" w:hAnsi="arial"/>
                <w:sz w:val="16"/>
              </w:rPr>
              <w:t>Costs related to Sempra Commodities, which was sold, and Rockies Express capacity releases</w:t>
            </w:r>
          </w:p>
        </w:tc>
        <w:tc>
          <w:tcPr>
            <w:tcW w:w="4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(0.13</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pPr>
            <w:r>
              <w:rPr/>
              <w:t>0.34</w:t>
            </w:r>
          </w:p>
        </w:tc>
        <w:tc>
          <w:tcPr>
            <w:tcW w:w="364" w:type="dxa"/>
            <w:tcBorders/>
            <w:shd w:fill="auto" w:val="clear"/>
            <w:vAlign w:val="bottom"/>
          </w:tcPr>
          <w:p>
            <w:pPr>
              <w:pStyle w:val="TableContents"/>
              <w:spacing w:before="0" w:after="283"/>
              <w:rPr/>
            </w:pPr>
            <w:r>
              <w:rPr/>
              <w:t> </w:t>
            </w:r>
          </w:p>
        </w:tc>
      </w:tr>
      <w:tr>
        <w:trPr>
          <w:trHeight w:val="75" w:hRule="atLeast"/>
        </w:trPr>
        <w:tc>
          <w:tcPr>
            <w:tcW w:w="7772" w:type="dxa"/>
            <w:tcBorders/>
            <w:shd w:fill="E5E5E5" w:val="clear"/>
            <w:vAlign w:val="center"/>
          </w:tcPr>
          <w:p>
            <w:pPr>
              <w:pStyle w:val="TableContents"/>
              <w:spacing w:before="0" w:after="283"/>
              <w:rPr>
                <w:sz w:val="4"/>
                <w:szCs w:val="4"/>
              </w:rPr>
            </w:pPr>
            <w:r>
              <w:rPr>
                <w:sz w:val="4"/>
                <w:szCs w:val="4"/>
              </w:rPr>
            </w:r>
          </w:p>
        </w:tc>
        <w:tc>
          <w:tcPr>
            <w:tcW w:w="1238" w:type="dxa"/>
            <w:gridSpan w:val="4"/>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r>
      <w:tr>
        <w:trPr/>
        <w:tc>
          <w:tcPr>
            <w:tcW w:w="7772" w:type="dxa"/>
            <w:tcBorders/>
            <w:shd w:fill="E5E5E5" w:val="clear"/>
          </w:tcPr>
          <w:p>
            <w:pPr>
              <w:pStyle w:val="TableContents"/>
              <w:spacing w:before="0" w:after="0"/>
              <w:rPr>
                <w:rFonts w:ascii="arial" w:hAnsi="arial"/>
                <w:sz w:val="16"/>
              </w:rPr>
            </w:pPr>
            <w:r>
              <w:rPr>
                <w:rFonts w:ascii="arial" w:hAnsi="arial"/>
                <w:sz w:val="16"/>
              </w:rPr>
              <w:t>Certain unplanned items related to nonqualified pension and deferred compensation and interest cost of accelerated share repurchase financing</w:t>
            </w:r>
          </w:p>
        </w:tc>
        <w:tc>
          <w:tcPr>
            <w:tcW w:w="409" w:type="dxa"/>
            <w:tcBorders>
              <w:bottom w:val="single" w:sz="2"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2" w:space="0" w:color="001C71"/>
            </w:tcBorders>
            <w:shd w:fill="E5E5E5" w:val="clear"/>
            <w:tcMar>
              <w:bottom w:w="60" w:type="dxa"/>
            </w:tcMar>
            <w:vAlign w:val="bottom"/>
          </w:tcPr>
          <w:p>
            <w:pPr>
              <w:pStyle w:val="TableContents"/>
              <w:spacing w:before="0" w:after="283"/>
              <w:rPr/>
            </w:pPr>
            <w:r>
              <w:rPr/>
              <w:t> </w:t>
            </w:r>
          </w:p>
        </w:tc>
        <w:tc>
          <w:tcPr>
            <w:tcW w:w="534" w:type="dxa"/>
            <w:tcBorders>
              <w:bottom w:val="single" w:sz="2" w:space="0" w:color="001C71"/>
            </w:tcBorders>
            <w:shd w:fill="E5E5E5" w:val="clear"/>
            <w:tcMar>
              <w:bottom w:w="60" w:type="dxa"/>
            </w:tcMar>
            <w:vAlign w:val="bottom"/>
          </w:tcPr>
          <w:p>
            <w:pPr>
              <w:pStyle w:val="TableContents"/>
              <w:spacing w:before="0" w:after="283"/>
              <w:jc w:val="right"/>
              <w:rPr/>
            </w:pPr>
            <w:r>
              <w:rPr/>
              <w:t>(0.13</w:t>
            </w:r>
          </w:p>
        </w:tc>
        <w:tc>
          <w:tcPr>
            <w:tcW w:w="155" w:type="dxa"/>
            <w:tcBorders>
              <w:bottom w:val="single" w:sz="2" w:space="0" w:color="001C71"/>
            </w:tcBorders>
            <w:shd w:fill="E5E5E5" w:val="clear"/>
            <w:tcMar>
              <w:bottom w:w="60" w:type="dxa"/>
            </w:tcMar>
            <w:vAlign w:val="bottom"/>
          </w:tcPr>
          <w:p>
            <w:pPr>
              <w:pStyle w:val="TableContents"/>
              <w:spacing w:before="0" w:after="283"/>
              <w:rPr/>
            </w:pPr>
            <w:r>
              <w:rPr/>
              <w:t>) </w:t>
            </w:r>
          </w:p>
        </w:tc>
        <w:tc>
          <w:tcPr>
            <w:tcW w:w="124" w:type="dxa"/>
            <w:tcBorders>
              <w:bottom w:val="single" w:sz="2"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2" w:space="0" w:color="001C71"/>
            </w:tcBorders>
            <w:shd w:fill="E5E5E5" w:val="clear"/>
            <w:tcMar>
              <w:bottom w:w="60" w:type="dxa"/>
            </w:tcMar>
            <w:vAlign w:val="bottom"/>
          </w:tcPr>
          <w:p>
            <w:pPr>
              <w:pStyle w:val="TableContents"/>
              <w:spacing w:before="0" w:after="283"/>
              <w:rPr/>
            </w:pPr>
            <w:r>
              <w:rPr/>
              <w:t> </w:t>
            </w:r>
          </w:p>
        </w:tc>
        <w:tc>
          <w:tcPr>
            <w:tcW w:w="567" w:type="dxa"/>
            <w:tcBorders>
              <w:bottom w:val="single" w:sz="2" w:space="0" w:color="001C71"/>
            </w:tcBorders>
            <w:shd w:fill="E5E5E5" w:val="clear"/>
            <w:tcMar>
              <w:bottom w:w="60" w:type="dxa"/>
            </w:tcMar>
            <w:vAlign w:val="bottom"/>
          </w:tcPr>
          <w:p>
            <w:pPr>
              <w:pStyle w:val="TableContents"/>
              <w:spacing w:before="0" w:after="283"/>
              <w:jc w:val="right"/>
              <w:rPr/>
            </w:pPr>
            <w:r>
              <w:rPr/>
              <w:t>(0.02</w:t>
            </w:r>
          </w:p>
        </w:tc>
        <w:tc>
          <w:tcPr>
            <w:tcW w:w="364" w:type="dxa"/>
            <w:tcBorders>
              <w:bottom w:val="single" w:sz="2" w:space="0" w:color="001C71"/>
            </w:tcBorders>
            <w:shd w:fill="E5E5E5" w:val="clear"/>
            <w:tcMar>
              <w:bottom w:w="60" w:type="dxa"/>
            </w:tcMar>
            <w:vAlign w:val="bottom"/>
          </w:tcPr>
          <w:p>
            <w:pPr>
              <w:pStyle w:val="TableContents"/>
              <w:spacing w:before="0" w:after="283"/>
              <w:rPr/>
            </w:pPr>
            <w:r>
              <w:rPr/>
              <w:t>) </w:t>
            </w:r>
          </w:p>
        </w:tc>
      </w:tr>
      <w:tr>
        <w:trPr>
          <w:trHeight w:val="75" w:hRule="atLeast"/>
        </w:trPr>
        <w:tc>
          <w:tcPr>
            <w:tcW w:w="7772" w:type="dxa"/>
            <w:tcBorders/>
            <w:shd w:fill="auto" w:val="clear"/>
            <w:vAlign w:val="center"/>
          </w:tcPr>
          <w:p>
            <w:pPr>
              <w:pStyle w:val="TableContents"/>
              <w:spacing w:before="0" w:after="283"/>
              <w:rPr>
                <w:sz w:val="4"/>
                <w:szCs w:val="4"/>
              </w:rPr>
            </w:pPr>
            <w:r>
              <w:rPr>
                <w:sz w:val="4"/>
                <w:szCs w:val="4"/>
              </w:rPr>
            </w:r>
          </w:p>
        </w:tc>
        <w:tc>
          <w:tcPr>
            <w:tcW w:w="1238"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r>
      <w:tr>
        <w:trPr/>
        <w:tc>
          <w:tcPr>
            <w:tcW w:w="7772" w:type="dxa"/>
            <w:tcBorders/>
            <w:shd w:fill="auto" w:val="clear"/>
          </w:tcPr>
          <w:p>
            <w:pPr>
              <w:pStyle w:val="TableContents"/>
              <w:spacing w:before="0" w:after="0"/>
              <w:rPr>
                <w:rFonts w:ascii="arial" w:hAnsi="arial"/>
                <w:sz w:val="16"/>
              </w:rPr>
            </w:pPr>
            <w:r>
              <w:rPr>
                <w:rFonts w:ascii="arial" w:hAnsi="arial"/>
                <w:sz w:val="16"/>
              </w:rPr>
              <w:t>EPS for 2018-2020 LTIP Award Purposes</w:t>
            </w:r>
          </w:p>
        </w:tc>
        <w:tc>
          <w:tcPr>
            <w:tcW w:w="4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34" w:type="dxa"/>
            <w:tcBorders/>
            <w:shd w:fill="auto" w:val="clear"/>
            <w:vAlign w:val="bottom"/>
          </w:tcPr>
          <w:p>
            <w:pPr>
              <w:pStyle w:val="TableContents"/>
              <w:spacing w:before="0" w:after="283"/>
              <w:jc w:val="right"/>
              <w:rPr/>
            </w:pPr>
            <w:r>
              <w:rPr/>
              <w:t>3.99</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7" w:type="dxa"/>
            <w:tcBorders/>
            <w:shd w:fill="auto" w:val="clear"/>
            <w:vAlign w:val="bottom"/>
          </w:tcPr>
          <w:p>
            <w:pPr>
              <w:pStyle w:val="TableContents"/>
              <w:spacing w:before="0" w:after="283"/>
              <w:jc w:val="right"/>
              <w:rPr/>
            </w:pPr>
            <w:r>
              <w:rPr/>
              <w:t>7.19</w:t>
            </w:r>
          </w:p>
        </w:tc>
        <w:tc>
          <w:tcPr>
            <w:tcW w:w="364" w:type="dxa"/>
            <w:tcBorders/>
            <w:shd w:fill="auto" w:val="clear"/>
            <w:vAlign w:val="bottom"/>
          </w:tcPr>
          <w:p>
            <w:pPr>
              <w:pStyle w:val="TableContents"/>
              <w:spacing w:before="0" w:after="283"/>
              <w:rPr/>
            </w:pPr>
            <w:r>
              <w:rPr/>
              <w:t> </w:t>
            </w:r>
          </w:p>
        </w:tc>
      </w:tr>
      <w:tr>
        <w:trPr>
          <w:trHeight w:val="75" w:hRule="atLeast"/>
        </w:trPr>
        <w:tc>
          <w:tcPr>
            <w:tcW w:w="7772" w:type="dxa"/>
            <w:tcBorders/>
            <w:shd w:fill="E5E5E5" w:val="clear"/>
            <w:vAlign w:val="center"/>
          </w:tcPr>
          <w:p>
            <w:pPr>
              <w:pStyle w:val="TableContents"/>
              <w:spacing w:before="0" w:after="283"/>
              <w:rPr>
                <w:sz w:val="4"/>
                <w:szCs w:val="4"/>
              </w:rPr>
            </w:pPr>
            <w:r>
              <w:rPr>
                <w:sz w:val="4"/>
                <w:szCs w:val="4"/>
              </w:rPr>
            </w:r>
          </w:p>
        </w:tc>
        <w:tc>
          <w:tcPr>
            <w:tcW w:w="1238" w:type="dxa"/>
            <w:gridSpan w:val="4"/>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r>
      <w:tr>
        <w:trPr/>
        <w:tc>
          <w:tcPr>
            <w:tcW w:w="7772"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EPS Growth for 2018-2020 LTIP Award Purposes</w:t>
            </w:r>
          </w:p>
        </w:tc>
        <w:tc>
          <w:tcPr>
            <w:tcW w:w="409"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bottom"/>
          </w:tcPr>
          <w:p>
            <w:pPr>
              <w:pStyle w:val="TableContents"/>
              <w:spacing w:before="0" w:after="283"/>
              <w:rPr/>
            </w:pPr>
            <w:r>
              <w:rPr/>
              <w:t> </w:t>
            </w:r>
          </w:p>
        </w:tc>
        <w:tc>
          <w:tcPr>
            <w:tcW w:w="534" w:type="dxa"/>
            <w:tcBorders>
              <w:bottom w:val="single" w:sz="8" w:space="0" w:color="001C71"/>
            </w:tcBorders>
            <w:shd w:fill="E5E5E5" w:val="clear"/>
            <w:tcMar>
              <w:bottom w:w="28" w:type="dxa"/>
            </w:tcMar>
            <w:vAlign w:val="bottom"/>
          </w:tcPr>
          <w:p>
            <w:pPr>
              <w:pStyle w:val="TableContents"/>
              <w:spacing w:before="0" w:after="283"/>
              <w:rPr/>
            </w:pPr>
            <w:r>
              <w:rPr/>
              <w:t> </w:t>
            </w:r>
          </w:p>
        </w:tc>
        <w:tc>
          <w:tcPr>
            <w:tcW w:w="155"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4"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60" w:type="dxa"/>
            </w:tcMar>
            <w:vAlign w:val="bottom"/>
          </w:tcPr>
          <w:p>
            <w:pPr>
              <w:pStyle w:val="TableContents"/>
              <w:spacing w:before="0" w:after="283"/>
              <w:rPr/>
            </w:pPr>
            <w:r>
              <w:rPr/>
              <w:t> </w:t>
            </w:r>
          </w:p>
        </w:tc>
        <w:tc>
          <w:tcPr>
            <w:tcW w:w="567" w:type="dxa"/>
            <w:tcBorders>
              <w:bottom w:val="single" w:sz="8" w:space="0" w:color="001C71"/>
            </w:tcBorders>
            <w:shd w:fill="E5E5E5" w:val="clear"/>
            <w:tcMar>
              <w:bottom w:w="60" w:type="dxa"/>
            </w:tcMar>
            <w:vAlign w:val="bottom"/>
          </w:tcPr>
          <w:p>
            <w:pPr>
              <w:pStyle w:val="TableContents"/>
              <w:spacing w:before="0" w:after="283"/>
              <w:jc w:val="right"/>
              <w:rPr/>
            </w:pPr>
            <w:r>
              <w:rPr/>
              <w:t>21.7</w:t>
            </w:r>
          </w:p>
        </w:tc>
        <w:tc>
          <w:tcPr>
            <w:tcW w:w="364" w:type="dxa"/>
            <w:tcBorders>
              <w:bottom w:val="single" w:sz="8" w:space="0" w:color="001C71"/>
            </w:tcBorders>
            <w:shd w:fill="E5E5E5" w:val="clear"/>
            <w:tcMar>
              <w:bottom w:w="60" w:type="dxa"/>
            </w:tcMar>
            <w:vAlign w:val="bottom"/>
          </w:tcPr>
          <w:p>
            <w:pPr>
              <w:pStyle w:val="TableContents"/>
              <w:spacing w:before="0" w:after="283"/>
              <w:rPr/>
            </w:pPr>
            <w:r>
              <w:rPr/>
              <w:t>% </w:t>
            </w:r>
          </w:p>
        </w:tc>
      </w:tr>
    </w:tbl>
    <w:p>
      <w:pPr>
        <w:pStyle w:val="TextBody"/>
        <w:spacing w:before="80" w:after="0"/>
        <w:jc w:val="left"/>
        <w:rPr>
          <w:rFonts w:ascii="arial" w:hAnsi="arial"/>
          <w:i/>
          <w:sz w:val="14"/>
        </w:rPr>
      </w:pPr>
      <w:r>
        <w:rPr>
          <w:rFonts w:ascii="arial" w:hAnsi="arial"/>
          <w:i/>
          <w:sz w:val="14"/>
        </w:rPr>
        <w:t xml:space="preserve">Table 15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(1)</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The impact of the share buyback, which was not contemplated in our financial plans publicly communicated prior to the grant date of the award, is excluded pursuant to the terms of the award. The impact of the share buyback is weighted for the portion of the year that the shares were not outstanding. </w:t>
            </w:r>
          </w:p>
        </w:tc>
      </w:tr>
    </w:tbl>
    <w:p>
      <w:pPr>
        <w:pStyle w:val="TextBody"/>
        <w:spacing w:before="280" w:after="0"/>
        <w:jc w:val="left"/>
        <w:rPr>
          <w:rFonts w:ascii="arial" w:hAnsi="arial"/>
          <w:b/>
          <w:sz w:val="20"/>
        </w:rPr>
      </w:pPr>
      <w:r>
        <w:rPr>
          <w:rFonts w:ascii="arial" w:hAnsi="arial"/>
          <w:b/>
          <w:sz w:val="20"/>
        </w:rPr>
        <w:t xml:space="preserve">Special Awards Granted to Named Executive Officers in 2020 </w:t>
      </w:r>
    </w:p>
    <w:p>
      <w:pPr>
        <w:pStyle w:val="TextBody"/>
        <w:spacing w:before="120" w:after="0"/>
        <w:jc w:val="left"/>
        <w:rPr>
          <w:rFonts w:ascii="arial" w:hAnsi="arial"/>
          <w:sz w:val="16"/>
        </w:rPr>
      </w:pPr>
      <w:r>
        <w:rPr>
          <w:rFonts w:ascii="arial" w:hAnsi="arial"/>
          <w:sz w:val="16"/>
        </w:rPr>
        <w:t xml:space="preserve">Special equity awards also may be granted with the Compensation and Talent Development Committees approval upon the hiring or promotion of named executive officers or, in limited instances, to reward extraordinary performance or promote retention. In connection with his promotion to Senior Vice President, Mr. Wall received on April 1, 2020 awards with a collective total target value of $100,000 that are subject to the same award design, weighting, terms and performance periods as the January 2, 2020 LTIP award. For his leadership in connection with the sales of our former renewables businesses, Mr. Sagara received on January 2, 2020 an award of service-based restricted stock units with a grant date value of $600,000. This award to Mr. Sagara was granted prior to Mr. Sagaras appointment as an executive officer of Sempra Energy.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61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1"/>
        <w:gridCol w:w="9496"/>
      </w:tblGrid>
      <w:tr>
        <w:trPr/>
        <w:tc>
          <w:tcPr>
            <w:tcW w:w="508" w:type="dxa"/>
            <w:tcBorders/>
            <w:shd w:fill="auto" w:val="clear"/>
          </w:tcPr>
          <w:p>
            <w:pPr>
              <w:pStyle w:val="TableContents"/>
              <w:spacing w:before="0" w:after="283"/>
              <w:jc w:val="left"/>
              <w:rPr>
                <w:color w:val="001C71"/>
              </w:rPr>
            </w:pPr>
            <w:bookmarkStart w:id="37" w:name="tx108157_16"/>
            <w:bookmarkEnd w:id="37"/>
            <w:r>
              <w:rPr>
                <w:color w:val="001C71"/>
              </w:rPr>
              <w:t>4.</w:t>
            </w:r>
          </w:p>
        </w:tc>
        <w:tc>
          <w:tcPr>
            <w:tcW w:w="201"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color w:val="001C71"/>
              </w:rPr>
            </w:pPr>
            <w:r>
              <w:rPr>
                <w:color w:val="001C71"/>
              </w:rPr>
              <w:t xml:space="preserve">Benefit Plans </w:t>
            </w:r>
          </w:p>
        </w:tc>
      </w:tr>
    </w:tbl>
    <w:p>
      <w:pPr>
        <w:pStyle w:val="TextBody"/>
        <w:spacing w:before="120" w:after="0"/>
        <w:jc w:val="left"/>
        <w:rPr>
          <w:rFonts w:ascii="arial" w:hAnsi="arial"/>
          <w:sz w:val="16"/>
        </w:rPr>
      </w:pPr>
      <w:r>
        <w:rPr>
          <w:rFonts w:ascii="arial" w:hAnsi="arial"/>
          <w:sz w:val="16"/>
        </w:rPr>
        <w:t xml:space="preserve">Our named executive officers also participate in certain benefit plans including: (1) health, life insurance and disability plans and other executive benefits; and (2) retirement and savings plans.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1.</w:t>
            </w:r>
          </w:p>
        </w:tc>
        <w:tc>
          <w:tcPr>
            <w:tcW w:w="9799" w:type="dxa"/>
            <w:tcBorders/>
            <w:shd w:fill="auto" w:val="clear"/>
          </w:tcPr>
          <w:p>
            <w:pPr>
              <w:pStyle w:val="TableContents"/>
              <w:spacing w:before="0" w:after="0"/>
              <w:jc w:val="left"/>
              <w:rPr>
                <w:rFonts w:ascii="arial" w:hAnsi="arial"/>
                <w:b/>
                <w:sz w:val="16"/>
              </w:rPr>
            </w:pPr>
            <w:r>
              <w:rPr>
                <w:rFonts w:ascii="arial" w:hAnsi="arial"/>
                <w:b/>
                <w:sz w:val="16"/>
              </w:rPr>
              <w:t xml:space="preserve">Health, Life Insurance and Disability Plans and Other Executive Benefits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17"/>
        <w:gridCol w:w="108"/>
        <w:gridCol w:w="1794"/>
        <w:gridCol w:w="121"/>
        <w:gridCol w:w="6765"/>
      </w:tblGrid>
      <w:tr>
        <w:trPr/>
        <w:tc>
          <w:tcPr>
            <w:tcW w:w="1417"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765"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417" w:type="dxa"/>
            <w:tcBorders/>
            <w:shd w:fill="001C71" w:val="clear"/>
            <w:vAlign w:val="center"/>
          </w:tcPr>
          <w:p>
            <w:pPr>
              <w:pStyle w:val="TableContents"/>
              <w:spacing w:before="0" w:after="283"/>
              <w:rPr>
                <w:sz w:val="4"/>
                <w:szCs w:val="4"/>
              </w:rPr>
            </w:pPr>
            <w:r>
              <w:rPr>
                <w:sz w:val="4"/>
                <w:szCs w:val="4"/>
              </w:rPr>
            </w:r>
          </w:p>
        </w:tc>
        <w:tc>
          <w:tcPr>
            <w:tcW w:w="1902" w:type="dxa"/>
            <w:gridSpan w:val="2"/>
            <w:tcBorders>
              <w:left w:val="single" w:sz="2" w:space="0" w:color="001C71"/>
            </w:tcBorders>
            <w:shd w:fill="001C71" w:val="clear"/>
            <w:tcMar>
              <w:left w:w="28" w:type="dxa"/>
            </w:tcMar>
            <w:vAlign w:val="center"/>
          </w:tcPr>
          <w:p>
            <w:pPr>
              <w:pStyle w:val="TableContents"/>
              <w:spacing w:before="0" w:after="283"/>
              <w:rPr/>
            </w:pPr>
            <w:r>
              <w:rPr/>
              <w:t> </w:t>
            </w:r>
          </w:p>
        </w:tc>
        <w:tc>
          <w:tcPr>
            <w:tcW w:w="6886" w:type="dxa"/>
            <w:gridSpan w:val="2"/>
            <w:tcBorders>
              <w:left w:val="single" w:sz="2" w:space="0" w:color="001C71"/>
            </w:tcBorders>
            <w:shd w:fill="001C71" w:val="clear"/>
            <w:tcMar>
              <w:left w:w="28" w:type="dxa"/>
            </w:tcMar>
            <w:vAlign w:val="center"/>
          </w:tcPr>
          <w:p>
            <w:pPr>
              <w:pStyle w:val="TableContents"/>
              <w:spacing w:before="0" w:after="283"/>
              <w:rPr/>
            </w:pPr>
            <w:r>
              <w:rPr/>
              <w:t> </w:t>
            </w:r>
          </w:p>
        </w:tc>
      </w:tr>
      <w:tr>
        <w:trPr/>
        <w:tc>
          <w:tcPr>
            <w:tcW w:w="1417"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Plan Type</w:t>
            </w:r>
          </w:p>
        </w:tc>
        <w:tc>
          <w:tcPr>
            <w:tcW w:w="108" w:type="dxa"/>
            <w:tcBorders>
              <w:left w:val="single" w:sz="2" w:space="0" w:color="001C71"/>
            </w:tcBorders>
            <w:shd w:fill="001C71" w:val="clear"/>
            <w:tcMar>
              <w:left w:w="28" w:type="dxa"/>
            </w:tcMar>
            <w:vAlign w:val="bottom"/>
          </w:tcPr>
          <w:p>
            <w:pPr>
              <w:pStyle w:val="TableContents"/>
              <w:spacing w:before="0" w:after="283"/>
              <w:rPr/>
            </w:pPr>
            <w:r>
              <w:rPr/>
              <w:t> </w:t>
            </w:r>
          </w:p>
        </w:tc>
        <w:tc>
          <w:tcPr>
            <w:tcW w:w="1794" w:type="dxa"/>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Plan</w:t>
            </w:r>
          </w:p>
        </w:tc>
        <w:tc>
          <w:tcPr>
            <w:tcW w:w="121" w:type="dxa"/>
            <w:tcBorders>
              <w:left w:val="single" w:sz="2" w:space="0" w:color="001C71"/>
            </w:tcBorders>
            <w:shd w:fill="001C71" w:val="clear"/>
            <w:tcMar>
              <w:left w:w="28" w:type="dxa"/>
            </w:tcMar>
            <w:vAlign w:val="bottom"/>
          </w:tcPr>
          <w:p>
            <w:pPr>
              <w:pStyle w:val="TableContents"/>
              <w:spacing w:before="0" w:after="283"/>
              <w:rPr/>
            </w:pPr>
            <w:r>
              <w:rPr/>
              <w:t>  </w:t>
            </w:r>
          </w:p>
        </w:tc>
        <w:tc>
          <w:tcPr>
            <w:tcW w:w="6765" w:type="dxa"/>
            <w:tcBorders/>
            <w:shd w:fill="001C71" w:val="clear"/>
            <w:vAlign w:val="bottom"/>
          </w:tcPr>
          <w:p>
            <w:pPr>
              <w:pStyle w:val="TableContents"/>
              <w:spacing w:before="0" w:after="283"/>
              <w:jc w:val="center"/>
              <w:rPr>
                <w:b/>
                <w:color w:val="FFFFFF"/>
              </w:rPr>
            </w:pPr>
            <w:r>
              <w:rPr>
                <w:b/>
                <w:color w:val="FFFFFF"/>
              </w:rPr>
              <w:t>Description</w:t>
            </w:r>
          </w:p>
        </w:tc>
      </w:tr>
      <w:tr>
        <w:trPr/>
        <w:tc>
          <w:tcPr>
            <w:tcW w:w="1417" w:type="dxa"/>
            <w:vMerge w:val="restart"/>
            <w:tcBorders>
              <w:bottom w:val="single" w:sz="2"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Health &amp;</w:t>
            </w:r>
          </w:p>
          <w:p>
            <w:pPr>
              <w:pStyle w:val="TableContents"/>
              <w:spacing w:before="0" w:after="20"/>
              <w:rPr>
                <w:rFonts w:ascii="arial" w:hAnsi="arial"/>
                <w:b/>
                <w:sz w:val="16"/>
              </w:rPr>
            </w:pPr>
            <w:r>
              <w:rPr>
                <w:rFonts w:ascii="arial" w:hAnsi="arial"/>
                <w:b/>
                <w:sz w:val="16"/>
              </w:rPr>
              <w:t>Welfare</w:t>
            </w:r>
          </w:p>
        </w:tc>
        <w:tc>
          <w:tcPr>
            <w:tcW w:w="108"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1794" w:type="dxa"/>
            <w:tcBorders>
              <w:bottom w:val="single" w:sz="2"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Basic Group</w:t>
            </w:r>
          </w:p>
          <w:p>
            <w:pPr>
              <w:pStyle w:val="TableContents"/>
              <w:spacing w:before="0" w:after="20"/>
              <w:rPr>
                <w:rFonts w:ascii="arial" w:hAnsi="arial"/>
                <w:b/>
                <w:sz w:val="16"/>
              </w:rPr>
            </w:pPr>
            <w:r>
              <w:rPr>
                <w:rFonts w:ascii="arial" w:hAnsi="arial"/>
                <w:b/>
                <w:sz w:val="16"/>
              </w:rPr>
              <w:t>Plans</w:t>
            </w:r>
          </w:p>
        </w:tc>
        <w:tc>
          <w:tcPr>
            <w:tcW w:w="121"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6765" w:type="dxa"/>
            <w:tcBorders>
              <w:bottom w:val="single" w:sz="2"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sz w:val="16"/>
              </w:rPr>
              <w:t>Our named executive officers participate in life, disability, medical, dental and vision insurance group plans that are generally available to all employees. These are common benefits that we believe are essential to attracting a high-quality workforce.</w:t>
            </w:r>
          </w:p>
          <w:p>
            <w:pPr>
              <w:pStyle w:val="TableContents"/>
              <w:spacing w:before="0" w:after="20"/>
              <w:rPr/>
            </w:pPr>
            <w:r>
              <w:rPr/>
              <w:t> </w:t>
            </w:r>
          </w:p>
        </w:tc>
      </w:tr>
      <w:tr>
        <w:trPr/>
        <w:tc>
          <w:tcPr>
            <w:tcW w:w="1417" w:type="dxa"/>
            <w:vMerge w:val="continue"/>
            <w:tcBorders>
              <w:bottom w:val="single" w:sz="2" w:space="0" w:color="001C71"/>
            </w:tcBorders>
            <w:shd w:fill="auto" w:val="clear"/>
            <w:tcMar>
              <w:bottom w:w="28" w:type="dxa"/>
            </w:tcMar>
            <w:vAlign w:val="center"/>
          </w:tcPr>
          <w:p>
            <w:pPr>
              <w:pStyle w:val="Normal"/>
              <w:rPr/>
            </w:pPr>
            <w:r>
              <w:rPr/>
            </w:r>
          </w:p>
        </w:tc>
        <w:tc>
          <w:tcPr>
            <w:tcW w:w="108"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1794" w:type="dxa"/>
            <w:tcBorders>
              <w:bottom w:val="single" w:sz="2"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Other Health</w:t>
            </w:r>
          </w:p>
          <w:p>
            <w:pPr>
              <w:pStyle w:val="TableContents"/>
              <w:spacing w:before="0" w:after="0"/>
              <w:rPr>
                <w:rFonts w:ascii="arial" w:hAnsi="arial"/>
                <w:b/>
                <w:sz w:val="16"/>
              </w:rPr>
            </w:pPr>
            <w:r>
              <w:rPr>
                <w:rFonts w:ascii="arial" w:hAnsi="arial"/>
                <w:b/>
                <w:sz w:val="16"/>
              </w:rPr>
              <w:t>&amp; Welfare</w:t>
            </w:r>
          </w:p>
          <w:p>
            <w:pPr>
              <w:pStyle w:val="TableContents"/>
              <w:spacing w:before="0" w:after="20"/>
              <w:rPr>
                <w:rFonts w:ascii="arial" w:hAnsi="arial"/>
                <w:b/>
                <w:sz w:val="16"/>
              </w:rPr>
            </w:pPr>
            <w:r>
              <w:rPr>
                <w:rFonts w:ascii="arial" w:hAnsi="arial"/>
                <w:b/>
                <w:sz w:val="16"/>
              </w:rPr>
              <w:t>Benefits</w:t>
            </w:r>
          </w:p>
        </w:tc>
        <w:tc>
          <w:tcPr>
            <w:tcW w:w="121"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6765" w:type="dxa"/>
            <w:tcBorders>
              <w:bottom w:val="single" w:sz="2"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sz w:val="16"/>
              </w:rPr>
              <w:t>In addition to the basic group health and welfare plans, Mr. Martin participates in a life insurance plan providing additional life insurance death benefits (target death benefit is two times base salary and bonus for active employees and 1.5 times base salary and bonus for retired employees). The company funds the post-retirement benefit in the year following a qualified retirement under the plan (retirement at age 62 or older with five or more years of service). This plan was closed to new participants in 2012.</w:t>
            </w:r>
          </w:p>
          <w:p>
            <w:pPr>
              <w:pStyle w:val="TableContents"/>
              <w:spacing w:before="0" w:after="0"/>
              <w:rPr/>
            </w:pPr>
            <w:r>
              <w:rPr/>
              <w:t> </w:t>
            </w:r>
          </w:p>
          <w:p>
            <w:pPr>
              <w:pStyle w:val="TableContents"/>
              <w:spacing w:before="0" w:after="0"/>
              <w:rPr>
                <w:rFonts w:ascii="arial" w:hAnsi="arial"/>
                <w:sz w:val="16"/>
              </w:rPr>
            </w:pPr>
            <w:r>
              <w:rPr>
                <w:rFonts w:ascii="arial" w:hAnsi="arial"/>
                <w:sz w:val="16"/>
              </w:rPr>
              <w:t>Our named executive officers (except for Mr. Wall) participate in a long-term disability plan providing additional protection upon disability (60% of base salary and average bonus) and restoring benefits otherwise capped under the companys basic long-term disability plan.</w:t>
            </w:r>
          </w:p>
          <w:p>
            <w:pPr>
              <w:pStyle w:val="TableContents"/>
              <w:spacing w:before="0" w:after="20"/>
              <w:rPr/>
            </w:pPr>
            <w:r>
              <w:rPr/>
              <w:t> </w:t>
            </w:r>
          </w:p>
        </w:tc>
      </w:tr>
      <w:tr>
        <w:trPr/>
        <w:tc>
          <w:tcPr>
            <w:tcW w:w="3319" w:type="dxa"/>
            <w:gridSpan w:val="3"/>
            <w:tcBorders>
              <w:bottom w:val="single" w:sz="8"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Other Executive Benefits</w:t>
            </w:r>
          </w:p>
        </w:tc>
        <w:tc>
          <w:tcPr>
            <w:tcW w:w="121" w:type="dxa"/>
            <w:tcBorders>
              <w:left w:val="single" w:sz="2" w:space="0" w:color="001C71"/>
              <w:bottom w:val="single" w:sz="8" w:space="0" w:color="001C71"/>
            </w:tcBorders>
            <w:shd w:fill="auto" w:val="clear"/>
            <w:tcMar>
              <w:left w:w="28" w:type="dxa"/>
              <w:bottom w:w="28" w:type="dxa"/>
            </w:tcMar>
            <w:vAlign w:val="bottom"/>
          </w:tcPr>
          <w:p>
            <w:pPr>
              <w:pStyle w:val="TableContents"/>
              <w:spacing w:before="0" w:after="283"/>
              <w:rPr/>
            </w:pPr>
            <w:r>
              <w:rPr/>
              <w:t>  </w:t>
            </w:r>
          </w:p>
        </w:tc>
        <w:tc>
          <w:tcPr>
            <w:tcW w:w="6765" w:type="dxa"/>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sz w:val="16"/>
              </w:rPr>
              <w:t>We provide certain other benefits to our named executive officers. The Compensation and Talent Development Committee reviews the level and types of these executive benefits each year. The committee believes that these benefits are important in attracting and retaining executive talent. These executive benefits include financial planning services, excess personal liability insurance, and a program that matches up to $25,000 of charitable contributions ($15,000 for Mr. Wall) by the named executive officer. The Chief Executive Officer has an executive security specialist for personal and business driving in the context of an overall security plan.</w:t>
            </w:r>
          </w:p>
          <w:p>
            <w:pPr>
              <w:pStyle w:val="TableContents"/>
              <w:spacing w:before="0" w:after="0"/>
              <w:rPr/>
            </w:pPr>
            <w:r>
              <w:rPr/>
              <w:t> </w:t>
            </w:r>
          </w:p>
          <w:p>
            <w:pPr>
              <w:pStyle w:val="TableContents"/>
              <w:spacing w:before="0" w:after="0"/>
              <w:rPr>
                <w:rFonts w:ascii="arial" w:hAnsi="arial"/>
                <w:sz w:val="16"/>
              </w:rPr>
            </w:pPr>
            <w:r>
              <w:rPr>
                <w:rFonts w:ascii="arial" w:hAnsi="arial"/>
                <w:sz w:val="16"/>
              </w:rPr>
              <w:t>An annual executive benefit program allowance of $40,000 for Mr. Martin and $30,000 for the other named executive officers (except for Mr. Wall) may be used to cover out of pocket costs for health and welfare benefits as well as the cost of the financial planning services and excess personal liability insurance discussed above. Any unused allowance is paid out at year-end.</w:t>
            </w:r>
          </w:p>
          <w:p>
            <w:pPr>
              <w:pStyle w:val="TableContents"/>
              <w:spacing w:before="0" w:after="0"/>
              <w:rPr/>
            </w:pPr>
            <w:r>
              <w:rPr/>
              <w:t> </w:t>
            </w:r>
          </w:p>
          <w:p>
            <w:pPr>
              <w:pStyle w:val="TableContents"/>
              <w:spacing w:before="0" w:after="0"/>
              <w:rPr>
                <w:rFonts w:ascii="arial" w:hAnsi="arial"/>
                <w:sz w:val="16"/>
              </w:rPr>
            </w:pPr>
            <w:r>
              <w:rPr>
                <w:rFonts w:ascii="arial" w:hAnsi="arial"/>
                <w:sz w:val="16"/>
              </w:rPr>
              <w:t>None of the benefits described above includes a tax gross-up provision.</w:t>
            </w:r>
          </w:p>
          <w:p>
            <w:pPr>
              <w:pStyle w:val="TableContents"/>
              <w:spacing w:before="0" w:after="20"/>
              <w:rPr/>
            </w:pPr>
            <w:r>
              <w:rPr/>
              <w:t> </w:t>
            </w:r>
          </w:p>
        </w:tc>
      </w:tr>
    </w:tbl>
    <w:p>
      <w:pPr>
        <w:pStyle w:val="TextBody"/>
        <w:spacing w:before="120" w:after="0"/>
        <w:jc w:val="left"/>
        <w:rPr>
          <w:rFonts w:ascii="arial" w:hAnsi="arial"/>
          <w:i/>
          <w:sz w:val="14"/>
        </w:rPr>
      </w:pPr>
      <w:r>
        <w:rPr>
          <w:rFonts w:ascii="arial" w:hAnsi="arial"/>
          <w:i/>
          <w:sz w:val="14"/>
        </w:rPr>
        <w:t xml:space="preserve">Table 16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62</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2.</w:t>
            </w:r>
          </w:p>
        </w:tc>
        <w:tc>
          <w:tcPr>
            <w:tcW w:w="9798" w:type="dxa"/>
            <w:tcBorders/>
            <w:shd w:fill="auto" w:val="clear"/>
          </w:tcPr>
          <w:p>
            <w:pPr>
              <w:pStyle w:val="TableContents"/>
              <w:spacing w:before="0" w:after="0"/>
              <w:jc w:val="left"/>
              <w:rPr>
                <w:rFonts w:ascii="arial" w:hAnsi="arial"/>
                <w:b/>
                <w:sz w:val="16"/>
              </w:rPr>
            </w:pPr>
            <w:r>
              <w:rPr>
                <w:rFonts w:ascii="arial" w:hAnsi="arial"/>
                <w:b/>
                <w:sz w:val="16"/>
              </w:rPr>
              <w:t xml:space="preserve">Retirement and Savings Plans </w:t>
            </w:r>
          </w:p>
        </w:tc>
      </w:tr>
    </w:tbl>
    <w:p>
      <w:pPr>
        <w:pStyle w:val="TextBody"/>
        <w:spacing w:before="120" w:after="0"/>
        <w:jc w:val="left"/>
        <w:rPr>
          <w:rFonts w:ascii="arial" w:hAnsi="arial"/>
          <w:sz w:val="16"/>
        </w:rPr>
      </w:pPr>
      <w:r>
        <w:rPr>
          <w:rFonts w:ascii="arial" w:hAnsi="arial"/>
          <w:sz w:val="16"/>
        </w:rPr>
        <w:t xml:space="preserve">Our named executive officers participate in our broad-based, tax-qualified 401(k) Savings Plan, our Cash Balance Plan and Supplemental Executive Retirement Plan (except for Mr. Wall, who participates in a Cash Balance Restoration Plan). Officers and certain other key management employees may also elect to participate in a deferred compensation plan. These plans are described in Tables 17 and 18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05"/>
        <w:gridCol w:w="107"/>
        <w:gridCol w:w="1854"/>
        <w:gridCol w:w="121"/>
        <w:gridCol w:w="6718"/>
      </w:tblGrid>
      <w:tr>
        <w:trPr/>
        <w:tc>
          <w:tcPr>
            <w:tcW w:w="1405"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718"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405" w:type="dxa"/>
            <w:tcBorders/>
            <w:shd w:fill="001C71" w:val="clear"/>
            <w:vAlign w:val="center"/>
          </w:tcPr>
          <w:p>
            <w:pPr>
              <w:pStyle w:val="TableContents"/>
              <w:spacing w:before="0" w:after="283"/>
              <w:rPr>
                <w:sz w:val="4"/>
                <w:szCs w:val="4"/>
              </w:rPr>
            </w:pPr>
            <w:r>
              <w:rPr>
                <w:sz w:val="4"/>
                <w:szCs w:val="4"/>
              </w:rPr>
            </w:r>
          </w:p>
        </w:tc>
        <w:tc>
          <w:tcPr>
            <w:tcW w:w="1961" w:type="dxa"/>
            <w:gridSpan w:val="2"/>
            <w:tcBorders>
              <w:left w:val="single" w:sz="2" w:space="0" w:color="001C71"/>
            </w:tcBorders>
            <w:shd w:fill="001C71" w:val="clear"/>
            <w:tcMar>
              <w:left w:w="28" w:type="dxa"/>
            </w:tcMar>
            <w:vAlign w:val="center"/>
          </w:tcPr>
          <w:p>
            <w:pPr>
              <w:pStyle w:val="TableContents"/>
              <w:spacing w:before="0" w:after="283"/>
              <w:rPr/>
            </w:pPr>
            <w:r>
              <w:rPr/>
              <w:t> </w:t>
            </w:r>
          </w:p>
        </w:tc>
        <w:tc>
          <w:tcPr>
            <w:tcW w:w="6839" w:type="dxa"/>
            <w:gridSpan w:val="2"/>
            <w:tcBorders>
              <w:left w:val="single" w:sz="2" w:space="0" w:color="001C71"/>
            </w:tcBorders>
            <w:shd w:fill="001C71" w:val="clear"/>
            <w:tcMar>
              <w:left w:w="28" w:type="dxa"/>
            </w:tcMar>
            <w:vAlign w:val="center"/>
          </w:tcPr>
          <w:p>
            <w:pPr>
              <w:pStyle w:val="TableContents"/>
              <w:spacing w:before="0" w:after="283"/>
              <w:rPr/>
            </w:pPr>
            <w:r>
              <w:rPr/>
              <w:t> </w:t>
            </w:r>
          </w:p>
        </w:tc>
      </w:tr>
      <w:tr>
        <w:trPr/>
        <w:tc>
          <w:tcPr>
            <w:tcW w:w="1405"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Plan Type</w:t>
            </w:r>
          </w:p>
        </w:tc>
        <w:tc>
          <w:tcPr>
            <w:tcW w:w="107" w:type="dxa"/>
            <w:tcBorders>
              <w:left w:val="single" w:sz="2" w:space="0" w:color="001C71"/>
            </w:tcBorders>
            <w:shd w:fill="001C71" w:val="clear"/>
            <w:tcMar>
              <w:left w:w="28" w:type="dxa"/>
            </w:tcMar>
            <w:vAlign w:val="bottom"/>
          </w:tcPr>
          <w:p>
            <w:pPr>
              <w:pStyle w:val="TableContents"/>
              <w:spacing w:before="0" w:after="283"/>
              <w:rPr/>
            </w:pPr>
            <w:r>
              <w:rPr/>
              <w:t> </w:t>
            </w:r>
          </w:p>
        </w:tc>
        <w:tc>
          <w:tcPr>
            <w:tcW w:w="1854" w:type="dxa"/>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Plan</w:t>
            </w:r>
          </w:p>
        </w:tc>
        <w:tc>
          <w:tcPr>
            <w:tcW w:w="121" w:type="dxa"/>
            <w:tcBorders>
              <w:left w:val="single" w:sz="2" w:space="0" w:color="001C71"/>
            </w:tcBorders>
            <w:shd w:fill="001C71" w:val="clear"/>
            <w:tcMar>
              <w:left w:w="28" w:type="dxa"/>
            </w:tcMar>
            <w:vAlign w:val="bottom"/>
          </w:tcPr>
          <w:p>
            <w:pPr>
              <w:pStyle w:val="TableContents"/>
              <w:spacing w:before="0" w:after="283"/>
              <w:rPr/>
            </w:pPr>
            <w:r>
              <w:rPr/>
              <w:t>  </w:t>
            </w:r>
          </w:p>
        </w:tc>
        <w:tc>
          <w:tcPr>
            <w:tcW w:w="6718" w:type="dxa"/>
            <w:tcBorders/>
            <w:shd w:fill="001C71" w:val="clear"/>
            <w:vAlign w:val="bottom"/>
          </w:tcPr>
          <w:p>
            <w:pPr>
              <w:pStyle w:val="TableContents"/>
              <w:spacing w:before="0" w:after="283"/>
              <w:jc w:val="center"/>
              <w:rPr>
                <w:b/>
                <w:color w:val="FFFFFF"/>
              </w:rPr>
            </w:pPr>
            <w:r>
              <w:rPr>
                <w:b/>
                <w:color w:val="FFFFFF"/>
              </w:rPr>
              <w:t>Description</w:t>
            </w:r>
          </w:p>
        </w:tc>
      </w:tr>
      <w:tr>
        <w:trPr/>
        <w:tc>
          <w:tcPr>
            <w:tcW w:w="1405" w:type="dxa"/>
            <w:vMerge w:val="restart"/>
            <w:tcBorders>
              <w:bottom w:val="single" w:sz="8"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Pension</w:t>
            </w:r>
          </w:p>
        </w:tc>
        <w:tc>
          <w:tcPr>
            <w:tcW w:w="107"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1854" w:type="dxa"/>
            <w:tcBorders>
              <w:bottom w:val="single" w:sz="2"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Cash Balance</w:t>
            </w:r>
          </w:p>
          <w:p>
            <w:pPr>
              <w:pStyle w:val="TableContents"/>
              <w:spacing w:before="0" w:after="0"/>
              <w:rPr>
                <w:rFonts w:ascii="arial" w:hAnsi="arial"/>
                <w:b/>
                <w:sz w:val="16"/>
              </w:rPr>
            </w:pPr>
            <w:r>
              <w:rPr>
                <w:rFonts w:ascii="arial" w:hAnsi="arial"/>
                <w:b/>
                <w:sz w:val="16"/>
              </w:rPr>
              <w:t>Plan</w:t>
            </w:r>
          </w:p>
          <w:p>
            <w:pPr>
              <w:pStyle w:val="TableContents"/>
              <w:spacing w:before="0" w:after="20"/>
              <w:rPr/>
            </w:pPr>
            <w:r>
              <w:rPr/>
              <w:t> </w:t>
            </w:r>
          </w:p>
        </w:tc>
        <w:tc>
          <w:tcPr>
            <w:tcW w:w="121"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6718" w:type="dxa"/>
            <w:tcBorders>
              <w:bottom w:val="single" w:sz="2" w:space="0" w:color="001C71"/>
            </w:tcBorders>
            <w:shd w:fill="auto" w:val="clear"/>
            <w:tcMar>
              <w:bottom w:w="28" w:type="dxa"/>
            </w:tcMar>
            <w:vAlign w:val="center"/>
          </w:tcPr>
          <w:p>
            <w:pPr>
              <w:pStyle w:val="TableContents"/>
              <w:spacing w:before="0" w:after="0"/>
              <w:rPr/>
            </w:pPr>
            <w:r>
              <w:rPr/>
              <w:t> </w:t>
            </w:r>
          </w:p>
          <w:p>
            <w:pPr>
              <w:pStyle w:val="TableContents"/>
              <w:spacing w:before="0" w:after="0"/>
              <w:rPr>
                <w:rFonts w:ascii="arial" w:hAnsi="arial"/>
                <w:sz w:val="16"/>
              </w:rPr>
            </w:pPr>
            <w:r>
              <w:rPr>
                <w:rFonts w:ascii="arial" w:hAnsi="arial"/>
                <w:sz w:val="16"/>
              </w:rPr>
              <w:t>The Cash Balance Plan is a tax-qualified pension plan generally available to all U.S.-based company employees.</w:t>
            </w:r>
          </w:p>
          <w:p>
            <w:pPr>
              <w:pStyle w:val="TableContents"/>
              <w:spacing w:before="0" w:after="20"/>
              <w:rPr/>
            </w:pPr>
            <w:r>
              <w:rPr/>
              <w:t> </w:t>
            </w:r>
          </w:p>
        </w:tc>
      </w:tr>
      <w:tr>
        <w:trPr/>
        <w:tc>
          <w:tcPr>
            <w:tcW w:w="1405" w:type="dxa"/>
            <w:vMerge w:val="continue"/>
            <w:tcBorders>
              <w:bottom w:val="single" w:sz="8" w:space="0" w:color="001C71"/>
            </w:tcBorders>
            <w:shd w:fill="auto" w:val="clear"/>
            <w:tcMar>
              <w:bottom w:w="28" w:type="dxa"/>
            </w:tcMar>
            <w:vAlign w:val="center"/>
          </w:tcPr>
          <w:p>
            <w:pPr>
              <w:pStyle w:val="Normal"/>
              <w:rPr/>
            </w:pPr>
            <w:r>
              <w:rPr/>
            </w:r>
          </w:p>
        </w:tc>
        <w:tc>
          <w:tcPr>
            <w:tcW w:w="107"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1854" w:type="dxa"/>
            <w:tcBorders>
              <w:bottom w:val="single" w:sz="2"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Cash Balance</w:t>
            </w:r>
          </w:p>
          <w:p>
            <w:pPr>
              <w:pStyle w:val="TableContents"/>
              <w:spacing w:before="0" w:after="20"/>
              <w:rPr>
                <w:rFonts w:ascii="arial" w:hAnsi="arial"/>
                <w:b/>
                <w:sz w:val="16"/>
              </w:rPr>
            </w:pPr>
            <w:r>
              <w:rPr>
                <w:rFonts w:ascii="arial" w:hAnsi="arial"/>
                <w:b/>
                <w:sz w:val="16"/>
              </w:rPr>
              <w:t>Restoration Plan</w:t>
            </w:r>
          </w:p>
        </w:tc>
        <w:tc>
          <w:tcPr>
            <w:tcW w:w="121"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6718" w:type="dxa"/>
            <w:tcBorders>
              <w:bottom w:val="single" w:sz="2"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sz w:val="16"/>
              </w:rPr>
              <w:t>The Cash Balance Restoration Plan restores the benefits that would otherwise be provided under the Cash Balance Plan but for Internal Revenue Service limits applicable to tax-qualified pension plans.</w:t>
            </w:r>
          </w:p>
          <w:p>
            <w:pPr>
              <w:pStyle w:val="TableContents"/>
              <w:spacing w:before="0" w:after="20"/>
              <w:rPr/>
            </w:pPr>
            <w:r>
              <w:rPr/>
              <w:t> </w:t>
            </w:r>
          </w:p>
        </w:tc>
      </w:tr>
      <w:tr>
        <w:trPr/>
        <w:tc>
          <w:tcPr>
            <w:tcW w:w="1405" w:type="dxa"/>
            <w:vMerge w:val="continue"/>
            <w:tcBorders>
              <w:bottom w:val="single" w:sz="8" w:space="0" w:color="001C71"/>
            </w:tcBorders>
            <w:shd w:fill="auto" w:val="clear"/>
            <w:tcMar>
              <w:bottom w:w="28" w:type="dxa"/>
            </w:tcMar>
            <w:vAlign w:val="center"/>
          </w:tcPr>
          <w:p>
            <w:pPr>
              <w:pStyle w:val="Normal"/>
              <w:rPr/>
            </w:pPr>
            <w:r>
              <w:rPr/>
            </w:r>
          </w:p>
        </w:tc>
        <w:tc>
          <w:tcPr>
            <w:tcW w:w="107" w:type="dxa"/>
            <w:tcBorders>
              <w:left w:val="single" w:sz="2" w:space="0" w:color="001C71"/>
              <w:bottom w:val="single" w:sz="8" w:space="0" w:color="001C71"/>
            </w:tcBorders>
            <w:shd w:fill="auto" w:val="clear"/>
            <w:tcMar>
              <w:left w:w="28" w:type="dxa"/>
              <w:bottom w:w="28" w:type="dxa"/>
            </w:tcMar>
            <w:vAlign w:val="bottom"/>
          </w:tcPr>
          <w:p>
            <w:pPr>
              <w:pStyle w:val="TableContents"/>
              <w:spacing w:before="0" w:after="283"/>
              <w:rPr/>
            </w:pPr>
            <w:r>
              <w:rPr/>
              <w:t> </w:t>
            </w:r>
          </w:p>
        </w:tc>
        <w:tc>
          <w:tcPr>
            <w:tcW w:w="1854" w:type="dxa"/>
            <w:tcBorders>
              <w:bottom w:val="single" w:sz="8"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Supplemental</w:t>
            </w:r>
          </w:p>
          <w:p>
            <w:pPr>
              <w:pStyle w:val="TableContents"/>
              <w:spacing w:before="0" w:after="0"/>
              <w:rPr>
                <w:rFonts w:ascii="arial" w:hAnsi="arial"/>
                <w:b/>
                <w:sz w:val="16"/>
              </w:rPr>
            </w:pPr>
            <w:r>
              <w:rPr>
                <w:rFonts w:ascii="arial" w:hAnsi="arial"/>
                <w:b/>
                <w:sz w:val="16"/>
              </w:rPr>
              <w:t>Executive</w:t>
            </w:r>
          </w:p>
          <w:p>
            <w:pPr>
              <w:pStyle w:val="TableContents"/>
              <w:spacing w:before="0" w:after="0"/>
              <w:rPr>
                <w:rFonts w:ascii="arial" w:hAnsi="arial"/>
                <w:b/>
                <w:sz w:val="16"/>
              </w:rPr>
            </w:pPr>
            <w:r>
              <w:rPr>
                <w:rFonts w:ascii="arial" w:hAnsi="arial"/>
                <w:b/>
                <w:sz w:val="16"/>
              </w:rPr>
              <w:t>Retirement</w:t>
            </w:r>
          </w:p>
          <w:p>
            <w:pPr>
              <w:pStyle w:val="TableContents"/>
              <w:spacing w:before="0" w:after="20"/>
              <w:rPr>
                <w:rFonts w:ascii="arial" w:hAnsi="arial"/>
                <w:b/>
                <w:sz w:val="16"/>
              </w:rPr>
            </w:pPr>
            <w:r>
              <w:rPr>
                <w:rFonts w:ascii="arial" w:hAnsi="arial"/>
                <w:b/>
                <w:sz w:val="16"/>
              </w:rPr>
              <w:t>Plan</w:t>
            </w:r>
          </w:p>
        </w:tc>
        <w:tc>
          <w:tcPr>
            <w:tcW w:w="121" w:type="dxa"/>
            <w:tcBorders>
              <w:left w:val="single" w:sz="2" w:space="0" w:color="001C71"/>
              <w:bottom w:val="single" w:sz="8" w:space="0" w:color="001C71"/>
            </w:tcBorders>
            <w:shd w:fill="auto" w:val="clear"/>
            <w:tcMar>
              <w:left w:w="28" w:type="dxa"/>
              <w:bottom w:w="28" w:type="dxa"/>
            </w:tcMar>
            <w:vAlign w:val="bottom"/>
          </w:tcPr>
          <w:p>
            <w:pPr>
              <w:pStyle w:val="TableContents"/>
              <w:spacing w:before="0" w:after="283"/>
              <w:rPr/>
            </w:pPr>
            <w:r>
              <w:rPr/>
              <w:t>  </w:t>
            </w:r>
          </w:p>
        </w:tc>
        <w:tc>
          <w:tcPr>
            <w:tcW w:w="6718" w:type="dxa"/>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sz w:val="16"/>
              </w:rPr>
              <w:t>The Compensation and Talent Development Committee believes that retirement, savings and deferred compensation plans, in general, and the Supplemental Executive Retirement Plan, in particular, are important elements of an overall compensation package. This package is designed to recruit and retain executive talent, especially mid-career executives, and to retain longer-term executive participants.</w:t>
            </w:r>
          </w:p>
          <w:p>
            <w:pPr>
              <w:pStyle w:val="TableContents"/>
              <w:spacing w:before="0" w:after="0"/>
              <w:rPr/>
            </w:pPr>
            <w:r>
              <w:rPr/>
              <w:t> </w:t>
            </w:r>
          </w:p>
          <w:p>
            <w:pPr>
              <w:pStyle w:val="TableContents"/>
              <w:spacing w:before="0" w:after="0"/>
              <w:rPr>
                <w:rFonts w:ascii="arial" w:hAnsi="arial"/>
                <w:sz w:val="16"/>
              </w:rPr>
            </w:pPr>
            <w:r>
              <w:rPr>
                <w:rFonts w:ascii="arial" w:hAnsi="arial"/>
                <w:sz w:val="16"/>
              </w:rPr>
              <w:t>Our Supplemental Executive Retirement Plan, or SERP, provides a participating named executive officer with retirement benefits based on the executives:</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  Final average pay(1)</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  Actual years of service</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  Age at retirement</w:t>
            </w:r>
          </w:p>
          <w:p>
            <w:pPr>
              <w:pStyle w:val="TableContents"/>
              <w:spacing w:before="0" w:after="0"/>
              <w:rPr/>
            </w:pPr>
            <w:r>
              <w:rPr/>
              <w:t> </w:t>
            </w:r>
          </w:p>
          <w:p>
            <w:pPr>
              <w:pStyle w:val="TableContents"/>
              <w:spacing w:before="0" w:after="0"/>
              <w:rPr>
                <w:rFonts w:ascii="arial" w:hAnsi="arial"/>
                <w:sz w:val="16"/>
              </w:rPr>
            </w:pPr>
            <w:r>
              <w:rPr>
                <w:rFonts w:ascii="arial" w:hAnsi="arial"/>
                <w:sz w:val="16"/>
              </w:rPr>
              <w:t>SERP benefits are reduced by benefits payable under the broad-based Cash Balance Plan.</w:t>
            </w:r>
          </w:p>
          <w:p>
            <w:pPr>
              <w:pStyle w:val="TableContents"/>
              <w:spacing w:before="0" w:after="0"/>
              <w:rPr/>
            </w:pPr>
            <w:r>
              <w:rPr/>
              <w:t> </w:t>
            </w:r>
          </w:p>
          <w:p>
            <w:pPr>
              <w:pStyle w:val="TableContents"/>
              <w:spacing w:before="0" w:after="0"/>
              <w:rPr>
                <w:rFonts w:ascii="arial" w:hAnsi="arial"/>
                <w:sz w:val="16"/>
              </w:rPr>
            </w:pPr>
            <w:r>
              <w:rPr>
                <w:rFonts w:ascii="arial" w:hAnsi="arial"/>
                <w:sz w:val="16"/>
              </w:rPr>
              <w:t>The Cash Balance Plan, the Cash Balance Restoration Plan and the SERP use only base salary and performance-based annual bonuses in calculating benefits. The value of long-term incentive plan awards is not included.</w:t>
            </w:r>
          </w:p>
          <w:p>
            <w:pPr>
              <w:pStyle w:val="TableContents"/>
              <w:spacing w:before="0" w:after="20"/>
              <w:rPr/>
            </w:pPr>
            <w:r>
              <w:rPr/>
              <w:t> </w:t>
            </w:r>
          </w:p>
        </w:tc>
      </w:tr>
    </w:tbl>
    <w:p>
      <w:pPr>
        <w:pStyle w:val="TextBody"/>
        <w:spacing w:before="80" w:after="0"/>
        <w:jc w:val="left"/>
        <w:rPr>
          <w:rFonts w:ascii="arial" w:hAnsi="arial"/>
          <w:i/>
          <w:sz w:val="14"/>
        </w:rPr>
      </w:pPr>
      <w:r>
        <w:rPr>
          <w:rFonts w:ascii="arial" w:hAnsi="arial"/>
          <w:i/>
          <w:sz w:val="14"/>
        </w:rPr>
        <w:t xml:space="preserve">Table 17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Final average pay is the average base salary for the two consecutive years of highest base salary prior to retirement plus the average of the three highest annual bonuses during the 10 years prior to retirement.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63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99"/>
        <w:gridCol w:w="107"/>
        <w:gridCol w:w="1863"/>
        <w:gridCol w:w="120"/>
        <w:gridCol w:w="6716"/>
      </w:tblGrid>
      <w:tr>
        <w:trPr/>
        <w:tc>
          <w:tcPr>
            <w:tcW w:w="1399"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716"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399" w:type="dxa"/>
            <w:tcBorders/>
            <w:shd w:fill="001C71" w:val="clear"/>
            <w:vAlign w:val="center"/>
          </w:tcPr>
          <w:p>
            <w:pPr>
              <w:pStyle w:val="TableContents"/>
              <w:spacing w:before="0" w:after="283"/>
              <w:rPr>
                <w:sz w:val="4"/>
                <w:szCs w:val="4"/>
              </w:rPr>
            </w:pPr>
            <w:r>
              <w:rPr>
                <w:sz w:val="4"/>
                <w:szCs w:val="4"/>
              </w:rPr>
            </w:r>
          </w:p>
        </w:tc>
        <w:tc>
          <w:tcPr>
            <w:tcW w:w="1970" w:type="dxa"/>
            <w:gridSpan w:val="2"/>
            <w:tcBorders>
              <w:left w:val="single" w:sz="2" w:space="0" w:color="001C71"/>
            </w:tcBorders>
            <w:shd w:fill="001C71" w:val="clear"/>
            <w:tcMar>
              <w:left w:w="28" w:type="dxa"/>
            </w:tcMar>
            <w:vAlign w:val="center"/>
          </w:tcPr>
          <w:p>
            <w:pPr>
              <w:pStyle w:val="TableContents"/>
              <w:spacing w:before="0" w:after="283"/>
              <w:rPr/>
            </w:pPr>
            <w:r>
              <w:rPr/>
              <w:t> </w:t>
            </w:r>
          </w:p>
        </w:tc>
        <w:tc>
          <w:tcPr>
            <w:tcW w:w="6836" w:type="dxa"/>
            <w:gridSpan w:val="2"/>
            <w:tcBorders>
              <w:left w:val="single" w:sz="2" w:space="0" w:color="001C71"/>
            </w:tcBorders>
            <w:shd w:fill="001C71" w:val="clear"/>
            <w:tcMar>
              <w:left w:w="28" w:type="dxa"/>
            </w:tcMar>
            <w:vAlign w:val="center"/>
          </w:tcPr>
          <w:p>
            <w:pPr>
              <w:pStyle w:val="TableContents"/>
              <w:spacing w:before="0" w:after="283"/>
              <w:rPr/>
            </w:pPr>
            <w:r>
              <w:rPr/>
              <w:t> </w:t>
            </w:r>
          </w:p>
        </w:tc>
      </w:tr>
      <w:tr>
        <w:trPr/>
        <w:tc>
          <w:tcPr>
            <w:tcW w:w="1399"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Plan Type</w:t>
            </w:r>
          </w:p>
        </w:tc>
        <w:tc>
          <w:tcPr>
            <w:tcW w:w="107" w:type="dxa"/>
            <w:tcBorders>
              <w:left w:val="single" w:sz="2" w:space="0" w:color="001C71"/>
            </w:tcBorders>
            <w:shd w:fill="001C71" w:val="clear"/>
            <w:tcMar>
              <w:left w:w="28" w:type="dxa"/>
            </w:tcMar>
            <w:vAlign w:val="bottom"/>
          </w:tcPr>
          <w:p>
            <w:pPr>
              <w:pStyle w:val="TableContents"/>
              <w:spacing w:before="0" w:after="283"/>
              <w:rPr/>
            </w:pPr>
            <w:r>
              <w:rPr/>
              <w:t> </w:t>
            </w:r>
          </w:p>
        </w:tc>
        <w:tc>
          <w:tcPr>
            <w:tcW w:w="1863" w:type="dxa"/>
            <w:tcBorders/>
            <w:shd w:fill="001C71" w:val="clear"/>
            <w:vAlign w:val="bottom"/>
          </w:tcPr>
          <w:p>
            <w:pPr>
              <w:pStyle w:val="TableContents"/>
              <w:spacing w:before="0" w:after="0"/>
              <w:jc w:val="center"/>
              <w:rPr>
                <w:rFonts w:ascii="arial" w:hAnsi="arial"/>
                <w:b/>
                <w:color w:val="FFFFFF"/>
                <w:sz w:val="16"/>
              </w:rPr>
            </w:pPr>
            <w:r>
              <w:rPr>
                <w:rFonts w:ascii="arial" w:hAnsi="arial"/>
                <w:b/>
                <w:color w:val="FFFFFF"/>
                <w:sz w:val="16"/>
              </w:rPr>
              <w:t>Plan</w:t>
            </w:r>
          </w:p>
        </w:tc>
        <w:tc>
          <w:tcPr>
            <w:tcW w:w="120" w:type="dxa"/>
            <w:tcBorders>
              <w:left w:val="single" w:sz="2" w:space="0" w:color="001C71"/>
            </w:tcBorders>
            <w:shd w:fill="001C71" w:val="clear"/>
            <w:tcMar>
              <w:left w:w="28" w:type="dxa"/>
            </w:tcMar>
            <w:vAlign w:val="bottom"/>
          </w:tcPr>
          <w:p>
            <w:pPr>
              <w:pStyle w:val="TableContents"/>
              <w:spacing w:before="0" w:after="283"/>
              <w:rPr/>
            </w:pPr>
            <w:r>
              <w:rPr/>
              <w:t>  </w:t>
            </w:r>
          </w:p>
        </w:tc>
        <w:tc>
          <w:tcPr>
            <w:tcW w:w="6716" w:type="dxa"/>
            <w:tcBorders/>
            <w:shd w:fill="001C71" w:val="clear"/>
            <w:vAlign w:val="bottom"/>
          </w:tcPr>
          <w:p>
            <w:pPr>
              <w:pStyle w:val="TableContents"/>
              <w:spacing w:before="0" w:after="283"/>
              <w:jc w:val="center"/>
              <w:rPr>
                <w:b/>
                <w:color w:val="FFFFFF"/>
              </w:rPr>
            </w:pPr>
            <w:r>
              <w:rPr>
                <w:b/>
                <w:color w:val="FFFFFF"/>
              </w:rPr>
              <w:t>Description</w:t>
            </w:r>
          </w:p>
        </w:tc>
      </w:tr>
      <w:tr>
        <w:trPr/>
        <w:tc>
          <w:tcPr>
            <w:tcW w:w="1399" w:type="dxa"/>
            <w:vMerge w:val="restart"/>
            <w:tcBorders>
              <w:bottom w:val="single" w:sz="8"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Savings</w:t>
            </w:r>
          </w:p>
          <w:p>
            <w:pPr>
              <w:pStyle w:val="TableContents"/>
              <w:spacing w:before="0" w:after="20"/>
              <w:rPr>
                <w:rFonts w:ascii="arial" w:hAnsi="arial"/>
                <w:b/>
                <w:sz w:val="16"/>
              </w:rPr>
            </w:pPr>
            <w:r>
              <w:rPr>
                <w:rFonts w:ascii="arial" w:hAnsi="arial"/>
                <w:b/>
                <w:sz w:val="16"/>
              </w:rPr>
              <w:t>Plans</w:t>
            </w:r>
          </w:p>
        </w:tc>
        <w:tc>
          <w:tcPr>
            <w:tcW w:w="107"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1863" w:type="dxa"/>
            <w:tcBorders>
              <w:bottom w:val="single" w:sz="2"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401(k)</w:t>
            </w:r>
          </w:p>
          <w:p>
            <w:pPr>
              <w:pStyle w:val="TableContents"/>
              <w:spacing w:before="0" w:after="20"/>
              <w:rPr>
                <w:rFonts w:ascii="arial" w:hAnsi="arial"/>
                <w:b/>
                <w:sz w:val="16"/>
              </w:rPr>
            </w:pPr>
            <w:r>
              <w:rPr>
                <w:rFonts w:ascii="arial" w:hAnsi="arial"/>
                <w:b/>
                <w:sz w:val="16"/>
              </w:rPr>
              <w:t>Savings Plan</w:t>
            </w:r>
          </w:p>
        </w:tc>
        <w:tc>
          <w:tcPr>
            <w:tcW w:w="120" w:type="dxa"/>
            <w:tcBorders>
              <w:left w:val="single" w:sz="2" w:space="0" w:color="001C71"/>
              <w:bottom w:val="single" w:sz="2" w:space="0" w:color="001C71"/>
            </w:tcBorders>
            <w:shd w:fill="auto" w:val="clear"/>
            <w:tcMar>
              <w:left w:w="28" w:type="dxa"/>
              <w:bottom w:w="28" w:type="dxa"/>
            </w:tcMar>
            <w:vAlign w:val="bottom"/>
          </w:tcPr>
          <w:p>
            <w:pPr>
              <w:pStyle w:val="TableContents"/>
              <w:spacing w:before="0" w:after="283"/>
              <w:rPr/>
            </w:pPr>
            <w:r>
              <w:rPr/>
              <w:t>  </w:t>
            </w:r>
          </w:p>
        </w:tc>
        <w:tc>
          <w:tcPr>
            <w:tcW w:w="6716" w:type="dxa"/>
            <w:tcBorders>
              <w:bottom w:val="single" w:sz="2"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sz w:val="16"/>
              </w:rPr>
              <w:t>Employees may contribute a portion of their eligible pay to a tax-qualified 401(k) savings plan. Contributions to the plan may be invested on a tax-deferred or after-tax basis (including a Roth option). The Internal Revenue Code limits the amount of compensation eligible for deferral under tax-qualified plans.</w:t>
            </w:r>
          </w:p>
          <w:p>
            <w:pPr>
              <w:pStyle w:val="TableContents"/>
              <w:spacing w:before="0" w:after="0"/>
              <w:rPr/>
            </w:pPr>
            <w:r>
              <w:rPr/>
              <w:t> </w:t>
            </w:r>
          </w:p>
          <w:p>
            <w:pPr>
              <w:pStyle w:val="TableContents"/>
              <w:spacing w:before="0" w:after="0"/>
              <w:rPr>
                <w:rFonts w:ascii="arial" w:hAnsi="arial"/>
                <w:sz w:val="16"/>
              </w:rPr>
            </w:pPr>
            <w:r>
              <w:rPr>
                <w:rFonts w:ascii="arial" w:hAnsi="arial"/>
                <w:sz w:val="16"/>
              </w:rPr>
              <w:t>Employees may receive company contributions of up to 4% of eligible pay. Eligible pay generally includes base salary and performance-based annual bonus, net of any amounts contributed under the deferred compensation plan. The basic company matching contribution is equal to one-half of the first 6% of the employees contributions. In addition, employees receive a stretch match equal to one-fifth of the next 5% of the employees contributions.</w:t>
            </w:r>
          </w:p>
          <w:p>
            <w:pPr>
              <w:pStyle w:val="TableContents"/>
              <w:spacing w:before="0" w:after="0"/>
              <w:rPr/>
            </w:pPr>
            <w:r>
              <w:rPr/>
              <w:t> </w:t>
            </w:r>
          </w:p>
          <w:p>
            <w:pPr>
              <w:pStyle w:val="TableContents"/>
              <w:spacing w:before="0" w:after="0"/>
              <w:rPr>
                <w:rFonts w:ascii="arial" w:hAnsi="arial"/>
                <w:sz w:val="16"/>
              </w:rPr>
            </w:pPr>
            <w:r>
              <w:rPr>
                <w:rFonts w:ascii="arial" w:hAnsi="arial"/>
                <w:sz w:val="16"/>
              </w:rPr>
              <w:t>All employee contributions and related investment earnings in the 401(k) Savings Plan vest immediately. Employees are eligible to participate in the plan and receive company matching contributions upon hire. Company matching contributions (including related earnings) vest after one year of service.</w:t>
            </w:r>
          </w:p>
          <w:p>
            <w:pPr>
              <w:pStyle w:val="TableContents"/>
              <w:spacing w:before="0" w:after="20"/>
              <w:rPr/>
            </w:pPr>
            <w:r>
              <w:rPr/>
              <w:t> </w:t>
            </w:r>
          </w:p>
        </w:tc>
      </w:tr>
      <w:tr>
        <w:trPr/>
        <w:tc>
          <w:tcPr>
            <w:tcW w:w="1399" w:type="dxa"/>
            <w:vMerge w:val="continue"/>
            <w:tcBorders>
              <w:bottom w:val="single" w:sz="8" w:space="0" w:color="001C71"/>
            </w:tcBorders>
            <w:shd w:fill="auto" w:val="clear"/>
            <w:tcMar>
              <w:bottom w:w="28" w:type="dxa"/>
            </w:tcMar>
            <w:vAlign w:val="center"/>
          </w:tcPr>
          <w:p>
            <w:pPr>
              <w:pStyle w:val="Normal"/>
              <w:rPr/>
            </w:pPr>
            <w:r>
              <w:rPr/>
            </w:r>
          </w:p>
        </w:tc>
        <w:tc>
          <w:tcPr>
            <w:tcW w:w="107" w:type="dxa"/>
            <w:tcBorders>
              <w:left w:val="single" w:sz="2" w:space="0" w:color="001C71"/>
              <w:bottom w:val="single" w:sz="8" w:space="0" w:color="001C71"/>
            </w:tcBorders>
            <w:shd w:fill="auto" w:val="clear"/>
            <w:tcMar>
              <w:left w:w="28" w:type="dxa"/>
              <w:bottom w:w="28" w:type="dxa"/>
            </w:tcMar>
            <w:vAlign w:val="bottom"/>
          </w:tcPr>
          <w:p>
            <w:pPr>
              <w:pStyle w:val="TableContents"/>
              <w:spacing w:before="0" w:after="283"/>
              <w:rPr/>
            </w:pPr>
            <w:r>
              <w:rPr/>
              <w:t> </w:t>
            </w:r>
          </w:p>
        </w:tc>
        <w:tc>
          <w:tcPr>
            <w:tcW w:w="1863" w:type="dxa"/>
            <w:tcBorders>
              <w:bottom w:val="single" w:sz="8"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Deferred</w:t>
            </w:r>
          </w:p>
          <w:p>
            <w:pPr>
              <w:pStyle w:val="TableContents"/>
              <w:spacing w:before="0" w:after="0"/>
              <w:rPr>
                <w:rFonts w:ascii="arial" w:hAnsi="arial"/>
                <w:b/>
                <w:sz w:val="16"/>
              </w:rPr>
            </w:pPr>
            <w:r>
              <w:rPr>
                <w:rFonts w:ascii="arial" w:hAnsi="arial"/>
                <w:b/>
                <w:sz w:val="16"/>
              </w:rPr>
              <w:t>Compensation</w:t>
            </w:r>
          </w:p>
          <w:p>
            <w:pPr>
              <w:pStyle w:val="TableContents"/>
              <w:spacing w:before="0" w:after="20"/>
              <w:rPr>
                <w:rFonts w:ascii="arial" w:hAnsi="arial"/>
                <w:b/>
                <w:sz w:val="16"/>
              </w:rPr>
            </w:pPr>
            <w:r>
              <w:rPr>
                <w:rFonts w:ascii="arial" w:hAnsi="arial"/>
                <w:b/>
                <w:sz w:val="16"/>
              </w:rPr>
              <w:t>Plan</w:t>
            </w:r>
          </w:p>
        </w:tc>
        <w:tc>
          <w:tcPr>
            <w:tcW w:w="120" w:type="dxa"/>
            <w:tcBorders>
              <w:left w:val="single" w:sz="2" w:space="0" w:color="001C71"/>
              <w:bottom w:val="single" w:sz="8" w:space="0" w:color="001C71"/>
            </w:tcBorders>
            <w:shd w:fill="auto" w:val="clear"/>
            <w:tcMar>
              <w:left w:w="28" w:type="dxa"/>
              <w:bottom w:w="28" w:type="dxa"/>
            </w:tcMar>
            <w:vAlign w:val="bottom"/>
          </w:tcPr>
          <w:p>
            <w:pPr>
              <w:pStyle w:val="TableContents"/>
              <w:spacing w:before="0" w:after="283"/>
              <w:rPr/>
            </w:pPr>
            <w:r>
              <w:rPr/>
              <w:t>  </w:t>
            </w:r>
          </w:p>
        </w:tc>
        <w:tc>
          <w:tcPr>
            <w:tcW w:w="6716" w:type="dxa"/>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sz w:val="16"/>
              </w:rPr>
              <w:t>Our executive officers and other key management employees also may defer up to 85% of their base salary and performance-based annual bonus under a nonqualified deferred compensation plan, the Employee and Director Savings Plan. Executive officers also may defer all or a portion of certain performance-based restricted stock unit awards upon vesting.</w:t>
            </w:r>
          </w:p>
          <w:p>
            <w:pPr>
              <w:pStyle w:val="TableContents"/>
              <w:spacing w:before="0" w:after="0"/>
              <w:rPr/>
            </w:pPr>
            <w:r>
              <w:rPr/>
              <w:t> </w:t>
            </w:r>
          </w:p>
          <w:p>
            <w:pPr>
              <w:pStyle w:val="TableContents"/>
              <w:spacing w:before="0" w:after="0"/>
              <w:rPr>
                <w:rFonts w:ascii="arial" w:hAnsi="arial"/>
                <w:sz w:val="16"/>
              </w:rPr>
            </w:pPr>
            <w:r>
              <w:rPr>
                <w:rFonts w:ascii="arial" w:hAnsi="arial"/>
                <w:sz w:val="16"/>
              </w:rPr>
              <w:t>Participants can direct these deferrals into:</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  Funds that mirror the investments available under our 401(k) Savings Plan, including a Sempra Energy phantom stock account</w:t>
            </w:r>
          </w:p>
          <w:p>
            <w:pPr>
              <w:pStyle w:val="TableContents"/>
              <w:spacing w:before="0" w:after="0"/>
              <w:rPr/>
            </w:pPr>
            <w:r>
              <w:rPr/>
              <w:t> </w:t>
            </w:r>
          </w:p>
          <w:p>
            <w:pPr>
              <w:pStyle w:val="TableContents"/>
              <w:spacing w:before="0" w:after="0"/>
              <w:rPr>
                <w:rFonts w:ascii="arial" w:hAnsi="arial"/>
                <w:sz w:val="16"/>
              </w:rPr>
            </w:pPr>
            <w:r>
              <w:rPr>
                <w:rFonts w:ascii="arial" w:hAnsi="arial"/>
                <w:color w:val="001C71"/>
                <w:sz w:val="16"/>
              </w:rPr>
              <w:t></w:t>
            </w:r>
            <w:r>
              <w:rPr>
                <w:rFonts w:ascii="arial" w:hAnsi="arial"/>
                <w:sz w:val="16"/>
              </w:rPr>
              <w:t>  A fund providing interest at the greater of 110% of the Moodys Corporate Bond Yield or the Moodys Corporate Bond Yield plus 1%</w:t>
            </w:r>
          </w:p>
          <w:p>
            <w:pPr>
              <w:pStyle w:val="TableContents"/>
              <w:spacing w:before="0" w:after="0"/>
              <w:rPr/>
            </w:pPr>
            <w:r>
              <w:rPr/>
              <w:t> </w:t>
            </w:r>
          </w:p>
          <w:p>
            <w:pPr>
              <w:pStyle w:val="TableContents"/>
              <w:spacing w:before="0" w:after="0"/>
              <w:rPr>
                <w:rFonts w:ascii="arial" w:hAnsi="arial"/>
                <w:sz w:val="16"/>
              </w:rPr>
            </w:pPr>
            <w:r>
              <w:rPr>
                <w:rFonts w:ascii="arial" w:hAnsi="arial"/>
                <w:sz w:val="16"/>
              </w:rPr>
              <w:t>Deferrals of performance-based restricted stock unit awards must be directed into the Sempra Energy phantom stock account and cannot be transferred into other investments and are paid out in shares of common stock in accordance with the participants payout elections.</w:t>
            </w:r>
          </w:p>
          <w:p>
            <w:pPr>
              <w:pStyle w:val="TableContents"/>
              <w:spacing w:before="0" w:after="0"/>
              <w:rPr/>
            </w:pPr>
            <w:r>
              <w:rPr/>
              <w:t> </w:t>
            </w:r>
          </w:p>
          <w:p>
            <w:pPr>
              <w:pStyle w:val="TableContents"/>
              <w:spacing w:before="0" w:after="0"/>
              <w:rPr>
                <w:rFonts w:ascii="arial" w:hAnsi="arial"/>
                <w:sz w:val="16"/>
              </w:rPr>
            </w:pPr>
            <w:r>
              <w:rPr>
                <w:rFonts w:ascii="arial" w:hAnsi="arial"/>
                <w:sz w:val="16"/>
              </w:rPr>
              <w:t>The Internal Revenue Code places annual limits on the amounts that employees and employers can defer into a 401(k) plan. Because of these limits, the company makes matching contributions for deferred compensation plan participants through the deferred compensation plan. The deferred compensation matching contribution is equal to one-half of the first 6% of the employees contributions plus one-fifth of the next 5% of the employees contributions less an offset for 401(k) matching contributions. There are no company matching contributions on deferrals of performance-based restricted stock unit awards.</w:t>
            </w:r>
          </w:p>
          <w:p>
            <w:pPr>
              <w:pStyle w:val="TableContents"/>
              <w:spacing w:before="0" w:after="0"/>
              <w:rPr/>
            </w:pPr>
            <w:r>
              <w:rPr/>
              <w:t> </w:t>
            </w:r>
          </w:p>
          <w:p>
            <w:pPr>
              <w:pStyle w:val="TableContents"/>
              <w:spacing w:before="0" w:after="0"/>
              <w:rPr>
                <w:rFonts w:ascii="arial" w:hAnsi="arial"/>
                <w:sz w:val="16"/>
              </w:rPr>
            </w:pPr>
            <w:r>
              <w:rPr>
                <w:rFonts w:ascii="arial" w:hAnsi="arial"/>
                <w:sz w:val="16"/>
              </w:rPr>
              <w:t>All employee contributions and related earnings in the deferred compensation plan vest immediately. New participants are immediately eligible for company matching contributions and company matching contributions (including related earnings) vest after one year of service.</w:t>
            </w:r>
          </w:p>
          <w:p>
            <w:pPr>
              <w:pStyle w:val="TableContents"/>
              <w:spacing w:before="0" w:after="20"/>
              <w:rPr/>
            </w:pPr>
            <w:r>
              <w:rPr/>
              <w:t> </w:t>
            </w:r>
          </w:p>
        </w:tc>
      </w:tr>
    </w:tbl>
    <w:p>
      <w:pPr>
        <w:pStyle w:val="TextBody"/>
        <w:spacing w:before="80" w:after="0"/>
        <w:jc w:val="left"/>
        <w:rPr>
          <w:rFonts w:ascii="arial" w:hAnsi="arial"/>
          <w:i/>
          <w:sz w:val="14"/>
        </w:rPr>
      </w:pPr>
      <w:r>
        <w:rPr>
          <w:rFonts w:ascii="arial" w:hAnsi="arial"/>
          <w:i/>
          <w:sz w:val="14"/>
        </w:rPr>
        <w:t xml:space="preserve">Table 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64</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0"/>
        <w:gridCol w:w="9496"/>
      </w:tblGrid>
      <w:tr>
        <w:trPr/>
        <w:tc>
          <w:tcPr>
            <w:tcW w:w="509" w:type="dxa"/>
            <w:tcBorders/>
            <w:shd w:fill="auto" w:val="clear"/>
          </w:tcPr>
          <w:p>
            <w:pPr>
              <w:pStyle w:val="TableContents"/>
              <w:spacing w:before="0" w:after="283"/>
              <w:jc w:val="left"/>
              <w:rPr>
                <w:color w:val="001C71"/>
              </w:rPr>
            </w:pPr>
            <w:bookmarkStart w:id="38" w:name="tx108157_17"/>
            <w:bookmarkEnd w:id="38"/>
            <w:r>
              <w:rPr>
                <w:color w:val="001C71"/>
              </w:rPr>
              <w:t>5.</w:t>
            </w:r>
          </w:p>
        </w:tc>
        <w:tc>
          <w:tcPr>
            <w:tcW w:w="2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color w:val="001C71"/>
              </w:rPr>
            </w:pPr>
            <w:r>
              <w:rPr>
                <w:color w:val="001C71"/>
              </w:rPr>
              <w:t xml:space="preserve">Severance and Change in Control Arrangements </w:t>
            </w:r>
          </w:p>
        </w:tc>
      </w:tr>
    </w:tbl>
    <w:p>
      <w:pPr>
        <w:pStyle w:val="TextBody"/>
        <w:spacing w:before="120" w:after="0"/>
        <w:jc w:val="left"/>
        <w:rPr>
          <w:rFonts w:ascii="arial" w:hAnsi="arial"/>
          <w:sz w:val="16"/>
        </w:rPr>
      </w:pPr>
      <w:r>
        <w:rPr>
          <w:rFonts w:ascii="arial" w:hAnsi="arial"/>
          <w:sz w:val="16"/>
        </w:rPr>
        <w:t xml:space="preserve">None of our U.S. officers has an employment agreement, but our named executive officers have severance pay agreements that include change in control features. </w:t>
      </w:r>
    </w:p>
    <w:p>
      <w:pPr>
        <w:pStyle w:val="TextBody"/>
        <w:spacing w:before="280" w:after="0"/>
        <w:jc w:val="left"/>
        <w:rPr>
          <w:rFonts w:ascii="arial" w:hAnsi="arial"/>
          <w:b/>
          <w:sz w:val="20"/>
        </w:rPr>
      </w:pPr>
      <w:r>
        <w:rPr>
          <w:rFonts w:ascii="arial" w:hAnsi="arial"/>
          <w:b/>
          <w:sz w:val="20"/>
        </w:rPr>
        <w:t xml:space="preserve">Rationale for Providing Severance Pay Agreements </w:t>
      </w:r>
    </w:p>
    <w:p>
      <w:pPr>
        <w:pStyle w:val="TextBody"/>
        <w:spacing w:before="120" w:after="0"/>
        <w:jc w:val="left"/>
        <w:rPr>
          <w:rFonts w:ascii="arial" w:hAnsi="arial"/>
          <w:sz w:val="16"/>
        </w:rPr>
      </w:pPr>
      <w:r>
        <w:rPr>
          <w:rFonts w:ascii="arial" w:hAnsi="arial"/>
          <w:sz w:val="16"/>
        </w:rPr>
        <w:t xml:space="preserve">The Compensation and Talent Development Committee believes severance pay agreements, which are a prevalent market practice, are effective in: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9"/>
        <w:gridCol w:w="9871"/>
      </w:tblGrid>
      <w:tr>
        <w:trPr/>
        <w:tc>
          <w:tcPr>
            <w:tcW w:w="205" w:type="dxa"/>
            <w:tcBorders/>
            <w:shd w:fill="auto" w:val="clear"/>
          </w:tcPr>
          <w:p>
            <w:pPr>
              <w:pStyle w:val="TableContents"/>
              <w:spacing w:before="0" w:after="283"/>
              <w:jc w:val="left"/>
              <w:rPr>
                <w:color w:val="001C71"/>
              </w:rPr>
            </w:pPr>
            <w:r>
              <w:rPr>
                <w:color w:val="001C71"/>
              </w:rPr>
              <w:t></w:t>
            </w:r>
          </w:p>
        </w:tc>
        <w:tc>
          <w:tcPr>
            <w:tcW w:w="129" w:type="dxa"/>
            <w:tcBorders/>
            <w:shd w:fill="auto" w:val="clear"/>
          </w:tcPr>
          <w:p>
            <w:pPr>
              <w:pStyle w:val="TableContents"/>
              <w:spacing w:before="0" w:after="283"/>
              <w:rPr/>
            </w:pPr>
            <w:r>
              <w:rPr/>
              <w:t> </w:t>
            </w:r>
          </w:p>
        </w:tc>
        <w:tc>
          <w:tcPr>
            <w:tcW w:w="9871" w:type="dxa"/>
            <w:tcBorders/>
            <w:shd w:fill="auto" w:val="clear"/>
          </w:tcPr>
          <w:p>
            <w:pPr>
              <w:pStyle w:val="TableContents"/>
              <w:spacing w:before="0" w:after="0"/>
              <w:jc w:val="left"/>
              <w:rPr>
                <w:rFonts w:ascii="arial" w:hAnsi="arial"/>
                <w:sz w:val="16"/>
              </w:rPr>
            </w:pPr>
            <w:r>
              <w:rPr>
                <w:rFonts w:ascii="arial" w:hAnsi="arial"/>
                <w:sz w:val="16"/>
              </w:rPr>
              <w:t xml:space="preserve">Attracting executives who are leaving an existing employer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2"/>
        <w:gridCol w:w="130"/>
        <w:gridCol w:w="9863"/>
      </w:tblGrid>
      <w:tr>
        <w:trPr/>
        <w:tc>
          <w:tcPr>
            <w:tcW w:w="212"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863" w:type="dxa"/>
            <w:tcBorders/>
            <w:shd w:fill="auto" w:val="clear"/>
          </w:tcPr>
          <w:p>
            <w:pPr>
              <w:pStyle w:val="TableContents"/>
              <w:spacing w:before="0" w:after="0"/>
              <w:jc w:val="left"/>
              <w:rPr>
                <w:rFonts w:ascii="arial" w:hAnsi="arial"/>
                <w:sz w:val="16"/>
              </w:rPr>
            </w:pPr>
            <w:r>
              <w:rPr>
                <w:rFonts w:ascii="arial" w:hAnsi="arial"/>
                <w:sz w:val="16"/>
              </w:rPr>
              <w:t xml:space="preserve">Mitigating legal issues upon an employment separation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4"/>
        <w:gridCol w:w="131"/>
        <w:gridCol w:w="9860"/>
      </w:tblGrid>
      <w:tr>
        <w:trPr/>
        <w:tc>
          <w:tcPr>
            <w:tcW w:w="214" w:type="dxa"/>
            <w:tcBorders/>
            <w:shd w:fill="auto" w:val="clear"/>
          </w:tcPr>
          <w:p>
            <w:pPr>
              <w:pStyle w:val="TableContents"/>
              <w:spacing w:before="0" w:after="283"/>
              <w:jc w:val="left"/>
              <w:rPr>
                <w:color w:val="001C71"/>
              </w:rPr>
            </w:pPr>
            <w:r>
              <w:rPr>
                <w:color w:val="001C71"/>
              </w:rPr>
              <w:t></w:t>
            </w:r>
          </w:p>
        </w:tc>
        <w:tc>
          <w:tcPr>
            <w:tcW w:w="131" w:type="dxa"/>
            <w:tcBorders/>
            <w:shd w:fill="auto" w:val="clear"/>
          </w:tcPr>
          <w:p>
            <w:pPr>
              <w:pStyle w:val="TableContents"/>
              <w:spacing w:before="0" w:after="283"/>
              <w:rPr/>
            </w:pPr>
            <w:r>
              <w:rPr/>
              <w:t> </w:t>
            </w:r>
          </w:p>
        </w:tc>
        <w:tc>
          <w:tcPr>
            <w:tcW w:w="9860" w:type="dxa"/>
            <w:tcBorders/>
            <w:shd w:fill="auto" w:val="clear"/>
          </w:tcPr>
          <w:p>
            <w:pPr>
              <w:pStyle w:val="TableContents"/>
              <w:spacing w:before="0" w:after="0"/>
              <w:jc w:val="left"/>
              <w:rPr>
                <w:rFonts w:ascii="arial" w:hAnsi="arial"/>
                <w:sz w:val="16"/>
              </w:rPr>
            </w:pPr>
            <w:r>
              <w:rPr>
                <w:rFonts w:ascii="arial" w:hAnsi="arial"/>
                <w:sz w:val="16"/>
              </w:rPr>
              <w:t xml:space="preserve">Retaining talent during uncertain times </w:t>
            </w:r>
          </w:p>
        </w:tc>
      </w:tr>
    </w:tbl>
    <w:p>
      <w:pPr>
        <w:pStyle w:val="TextBody"/>
        <w:spacing w:before="160" w:after="0"/>
        <w:jc w:val="left"/>
        <w:rPr>
          <w:rFonts w:ascii="arial" w:hAnsi="arial"/>
          <w:sz w:val="16"/>
        </w:rPr>
      </w:pPr>
      <w:r>
        <w:rPr>
          <w:rFonts w:ascii="arial" w:hAnsi="arial"/>
          <w:sz w:val="16"/>
        </w:rPr>
        <w:t xml:space="preserve">By mitigating the effect of potential job loss, severance pay agreements can reinforce management continuity, objectivity and focus on shareholder value. This is particularly critical in actual or potential change in control situations. Under the terms of our named executive officers severance pay agreements, payments are not required when terminations are for cause or upon a voluntary resignation that is not for good reason as described below. </w:t>
      </w:r>
    </w:p>
    <w:p>
      <w:pPr>
        <w:pStyle w:val="TextBody"/>
        <w:spacing w:before="280" w:after="0"/>
        <w:jc w:val="left"/>
        <w:rPr>
          <w:rFonts w:ascii="arial" w:hAnsi="arial"/>
          <w:b/>
          <w:sz w:val="20"/>
        </w:rPr>
      </w:pPr>
      <w:r>
        <w:rPr>
          <w:rFonts w:ascii="arial" w:hAnsi="arial"/>
          <w:b/>
          <w:sz w:val="20"/>
        </w:rPr>
        <w:t xml:space="preserve">Severance Pay Agreement Benefits </w:t>
      </w:r>
    </w:p>
    <w:p>
      <w:pPr>
        <w:pStyle w:val="TextBody"/>
        <w:spacing w:before="120" w:after="0"/>
        <w:jc w:val="left"/>
        <w:rPr>
          <w:rFonts w:ascii="arial" w:hAnsi="arial"/>
          <w:sz w:val="16"/>
        </w:rPr>
      </w:pPr>
      <w:r>
        <w:rPr>
          <w:rFonts w:ascii="arial" w:hAnsi="arial"/>
          <w:sz w:val="16"/>
        </w:rPr>
        <w:t xml:space="preserve">The severance pay agreements provide for cash payments and the continuation of certain other benefits for a limited period when: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2"/>
        <w:gridCol w:w="130"/>
        <w:gridCol w:w="9863"/>
      </w:tblGrid>
      <w:tr>
        <w:trPr/>
        <w:tc>
          <w:tcPr>
            <w:tcW w:w="212"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863" w:type="dxa"/>
            <w:tcBorders/>
            <w:shd w:fill="auto" w:val="clear"/>
          </w:tcPr>
          <w:p>
            <w:pPr>
              <w:pStyle w:val="TableContents"/>
              <w:spacing w:before="0" w:after="0"/>
              <w:jc w:val="left"/>
              <w:rPr>
                <w:rFonts w:ascii="arial" w:hAnsi="arial"/>
                <w:sz w:val="16"/>
              </w:rPr>
            </w:pPr>
            <w:r>
              <w:rPr>
                <w:rFonts w:ascii="arial" w:hAnsi="arial"/>
                <w:sz w:val="16"/>
              </w:rPr>
              <w:t xml:space="preserve">The company terminates an executives employment for reasons other than cause,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6"/>
        <w:gridCol w:w="132"/>
        <w:gridCol w:w="9857"/>
      </w:tblGrid>
      <w:tr>
        <w:trPr/>
        <w:tc>
          <w:tcPr>
            <w:tcW w:w="216" w:type="dxa"/>
            <w:tcBorders/>
            <w:shd w:fill="auto" w:val="clear"/>
          </w:tcPr>
          <w:p>
            <w:pPr>
              <w:pStyle w:val="TableContents"/>
              <w:spacing w:before="0" w:after="283"/>
              <w:jc w:val="left"/>
              <w:rPr>
                <w:color w:val="001C71"/>
              </w:rPr>
            </w:pPr>
            <w:r>
              <w:rPr>
                <w:color w:val="001C71"/>
              </w:rPr>
              <w:t></w:t>
            </w:r>
          </w:p>
        </w:tc>
        <w:tc>
          <w:tcPr>
            <w:tcW w:w="132" w:type="dxa"/>
            <w:tcBorders/>
            <w:shd w:fill="auto" w:val="clear"/>
          </w:tcPr>
          <w:p>
            <w:pPr>
              <w:pStyle w:val="TableContents"/>
              <w:spacing w:before="0" w:after="283"/>
              <w:rPr/>
            </w:pPr>
            <w:r>
              <w:rPr/>
              <w:t> </w:t>
            </w:r>
          </w:p>
        </w:tc>
        <w:tc>
          <w:tcPr>
            <w:tcW w:w="9857" w:type="dxa"/>
            <w:tcBorders/>
            <w:shd w:fill="auto" w:val="clear"/>
          </w:tcPr>
          <w:p>
            <w:pPr>
              <w:pStyle w:val="TableContents"/>
              <w:spacing w:before="0" w:after="0"/>
              <w:jc w:val="left"/>
              <w:rPr>
                <w:rFonts w:ascii="arial" w:hAnsi="arial"/>
                <w:sz w:val="16"/>
              </w:rPr>
            </w:pPr>
            <w:r>
              <w:rPr>
                <w:rFonts w:ascii="arial" w:hAnsi="arial"/>
                <w:sz w:val="16"/>
              </w:rPr>
              <w:t xml:space="preserve">The executive resigns for good reason </w:t>
            </w:r>
          </w:p>
        </w:tc>
      </w:tr>
    </w:tbl>
    <w:p>
      <w:pPr>
        <w:pStyle w:val="TextBody"/>
        <w:spacing w:before="160" w:after="0"/>
        <w:jc w:val="left"/>
        <w:rPr>
          <w:rFonts w:ascii="arial" w:hAnsi="arial"/>
          <w:sz w:val="16"/>
        </w:rPr>
      </w:pPr>
      <w:r>
        <w:rPr>
          <w:rFonts w:ascii="arial" w:hAnsi="arial"/>
          <w:sz w:val="16"/>
        </w:rPr>
        <w:t xml:space="preserve">A resignation for good reason may occur if there is an adverse change in scope of duties or in compensation and benefit opportunities or, following a change in control, changes in employment location. These provisions are intended to provide safeguards against arbitrary actions that may effectively force an executive to resign. </w:t>
      </w:r>
    </w:p>
    <w:p>
      <w:pPr>
        <w:pStyle w:val="TextBody"/>
        <w:spacing w:before="160" w:after="0"/>
        <w:jc w:val="left"/>
        <w:rPr>
          <w:rFonts w:ascii="arial" w:hAnsi="arial"/>
          <w:sz w:val="16"/>
        </w:rPr>
      </w:pPr>
      <w:r>
        <w:rPr>
          <w:rFonts w:ascii="arial" w:hAnsi="arial"/>
          <w:sz w:val="16"/>
        </w:rPr>
        <w:t xml:space="preserve">The agreements provide for additional benefits if the termination of employment were to occur within two years following a change in control of the company. </w:t>
      </w:r>
    </w:p>
    <w:p>
      <w:pPr>
        <w:pStyle w:val="TextBody"/>
        <w:spacing w:before="160" w:after="0"/>
        <w:jc w:val="left"/>
        <w:rPr>
          <w:rFonts w:ascii="arial" w:hAnsi="arial"/>
          <w:sz w:val="16"/>
        </w:rPr>
      </w:pPr>
      <w:r>
        <w:rPr>
          <w:rFonts w:ascii="arial" w:hAnsi="arial"/>
          <w:sz w:val="16"/>
        </w:rPr>
        <w:t xml:space="preserve">The agreements do not contain any excise tax gross-up provisions. In addition, in order to receive some of the benefits provided for in the agreement, the executive must, upon termination, enter into a general release in favor of the company, provide consulting services for the company for two years following the date of termination, if requested, and agree to abide by certain contractual confidentiality and non-solicitation obligations. See Compensation Tables  Severance and Change in Control Benefits below for additional information about the terms of each named executive officers severance pay agreement. </w:t>
      </w:r>
    </w:p>
    <w:p>
      <w:pPr>
        <w:pStyle w:val="TextBody"/>
        <w:spacing w:before="280" w:after="0"/>
        <w:jc w:val="left"/>
        <w:rPr>
          <w:rFonts w:ascii="arial" w:hAnsi="arial"/>
          <w:b/>
          <w:sz w:val="20"/>
        </w:rPr>
      </w:pPr>
      <w:r>
        <w:rPr>
          <w:rFonts w:ascii="arial" w:hAnsi="arial"/>
          <w:b/>
          <w:sz w:val="20"/>
        </w:rPr>
        <w:t xml:space="preserve">Outstanding Equity Award Treatment Upon Certain Terminations or a Change in Control </w:t>
      </w:r>
    </w:p>
    <w:p>
      <w:pPr>
        <w:pStyle w:val="TextBody"/>
        <w:spacing w:before="120" w:after="0"/>
        <w:jc w:val="left"/>
        <w:rPr>
          <w:rFonts w:ascii="arial" w:hAnsi="arial"/>
          <w:sz w:val="16"/>
        </w:rPr>
      </w:pPr>
      <w:r>
        <w:rPr>
          <w:rFonts w:ascii="arial" w:hAnsi="arial"/>
          <w:sz w:val="16"/>
        </w:rPr>
        <w:t xml:space="preserve">Awards granted under our shareholder-approved 2013 and 2019 Long-Term Incentive Plans are subject to the double trigger change in control vesting provisions in these plans. This means that awards do not automatically vest upon a change in control. Rather, except under limited circumstances, vesting is only accelerated upon a termination of employment that meets certain conditions following a change in control. In the event of a termination of employment other than in connection with a change in control, equity awards are generally forfeited to the extent they are not vested at the time of termination, subject to accelerated vesting or non-forfeiture upon termination in certain specific circumstances. See Compensation TablesSeverance and Change in Control Benefits below for additional information. </w:t>
      </w:r>
    </w:p>
    <w:p>
      <w:pPr>
        <w:pStyle w:val="TextBody"/>
        <w:spacing w:before="160" w:after="0"/>
        <w:jc w:val="left"/>
        <w:rPr>
          <w:rFonts w:ascii="arial" w:hAnsi="arial"/>
          <w:sz w:val="16"/>
        </w:rPr>
      </w:pPr>
      <w:r>
        <w:rPr>
          <w:rFonts w:ascii="arial" w:hAnsi="arial"/>
          <w:sz w:val="16"/>
        </w:rPr>
        <w:t xml:space="preserve">The Compensation and Talent Development Committee determined to utilize double trigger vesting provisions in connection with a change in control because it believes double-trigger vesting more accurately reflects current market practices while still providing appropriate benefits to executives in the event of a termination in connection with a change in control, and is thus in the best interests of our company and our shareholders. </w:t>
      </w:r>
    </w:p>
    <w:p>
      <w:pPr>
        <w:pStyle w:val="TextBody"/>
        <w:spacing w:before="280" w:after="0"/>
        <w:jc w:val="left"/>
        <w:rPr>
          <w:rFonts w:ascii="arial" w:hAnsi="arial"/>
          <w:b/>
          <w:sz w:val="20"/>
        </w:rPr>
      </w:pPr>
      <w:r>
        <w:rPr>
          <w:rFonts w:ascii="arial" w:hAnsi="arial"/>
          <w:b/>
          <w:sz w:val="20"/>
        </w:rPr>
        <w:t xml:space="preserve">2020 Severance Pay Agreement Benefits </w:t>
      </w:r>
    </w:p>
    <w:p>
      <w:pPr>
        <w:pStyle w:val="TextBody"/>
        <w:spacing w:before="120" w:after="0"/>
        <w:jc w:val="left"/>
        <w:rPr>
          <w:rFonts w:ascii="arial" w:hAnsi="arial"/>
          <w:sz w:val="16"/>
        </w:rPr>
      </w:pPr>
      <w:r>
        <w:rPr>
          <w:rFonts w:ascii="arial" w:hAnsi="arial"/>
          <w:sz w:val="16"/>
        </w:rPr>
        <w:t xml:space="preserve">Consistent with a separation for good reason as defined in Mr. Bilicics severance pay agreement, he received the benefits to which he was entitled in the event of such a separation pursuant to the terms of that agreement, which consisted of a cash payment in the amount of $3,248,000, eligibility for certain medical benefits for 24 months (which Mr. Bilicic elected not to receive), outplacement services for up to 24 months not to exceed $50,000 in total, and financial planning services for 24 months not to exceed $25,000 per year. In addition, the vesting of an award of service-based restricted stock units consisting of 31,427 shares that was outstanding at the separation date was accelerated (not including any future reinvested dividends) pursuant to the terms of the award.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65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28"/>
        </w:rPr>
      </w:pPr>
      <w:bookmarkStart w:id="39" w:name="tx108157_18"/>
      <w:bookmarkEnd w:id="39"/>
      <w:r>
        <w:rPr>
          <w:rFonts w:ascii="arial" w:hAnsi="arial"/>
          <w:sz w:val="28"/>
        </w:rPr>
        <w:t xml:space="preserve">Compensation and Talent Development Committee Roles and Responsibilities </w:t>
      </w:r>
    </w:p>
    <w:p>
      <w:pPr>
        <w:pStyle w:val="TextBody"/>
        <w:pBdr>
          <w:bottom w:val="single" w:sz="2" w:space="1" w:color="001C71"/>
        </w:pBdr>
        <w:spacing w:lineRule="atLeast" w:line="180" w:before="0" w:after="40"/>
        <w:jc w:val="left"/>
        <w:rPr/>
      </w:pPr>
      <w:r>
        <w:rPr/>
        <w:t> </w:t>
      </w:r>
    </w:p>
    <w:p>
      <w:pPr>
        <w:pStyle w:val="TextBody"/>
        <w:spacing w:before="280" w:after="0"/>
        <w:jc w:val="left"/>
        <w:rPr>
          <w:rFonts w:ascii="arial" w:hAnsi="arial"/>
          <w:b/>
          <w:color w:val="001C71"/>
          <w:sz w:val="24"/>
        </w:rPr>
      </w:pPr>
      <w:r>
        <w:rPr>
          <w:rFonts w:ascii="arial" w:hAnsi="arial"/>
          <w:b/>
          <w:color w:val="001C71"/>
          <w:sz w:val="24"/>
        </w:rPr>
        <w:t xml:space="preserve">Overview </w:t>
      </w:r>
    </w:p>
    <w:p>
      <w:pPr>
        <w:pStyle w:val="TextBody"/>
        <w:spacing w:before="120" w:after="0"/>
        <w:jc w:val="left"/>
        <w:rPr>
          <w:rFonts w:ascii="arial" w:hAnsi="arial"/>
          <w:sz w:val="16"/>
        </w:rPr>
      </w:pPr>
      <w:r>
        <w:rPr>
          <w:rFonts w:ascii="arial" w:hAnsi="arial"/>
          <w:sz w:val="16"/>
        </w:rPr>
        <w:t xml:space="preserve">The Compensation and Talent Development Committees primary role is to establish our compensation principles and policies and design and oversee our executive compensation program. The Compensation and Talent Development Committee reviews, determines and approves the compensation level, including base salary and performance standards and level of awards under annual and long-term incentive plans, for our Chief Executive Officer and other executive officers. </w:t>
      </w:r>
    </w:p>
    <w:p>
      <w:pPr>
        <w:pStyle w:val="TextBody"/>
        <w:spacing w:before="160" w:after="0"/>
        <w:jc w:val="left"/>
        <w:rPr>
          <w:rFonts w:ascii="arial" w:hAnsi="arial"/>
          <w:sz w:val="16"/>
        </w:rPr>
      </w:pPr>
      <w:r>
        <w:rPr>
          <w:rFonts w:ascii="arial" w:hAnsi="arial"/>
          <w:sz w:val="16"/>
        </w:rPr>
        <w:t xml:space="preserve">The Compensation and Talent Development Committee typically holds three regularly scheduled meetings each year and additional meetings when required. The committees Chair approves the agenda prior to each meeting. Five directors currently sit on the committee. Each member of the committee is required to be: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An independent director under NYSEs independence standards and applicable SEC rules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arial" w:hAnsi="arial"/>
                <w:sz w:val="16"/>
              </w:rPr>
            </w:pPr>
            <w:r>
              <w:rPr>
                <w:rFonts w:ascii="arial" w:hAnsi="arial"/>
                <w:sz w:val="16"/>
              </w:rPr>
              <w:t xml:space="preserve">A non-employee director under Rule 16b-3 under the Exchange Act </w:t>
            </w:r>
          </w:p>
        </w:tc>
      </w:tr>
    </w:tbl>
    <w:p>
      <w:pPr>
        <w:pStyle w:val="TextBody"/>
        <w:spacing w:before="160" w:after="0"/>
        <w:jc w:val="left"/>
        <w:rPr>
          <w:rFonts w:ascii="arial" w:hAnsi="arial"/>
          <w:sz w:val="16"/>
        </w:rPr>
      </w:pPr>
      <w:r>
        <w:rPr>
          <w:rFonts w:ascii="arial" w:hAnsi="arial"/>
          <w:sz w:val="16"/>
        </w:rPr>
        <w:t xml:space="preserve">The Compensation and Talent Development Committee: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130"/>
        <w:gridCol w:w="9867"/>
      </w:tblGrid>
      <w:tr>
        <w:trPr/>
        <w:tc>
          <w:tcPr>
            <w:tcW w:w="208"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867" w:type="dxa"/>
            <w:tcBorders/>
            <w:shd w:fill="auto" w:val="clear"/>
          </w:tcPr>
          <w:p>
            <w:pPr>
              <w:pStyle w:val="TableContents"/>
              <w:spacing w:before="0" w:after="0"/>
              <w:jc w:val="left"/>
              <w:rPr>
                <w:rFonts w:ascii="arial" w:hAnsi="arial"/>
                <w:sz w:val="16"/>
              </w:rPr>
            </w:pPr>
            <w:r>
              <w:rPr>
                <w:rFonts w:ascii="arial" w:hAnsi="arial"/>
                <w:sz w:val="16"/>
              </w:rPr>
              <w:t xml:space="preserve">Sets its regular meeting dates and standing agenda items annually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1"/>
        <w:gridCol w:w="128"/>
        <w:gridCol w:w="9876"/>
      </w:tblGrid>
      <w:tr>
        <w:trPr/>
        <w:tc>
          <w:tcPr>
            <w:tcW w:w="201"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6" w:type="dxa"/>
            <w:tcBorders/>
            <w:shd w:fill="auto" w:val="clear"/>
          </w:tcPr>
          <w:p>
            <w:pPr>
              <w:pStyle w:val="TableContents"/>
              <w:spacing w:before="0" w:after="0"/>
              <w:jc w:val="left"/>
              <w:rPr>
                <w:rFonts w:ascii="arial" w:hAnsi="arial"/>
                <w:sz w:val="16"/>
              </w:rPr>
            </w:pPr>
            <w:r>
              <w:rPr>
                <w:rFonts w:ascii="arial" w:hAnsi="arial"/>
                <w:sz w:val="16"/>
              </w:rPr>
              <w:t xml:space="preserve">Considers standing agenda items and other topics at each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0"/>
        <w:gridCol w:w="127"/>
        <w:gridCol w:w="9878"/>
      </w:tblGrid>
      <w:tr>
        <w:trPr/>
        <w:tc>
          <w:tcPr>
            <w:tcW w:w="200"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8" w:type="dxa"/>
            <w:tcBorders/>
            <w:shd w:fill="auto" w:val="clear"/>
          </w:tcPr>
          <w:p>
            <w:pPr>
              <w:pStyle w:val="TableContents"/>
              <w:spacing w:before="0" w:after="0"/>
              <w:jc w:val="left"/>
              <w:rPr>
                <w:rFonts w:ascii="arial" w:hAnsi="arial"/>
                <w:sz w:val="16"/>
              </w:rPr>
            </w:pPr>
            <w:r>
              <w:rPr>
                <w:rFonts w:ascii="arial" w:hAnsi="arial"/>
                <w:sz w:val="16"/>
              </w:rPr>
              <w:t xml:space="preserve">Holds an executive session without management present at each regular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Retains its own independent compensation advisor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Recommends changes to its charter for approval by the board as needed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4"/>
        <w:gridCol w:w="127"/>
        <w:gridCol w:w="9874"/>
      </w:tblGrid>
      <w:tr>
        <w:trPr/>
        <w:tc>
          <w:tcPr>
            <w:tcW w:w="204"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4" w:type="dxa"/>
            <w:tcBorders/>
            <w:shd w:fill="auto" w:val="clear"/>
          </w:tcPr>
          <w:p>
            <w:pPr>
              <w:pStyle w:val="TableContents"/>
              <w:spacing w:before="0" w:after="0"/>
              <w:jc w:val="left"/>
              <w:rPr>
                <w:rFonts w:ascii="arial" w:hAnsi="arial"/>
                <w:sz w:val="16"/>
              </w:rPr>
            </w:pPr>
            <w:r>
              <w:rPr>
                <w:rFonts w:ascii="arial" w:hAnsi="arial"/>
                <w:sz w:val="16"/>
              </w:rPr>
              <w:t xml:space="preserve">Conducts an annual self-assessment of its effectiveness in compliance with its charter </w:t>
            </w:r>
          </w:p>
        </w:tc>
      </w:tr>
    </w:tbl>
    <w:p>
      <w:pPr>
        <w:pStyle w:val="TextBody"/>
        <w:spacing w:before="160" w:after="0"/>
        <w:jc w:val="left"/>
        <w:rPr>
          <w:rFonts w:ascii="arial" w:hAnsi="arial"/>
          <w:sz w:val="16"/>
        </w:rPr>
      </w:pPr>
      <w:r>
        <w:rPr>
          <w:rFonts w:ascii="arial" w:hAnsi="arial"/>
          <w:sz w:val="16"/>
        </w:rPr>
        <w:t xml:space="preserve">The Compensation and Talent Development Committees charter is available on our website at </w:t>
      </w:r>
      <w:r>
        <w:rPr>
          <w:rFonts w:ascii="arial" w:hAnsi="arial"/>
          <w:i/>
          <w:sz w:val="16"/>
        </w:rPr>
        <w:t>www.sempra.com</w:t>
      </w:r>
      <w:r>
        <w:rPr>
          <w:rFonts w:ascii="arial" w:hAnsi="arial"/>
          <w:sz w:val="16"/>
        </w:rPr>
        <w:t xml:space="preserve"> under the Investors and Governance tabs. The Compensation and Talent Development Committees major responsibilities are discussed under Corporate GovernanceBoard CommitteesCompensation and Talent Development Committee. </w:t>
      </w:r>
    </w:p>
    <w:p>
      <w:pPr>
        <w:pStyle w:val="TextBody"/>
        <w:spacing w:before="280" w:after="0"/>
        <w:jc w:val="left"/>
        <w:rPr>
          <w:rFonts w:ascii="arial" w:hAnsi="arial"/>
          <w:b/>
          <w:color w:val="001C71"/>
          <w:sz w:val="24"/>
        </w:rPr>
      </w:pPr>
      <w:r>
        <w:rPr>
          <w:rFonts w:ascii="arial" w:hAnsi="arial"/>
          <w:b/>
          <w:color w:val="001C71"/>
          <w:sz w:val="24"/>
        </w:rPr>
        <w:t xml:space="preserve">Tally Sheets and Other Information </w:t>
      </w:r>
    </w:p>
    <w:p>
      <w:pPr>
        <w:pStyle w:val="TextBody"/>
        <w:spacing w:before="120" w:after="0"/>
        <w:jc w:val="left"/>
        <w:rPr>
          <w:rFonts w:ascii="arial" w:hAnsi="arial"/>
          <w:sz w:val="16"/>
        </w:rPr>
      </w:pPr>
      <w:r>
        <w:rPr>
          <w:rFonts w:ascii="arial" w:hAnsi="arial"/>
          <w:sz w:val="16"/>
        </w:rPr>
        <w:t xml:space="preserve">The Compensation and Talent Development Committee uses tally sheets to review and evaluate our executive compensation and benefit programs as a whole. These tally sheets, along with information prepared annually for our proxy statement, provide: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Information for analyzing the design, operation and effectiveness of our executive compensation program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The total dollar value of executives accumulated compensation and benefits, including holdings of our common stock and realized and unrealized gains under equity-based compensation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Estimated pension benefits, life insurance benefits and deferred compensation balances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6"/>
        <w:gridCol w:w="129"/>
        <w:gridCol w:w="9870"/>
      </w:tblGrid>
      <w:tr>
        <w:trPr/>
        <w:tc>
          <w:tcPr>
            <w:tcW w:w="206" w:type="dxa"/>
            <w:tcBorders/>
            <w:shd w:fill="auto" w:val="clear"/>
          </w:tcPr>
          <w:p>
            <w:pPr>
              <w:pStyle w:val="TableContents"/>
              <w:spacing w:before="0" w:after="283"/>
              <w:jc w:val="left"/>
              <w:rPr>
                <w:color w:val="001C71"/>
              </w:rPr>
            </w:pPr>
            <w:r>
              <w:rPr>
                <w:color w:val="001C71"/>
              </w:rPr>
              <w:t></w:t>
            </w:r>
          </w:p>
        </w:tc>
        <w:tc>
          <w:tcPr>
            <w:tcW w:w="129"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arial" w:hAnsi="arial"/>
                <w:sz w:val="16"/>
              </w:rPr>
            </w:pPr>
            <w:r>
              <w:rPr>
                <w:rFonts w:ascii="arial" w:hAnsi="arial"/>
                <w:sz w:val="16"/>
              </w:rPr>
              <w:t xml:space="preserve">Information on change in control scenarios </w:t>
            </w:r>
          </w:p>
        </w:tc>
      </w:tr>
    </w:tbl>
    <w:p>
      <w:pPr>
        <w:pStyle w:val="TextBody"/>
        <w:spacing w:before="160" w:after="0"/>
        <w:jc w:val="left"/>
        <w:rPr>
          <w:rFonts w:ascii="arial" w:hAnsi="arial"/>
          <w:sz w:val="16"/>
        </w:rPr>
      </w:pPr>
      <w:r>
        <w:rPr>
          <w:rFonts w:ascii="arial" w:hAnsi="arial"/>
          <w:sz w:val="16"/>
        </w:rPr>
        <w:t xml:space="preserve">The committee does not rely on tally sheets to establish specific pay levels. Instead, pay levels are based primarily on external market data and other considerations described under Labor Market Benchmarking. </w:t>
      </w:r>
    </w:p>
    <w:p>
      <w:pPr>
        <w:pStyle w:val="TextBody"/>
        <w:spacing w:before="160" w:after="0"/>
        <w:jc w:val="left"/>
        <w:rPr>
          <w:rFonts w:ascii="arial" w:hAnsi="arial"/>
          <w:sz w:val="16"/>
        </w:rPr>
      </w:pPr>
      <w:r>
        <w:rPr>
          <w:rFonts w:ascii="arial" w:hAnsi="arial"/>
          <w:sz w:val="16"/>
        </w:rPr>
        <w:t xml:space="preserve">In addition, board members periodically receive an overview of our executive compensation philosophy, executive compensation program and officer and employee demographic data. </w:t>
      </w:r>
    </w:p>
    <w:p>
      <w:pPr>
        <w:pStyle w:val="TextBody"/>
        <w:spacing w:before="280" w:after="0"/>
        <w:jc w:val="left"/>
        <w:rPr>
          <w:rFonts w:ascii="arial" w:hAnsi="arial"/>
          <w:b/>
          <w:color w:val="001C71"/>
          <w:sz w:val="24"/>
        </w:rPr>
      </w:pPr>
      <w:r>
        <w:rPr>
          <w:rFonts w:ascii="arial" w:hAnsi="arial"/>
          <w:b/>
          <w:color w:val="001C71"/>
          <w:sz w:val="24"/>
        </w:rPr>
        <w:t xml:space="preserve">The Compensation and Talent Development Committees Advisors </w:t>
      </w:r>
    </w:p>
    <w:p>
      <w:pPr>
        <w:pStyle w:val="TextBody"/>
        <w:spacing w:before="120" w:after="0"/>
        <w:jc w:val="left"/>
        <w:rPr>
          <w:rFonts w:ascii="arial" w:hAnsi="arial"/>
          <w:sz w:val="16"/>
        </w:rPr>
      </w:pPr>
      <w:r>
        <w:rPr>
          <w:rFonts w:ascii="arial" w:hAnsi="arial"/>
          <w:sz w:val="16"/>
        </w:rPr>
        <w:t xml:space="preserve">The Compensation and Talent Development Committee retains an independent advisor to assist it with executive compensation matters. The committee has the sole authority to select, compensate and terminate its external advisors, and is directly responsible for the oversight of the work of any such advisors. </w:t>
      </w:r>
    </w:p>
    <w:p>
      <w:pPr>
        <w:pStyle w:val="TextBody"/>
        <w:spacing w:before="160" w:after="0"/>
        <w:jc w:val="left"/>
        <w:rPr>
          <w:rFonts w:ascii="arial" w:hAnsi="arial"/>
          <w:sz w:val="16"/>
        </w:rPr>
      </w:pPr>
      <w:r>
        <w:rPr>
          <w:rFonts w:ascii="arial" w:hAnsi="arial"/>
          <w:sz w:val="16"/>
        </w:rPr>
        <w:t xml:space="preserve">In 2020, the committee retained Exequity as its independent compensation consultant. The committee has assessed Exequitys independence pursuant to SEC and NYSE rules and concluded that there are no conflicts of interest. Exequity is a nationally recognized independent provider of executive compensation advisory services and it is not affiliated with any of the companys other service providers.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66</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An Exequity representative attended and met in executive session with committee members at all of the 2020 meetings.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164465"/>
            <wp:effectExtent l="0" t="0" r="0" b="0"/>
            <wp:docPr id="8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5" descr=""/>
                    <pic:cNvPicPr>
                      <a:picLocks noChangeAspect="1" noChangeArrowheads="1"/>
                    </pic:cNvPicPr>
                  </pic:nvPicPr>
                  <pic:blipFill>
                    <a:blip r:embed="rId66"/>
                    <a:stretch>
                      <a:fillRect/>
                    </a:stretch>
                  </pic:blipFill>
                  <pic:spPr bwMode="auto">
                    <a:xfrm>
                      <a:off x="0" y="0"/>
                      <a:ext cx="625475" cy="164465"/>
                    </a:xfrm>
                    <a:prstGeom prst="rect">
                      <a:avLst/>
                    </a:prstGeom>
                  </pic:spPr>
                </pic:pic>
              </a:graphicData>
            </a:graphic>
          </wp:inline>
        </w:drawing>
      </w:r>
      <w:r>
        <w:rPr/>
        <w:t xml:space="preserve"> </w:t>
      </w:r>
    </w:p>
    <w:p>
      <w:pPr>
        <w:pStyle w:val="TextBody"/>
        <w:jc w:val="center"/>
        <w:rPr>
          <w:rFonts w:ascii="arial" w:hAnsi="arial"/>
          <w:color w:val="FFFFFF"/>
          <w:sz w:val="2"/>
        </w:rPr>
      </w:pPr>
      <w:r>
        <w:rPr>
          <w:rFonts w:ascii="arial" w:hAnsi="arial"/>
          <w:color w:val="FFFFFF"/>
          <w:sz w:val="2"/>
        </w:rPr>
        <w:t xml:space="preserve">Exequity supported the committee in 2020 by Providing competitive data on compensation and relative performance of peer group companies Recommending pay programs and salary increase budgets Conducting a risk assessment of incentive programs Making presentations on regulatory and legislative matters affecting executive compensation Providing opinions on the reasonableness of compensation Consulting on other related matters as needed </w:t>
      </w:r>
    </w:p>
    <w:p>
      <w:pPr>
        <w:pStyle w:val="TextBody"/>
        <w:spacing w:before="160" w:after="0"/>
        <w:jc w:val="left"/>
        <w:rPr>
          <w:rFonts w:ascii="arial" w:hAnsi="arial"/>
          <w:sz w:val="16"/>
        </w:rPr>
      </w:pPr>
      <w:r>
        <w:rPr>
          <w:rFonts w:ascii="arial" w:hAnsi="arial"/>
          <w:sz w:val="16"/>
        </w:rPr>
        <w:t xml:space="preserve">Exequity and its affiliates do not perform any work for the company outside of its advisory role to the Compensation and Talent Development Committee. The total amount paid to Exequity in 2020 was $108,966. </w:t>
      </w:r>
    </w:p>
    <w:p>
      <w:pPr>
        <w:pStyle w:val="TextBody"/>
        <w:spacing w:before="280" w:after="0"/>
        <w:jc w:val="left"/>
        <w:rPr>
          <w:rFonts w:ascii="arial" w:hAnsi="arial"/>
          <w:sz w:val="28"/>
        </w:rPr>
      </w:pPr>
      <w:bookmarkStart w:id="40" w:name="tx108157_19"/>
      <w:bookmarkEnd w:id="40"/>
      <w:r>
        <w:rPr>
          <w:rFonts w:ascii="arial" w:hAnsi="arial"/>
          <w:sz w:val="28"/>
        </w:rPr>
        <w:t xml:space="preserve">Managements Role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Chief Executive Officer and/or Chief Human Resources Officer attend the non-executive session of each Compensation and Talent Development Committee meeting. Our human resources department assists the committee by preparing tally sheets and other compensation information and analyses for its consideration. </w:t>
      </w:r>
    </w:p>
    <w:p>
      <w:pPr>
        <w:pStyle w:val="TextBody"/>
        <w:spacing w:before="160" w:after="0"/>
        <w:jc w:val="left"/>
        <w:rPr>
          <w:rFonts w:ascii="arial" w:hAnsi="arial"/>
          <w:sz w:val="16"/>
        </w:rPr>
      </w:pPr>
      <w:r>
        <w:rPr>
          <w:rFonts w:ascii="arial" w:hAnsi="arial"/>
          <w:sz w:val="16"/>
        </w:rPr>
        <w:t xml:space="preserve">Our accounting, finance and law departments also support the committee with respect to compensation-related matters, including issues related to broad-based benefit plans and regulatory reporting and compliance. The committee members and their independent compensation consultant, Exequity, receive presentation materials in advance of committee meetings. </w:t>
      </w:r>
    </w:p>
    <w:p>
      <w:pPr>
        <w:pStyle w:val="TextBody"/>
        <w:spacing w:before="160" w:after="0"/>
        <w:jc w:val="left"/>
        <w:rPr>
          <w:rFonts w:ascii="arial" w:hAnsi="arial"/>
          <w:sz w:val="16"/>
        </w:rPr>
      </w:pPr>
      <w:r>
        <w:rPr>
          <w:rFonts w:ascii="arial" w:hAnsi="arial"/>
          <w:sz w:val="16"/>
        </w:rPr>
        <w:t xml:space="preserve">Our executive officers do not determine or approve any element or component of their own compensation, nor are they present during the committees deliberation regarding their own compensation. This includes base salary, performance-based annual bonus, long-term equity-based incentives and all other aspects of compensation. Our Chief Executive Officer does not meet separately with the committees independent compensation consultant. </w:t>
      </w:r>
    </w:p>
    <w:p>
      <w:pPr>
        <w:pStyle w:val="TextBody"/>
        <w:spacing w:before="160" w:after="0"/>
        <w:jc w:val="left"/>
        <w:rPr>
          <w:rFonts w:ascii="arial" w:hAnsi="arial"/>
          <w:sz w:val="16"/>
        </w:rPr>
      </w:pPr>
      <w:r>
        <w:rPr>
          <w:rFonts w:ascii="arial" w:hAnsi="arial"/>
          <w:sz w:val="16"/>
        </w:rPr>
        <w:t xml:space="preserve">The Compensation and Talent Development Committee seeks our Chief Executive Officers views on the performance of our other executive officers, and the Chief Executive Officer makes pay recommendations for these officers. In addition, the committee frequently requests input from the Chief Executive Officer on what compensation programs and goals he believes might be most appropriate given the companys strategic direction. The committee considers this input in addition to input received from its independent compensation consultant in setting goals, pay levels and program design. </w:t>
      </w:r>
    </w:p>
    <w:p>
      <w:pPr>
        <w:pStyle w:val="TextBody"/>
        <w:spacing w:before="280" w:after="0"/>
        <w:jc w:val="left"/>
        <w:rPr>
          <w:rFonts w:ascii="arial" w:hAnsi="arial"/>
          <w:sz w:val="28"/>
        </w:rPr>
      </w:pPr>
      <w:bookmarkStart w:id="41" w:name="tx108157_20"/>
      <w:bookmarkEnd w:id="41"/>
      <w:r>
        <w:rPr>
          <w:rFonts w:ascii="arial" w:hAnsi="arial"/>
          <w:sz w:val="28"/>
        </w:rPr>
        <w:t xml:space="preserve">Managing Risk in Compensation Plans </w:t>
      </w:r>
    </w:p>
    <w:p>
      <w:pPr>
        <w:pStyle w:val="TextBody"/>
        <w:pBdr>
          <w:bottom w:val="single" w:sz="2" w:space="1" w:color="001C71"/>
        </w:pBdr>
        <w:spacing w:lineRule="atLeast" w:line="180" w:before="0" w:after="40"/>
        <w:jc w:val="left"/>
        <w:rPr/>
      </w:pPr>
      <w:r>
        <w:rPr/>
        <w:t> </w:t>
      </w:r>
    </w:p>
    <w:p>
      <w:pPr>
        <w:pStyle w:val="TextBody"/>
        <w:spacing w:before="280" w:after="0"/>
        <w:jc w:val="left"/>
        <w:rPr>
          <w:rFonts w:ascii="arial" w:hAnsi="arial"/>
          <w:b/>
          <w:color w:val="001C71"/>
          <w:sz w:val="24"/>
        </w:rPr>
      </w:pPr>
      <w:r>
        <w:rPr>
          <w:rFonts w:ascii="arial" w:hAnsi="arial"/>
          <w:b/>
          <w:color w:val="001C71"/>
          <w:sz w:val="24"/>
        </w:rPr>
        <w:t xml:space="preserve">Managing Risk </w:t>
      </w:r>
    </w:p>
    <w:p>
      <w:pPr>
        <w:pStyle w:val="TextBody"/>
        <w:spacing w:before="120" w:after="0"/>
        <w:jc w:val="left"/>
        <w:rPr>
          <w:rFonts w:ascii="arial" w:hAnsi="arial"/>
          <w:sz w:val="16"/>
        </w:rPr>
      </w:pPr>
      <w:r>
        <w:rPr>
          <w:rFonts w:ascii="arial" w:hAnsi="arial"/>
          <w:sz w:val="16"/>
        </w:rPr>
        <w:t xml:space="preserve">The Compensation and Talent Development Committee seeks to mitigate risk in our executive compensation program through the following policies and features: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160655"/>
            <wp:effectExtent l="0" t="0" r="0" b="0"/>
            <wp:docPr id="8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6" descr=""/>
                    <pic:cNvPicPr>
                      <a:picLocks noChangeAspect="1" noChangeArrowheads="1"/>
                    </pic:cNvPicPr>
                  </pic:nvPicPr>
                  <pic:blipFill>
                    <a:blip r:embed="rId67"/>
                    <a:stretch>
                      <a:fillRect/>
                    </a:stretch>
                  </pic:blipFill>
                  <pic:spPr bwMode="auto">
                    <a:xfrm>
                      <a:off x="0" y="0"/>
                      <a:ext cx="625475" cy="160655"/>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Compensation Program Risk Mitigation Balance of shortterm and longterm incentives Higher proportion of total compensation linked to longterm incentives Incentive plan design and performance measure selection Independent thirdparty risk assessment Stock ownership requirements Antihedging policy Clawback policy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67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color w:val="001C71"/>
          <w:sz w:val="24"/>
        </w:rPr>
      </w:pPr>
      <w:r>
        <w:rPr>
          <w:rFonts w:ascii="arial" w:hAnsi="arial"/>
          <w:b/>
          <w:color w:val="001C71"/>
          <w:sz w:val="24"/>
        </w:rPr>
        <w:t xml:space="preserve">Risk Mitigation Features in our Incentive Plan Design and Performance Measure Selection </w:t>
      </w:r>
    </w:p>
    <w:p>
      <w:pPr>
        <w:pStyle w:val="TextBody"/>
        <w:spacing w:before="120" w:after="0"/>
        <w:jc w:val="left"/>
        <w:rPr>
          <w:rFonts w:ascii="arial" w:hAnsi="arial"/>
          <w:sz w:val="16"/>
        </w:rPr>
      </w:pPr>
      <w:r>
        <w:rPr>
          <w:rFonts w:ascii="arial" w:hAnsi="arial"/>
          <w:sz w:val="16"/>
        </w:rPr>
        <w:t xml:space="preserve">Our 2020 annual long-term incentive plan awards include the following risk mitigation features: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color w:val="001C71"/>
              </w:rPr>
            </w:pPr>
            <w:r>
              <w:rPr>
                <w:color w:val="001C71"/>
              </w:rPr>
              <w:t></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0"/>
              <w:jc w:val="left"/>
              <w:rPr>
                <w:rFonts w:ascii="arial" w:hAnsi="arial"/>
                <w:sz w:val="16"/>
              </w:rPr>
            </w:pPr>
            <w:r>
              <w:rPr>
                <w:rFonts w:ascii="arial" w:hAnsi="arial"/>
                <w:sz w:val="16"/>
              </w:rPr>
              <w:t xml:space="preserve">Using multiple types of awards and performance measures, consisting of a market-based performance measure (relative total shareholder return), a financial performance measure (long-term EPS growth), a service-based measure (service-based restricted stock units), and stock options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0"/>
              <w:jc w:val="left"/>
              <w:rPr>
                <w:rFonts w:ascii="arial" w:hAnsi="arial"/>
                <w:sz w:val="16"/>
              </w:rPr>
            </w:pPr>
            <w:r>
              <w:rPr>
                <w:rFonts w:ascii="arial" w:hAnsi="arial"/>
                <w:sz w:val="16"/>
              </w:rPr>
              <w:t xml:space="preserve">Measuring our total shareholder return against the S&amp;P 500 Index and the S&amp;P 500 Utilities Index rather than against peer groups selected by the company. Using these indices helps ensure less subjectivity in the determination of our peer groups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0"/>
              <w:jc w:val="left"/>
              <w:rPr>
                <w:rFonts w:ascii="arial" w:hAnsi="arial"/>
                <w:sz w:val="16"/>
              </w:rPr>
            </w:pPr>
            <w:r>
              <w:rPr>
                <w:rFonts w:ascii="arial" w:hAnsi="arial"/>
                <w:sz w:val="16"/>
              </w:rPr>
              <w:t xml:space="preserve">Using multi-year performance periods to promote a longer-term performance horizon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6"/>
        <w:gridCol w:w="9874"/>
      </w:tblGrid>
      <w:tr>
        <w:trPr/>
        <w:tc>
          <w:tcPr>
            <w:tcW w:w="205"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0"/>
              <w:jc w:val="left"/>
              <w:rPr>
                <w:rFonts w:ascii="arial" w:hAnsi="arial"/>
                <w:sz w:val="16"/>
              </w:rPr>
            </w:pPr>
            <w:r>
              <w:rPr>
                <w:rFonts w:ascii="arial" w:hAnsi="arial"/>
                <w:sz w:val="16"/>
              </w:rPr>
              <w:t xml:space="preserve">Limiting the maximum payout level for performance-based restricted stock unit awards to 200% of the target number of units (including reinvested dividend equivalents) </w:t>
            </w:r>
          </w:p>
        </w:tc>
      </w:tr>
    </w:tbl>
    <w:p>
      <w:pPr>
        <w:pStyle w:val="TextBody"/>
        <w:spacing w:before="160" w:after="0"/>
        <w:jc w:val="left"/>
        <w:rPr>
          <w:rFonts w:ascii="arial" w:hAnsi="arial"/>
          <w:sz w:val="16"/>
        </w:rPr>
      </w:pPr>
      <w:r>
        <w:rPr>
          <w:rFonts w:ascii="arial" w:hAnsi="arial"/>
          <w:sz w:val="16"/>
        </w:rPr>
        <w:t xml:space="preserve">Our 2020 performance-based annual bonus plan includes the following risk mitigation features: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0"/>
              <w:jc w:val="left"/>
              <w:rPr>
                <w:rFonts w:ascii="arial" w:hAnsi="arial"/>
                <w:sz w:val="16"/>
              </w:rPr>
            </w:pPr>
            <w:r>
              <w:rPr>
                <w:rFonts w:ascii="arial" w:hAnsi="arial"/>
                <w:sz w:val="16"/>
              </w:rPr>
              <w:t xml:space="preserve">Using a payout scale that begins at zero for threshold performance. In contrast, many of our peers pay 25% or 50% for threshold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0"/>
              <w:jc w:val="left"/>
              <w:rPr>
                <w:rFonts w:ascii="arial" w:hAnsi="arial"/>
                <w:sz w:val="16"/>
              </w:rPr>
            </w:pPr>
            <w:r>
              <w:rPr>
                <w:rFonts w:ascii="arial" w:hAnsi="arial"/>
                <w:sz w:val="16"/>
              </w:rPr>
              <w:t xml:space="preserve">Limiting the payout at the maximum performance level to 200% of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arial" w:hAnsi="arial"/>
                <w:sz w:val="16"/>
              </w:rPr>
            </w:pPr>
            <w:r>
              <w:rPr>
                <w:rFonts w:ascii="arial" w:hAnsi="arial"/>
                <w:sz w:val="16"/>
              </w:rPr>
              <w:t xml:space="preserve">Using a corporate financial performance measure that is based on the earnings reported in our financial statements, with certain adjustments that are limited and predefined and the potential for others related to unplanned or unforeseen items, all of which are made only after thoughtful consideration by the Compensation and Talent Development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1"/>
        <w:gridCol w:w="127"/>
        <w:gridCol w:w="9877"/>
      </w:tblGrid>
      <w:tr>
        <w:trPr/>
        <w:tc>
          <w:tcPr>
            <w:tcW w:w="201"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7" w:type="dxa"/>
            <w:tcBorders/>
            <w:shd w:fill="auto" w:val="clear"/>
          </w:tcPr>
          <w:p>
            <w:pPr>
              <w:pStyle w:val="TableContents"/>
              <w:spacing w:before="0" w:after="0"/>
              <w:jc w:val="left"/>
              <w:rPr>
                <w:rFonts w:ascii="arial" w:hAnsi="arial"/>
                <w:sz w:val="16"/>
              </w:rPr>
            </w:pPr>
            <w:r>
              <w:rPr>
                <w:rFonts w:ascii="arial" w:hAnsi="arial"/>
                <w:sz w:val="16"/>
              </w:rPr>
              <w:t xml:space="preserve">Incorporating Safety and Stakeholder Measures, which are performance measures important to our business operations, in addition to the corporate financial performance measure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arial" w:hAnsi="arial"/>
                <w:sz w:val="16"/>
              </w:rPr>
            </w:pPr>
            <w:r>
              <w:rPr>
                <w:rFonts w:ascii="arial" w:hAnsi="arial"/>
                <w:sz w:val="16"/>
              </w:rPr>
              <w:t xml:space="preserve">Providing the Compensation and Talent Development Committee with discretion over certain incentive plan payouts </w:t>
            </w:r>
          </w:p>
        </w:tc>
      </w:tr>
    </w:tbl>
    <w:p>
      <w:pPr>
        <w:pStyle w:val="TextBody"/>
        <w:spacing w:before="280" w:after="0"/>
        <w:jc w:val="left"/>
        <w:rPr>
          <w:rFonts w:ascii="arial" w:hAnsi="arial"/>
          <w:b/>
          <w:color w:val="001C71"/>
          <w:sz w:val="24"/>
        </w:rPr>
      </w:pPr>
      <w:r>
        <w:rPr>
          <w:rFonts w:ascii="arial" w:hAnsi="arial"/>
          <w:b/>
          <w:color w:val="001C71"/>
          <w:sz w:val="24"/>
        </w:rPr>
        <w:t xml:space="preserve">Independent Third-Party Risk Assessment </w:t>
      </w:r>
    </w:p>
    <w:p>
      <w:pPr>
        <w:pStyle w:val="TextBody"/>
        <w:spacing w:before="120" w:after="0"/>
        <w:jc w:val="left"/>
        <w:rPr>
          <w:rFonts w:ascii="arial" w:hAnsi="arial"/>
          <w:sz w:val="16"/>
        </w:rPr>
      </w:pPr>
      <w:r>
        <w:rPr>
          <w:rFonts w:ascii="arial" w:hAnsi="arial"/>
          <w:sz w:val="16"/>
        </w:rPr>
        <w:t xml:space="preserve">The Compensation and Talent Development Committees independent compensation consultant, Exequity, conducted a risk assessment of our 2020 compensation programs. Exequitys findings concluded that our compensation programs do not create risks that are likely to have a material adverse impact on the company. The committee concurs with these findings. Specific examples of safeguards and risk-mitigating features found in our executive compensation programs are listed above. </w:t>
      </w:r>
    </w:p>
    <w:p>
      <w:pPr>
        <w:pStyle w:val="TextBody"/>
        <w:spacing w:before="280" w:after="0"/>
        <w:jc w:val="left"/>
        <w:rPr>
          <w:rFonts w:ascii="arial" w:hAnsi="arial"/>
          <w:b/>
          <w:color w:val="001C71"/>
          <w:sz w:val="24"/>
        </w:rPr>
      </w:pPr>
      <w:r>
        <w:rPr>
          <w:rFonts w:ascii="arial" w:hAnsi="arial"/>
          <w:b/>
          <w:color w:val="001C71"/>
          <w:sz w:val="24"/>
        </w:rPr>
        <w:t xml:space="preserve">Clawback Policy </w:t>
      </w:r>
    </w:p>
    <w:p>
      <w:pPr>
        <w:pStyle w:val="TextBody"/>
        <w:spacing w:before="120" w:after="0"/>
        <w:jc w:val="left"/>
        <w:rPr>
          <w:rFonts w:ascii="arial" w:hAnsi="arial"/>
          <w:sz w:val="16"/>
        </w:rPr>
      </w:pPr>
      <w:r>
        <w:rPr>
          <w:rFonts w:ascii="arial" w:hAnsi="arial"/>
          <w:sz w:val="16"/>
        </w:rPr>
        <w:t xml:space="preserve">Our clawback policy applies to both short-term and long-term incentive plans. It is included in both executive and non-executive award agreements. The policy requires the forfeiture, recovery or reimbursement of awards or compensation under the applicable plans as required: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99"/>
        <w:gridCol w:w="127"/>
        <w:gridCol w:w="9879"/>
      </w:tblGrid>
      <w:tr>
        <w:trPr/>
        <w:tc>
          <w:tcPr>
            <w:tcW w:w="199"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9" w:type="dxa"/>
            <w:tcBorders/>
            <w:shd w:fill="auto" w:val="clear"/>
          </w:tcPr>
          <w:p>
            <w:pPr>
              <w:pStyle w:val="TableContents"/>
              <w:spacing w:before="0" w:after="0"/>
              <w:jc w:val="left"/>
              <w:rPr>
                <w:rFonts w:ascii="arial" w:hAnsi="arial"/>
                <w:sz w:val="16"/>
              </w:rPr>
            </w:pPr>
            <w:r>
              <w:rPr>
                <w:rFonts w:ascii="arial" w:hAnsi="arial"/>
                <w:sz w:val="16"/>
              </w:rPr>
              <w:t xml:space="preserve">By applicable law,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1"/>
        <w:gridCol w:w="127"/>
        <w:gridCol w:w="9877"/>
      </w:tblGrid>
      <w:tr>
        <w:trPr/>
        <w:tc>
          <w:tcPr>
            <w:tcW w:w="201"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7" w:type="dxa"/>
            <w:tcBorders/>
            <w:shd w:fill="auto" w:val="clear"/>
          </w:tcPr>
          <w:p>
            <w:pPr>
              <w:pStyle w:val="TableContents"/>
              <w:spacing w:before="0" w:after="0"/>
              <w:jc w:val="left"/>
              <w:rPr>
                <w:rFonts w:ascii="arial" w:hAnsi="arial"/>
                <w:sz w:val="16"/>
              </w:rPr>
            </w:pPr>
            <w:r>
              <w:rPr>
                <w:rFonts w:ascii="arial" w:hAnsi="arial"/>
                <w:sz w:val="16"/>
              </w:rPr>
              <w:t xml:space="preserve">Under any policy implemented or maintained by the company pursuant to any applicable rules or requirements of a national securities exchange or national securities association on which any securities of the company are listed </w:t>
            </w:r>
          </w:p>
        </w:tc>
      </w:tr>
    </w:tbl>
    <w:p>
      <w:pPr>
        <w:pStyle w:val="TextBody"/>
        <w:spacing w:before="160" w:after="0"/>
        <w:jc w:val="left"/>
        <w:rPr>
          <w:rFonts w:ascii="arial" w:hAnsi="arial"/>
          <w:sz w:val="16"/>
        </w:rPr>
      </w:pPr>
      <w:r>
        <w:rPr>
          <w:rFonts w:ascii="arial" w:hAnsi="arial"/>
          <w:sz w:val="16"/>
        </w:rPr>
        <w:t xml:space="preserve">The company also reserves the right to recoup compensation if it determines that the results on which the compensation was paid were not actually achieved. </w:t>
      </w:r>
    </w:p>
    <w:p>
      <w:pPr>
        <w:pStyle w:val="TextBody"/>
        <w:spacing w:before="160" w:after="0"/>
        <w:jc w:val="left"/>
        <w:rPr>
          <w:rFonts w:ascii="arial" w:hAnsi="arial"/>
          <w:sz w:val="16"/>
        </w:rPr>
      </w:pPr>
      <w:r>
        <w:rPr>
          <w:rFonts w:ascii="arial" w:hAnsi="arial"/>
          <w:sz w:val="16"/>
        </w:rPr>
        <w:t xml:space="preserve">In addition, the Compensation and Talent Development Committee may, in its sole discretion, require the recovery or reimbursement of incentive compensation awards from any employee whose fraudulent or intentional misconduct materially affects the operations or financial results of the company or its subsidiaries. </w:t>
      </w:r>
    </w:p>
    <w:p>
      <w:pPr>
        <w:pStyle w:val="TextBody"/>
        <w:spacing w:before="280" w:after="0"/>
        <w:jc w:val="left"/>
        <w:rPr>
          <w:rFonts w:ascii="arial" w:hAnsi="arial"/>
          <w:b/>
          <w:color w:val="001C71"/>
          <w:sz w:val="24"/>
        </w:rPr>
      </w:pPr>
      <w:r>
        <w:rPr>
          <w:rFonts w:ascii="arial" w:hAnsi="arial"/>
          <w:b/>
          <w:color w:val="001C71"/>
          <w:sz w:val="24"/>
        </w:rPr>
        <w:t xml:space="preserve">Anti-Hedging and Pledging Policies </w:t>
      </w:r>
    </w:p>
    <w:p>
      <w:pPr>
        <w:pStyle w:val="TextBody"/>
        <w:spacing w:before="120" w:after="0"/>
        <w:jc w:val="left"/>
        <w:rPr>
          <w:rFonts w:ascii="arial" w:hAnsi="arial"/>
          <w:sz w:val="16"/>
        </w:rPr>
      </w:pPr>
      <w:r>
        <w:rPr>
          <w:rFonts w:ascii="arial" w:hAnsi="arial"/>
          <w:sz w:val="16"/>
        </w:rPr>
        <w:t xml:space="preserve">Pursuant to the companys Insider Trading and Information Confidentiality Policy, all employees, including all officers, of Sempra Energy and any subsidiary or other entity as to which Sempra Energy has majority ownership and control and all directors of Sempra Energy are prohibited from purchasing financial instruments or otherwise engaging in transactions that hedge or offset, or are designed to hedge or offset, any decrease in the market value of any equity security of Sempra Energy or any such subsidiary or other entity, and are also prohibited from selling short any securities of those companies. These prohibitions also apply to family members living in the same household as any such employee, officer or director, as well as entities directly or indirectly controlled by the employee, officer or director. </w:t>
      </w:r>
    </w:p>
    <w:p>
      <w:pPr>
        <w:pStyle w:val="TextBody"/>
        <w:spacing w:before="160" w:after="0"/>
        <w:jc w:val="left"/>
        <w:rPr>
          <w:rFonts w:ascii="arial" w:hAnsi="arial"/>
          <w:sz w:val="16"/>
        </w:rPr>
      </w:pPr>
      <w:r>
        <w:rPr>
          <w:rFonts w:ascii="arial" w:hAnsi="arial"/>
          <w:sz w:val="16"/>
        </w:rPr>
        <w:t xml:space="preserve">Officers and directors also are prohibited from pledging shares of company common stock.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68</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28"/>
        </w:rPr>
      </w:pPr>
      <w:bookmarkStart w:id="42" w:name="tx108157_21"/>
      <w:bookmarkEnd w:id="42"/>
      <w:r>
        <w:rPr>
          <w:rFonts w:ascii="arial" w:hAnsi="arial"/>
          <w:sz w:val="28"/>
        </w:rPr>
        <w:t xml:space="preserve">Share Ownership Guidelines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Board of Directors has established share ownership guidelines for officers to further strengthen the link between executive and shareholder interests. The guidelines set minimum levels of share ownership that our officers must achieve and maintain. For officers, the guidelines are: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171450"/>
            <wp:effectExtent l="0" t="0" r="0" b="0"/>
            <wp:docPr id="8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7" descr=""/>
                    <pic:cNvPicPr>
                      <a:picLocks noChangeAspect="1" noChangeArrowheads="1"/>
                    </pic:cNvPicPr>
                  </pic:nvPicPr>
                  <pic:blipFill>
                    <a:blip r:embed="rId68"/>
                    <a:stretch>
                      <a:fillRect/>
                    </a:stretch>
                  </pic:blipFill>
                  <pic:spPr bwMode="auto">
                    <a:xfrm>
                      <a:off x="0" y="0"/>
                      <a:ext cx="625475" cy="171450"/>
                    </a:xfrm>
                    <a:prstGeom prst="rect">
                      <a:avLst/>
                    </a:prstGeom>
                  </pic:spPr>
                </pic:pic>
              </a:graphicData>
            </a:graphic>
          </wp:inline>
        </w:drawing>
      </w:r>
      <w:r>
        <w:rPr/>
        <w:t xml:space="preserve"> </w:t>
      </w:r>
    </w:p>
    <w:p>
      <w:pPr>
        <w:pStyle w:val="TextBody"/>
        <w:jc w:val="right"/>
        <w:rPr>
          <w:rFonts w:ascii="arial" w:hAnsi="arial"/>
          <w:color w:val="FFFFFF"/>
          <w:sz w:val="2"/>
        </w:rPr>
      </w:pPr>
      <w:r>
        <w:rPr>
          <w:rFonts w:ascii="arial" w:hAnsi="arial"/>
          <w:color w:val="FFFFFF"/>
          <w:sz w:val="2"/>
        </w:rPr>
        <w:t xml:space="preserve">Executive Level Chief Executive Officer Corporate Group Presidents and Executive Vice Presidents Principal Subsidiary Chief Executive Officers, Presidents and Chief Operating OfficersSenior Vice Presidents Vice Presidents Share Ownership Requirements 8x base salary 4x base salary 3x base salary 2x base salary 1x base salary </w:t>
      </w:r>
    </w:p>
    <w:p>
      <w:pPr>
        <w:pStyle w:val="TextBody"/>
        <w:spacing w:before="160" w:after="0"/>
        <w:jc w:val="left"/>
        <w:rPr>
          <w:rFonts w:ascii="arial" w:hAnsi="arial"/>
          <w:sz w:val="16"/>
        </w:rPr>
      </w:pPr>
      <w:r>
        <w:rPr>
          <w:rFonts w:ascii="arial" w:hAnsi="arial"/>
          <w:sz w:val="16"/>
        </w:rPr>
        <w:t xml:space="preserve">Based on Exequitys review of competitive benchmark data, we believe our share ownership guidelines are robust relative to prevalent market practices. </w:t>
      </w:r>
    </w:p>
    <w:p>
      <w:pPr>
        <w:pStyle w:val="TextBody"/>
        <w:spacing w:before="160" w:after="0"/>
        <w:jc w:val="left"/>
        <w:rPr>
          <w:rFonts w:ascii="arial" w:hAnsi="arial"/>
          <w:sz w:val="16"/>
        </w:rPr>
      </w:pPr>
      <w:r>
        <w:rPr>
          <w:rFonts w:ascii="arial" w:hAnsi="arial"/>
          <w:sz w:val="16"/>
        </w:rPr>
        <w:t xml:space="preserve">For purposes of the guidelines, we include shares owned directly and through our 401(k) Savings Plan. We also include phantom shares of our common stock into which compensation has been deferred, deferred restricted stock units that have vested, unvested service-based restricted stock units, and the in-the-money value of service-based stock options. </w:t>
      </w:r>
    </w:p>
    <w:p>
      <w:pPr>
        <w:pStyle w:val="TextBody"/>
        <w:spacing w:before="160" w:after="0"/>
        <w:jc w:val="left"/>
        <w:rPr>
          <w:rFonts w:ascii="arial" w:hAnsi="arial"/>
          <w:sz w:val="16"/>
        </w:rPr>
      </w:pPr>
      <w:r>
        <w:rPr>
          <w:rFonts w:ascii="arial" w:hAnsi="arial"/>
          <w:sz w:val="16"/>
        </w:rPr>
        <w:t xml:space="preserve">We expect officers to meet these guidelines within five years after hire or promotion to an officer-level position or promotion to a role with a higher share ownership guideline. Until such time as the share ownership guidelines are met, executive officers are expected to retain (and not sell) a number of shares equal to at least 50% of the net after-tax shares acquired through equity compensation awards. </w:t>
      </w:r>
    </w:p>
    <w:p>
      <w:pPr>
        <w:pStyle w:val="TextBody"/>
        <w:spacing w:before="160" w:after="0"/>
        <w:jc w:val="left"/>
        <w:rPr>
          <w:rFonts w:ascii="arial" w:hAnsi="arial"/>
          <w:sz w:val="16"/>
        </w:rPr>
      </w:pPr>
      <w:r>
        <w:rPr>
          <w:rFonts w:ascii="arial" w:hAnsi="arial"/>
          <w:sz w:val="16"/>
        </w:rPr>
        <w:t xml:space="preserve">All named executive officers are in compliance with these guidelines or have additional time within which to comply with any higher level applicable to them as a result of a promotion. </w:t>
      </w:r>
    </w:p>
    <w:p>
      <w:pPr>
        <w:pStyle w:val="TextBody"/>
        <w:spacing w:before="280" w:after="0"/>
        <w:jc w:val="left"/>
        <w:rPr>
          <w:rFonts w:ascii="arial" w:hAnsi="arial"/>
          <w:sz w:val="28"/>
        </w:rPr>
      </w:pPr>
      <w:bookmarkStart w:id="43" w:name="tx108157_22"/>
      <w:bookmarkEnd w:id="43"/>
      <w:r>
        <w:rPr>
          <w:rFonts w:ascii="arial" w:hAnsi="arial"/>
          <w:sz w:val="28"/>
        </w:rPr>
        <w:t xml:space="preserve">Impact of Regulatory Requirements </w:t>
      </w:r>
    </w:p>
    <w:p>
      <w:pPr>
        <w:pStyle w:val="TextBody"/>
        <w:pBdr>
          <w:bottom w:val="single" w:sz="2" w:space="1" w:color="001C71"/>
        </w:pBdr>
        <w:spacing w:lineRule="atLeast" w:line="180" w:before="0" w:after="40"/>
        <w:jc w:val="left"/>
        <w:rPr/>
      </w:pPr>
      <w:r>
        <w:rPr/>
        <w:t> </w:t>
      </w:r>
    </w:p>
    <w:p>
      <w:pPr>
        <w:pStyle w:val="TextBody"/>
        <w:spacing w:before="280" w:after="0"/>
        <w:jc w:val="left"/>
        <w:rPr>
          <w:rFonts w:ascii="arial" w:hAnsi="arial"/>
          <w:b/>
          <w:color w:val="001C71"/>
          <w:sz w:val="24"/>
        </w:rPr>
      </w:pPr>
      <w:r>
        <w:rPr>
          <w:rFonts w:ascii="arial" w:hAnsi="arial"/>
          <w:b/>
          <w:color w:val="001C71"/>
          <w:sz w:val="24"/>
        </w:rPr>
        <w:t xml:space="preserve">Tax Deductibility of Pay </w:t>
      </w:r>
    </w:p>
    <w:p>
      <w:pPr>
        <w:pStyle w:val="TextBody"/>
        <w:spacing w:before="120" w:after="0"/>
        <w:jc w:val="left"/>
        <w:rPr>
          <w:rFonts w:ascii="arial" w:hAnsi="arial"/>
          <w:sz w:val="16"/>
        </w:rPr>
      </w:pPr>
      <w:r>
        <w:rPr>
          <w:rFonts w:ascii="arial" w:hAnsi="arial"/>
          <w:sz w:val="16"/>
        </w:rPr>
        <w:t xml:space="preserve">Section 162(m) of the Internal Revenue Code places a limit of $1 million on the annual amount of compensation that publicly held companies may deduct for federal income tax purposes for covered employees. Prior to the Tax Cuts and Jobs Act of 2017 (TCJA), covered employees generally consisted of our Chief Executive Officer and each of the next three highest compensated officers serving at the end of the taxable year other than our Chief Financial Officer, and compensation that qualified as performance-based under Section 162(m) was exempt from this $1 million deduction limitation. As part of the TCJA, the ability to rely on this exemption was eliminated, with limited exceptions for certain outstanding awards, incentive plans, benefits and other arrangements in place on November 2, 2017, all of which have vested or otherwise expired or been paid. </w:t>
      </w:r>
    </w:p>
    <w:p>
      <w:pPr>
        <w:pStyle w:val="TextBody"/>
        <w:spacing w:before="160" w:after="0"/>
        <w:jc w:val="left"/>
        <w:rPr>
          <w:rFonts w:ascii="arial" w:hAnsi="arial"/>
          <w:sz w:val="16"/>
        </w:rPr>
      </w:pPr>
      <w:r>
        <w:rPr>
          <w:rFonts w:ascii="arial" w:hAnsi="arial"/>
          <w:sz w:val="16"/>
        </w:rPr>
        <w:t xml:space="preserve">The Compensation and Talent Development Committee believes that tax deductibility is one important factor in designing and evaluating our executive compensation program. Although we historically maintained certain performance-based incentive plans that originally were intended to permit the payment of compensation deductible under Section 162(m), subject to the limited transition relief rules in the TCJA, we are no longer able to take a deduction for any compensation in excess of $1 million that is paid to a covered employee. </w:t>
      </w:r>
    </w:p>
    <w:p>
      <w:pPr>
        <w:pStyle w:val="TextBody"/>
        <w:spacing w:before="160" w:after="0"/>
        <w:jc w:val="left"/>
        <w:rPr>
          <w:rFonts w:ascii="arial" w:hAnsi="arial"/>
          <w:sz w:val="16"/>
        </w:rPr>
      </w:pPr>
      <w:r>
        <w:rPr>
          <w:rFonts w:ascii="arial" w:hAnsi="arial"/>
          <w:sz w:val="16"/>
        </w:rPr>
        <w:t xml:space="preserve">Providing salary levels and other compensation that are not fully tax deductible may be required by competitive or other circumstances and may be in the best interests of our company and our shareholders. Accordingly, the Compensation and Talent Development Committee may exercise judgment to provide compensation that may not be fully tax deductible by the company. </w:t>
      </w:r>
    </w:p>
    <w:p>
      <w:pPr>
        <w:pStyle w:val="TextBody"/>
        <w:spacing w:before="280" w:after="0"/>
        <w:jc w:val="left"/>
        <w:rPr>
          <w:rFonts w:ascii="arial" w:hAnsi="arial"/>
          <w:b/>
          <w:color w:val="001C71"/>
          <w:sz w:val="24"/>
        </w:rPr>
      </w:pPr>
      <w:r>
        <w:rPr>
          <w:rFonts w:ascii="arial" w:hAnsi="arial"/>
          <w:b/>
          <w:color w:val="001C71"/>
          <w:sz w:val="24"/>
        </w:rPr>
        <w:t xml:space="preserve">Other Tax, Accounting and Regulatory Considerations </w:t>
      </w:r>
    </w:p>
    <w:p>
      <w:pPr>
        <w:pStyle w:val="TextBody"/>
        <w:spacing w:before="160" w:after="0"/>
        <w:jc w:val="left"/>
        <w:rPr>
          <w:rFonts w:ascii="arial" w:hAnsi="arial"/>
          <w:sz w:val="16"/>
        </w:rPr>
      </w:pPr>
      <w:r>
        <w:rPr>
          <w:rFonts w:ascii="arial" w:hAnsi="arial"/>
          <w:sz w:val="16"/>
        </w:rPr>
        <w:t xml:space="preserve">Many other Internal Revenue Code provisions, SEC regulations and accounting rules affect the design of executive pay. They are taken into consideration to create and maintain plans that are intended to comply with these requirements and that our Compensation and Talent Development Committee believes are effective and in the best interests of our company and our shareholders.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69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sz w:val="35"/>
        </w:rPr>
      </w:pPr>
      <w:bookmarkStart w:id="44" w:name="toc108157_20"/>
      <w:bookmarkEnd w:id="44"/>
      <w:r>
        <w:rPr>
          <w:rFonts w:ascii="arial" w:hAnsi="arial"/>
          <w:b/>
          <w:sz w:val="35"/>
        </w:rPr>
        <w:t xml:space="preserve">Compensation and Talent Development Committee Report </w:t>
      </w:r>
    </w:p>
    <w:p>
      <w:pPr>
        <w:pStyle w:val="TextBody"/>
        <w:spacing w:before="360" w:after="0"/>
        <w:jc w:val="left"/>
        <w:rPr>
          <w:rFonts w:ascii="arial" w:hAnsi="arial"/>
          <w:sz w:val="16"/>
        </w:rPr>
      </w:pPr>
      <w:r>
        <w:rPr>
          <w:rFonts w:ascii="arial" w:hAnsi="arial"/>
          <w:sz w:val="16"/>
        </w:rPr>
        <w:t xml:space="preserve">The Compensation and Talent Development Committee of Sempra Energys Board of Directors has reviewed and discussed with the companys management the Compensation Discussion and Analysis included in this proxy statement and, based on that review and discussion, recommended to the board that it be so included. </w:t>
      </w:r>
    </w:p>
    <w:p>
      <w:pPr>
        <w:pStyle w:val="TextBody"/>
        <w:spacing w:before="240" w:after="0"/>
        <w:jc w:val="right"/>
        <w:rPr>
          <w:rFonts w:ascii="arial" w:hAnsi="arial"/>
          <w:b/>
          <w:sz w:val="16"/>
        </w:rPr>
      </w:pPr>
      <w:r>
        <w:rPr>
          <w:rFonts w:ascii="arial" w:hAnsi="arial"/>
          <w:b/>
          <w:sz w:val="16"/>
        </w:rPr>
        <w:t xml:space="preserve">Compensation and Talent Development Committee </w:t>
      </w:r>
    </w:p>
    <w:p>
      <w:pPr>
        <w:pStyle w:val="TextBody"/>
        <w:spacing w:before="0" w:after="0"/>
        <w:jc w:val="right"/>
        <w:rPr>
          <w:rFonts w:ascii="arial" w:hAnsi="arial"/>
          <w:sz w:val="16"/>
        </w:rPr>
      </w:pPr>
      <w:r>
        <w:rPr>
          <w:rFonts w:ascii="arial" w:hAnsi="arial"/>
          <w:sz w:val="16"/>
        </w:rPr>
        <w:t xml:space="preserve">Andrés Conesa, </w:t>
      </w:r>
      <w:r>
        <w:rPr>
          <w:rFonts w:ascii="arial" w:hAnsi="arial"/>
          <w:i/>
          <w:sz w:val="16"/>
        </w:rPr>
        <w:t>Chair</w:t>
      </w:r>
      <w:r>
        <w:rPr>
          <w:rFonts w:ascii="arial" w:hAnsi="arial"/>
          <w:sz w:val="16"/>
        </w:rPr>
        <w:t xml:space="preserve"> </w:t>
      </w:r>
    </w:p>
    <w:p>
      <w:pPr>
        <w:pStyle w:val="TextBody"/>
        <w:spacing w:before="0" w:after="0"/>
        <w:jc w:val="right"/>
        <w:rPr>
          <w:rFonts w:ascii="arial" w:hAnsi="arial"/>
          <w:sz w:val="16"/>
        </w:rPr>
      </w:pPr>
      <w:r>
        <w:rPr>
          <w:rFonts w:ascii="arial" w:hAnsi="arial"/>
          <w:sz w:val="16"/>
        </w:rPr>
        <w:t xml:space="preserve">Maria Contreras-Sweet </w:t>
      </w:r>
    </w:p>
    <w:p>
      <w:pPr>
        <w:pStyle w:val="TextBody"/>
        <w:spacing w:before="0" w:after="0"/>
        <w:jc w:val="right"/>
        <w:rPr>
          <w:rFonts w:ascii="arial" w:hAnsi="arial"/>
          <w:sz w:val="16"/>
        </w:rPr>
      </w:pPr>
      <w:r>
        <w:rPr>
          <w:rFonts w:ascii="arial" w:hAnsi="arial"/>
          <w:sz w:val="16"/>
        </w:rPr>
        <w:t xml:space="preserve">William D. Jones </w:t>
      </w:r>
    </w:p>
    <w:p>
      <w:pPr>
        <w:pStyle w:val="TextBody"/>
        <w:spacing w:before="0" w:after="0"/>
        <w:jc w:val="right"/>
        <w:rPr>
          <w:rFonts w:ascii="arial" w:hAnsi="arial"/>
          <w:sz w:val="16"/>
        </w:rPr>
      </w:pPr>
      <w:r>
        <w:rPr>
          <w:rFonts w:ascii="arial" w:hAnsi="arial"/>
          <w:sz w:val="16"/>
        </w:rPr>
        <w:t xml:space="preserve">Jack T. Taylor </w:t>
      </w:r>
    </w:p>
    <w:p>
      <w:pPr>
        <w:pStyle w:val="TextBody"/>
        <w:spacing w:before="0" w:after="0"/>
        <w:jc w:val="right"/>
        <w:rPr>
          <w:rFonts w:ascii="arial" w:hAnsi="arial"/>
          <w:sz w:val="16"/>
        </w:rPr>
      </w:pPr>
      <w:r>
        <w:rPr>
          <w:rFonts w:ascii="arial" w:hAnsi="arial"/>
          <w:sz w:val="16"/>
        </w:rPr>
        <w:t xml:space="preserve">Cynthia J. Warner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70</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b/>
          <w:sz w:val="35"/>
        </w:rPr>
      </w:pPr>
      <w:bookmarkStart w:id="45" w:name="toc108157_21"/>
      <w:bookmarkEnd w:id="45"/>
      <w:r>
        <w:rPr>
          <w:rFonts w:ascii="arial" w:hAnsi="arial"/>
          <w:b/>
          <w:sz w:val="35"/>
        </w:rPr>
        <w:t xml:space="preserve">Compensation Tables </w:t>
      </w:r>
    </w:p>
    <w:p>
      <w:pPr>
        <w:pStyle w:val="TextBody"/>
        <w:spacing w:before="360" w:after="0"/>
        <w:jc w:val="left"/>
        <w:rPr>
          <w:rFonts w:ascii="arial" w:hAnsi="arial"/>
          <w:sz w:val="28"/>
        </w:rPr>
      </w:pPr>
      <w:r>
        <w:rPr>
          <w:rFonts w:ascii="arial" w:hAnsi="arial"/>
          <w:sz w:val="28"/>
        </w:rPr>
        <w:t xml:space="preserve">Summary Compensation Table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color w:val="001C71"/>
          <w:sz w:val="16"/>
        </w:rPr>
      </w:pPr>
      <w:r>
        <w:rPr>
          <w:rFonts w:ascii="arial" w:hAnsi="arial"/>
          <w:color w:val="001C71"/>
          <w:sz w:val="16"/>
        </w:rPr>
        <w:t xml:space="preserve">2020 SUMMARY COMPENSATION TABLE </w:t>
      </w:r>
    </w:p>
    <w:p>
      <w:pPr>
        <w:pStyle w:val="TextBody"/>
        <w:spacing w:before="160" w:after="0"/>
        <w:jc w:val="left"/>
        <w:rPr>
          <w:rFonts w:ascii="arial" w:hAnsi="arial"/>
          <w:sz w:val="16"/>
        </w:rPr>
      </w:pPr>
      <w:r>
        <w:rPr>
          <w:rFonts w:ascii="arial" w:hAnsi="arial"/>
          <w:sz w:val="16"/>
        </w:rPr>
        <w:t xml:space="preserve">In the table below, we summarize the compensation for the past three years for our named executive officers. </w:t>
      </w:r>
    </w:p>
    <w:p>
      <w:pPr>
        <w:pStyle w:val="TextBody"/>
        <w:spacing w:before="0" w:after="0"/>
        <w:jc w:val="left"/>
        <w:rPr/>
      </w:pPr>
      <w:r>
        <w:rPr/>
        <w:t> </w:t>
      </w:r>
    </w:p>
    <w:tbl>
      <w:tblPr>
        <w:tblW w:w="12690" w:type="dxa"/>
        <w:jc w:val="center"/>
        <w:tblInd w:w="0" w:type="dxa"/>
        <w:tblCellMar>
          <w:top w:w="0" w:type="dxa"/>
          <w:left w:w="0" w:type="dxa"/>
          <w:bottom w:w="0" w:type="dxa"/>
          <w:right w:w="0" w:type="dxa"/>
        </w:tblCellMar>
      </w:tblPr>
      <w:tblGrid>
        <w:gridCol w:w="1475"/>
        <w:gridCol w:w="60"/>
        <w:gridCol w:w="60"/>
        <w:gridCol w:w="60"/>
        <w:gridCol w:w="380"/>
        <w:gridCol w:w="60"/>
        <w:gridCol w:w="60"/>
        <w:gridCol w:w="60"/>
        <w:gridCol w:w="110"/>
        <w:gridCol w:w="740"/>
        <w:gridCol w:w="60"/>
        <w:gridCol w:w="60"/>
        <w:gridCol w:w="70"/>
        <w:gridCol w:w="129"/>
        <w:gridCol w:w="710"/>
        <w:gridCol w:w="71"/>
        <w:gridCol w:w="60"/>
        <w:gridCol w:w="70"/>
        <w:gridCol w:w="129"/>
        <w:gridCol w:w="873"/>
        <w:gridCol w:w="73"/>
        <w:gridCol w:w="60"/>
        <w:gridCol w:w="70"/>
        <w:gridCol w:w="129"/>
        <w:gridCol w:w="873"/>
        <w:gridCol w:w="73"/>
        <w:gridCol w:w="60"/>
        <w:gridCol w:w="92"/>
        <w:gridCol w:w="168"/>
        <w:gridCol w:w="1136"/>
        <w:gridCol w:w="94"/>
        <w:gridCol w:w="60"/>
        <w:gridCol w:w="84"/>
        <w:gridCol w:w="154"/>
        <w:gridCol w:w="1166"/>
        <w:gridCol w:w="86"/>
        <w:gridCol w:w="60"/>
        <w:gridCol w:w="107"/>
        <w:gridCol w:w="197"/>
        <w:gridCol w:w="1331"/>
        <w:gridCol w:w="110"/>
        <w:gridCol w:w="60"/>
        <w:gridCol w:w="60"/>
        <w:gridCol w:w="110"/>
        <w:gridCol w:w="920"/>
        <w:gridCol w:w="60"/>
      </w:tblGrid>
      <w:tr>
        <w:trPr/>
        <w:tc>
          <w:tcPr>
            <w:tcW w:w="14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475" w:type="dxa"/>
            <w:tcBorders/>
            <w:shd w:fill="auto" w:val="clear"/>
            <w:vAlign w:val="center"/>
          </w:tcPr>
          <w:p>
            <w:pPr>
              <w:pStyle w:val="TableContents"/>
              <w:spacing w:before="0" w:after="283"/>
              <w:rPr>
                <w:sz w:val="4"/>
                <w:szCs w:val="4"/>
              </w:rPr>
            </w:pPr>
            <w:r>
              <w:rPr>
                <w:sz w:val="4"/>
                <w:szCs w:val="4"/>
              </w:rPr>
            </w:r>
          </w:p>
        </w:tc>
        <w:tc>
          <w:tcPr>
            <w:tcW w:w="620" w:type="dxa"/>
            <w:gridSpan w:val="5"/>
            <w:tcBorders/>
            <w:shd w:fill="auto" w:val="clear"/>
            <w:vAlign w:val="center"/>
          </w:tcPr>
          <w:p>
            <w:pPr>
              <w:pStyle w:val="TableContents"/>
              <w:spacing w:before="0" w:after="283"/>
              <w:rPr>
                <w:sz w:val="4"/>
                <w:szCs w:val="4"/>
              </w:rPr>
            </w:pPr>
            <w:r>
              <w:rPr>
                <w:sz w:val="4"/>
                <w:szCs w:val="4"/>
              </w:rPr>
            </w:r>
          </w:p>
        </w:tc>
        <w:tc>
          <w:tcPr>
            <w:tcW w:w="1030" w:type="dxa"/>
            <w:gridSpan w:val="5"/>
            <w:tcBorders/>
            <w:shd w:fill="auto" w:val="clear"/>
            <w:vAlign w:val="center"/>
          </w:tcPr>
          <w:p>
            <w:pPr>
              <w:pStyle w:val="TableContents"/>
              <w:spacing w:before="0" w:after="283"/>
              <w:rPr>
                <w:sz w:val="4"/>
                <w:szCs w:val="4"/>
              </w:rPr>
            </w:pPr>
            <w:r>
              <w:rPr>
                <w:sz w:val="4"/>
                <w:szCs w:val="4"/>
              </w:rPr>
            </w:r>
          </w:p>
        </w:tc>
        <w:tc>
          <w:tcPr>
            <w:tcW w:w="1040" w:type="dxa"/>
            <w:gridSpan w:val="5"/>
            <w:tcBorders/>
            <w:shd w:fill="auto" w:val="clear"/>
            <w:vAlign w:val="center"/>
          </w:tcPr>
          <w:p>
            <w:pPr>
              <w:pStyle w:val="TableContents"/>
              <w:spacing w:before="0" w:after="283"/>
              <w:rPr>
                <w:sz w:val="4"/>
                <w:szCs w:val="4"/>
              </w:rPr>
            </w:pPr>
            <w:r>
              <w:rPr>
                <w:sz w:val="4"/>
                <w:szCs w:val="4"/>
              </w:rPr>
            </w:r>
          </w:p>
        </w:tc>
        <w:tc>
          <w:tcPr>
            <w:tcW w:w="1205" w:type="dxa"/>
            <w:gridSpan w:val="5"/>
            <w:tcBorders/>
            <w:shd w:fill="auto" w:val="clear"/>
            <w:vAlign w:val="center"/>
          </w:tcPr>
          <w:p>
            <w:pPr>
              <w:pStyle w:val="TableContents"/>
              <w:spacing w:before="0" w:after="283"/>
              <w:rPr>
                <w:sz w:val="4"/>
                <w:szCs w:val="4"/>
              </w:rPr>
            </w:pPr>
            <w:r>
              <w:rPr>
                <w:sz w:val="4"/>
                <w:szCs w:val="4"/>
              </w:rPr>
            </w:r>
          </w:p>
        </w:tc>
        <w:tc>
          <w:tcPr>
            <w:tcW w:w="1205" w:type="dxa"/>
            <w:gridSpan w:val="5"/>
            <w:tcBorders/>
            <w:shd w:fill="auto" w:val="clear"/>
            <w:vAlign w:val="center"/>
          </w:tcPr>
          <w:p>
            <w:pPr>
              <w:pStyle w:val="TableContents"/>
              <w:spacing w:before="0" w:after="283"/>
              <w:rPr>
                <w:sz w:val="4"/>
                <w:szCs w:val="4"/>
              </w:rPr>
            </w:pPr>
            <w:r>
              <w:rPr>
                <w:sz w:val="4"/>
                <w:szCs w:val="4"/>
              </w:rPr>
            </w:r>
          </w:p>
        </w:tc>
        <w:tc>
          <w:tcPr>
            <w:tcW w:w="1550" w:type="dxa"/>
            <w:gridSpan w:val="5"/>
            <w:tcBorders/>
            <w:shd w:fill="auto" w:val="clear"/>
            <w:vAlign w:val="center"/>
          </w:tcPr>
          <w:p>
            <w:pPr>
              <w:pStyle w:val="TableContents"/>
              <w:spacing w:before="0" w:after="283"/>
              <w:rPr>
                <w:sz w:val="4"/>
                <w:szCs w:val="4"/>
              </w:rPr>
            </w:pPr>
            <w:r>
              <w:rPr>
                <w:sz w:val="4"/>
                <w:szCs w:val="4"/>
              </w:rPr>
            </w:r>
          </w:p>
        </w:tc>
        <w:tc>
          <w:tcPr>
            <w:tcW w:w="1550" w:type="dxa"/>
            <w:gridSpan w:val="5"/>
            <w:tcBorders/>
            <w:shd w:fill="auto" w:val="clear"/>
            <w:vAlign w:val="center"/>
          </w:tcPr>
          <w:p>
            <w:pPr>
              <w:pStyle w:val="TableContents"/>
              <w:spacing w:before="0" w:after="283"/>
              <w:rPr>
                <w:sz w:val="4"/>
                <w:szCs w:val="4"/>
              </w:rPr>
            </w:pPr>
            <w:r>
              <w:rPr>
                <w:sz w:val="4"/>
                <w:szCs w:val="4"/>
              </w:rPr>
            </w:r>
          </w:p>
        </w:tc>
        <w:tc>
          <w:tcPr>
            <w:tcW w:w="1805" w:type="dxa"/>
            <w:gridSpan w:val="5"/>
            <w:tcBorders/>
            <w:shd w:fill="auto" w:val="clear"/>
            <w:vAlign w:val="center"/>
          </w:tcPr>
          <w:p>
            <w:pPr>
              <w:pStyle w:val="TableContents"/>
              <w:spacing w:before="0" w:after="283"/>
              <w:rPr>
                <w:sz w:val="4"/>
                <w:szCs w:val="4"/>
              </w:rPr>
            </w:pPr>
            <w:r>
              <w:rPr>
                <w:sz w:val="4"/>
                <w:szCs w:val="4"/>
              </w:rPr>
            </w:r>
          </w:p>
        </w:tc>
        <w:tc>
          <w:tcPr>
            <w:tcW w:w="1210" w:type="dxa"/>
            <w:gridSpan w:val="5"/>
            <w:tcBorders/>
            <w:shd w:fill="auto" w:val="clear"/>
            <w:vAlign w:val="center"/>
          </w:tcPr>
          <w:p>
            <w:pPr>
              <w:pStyle w:val="TableContents"/>
              <w:spacing w:before="0" w:after="283"/>
              <w:rPr>
                <w:sz w:val="4"/>
                <w:szCs w:val="4"/>
              </w:rPr>
            </w:pPr>
            <w:r>
              <w:rPr>
                <w:sz w:val="4"/>
                <w:szCs w:val="4"/>
              </w:rPr>
            </w:r>
          </w:p>
        </w:tc>
      </w:tr>
      <w:tr>
        <w:trPr/>
        <w:tc>
          <w:tcPr>
            <w:tcW w:w="14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4"/>
            <w:tcBorders>
              <w:bottom w:val="single" w:sz="2" w:space="0" w:color="001C71"/>
            </w:tcBorders>
            <w:shd w:fill="auto" w:val="clear"/>
            <w:tcMar>
              <w:bottom w:w="60" w:type="dxa"/>
            </w:tcMar>
            <w:vAlign w:val="bottom"/>
          </w:tcPr>
          <w:p>
            <w:pPr>
              <w:pStyle w:val="TableContents"/>
              <w:spacing w:before="0" w:after="283"/>
              <w:jc w:val="center"/>
              <w:rPr>
                <w:b/>
                <w:color w:val="001C71"/>
              </w:rPr>
            </w:pPr>
            <w:r>
              <w:rPr>
                <w:b/>
                <w:color w:val="001C71"/>
              </w:rPr>
              <w:t>Stock</w:t>
              <w:br/>
              <w:t>Awards (H)</w:t>
            </w:r>
          </w:p>
        </w:tc>
        <w:tc>
          <w:tcPr>
            <w:tcW w:w="60" w:type="dxa"/>
            <w:tcBorders/>
            <w:shd w:fill="auto" w:val="clear"/>
            <w:vAlign w:val="bottom"/>
          </w:tcPr>
          <w:p>
            <w:pPr>
              <w:pStyle w:val="TableContents"/>
              <w:spacing w:before="0" w:after="283"/>
              <w:rPr/>
            </w:pPr>
            <w:r>
              <w:rPr/>
              <w:t> </w:t>
            </w:r>
          </w:p>
        </w:tc>
        <w:tc>
          <w:tcPr>
            <w:tcW w:w="1145" w:type="dxa"/>
            <w:gridSpan w:val="4"/>
            <w:tcBorders>
              <w:bottom w:val="single" w:sz="2" w:space="0" w:color="001C71"/>
            </w:tcBorders>
            <w:shd w:fill="auto" w:val="clear"/>
            <w:tcMar>
              <w:bottom w:w="60" w:type="dxa"/>
            </w:tcMar>
            <w:vAlign w:val="bottom"/>
          </w:tcPr>
          <w:p>
            <w:pPr>
              <w:pStyle w:val="TableContents"/>
              <w:spacing w:before="0" w:after="283"/>
              <w:jc w:val="center"/>
              <w:rPr>
                <w:b/>
                <w:color w:val="001C71"/>
              </w:rPr>
            </w:pPr>
            <w:r>
              <w:rPr>
                <w:b/>
                <w:color w:val="001C71"/>
              </w:rPr>
              <w:t>Option</w:t>
              <w:br/>
              <w:t>Awards (H)</w:t>
            </w:r>
          </w:p>
        </w:tc>
        <w:tc>
          <w:tcPr>
            <w:tcW w:w="60" w:type="dxa"/>
            <w:tcBorders/>
            <w:shd w:fill="auto" w:val="clear"/>
            <w:vAlign w:val="bottom"/>
          </w:tcPr>
          <w:p>
            <w:pPr>
              <w:pStyle w:val="TableContents"/>
              <w:spacing w:before="0" w:after="283"/>
              <w:rPr/>
            </w:pPr>
            <w:r>
              <w:rPr/>
              <w:t> </w:t>
            </w:r>
          </w:p>
        </w:tc>
        <w:tc>
          <w:tcPr>
            <w:tcW w:w="1490" w:type="dxa"/>
            <w:gridSpan w:val="4"/>
            <w:tcBorders>
              <w:bottom w:val="single" w:sz="2" w:space="0" w:color="001C71"/>
            </w:tcBorders>
            <w:shd w:fill="auto" w:val="clear"/>
            <w:tcMar>
              <w:bottom w:w="60" w:type="dxa"/>
            </w:tcMar>
            <w:vAlign w:val="bottom"/>
          </w:tcPr>
          <w:p>
            <w:pPr>
              <w:pStyle w:val="TableContents"/>
              <w:spacing w:before="0" w:after="283"/>
              <w:jc w:val="center"/>
              <w:rPr>
                <w:b/>
                <w:color w:val="001C71"/>
              </w:rPr>
            </w:pPr>
            <w:r>
              <w:rPr>
                <w:b/>
                <w:color w:val="001C71"/>
              </w:rPr>
              <w:t>Non-Equity</w:t>
              <w:br/>
              <w:t>Incentive Plan</w:t>
              <w:br/>
              <w:t>Compensation</w:t>
            </w:r>
          </w:p>
        </w:tc>
        <w:tc>
          <w:tcPr>
            <w:tcW w:w="60" w:type="dxa"/>
            <w:tcBorders/>
            <w:shd w:fill="auto" w:val="clear"/>
            <w:vAlign w:val="bottom"/>
          </w:tcPr>
          <w:p>
            <w:pPr>
              <w:pStyle w:val="TableContents"/>
              <w:spacing w:before="0" w:after="283"/>
              <w:rPr/>
            </w:pPr>
            <w:r>
              <w:rPr/>
              <w:t> </w:t>
            </w:r>
          </w:p>
        </w:tc>
        <w:tc>
          <w:tcPr>
            <w:tcW w:w="1490" w:type="dxa"/>
            <w:gridSpan w:val="4"/>
            <w:tcBorders>
              <w:bottom w:val="single" w:sz="2" w:space="0" w:color="001C71"/>
            </w:tcBorders>
            <w:shd w:fill="auto" w:val="clear"/>
            <w:tcMar>
              <w:bottom w:w="60" w:type="dxa"/>
            </w:tcMar>
            <w:vAlign w:val="bottom"/>
          </w:tcPr>
          <w:p>
            <w:pPr>
              <w:pStyle w:val="TableContents"/>
              <w:spacing w:before="0" w:after="283"/>
              <w:jc w:val="center"/>
              <w:rPr>
                <w:b/>
                <w:color w:val="001C71"/>
              </w:rPr>
            </w:pPr>
            <w:r>
              <w:rPr>
                <w:b/>
                <w:color w:val="001C71"/>
              </w:rPr>
              <w:t>Change in</w:t>
              <w:br/>
              <w:t>Pension Value</w:t>
              <w:br/>
              <w:t>and</w:t>
              <w:br/>
              <w:t>Nonqualified</w:t>
              <w:br/>
              <w:t>Deferred</w:t>
              <w:br/>
              <w:t>Compensation</w:t>
              <w:br/>
              <w:t>Earnings (I)</w:t>
            </w:r>
          </w:p>
        </w:tc>
        <w:tc>
          <w:tcPr>
            <w:tcW w:w="60" w:type="dxa"/>
            <w:tcBorders/>
            <w:shd w:fill="auto" w:val="clear"/>
            <w:vAlign w:val="bottom"/>
          </w:tcPr>
          <w:p>
            <w:pPr>
              <w:pStyle w:val="TableContents"/>
              <w:spacing w:before="0" w:after="283"/>
              <w:rPr/>
            </w:pPr>
            <w:r>
              <w:rPr/>
              <w:t> </w:t>
            </w:r>
          </w:p>
        </w:tc>
        <w:tc>
          <w:tcPr>
            <w:tcW w:w="1745"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0" w:type="dxa"/>
            <w:gridSpan w:val="4"/>
            <w:tcBorders/>
            <w:shd w:fill="auto" w:val="clear"/>
            <w:vAlign w:val="bottom"/>
          </w:tcPr>
          <w:p>
            <w:pPr>
              <w:pStyle w:val="TableContents"/>
              <w:spacing w:before="0" w:after="283"/>
              <w:rPr/>
            </w:pPr>
            <w:r>
              <w:rPr/>
              <w:t> </w:t>
            </w:r>
          </w:p>
        </w:tc>
      </w:tr>
      <w:tr>
        <w:trPr>
          <w:trHeight w:val="60" w:hRule="atLeast"/>
        </w:trPr>
        <w:tc>
          <w:tcPr>
            <w:tcW w:w="1475" w:type="dxa"/>
            <w:tcBorders/>
            <w:shd w:fill="auto" w:val="clear"/>
            <w:vAlign w:val="center"/>
          </w:tcPr>
          <w:p>
            <w:pPr>
              <w:pStyle w:val="TableContents"/>
              <w:spacing w:before="0" w:after="283"/>
              <w:rPr>
                <w:sz w:val="4"/>
                <w:szCs w:val="4"/>
              </w:rPr>
            </w:pPr>
            <w:r>
              <w:rPr>
                <w:sz w:val="4"/>
                <w:szCs w:val="4"/>
              </w:rPr>
            </w:r>
          </w:p>
        </w:tc>
        <w:tc>
          <w:tcPr>
            <w:tcW w:w="620" w:type="dxa"/>
            <w:gridSpan w:val="5"/>
            <w:tcBorders/>
            <w:shd w:fill="auto" w:val="clear"/>
            <w:vAlign w:val="center"/>
          </w:tcPr>
          <w:p>
            <w:pPr>
              <w:pStyle w:val="TableContents"/>
              <w:spacing w:before="0" w:after="283"/>
              <w:rPr>
                <w:sz w:val="4"/>
                <w:szCs w:val="4"/>
              </w:rPr>
            </w:pPr>
            <w:r>
              <w:rPr>
                <w:sz w:val="4"/>
                <w:szCs w:val="4"/>
              </w:rPr>
            </w:r>
          </w:p>
        </w:tc>
        <w:tc>
          <w:tcPr>
            <w:tcW w:w="1030" w:type="dxa"/>
            <w:gridSpan w:val="5"/>
            <w:tcBorders/>
            <w:shd w:fill="auto" w:val="clear"/>
            <w:vAlign w:val="center"/>
          </w:tcPr>
          <w:p>
            <w:pPr>
              <w:pStyle w:val="TableContents"/>
              <w:spacing w:before="0" w:after="283"/>
              <w:rPr>
                <w:sz w:val="4"/>
                <w:szCs w:val="4"/>
              </w:rPr>
            </w:pPr>
            <w:r>
              <w:rPr>
                <w:sz w:val="4"/>
                <w:szCs w:val="4"/>
              </w:rPr>
            </w:r>
          </w:p>
        </w:tc>
        <w:tc>
          <w:tcPr>
            <w:tcW w:w="1040" w:type="dxa"/>
            <w:gridSpan w:val="5"/>
            <w:tcBorders/>
            <w:shd w:fill="auto" w:val="clear"/>
            <w:vAlign w:val="center"/>
          </w:tcPr>
          <w:p>
            <w:pPr>
              <w:pStyle w:val="TableContents"/>
              <w:spacing w:before="0" w:after="283"/>
              <w:rPr>
                <w:sz w:val="4"/>
                <w:szCs w:val="4"/>
              </w:rPr>
            </w:pPr>
            <w:r>
              <w:rPr>
                <w:sz w:val="4"/>
                <w:szCs w:val="4"/>
              </w:rPr>
            </w:r>
          </w:p>
        </w:tc>
        <w:tc>
          <w:tcPr>
            <w:tcW w:w="1205" w:type="dxa"/>
            <w:gridSpan w:val="5"/>
            <w:tcBorders/>
            <w:shd w:fill="auto" w:val="clear"/>
            <w:vAlign w:val="center"/>
          </w:tcPr>
          <w:p>
            <w:pPr>
              <w:pStyle w:val="TableContents"/>
              <w:spacing w:before="0" w:after="283"/>
              <w:rPr>
                <w:sz w:val="4"/>
                <w:szCs w:val="4"/>
              </w:rPr>
            </w:pPr>
            <w:r>
              <w:rPr>
                <w:sz w:val="4"/>
                <w:szCs w:val="4"/>
              </w:rPr>
            </w:r>
          </w:p>
        </w:tc>
        <w:tc>
          <w:tcPr>
            <w:tcW w:w="1205" w:type="dxa"/>
            <w:gridSpan w:val="5"/>
            <w:tcBorders/>
            <w:shd w:fill="auto" w:val="clear"/>
            <w:vAlign w:val="center"/>
          </w:tcPr>
          <w:p>
            <w:pPr>
              <w:pStyle w:val="TableContents"/>
              <w:spacing w:before="0" w:after="283"/>
              <w:rPr>
                <w:sz w:val="4"/>
                <w:szCs w:val="4"/>
              </w:rPr>
            </w:pPr>
            <w:r>
              <w:rPr>
                <w:sz w:val="4"/>
                <w:szCs w:val="4"/>
              </w:rPr>
            </w:r>
          </w:p>
        </w:tc>
        <w:tc>
          <w:tcPr>
            <w:tcW w:w="1550" w:type="dxa"/>
            <w:gridSpan w:val="5"/>
            <w:tcBorders/>
            <w:shd w:fill="auto" w:val="clear"/>
            <w:vAlign w:val="center"/>
          </w:tcPr>
          <w:p>
            <w:pPr>
              <w:pStyle w:val="TableContents"/>
              <w:spacing w:before="0" w:after="283"/>
              <w:rPr>
                <w:sz w:val="4"/>
                <w:szCs w:val="4"/>
              </w:rPr>
            </w:pPr>
            <w:r>
              <w:rPr>
                <w:sz w:val="4"/>
                <w:szCs w:val="4"/>
              </w:rPr>
            </w:r>
          </w:p>
        </w:tc>
        <w:tc>
          <w:tcPr>
            <w:tcW w:w="1550" w:type="dxa"/>
            <w:gridSpan w:val="5"/>
            <w:tcBorders/>
            <w:shd w:fill="auto" w:val="clear"/>
            <w:vAlign w:val="center"/>
          </w:tcPr>
          <w:p>
            <w:pPr>
              <w:pStyle w:val="TableContents"/>
              <w:spacing w:before="0" w:after="283"/>
              <w:rPr>
                <w:sz w:val="4"/>
                <w:szCs w:val="4"/>
              </w:rPr>
            </w:pPr>
            <w:r>
              <w:rPr>
                <w:sz w:val="4"/>
                <w:szCs w:val="4"/>
              </w:rPr>
            </w:r>
          </w:p>
        </w:tc>
        <w:tc>
          <w:tcPr>
            <w:tcW w:w="1805" w:type="dxa"/>
            <w:gridSpan w:val="5"/>
            <w:tcBorders/>
            <w:shd w:fill="auto" w:val="clear"/>
            <w:vAlign w:val="center"/>
          </w:tcPr>
          <w:p>
            <w:pPr>
              <w:pStyle w:val="TableContents"/>
              <w:spacing w:before="0" w:after="283"/>
              <w:rPr>
                <w:sz w:val="4"/>
                <w:szCs w:val="4"/>
              </w:rPr>
            </w:pPr>
            <w:r>
              <w:rPr>
                <w:sz w:val="4"/>
                <w:szCs w:val="4"/>
              </w:rPr>
            </w:r>
          </w:p>
        </w:tc>
        <w:tc>
          <w:tcPr>
            <w:tcW w:w="1210" w:type="dxa"/>
            <w:gridSpan w:val="5"/>
            <w:tcBorders/>
            <w:shd w:fill="auto" w:val="clear"/>
            <w:vAlign w:val="center"/>
          </w:tcPr>
          <w:p>
            <w:pPr>
              <w:pStyle w:val="TableContents"/>
              <w:spacing w:before="0" w:after="283"/>
              <w:rPr>
                <w:sz w:val="4"/>
                <w:szCs w:val="4"/>
              </w:rPr>
            </w:pPr>
            <w:r>
              <w:rPr>
                <w:sz w:val="4"/>
                <w:szCs w:val="4"/>
              </w:rPr>
            </w:r>
          </w:p>
        </w:tc>
      </w:tr>
      <w:tr>
        <w:trPr/>
        <w:tc>
          <w:tcPr>
            <w:tcW w:w="1475" w:type="dxa"/>
            <w:tcBorders>
              <w:bottom w:val="single" w:sz="16" w:space="0" w:color="001C71"/>
            </w:tcBorders>
            <w:shd w:fill="auto" w:val="clear"/>
            <w:tcMar>
              <w:bottom w:w="28" w:type="dxa"/>
            </w:tcMar>
            <w:vAlign w:val="bottom"/>
          </w:tcPr>
          <w:p>
            <w:pPr>
              <w:pStyle w:val="TableContents"/>
              <w:rPr/>
            </w:pPr>
            <w:r>
              <w:rPr/>
              <w:t>  </w:t>
            </w:r>
          </w:p>
          <w:p>
            <w:pPr>
              <w:pStyle w:val="TableContents"/>
              <w:spacing w:before="0" w:after="0"/>
              <w:rPr/>
            </w:pPr>
            <w:r>
              <w:rPr/>
              <w:t> </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560" w:type="dxa"/>
            <w:gridSpan w:val="4"/>
            <w:tcBorders>
              <w:bottom w:val="single" w:sz="16" w:space="0" w:color="001C71"/>
            </w:tcBorders>
            <w:shd w:fill="auto" w:val="clear"/>
            <w:tcMar>
              <w:bottom w:w="40" w:type="dxa"/>
            </w:tcMar>
            <w:vAlign w:val="bottom"/>
          </w:tcPr>
          <w:p>
            <w:pPr>
              <w:pStyle w:val="TableContents"/>
              <w:spacing w:before="0" w:after="283"/>
              <w:jc w:val="center"/>
              <w:rPr>
                <w:b/>
                <w:color w:val="001C71"/>
              </w:rPr>
            </w:pPr>
            <w:r>
              <w:rPr>
                <w:b/>
                <w:color w:val="001C71"/>
              </w:rPr>
              <w:t>Year</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970" w:type="dxa"/>
            <w:gridSpan w:val="4"/>
            <w:tcBorders>
              <w:bottom w:val="single" w:sz="16" w:space="0" w:color="001C71"/>
            </w:tcBorders>
            <w:shd w:fill="auto" w:val="clear"/>
            <w:tcMar>
              <w:bottom w:w="40" w:type="dxa"/>
            </w:tcMar>
            <w:vAlign w:val="bottom"/>
          </w:tcPr>
          <w:p>
            <w:pPr>
              <w:pStyle w:val="TableContents"/>
              <w:spacing w:before="0" w:after="283"/>
              <w:jc w:val="center"/>
              <w:rPr>
                <w:b/>
                <w:color w:val="001C71"/>
              </w:rPr>
            </w:pPr>
            <w:r>
              <w:rPr>
                <w:b/>
                <w:color w:val="001C71"/>
              </w:rPr>
              <w:t>Salary (F)</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980" w:type="dxa"/>
            <w:gridSpan w:val="4"/>
            <w:tcBorders>
              <w:bottom w:val="single" w:sz="16" w:space="0" w:color="001C71"/>
            </w:tcBorders>
            <w:shd w:fill="auto" w:val="clear"/>
            <w:tcMar>
              <w:bottom w:w="40" w:type="dxa"/>
            </w:tcMar>
            <w:vAlign w:val="bottom"/>
          </w:tcPr>
          <w:p>
            <w:pPr>
              <w:pStyle w:val="TableContents"/>
              <w:spacing w:before="0" w:after="283"/>
              <w:jc w:val="center"/>
              <w:rPr>
                <w:b/>
                <w:color w:val="001C71"/>
              </w:rPr>
            </w:pPr>
            <w:r>
              <w:rPr>
                <w:b/>
                <w:color w:val="001C71"/>
              </w:rPr>
              <w:t>Bonus (G)</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1145" w:type="dxa"/>
            <w:gridSpan w:val="4"/>
            <w:tcBorders>
              <w:bottom w:val="single" w:sz="16" w:space="0" w:color="001C71"/>
            </w:tcBorders>
            <w:shd w:fill="auto" w:val="clear"/>
            <w:tcMar>
              <w:bottom w:w="40" w:type="dxa"/>
            </w:tcMar>
            <w:vAlign w:val="bottom"/>
          </w:tcPr>
          <w:p>
            <w:pPr>
              <w:pStyle w:val="TableContents"/>
              <w:spacing w:before="0" w:after="283"/>
              <w:jc w:val="center"/>
              <w:rPr>
                <w:b/>
                <w:color w:val="001C71"/>
              </w:rPr>
            </w:pPr>
            <w:r>
              <w:rPr>
                <w:b/>
                <w:color w:val="001C71"/>
              </w:rPr>
              <w:t>Restricted</w:t>
              <w:br/>
              <w:t>stock</w:t>
              <w:br/>
              <w:t>units</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1145" w:type="dxa"/>
            <w:gridSpan w:val="4"/>
            <w:tcBorders>
              <w:bottom w:val="single" w:sz="16" w:space="0" w:color="001C71"/>
            </w:tcBorders>
            <w:shd w:fill="auto" w:val="clear"/>
            <w:tcMar>
              <w:bottom w:w="40" w:type="dxa"/>
            </w:tcMar>
            <w:vAlign w:val="bottom"/>
          </w:tcPr>
          <w:p>
            <w:pPr>
              <w:pStyle w:val="TableContents"/>
              <w:spacing w:before="0" w:after="283"/>
              <w:jc w:val="center"/>
              <w:rPr>
                <w:b/>
                <w:color w:val="001C71"/>
              </w:rPr>
            </w:pPr>
            <w:r>
              <w:rPr>
                <w:b/>
                <w:color w:val="001C71"/>
              </w:rPr>
              <w:t>Service-</w:t>
              <w:br/>
              <w:t>based</w:t>
              <w:br/>
              <w:t>options</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1490" w:type="dxa"/>
            <w:gridSpan w:val="4"/>
            <w:tcBorders>
              <w:bottom w:val="single" w:sz="16" w:space="0" w:color="001C71"/>
            </w:tcBorders>
            <w:shd w:fill="auto" w:val="clear"/>
            <w:tcMar>
              <w:bottom w:w="40" w:type="dxa"/>
            </w:tcMar>
            <w:vAlign w:val="bottom"/>
          </w:tcPr>
          <w:p>
            <w:pPr>
              <w:pStyle w:val="TableContents"/>
              <w:spacing w:before="0" w:after="283"/>
              <w:jc w:val="center"/>
              <w:rPr>
                <w:b/>
                <w:color w:val="001C71"/>
              </w:rPr>
            </w:pPr>
            <w:r>
              <w:rPr>
                <w:b/>
                <w:color w:val="001C71"/>
              </w:rPr>
              <w:t>Performance-</w:t>
              <w:br/>
              <w:t>based annual</w:t>
              <w:br/>
              <w:t>cash bonus</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1490" w:type="dxa"/>
            <w:gridSpan w:val="4"/>
            <w:tcBorders>
              <w:bottom w:val="single" w:sz="16" w:space="0" w:color="001C71"/>
            </w:tcBorders>
            <w:shd w:fill="auto" w:val="clear"/>
            <w:tcMar>
              <w:bottom w:w="40" w:type="dxa"/>
            </w:tcMar>
            <w:vAlign w:val="bottom"/>
          </w:tcPr>
          <w:p>
            <w:pPr>
              <w:pStyle w:val="TableContents"/>
              <w:spacing w:before="0" w:after="283"/>
              <w:jc w:val="center"/>
              <w:rPr>
                <w:b/>
                <w:color w:val="001C71"/>
              </w:rPr>
            </w:pPr>
            <w:r>
              <w:rPr>
                <w:b/>
                <w:color w:val="001C71"/>
              </w:rPr>
              <w:t>Pension</w:t>
              <w:br/>
              <w:t>accruals</w:t>
              <w:br/>
              <w:t>and above-</w:t>
              <w:br/>
              <w:t>market</w:t>
              <w:br/>
              <w:t>interest</w:t>
              <w:br/>
              <w:t>on  non-</w:t>
              <w:br/>
              <w:t>qualified</w:t>
              <w:br/>
              <w:t>deferred</w:t>
              <w:br/>
              <w:t>compensation</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1745" w:type="dxa"/>
            <w:gridSpan w:val="4"/>
            <w:tcBorders>
              <w:bottom w:val="single" w:sz="16" w:space="0" w:color="001C71"/>
            </w:tcBorders>
            <w:shd w:fill="auto" w:val="clear"/>
            <w:tcMar>
              <w:bottom w:w="40" w:type="dxa"/>
            </w:tcMar>
            <w:vAlign w:val="bottom"/>
          </w:tcPr>
          <w:p>
            <w:pPr>
              <w:pStyle w:val="TableContents"/>
              <w:spacing w:before="0" w:after="283"/>
              <w:jc w:val="center"/>
              <w:rPr>
                <w:b/>
                <w:color w:val="001C71"/>
              </w:rPr>
            </w:pPr>
            <w:r>
              <w:rPr>
                <w:b/>
                <w:color w:val="001C71"/>
              </w:rPr>
              <w:t>All Other</w:t>
              <w:br/>
              <w:t>Compensation (J)</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1150" w:type="dxa"/>
            <w:gridSpan w:val="4"/>
            <w:tcBorders>
              <w:bottom w:val="single" w:sz="16" w:space="0" w:color="001C71"/>
            </w:tcBorders>
            <w:shd w:fill="auto" w:val="clear"/>
            <w:tcMar>
              <w:bottom w:w="40" w:type="dxa"/>
            </w:tcMar>
            <w:vAlign w:val="bottom"/>
          </w:tcPr>
          <w:p>
            <w:pPr>
              <w:pStyle w:val="TableContents"/>
              <w:spacing w:before="0" w:after="283"/>
              <w:jc w:val="center"/>
              <w:rPr>
                <w:b/>
                <w:color w:val="001C71"/>
              </w:rPr>
            </w:pPr>
            <w:r>
              <w:rPr>
                <w:b/>
                <w:color w:val="001C71"/>
              </w:rPr>
              <w:t>Total    </w:t>
            </w:r>
          </w:p>
        </w:tc>
      </w:tr>
      <w:tr>
        <w:trPr/>
        <w:tc>
          <w:tcPr>
            <w:tcW w:w="1475"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5"/>
              </w:rPr>
            </w:pPr>
            <w:r>
              <w:rPr>
                <w:rFonts w:ascii="arial" w:hAnsi="arial"/>
                <w:b/>
                <w:sz w:val="15"/>
              </w:rPr>
              <w:t xml:space="preserve">Jeffrey W. Martin(A) </w:t>
            </w:r>
          </w:p>
          <w:p>
            <w:pPr>
              <w:pStyle w:val="TableContents"/>
              <w:spacing w:before="0" w:after="0"/>
              <w:rPr>
                <w:rFonts w:ascii="arial" w:hAnsi="arial"/>
                <w:sz w:val="15"/>
              </w:rPr>
            </w:pPr>
            <w:r>
              <w:rPr>
                <w:rFonts w:ascii="arial" w:hAnsi="arial"/>
                <w:sz w:val="15"/>
              </w:rPr>
              <w:t>Chairman, Chief</w:t>
            </w:r>
          </w:p>
          <w:p>
            <w:pPr>
              <w:pStyle w:val="TableContents"/>
              <w:spacing w:before="0" w:after="0"/>
              <w:rPr>
                <w:rFonts w:ascii="arial" w:hAnsi="arial"/>
                <w:sz w:val="15"/>
              </w:rPr>
            </w:pPr>
            <w:r>
              <w:rPr>
                <w:rFonts w:ascii="arial" w:hAnsi="arial"/>
                <w:sz w:val="15"/>
              </w:rPr>
              <w:t>Executive Officer</w:t>
            </w:r>
          </w:p>
          <w:p>
            <w:pPr>
              <w:pStyle w:val="TableContents"/>
              <w:spacing w:before="0" w:after="0"/>
              <w:rPr>
                <w:rFonts w:ascii="arial" w:hAnsi="arial"/>
                <w:sz w:val="15"/>
              </w:rPr>
            </w:pPr>
            <w:r>
              <w:rPr>
                <w:rFonts w:ascii="arial" w:hAnsi="arial"/>
                <w:sz w:val="15"/>
              </w:rPr>
              <w:t>and President</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80" w:before="0" w:after="0"/>
              <w:rPr/>
            </w:pPr>
            <w:r>
              <w:rPr/>
              <w:t> </w:t>
            </w:r>
          </w:p>
        </w:tc>
        <w:tc>
          <w:tcPr>
            <w:tcW w:w="38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2020</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74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1,300,000</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pPr>
            <w:r>
              <w:rPr/>
              <w:t> </w:t>
            </w:r>
          </w:p>
        </w:tc>
        <w:tc>
          <w:tcPr>
            <w:tcW w:w="71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w:t>
            </w:r>
          </w:p>
        </w:tc>
        <w:tc>
          <w:tcPr>
            <w:tcW w:w="7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5,166,808</w:t>
            </w:r>
          </w:p>
        </w:tc>
        <w:tc>
          <w:tcPr>
            <w:tcW w:w="7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2,100,014</w:t>
            </w:r>
          </w:p>
        </w:tc>
        <w:tc>
          <w:tcPr>
            <w:tcW w:w="7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1136"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3,740,600</w:t>
            </w:r>
          </w:p>
        </w:tc>
        <w:tc>
          <w:tcPr>
            <w:tcW w:w="9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54"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1166"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10,567,633</w:t>
            </w:r>
          </w:p>
        </w:tc>
        <w:tc>
          <w:tcPr>
            <w:tcW w:w="86"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pPr>
            <w:r>
              <w:rPr/>
              <w:t> </w:t>
            </w:r>
          </w:p>
        </w:tc>
        <w:tc>
          <w:tcPr>
            <w:tcW w:w="197"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1331"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306,664</w:t>
            </w:r>
          </w:p>
        </w:tc>
        <w:tc>
          <w:tcPr>
            <w:tcW w:w="1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92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23,181,719  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80" w:before="0" w:after="0"/>
              <w:rPr/>
            </w:pPr>
            <w:r>
              <w:rPr/>
              <w:t> </w:t>
            </w:r>
          </w:p>
        </w:tc>
        <w:tc>
          <w:tcPr>
            <w:tcW w:w="38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2019</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74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1,200,000</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pPr>
            <w:r>
              <w:rPr/>
              <w:t> </w:t>
            </w:r>
          </w:p>
        </w:tc>
        <w:tc>
          <w:tcPr>
            <w:tcW w:w="71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w:t>
            </w:r>
          </w:p>
        </w:tc>
        <w:tc>
          <w:tcPr>
            <w:tcW w:w="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5,927,197</w:t>
            </w:r>
          </w:p>
        </w:tc>
        <w:tc>
          <w:tcPr>
            <w:tcW w:w="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1,800,005</w:t>
            </w:r>
          </w:p>
        </w:tc>
        <w:tc>
          <w:tcPr>
            <w:tcW w:w="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1136"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3,027,100</w:t>
            </w:r>
          </w:p>
        </w:tc>
        <w:tc>
          <w:tcPr>
            <w:tcW w:w="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1166"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7,630,712</w:t>
            </w:r>
          </w:p>
        </w:tc>
        <w:tc>
          <w:tcPr>
            <w:tcW w:w="8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1331"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221,332</w:t>
            </w:r>
          </w:p>
        </w:tc>
        <w:tc>
          <w:tcPr>
            <w:tcW w:w="1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92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19,806,346  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380"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2018</w:t>
            </w:r>
          </w:p>
        </w:tc>
        <w:tc>
          <w:tcPr>
            <w:tcW w:w="6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740"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968,493</w:t>
            </w:r>
          </w:p>
        </w:tc>
        <w:tc>
          <w:tcPr>
            <w:tcW w:w="6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710"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w:t>
            </w:r>
          </w:p>
        </w:tc>
        <w:tc>
          <w:tcPr>
            <w:tcW w:w="71"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4,450,221</w:t>
            </w:r>
          </w:p>
        </w:tc>
        <w:tc>
          <w:tcPr>
            <w:tcW w:w="7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873"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w:t>
            </w:r>
          </w:p>
        </w:tc>
        <w:tc>
          <w:tcPr>
            <w:tcW w:w="7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92" w:type="dxa"/>
            <w:tcBorders>
              <w:bottom w:val="single" w:sz="8" w:space="0" w:color="001C71"/>
            </w:tcBorders>
            <w:shd w:fill="E5E5E5" w:val="clear"/>
            <w:tcMar>
              <w:bottom w:w="28" w:type="dxa"/>
            </w:tcMar>
            <w:vAlign w:val="bottom"/>
          </w:tcPr>
          <w:p>
            <w:pPr>
              <w:pStyle w:val="TableContents"/>
              <w:spacing w:before="0" w:after="283"/>
              <w:rPr/>
            </w:pPr>
            <w:r>
              <w:rPr/>
              <w:t> </w:t>
            </w:r>
          </w:p>
        </w:tc>
        <w:tc>
          <w:tcPr>
            <w:tcW w:w="168"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1136"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2,267,300</w:t>
            </w:r>
          </w:p>
        </w:tc>
        <w:tc>
          <w:tcPr>
            <w:tcW w:w="94"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84" w:type="dxa"/>
            <w:tcBorders>
              <w:bottom w:val="single" w:sz="8" w:space="0" w:color="001C71"/>
            </w:tcBorders>
            <w:shd w:fill="E5E5E5" w:val="clear"/>
            <w:tcMar>
              <w:bottom w:w="28" w:type="dxa"/>
            </w:tcMar>
            <w:vAlign w:val="bottom"/>
          </w:tcPr>
          <w:p>
            <w:pPr>
              <w:pStyle w:val="TableContents"/>
              <w:spacing w:before="0" w:after="283"/>
              <w:rPr/>
            </w:pPr>
            <w:r>
              <w:rPr/>
              <w:t> </w:t>
            </w:r>
          </w:p>
        </w:tc>
        <w:tc>
          <w:tcPr>
            <w:tcW w:w="154"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1166"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1,337,441</w:t>
            </w:r>
          </w:p>
        </w:tc>
        <w:tc>
          <w:tcPr>
            <w:tcW w:w="86"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7" w:type="dxa"/>
            <w:tcBorders>
              <w:bottom w:val="single" w:sz="8" w:space="0" w:color="001C71"/>
            </w:tcBorders>
            <w:shd w:fill="E5E5E5" w:val="clear"/>
            <w:tcMar>
              <w:bottom w:w="28" w:type="dxa"/>
            </w:tcMar>
            <w:vAlign w:val="bottom"/>
          </w:tcPr>
          <w:p>
            <w:pPr>
              <w:pStyle w:val="TableContents"/>
              <w:spacing w:before="0" w:after="283"/>
              <w:rPr/>
            </w:pPr>
            <w:r>
              <w:rPr/>
              <w:t> </w:t>
            </w:r>
          </w:p>
        </w:tc>
        <w:tc>
          <w:tcPr>
            <w:tcW w:w="197"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1331"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301,036</w:t>
            </w:r>
          </w:p>
        </w:tc>
        <w:tc>
          <w:tcPr>
            <w:tcW w:w="11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920"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9,324,491  </w:t>
            </w:r>
          </w:p>
        </w:tc>
        <w:tc>
          <w:tcPr>
            <w:tcW w:w="6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r>
      <w:tr>
        <w:trPr/>
        <w:tc>
          <w:tcPr>
            <w:tcW w:w="1475"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5"/>
              </w:rPr>
            </w:pPr>
            <w:r>
              <w:rPr>
                <w:rFonts w:ascii="arial" w:hAnsi="arial"/>
                <w:b/>
                <w:sz w:val="15"/>
              </w:rPr>
              <w:t>Trevor I. Mihalik</w:t>
            </w:r>
          </w:p>
          <w:p>
            <w:pPr>
              <w:pStyle w:val="TableContents"/>
              <w:spacing w:before="0" w:after="0"/>
              <w:rPr>
                <w:rFonts w:ascii="arial" w:hAnsi="arial"/>
                <w:sz w:val="15"/>
              </w:rPr>
            </w:pPr>
            <w:r>
              <w:rPr>
                <w:rFonts w:ascii="arial" w:hAnsi="arial"/>
                <w:sz w:val="15"/>
              </w:rPr>
              <w:t>Executive Vice</w:t>
            </w:r>
          </w:p>
          <w:p>
            <w:pPr>
              <w:pStyle w:val="TableContents"/>
              <w:spacing w:before="0" w:after="0"/>
              <w:rPr>
                <w:rFonts w:ascii="arial" w:hAnsi="arial"/>
                <w:sz w:val="15"/>
              </w:rPr>
            </w:pPr>
            <w:r>
              <w:rPr>
                <w:rFonts w:ascii="arial" w:hAnsi="arial"/>
                <w:sz w:val="15"/>
              </w:rPr>
              <w:t>President and Chief</w:t>
            </w:r>
          </w:p>
          <w:p>
            <w:pPr>
              <w:pStyle w:val="TableContents"/>
              <w:spacing w:before="0" w:after="0"/>
              <w:rPr>
                <w:rFonts w:ascii="arial" w:hAnsi="arial"/>
                <w:sz w:val="15"/>
              </w:rPr>
            </w:pPr>
            <w:r>
              <w:rPr>
                <w:rFonts w:ascii="arial" w:hAnsi="arial"/>
                <w:sz w:val="15"/>
              </w:rPr>
              <w:t>Financial Officer</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80" w:before="0" w:after="0"/>
              <w:rPr/>
            </w:pPr>
            <w:r>
              <w:rPr/>
              <w:t> </w:t>
            </w:r>
          </w:p>
        </w:tc>
        <w:tc>
          <w:tcPr>
            <w:tcW w:w="38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2020</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74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730,000</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pPr>
            <w:r>
              <w:rPr/>
              <w:t> </w:t>
            </w:r>
          </w:p>
        </w:tc>
        <w:tc>
          <w:tcPr>
            <w:tcW w:w="71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w:t>
            </w:r>
          </w:p>
        </w:tc>
        <w:tc>
          <w:tcPr>
            <w:tcW w:w="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1,865,247</w:t>
            </w:r>
          </w:p>
        </w:tc>
        <w:tc>
          <w:tcPr>
            <w:tcW w:w="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315,014</w:t>
            </w:r>
          </w:p>
        </w:tc>
        <w:tc>
          <w:tcPr>
            <w:tcW w:w="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1136"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1,231,400</w:t>
            </w:r>
          </w:p>
        </w:tc>
        <w:tc>
          <w:tcPr>
            <w:tcW w:w="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1166"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2,927,863</w:t>
            </w:r>
          </w:p>
        </w:tc>
        <w:tc>
          <w:tcPr>
            <w:tcW w:w="8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1331"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130,198</w:t>
            </w:r>
          </w:p>
        </w:tc>
        <w:tc>
          <w:tcPr>
            <w:tcW w:w="1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92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7,199,722  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80" w:before="0" w:after="0"/>
              <w:rPr/>
            </w:pPr>
            <w:r>
              <w:rPr/>
              <w:t> </w:t>
            </w:r>
          </w:p>
        </w:tc>
        <w:tc>
          <w:tcPr>
            <w:tcW w:w="38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2019</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74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650,000</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pPr>
            <w:r>
              <w:rPr/>
              <w:t> </w:t>
            </w:r>
          </w:p>
        </w:tc>
        <w:tc>
          <w:tcPr>
            <w:tcW w:w="71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w:t>
            </w:r>
          </w:p>
        </w:tc>
        <w:tc>
          <w:tcPr>
            <w:tcW w:w="7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1,211,982</w:t>
            </w:r>
          </w:p>
        </w:tc>
        <w:tc>
          <w:tcPr>
            <w:tcW w:w="7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204,758</w:t>
            </w:r>
          </w:p>
        </w:tc>
        <w:tc>
          <w:tcPr>
            <w:tcW w:w="7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1136"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1,009,100</w:t>
            </w:r>
          </w:p>
        </w:tc>
        <w:tc>
          <w:tcPr>
            <w:tcW w:w="9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54"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1166"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2,051,189</w:t>
            </w:r>
          </w:p>
        </w:tc>
        <w:tc>
          <w:tcPr>
            <w:tcW w:w="86"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pPr>
            <w:r>
              <w:rPr/>
              <w:t> </w:t>
            </w:r>
          </w:p>
        </w:tc>
        <w:tc>
          <w:tcPr>
            <w:tcW w:w="197"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1331"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112,278</w:t>
            </w:r>
          </w:p>
        </w:tc>
        <w:tc>
          <w:tcPr>
            <w:tcW w:w="1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92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5,239,307  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380"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2018</w:t>
            </w:r>
          </w:p>
        </w:tc>
        <w:tc>
          <w:tcPr>
            <w:tcW w:w="60"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740"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534,247</w:t>
            </w:r>
          </w:p>
        </w:tc>
        <w:tc>
          <w:tcPr>
            <w:tcW w:w="60"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710"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w:t>
            </w:r>
          </w:p>
        </w:tc>
        <w:tc>
          <w:tcPr>
            <w:tcW w:w="71"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1,880,243</w:t>
            </w:r>
          </w:p>
        </w:tc>
        <w:tc>
          <w:tcPr>
            <w:tcW w:w="73"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873"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w:t>
            </w:r>
          </w:p>
        </w:tc>
        <w:tc>
          <w:tcPr>
            <w:tcW w:w="73"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2" w:type="dxa"/>
            <w:tcBorders>
              <w:bottom w:val="single" w:sz="8" w:space="0" w:color="001C71"/>
            </w:tcBorders>
            <w:shd w:fill="auto" w:val="clear"/>
            <w:tcMar>
              <w:bottom w:w="28"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1136"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863,700</w:t>
            </w:r>
          </w:p>
        </w:tc>
        <w:tc>
          <w:tcPr>
            <w:tcW w:w="94"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84" w:type="dxa"/>
            <w:tcBorders>
              <w:bottom w:val="single" w:sz="8" w:space="0" w:color="001C71"/>
            </w:tcBorders>
            <w:shd w:fill="auto" w:val="clear"/>
            <w:tcMar>
              <w:bottom w:w="28" w:type="dxa"/>
            </w:tcMar>
            <w:vAlign w:val="bottom"/>
          </w:tcPr>
          <w:p>
            <w:pPr>
              <w:pStyle w:val="TableContents"/>
              <w:spacing w:before="0" w:after="283"/>
              <w:rPr/>
            </w:pPr>
            <w:r>
              <w:rPr/>
              <w:t> </w:t>
            </w:r>
          </w:p>
        </w:tc>
        <w:tc>
          <w:tcPr>
            <w:tcW w:w="154"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1166"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433,632</w:t>
            </w:r>
          </w:p>
        </w:tc>
        <w:tc>
          <w:tcPr>
            <w:tcW w:w="86"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7" w:type="dxa"/>
            <w:tcBorders>
              <w:bottom w:val="single" w:sz="8" w:space="0" w:color="001C71"/>
            </w:tcBorders>
            <w:shd w:fill="auto" w:val="clear"/>
            <w:tcMar>
              <w:bottom w:w="28" w:type="dxa"/>
            </w:tcMar>
            <w:vAlign w:val="bottom"/>
          </w:tcPr>
          <w:p>
            <w:pPr>
              <w:pStyle w:val="TableContents"/>
              <w:spacing w:before="0" w:after="283"/>
              <w:rPr/>
            </w:pPr>
            <w:r>
              <w:rPr/>
              <w:t> </w:t>
            </w:r>
          </w:p>
        </w:tc>
        <w:tc>
          <w:tcPr>
            <w:tcW w:w="197"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1331"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72,396</w:t>
            </w:r>
          </w:p>
        </w:tc>
        <w:tc>
          <w:tcPr>
            <w:tcW w:w="110"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5"/>
              </w:rPr>
            </w:pPr>
            <w:r>
              <w:rPr>
                <w:rFonts w:ascii="arial" w:hAnsi="arial"/>
                <w:sz w:val="15"/>
              </w:rPr>
              <w:t>$</w:t>
            </w:r>
          </w:p>
        </w:tc>
        <w:tc>
          <w:tcPr>
            <w:tcW w:w="920"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5"/>
              </w:rPr>
            </w:pPr>
            <w:r>
              <w:rPr>
                <w:rFonts w:ascii="arial" w:hAnsi="arial"/>
                <w:sz w:val="15"/>
              </w:rPr>
              <w:t>3,784,218  </w:t>
            </w:r>
          </w:p>
        </w:tc>
        <w:tc>
          <w:tcPr>
            <w:tcW w:w="60"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r>
      <w:tr>
        <w:trPr/>
        <w:tc>
          <w:tcPr>
            <w:tcW w:w="1475"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5"/>
              </w:rPr>
            </w:pPr>
            <w:r>
              <w:rPr>
                <w:rFonts w:ascii="arial" w:hAnsi="arial"/>
                <w:b/>
                <w:sz w:val="15"/>
              </w:rPr>
              <w:t xml:space="preserve">Kevin C. Sagara(B) </w:t>
            </w:r>
          </w:p>
          <w:p>
            <w:pPr>
              <w:pStyle w:val="TableContents"/>
              <w:spacing w:before="0" w:after="0"/>
              <w:rPr>
                <w:rFonts w:ascii="arial" w:hAnsi="arial"/>
                <w:sz w:val="15"/>
              </w:rPr>
            </w:pPr>
            <w:r>
              <w:rPr>
                <w:rFonts w:ascii="arial" w:hAnsi="arial"/>
                <w:sz w:val="15"/>
              </w:rPr>
              <w:t>Executive Vice</w:t>
            </w:r>
          </w:p>
          <w:p>
            <w:pPr>
              <w:pStyle w:val="TableContents"/>
              <w:spacing w:before="0" w:after="0"/>
              <w:rPr>
                <w:rFonts w:ascii="arial" w:hAnsi="arial"/>
                <w:sz w:val="15"/>
              </w:rPr>
            </w:pPr>
            <w:r>
              <w:rPr>
                <w:rFonts w:ascii="arial" w:hAnsi="arial"/>
                <w:sz w:val="15"/>
              </w:rPr>
              <w:t>President and</w:t>
            </w:r>
          </w:p>
          <w:p>
            <w:pPr>
              <w:pStyle w:val="TableContents"/>
              <w:spacing w:before="0" w:after="0"/>
              <w:rPr>
                <w:rFonts w:ascii="arial" w:hAnsi="arial"/>
                <w:sz w:val="15"/>
              </w:rPr>
            </w:pPr>
            <w:r>
              <w:rPr>
                <w:rFonts w:ascii="arial" w:hAnsi="arial"/>
                <w:sz w:val="15"/>
              </w:rPr>
              <w:t>Group President</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tcPr>
          <w:p>
            <w:pPr>
              <w:pStyle w:val="TableContents"/>
              <w:spacing w:lineRule="atLeast" w:line="280" w:before="0" w:after="0"/>
              <w:rPr/>
            </w:pPr>
            <w:r>
              <w:rPr/>
              <w:t> </w:t>
            </w:r>
          </w:p>
        </w:tc>
        <w:tc>
          <w:tcPr>
            <w:tcW w:w="380" w:type="dxa"/>
            <w:tcBorders/>
            <w:shd w:fill="E5E5E5" w:val="clear"/>
          </w:tcPr>
          <w:p>
            <w:pPr>
              <w:pStyle w:val="TableContents"/>
              <w:spacing w:lineRule="atLeast" w:line="280" w:before="0" w:after="0"/>
              <w:jc w:val="right"/>
              <w:rPr>
                <w:rFonts w:ascii="arial" w:hAnsi="arial"/>
                <w:sz w:val="15"/>
              </w:rPr>
            </w:pPr>
            <w:r>
              <w:rPr>
                <w:rFonts w:ascii="arial" w:hAnsi="arial"/>
                <w:sz w:val="15"/>
              </w:rPr>
              <w:t>2020</w:t>
            </w:r>
          </w:p>
        </w:tc>
        <w:tc>
          <w:tcPr>
            <w:tcW w:w="6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740" w:type="dxa"/>
            <w:tcBorders/>
            <w:shd w:fill="E5E5E5" w:val="clear"/>
          </w:tcPr>
          <w:p>
            <w:pPr>
              <w:pStyle w:val="TableContents"/>
              <w:spacing w:lineRule="atLeast" w:line="280" w:before="0" w:after="0"/>
              <w:jc w:val="right"/>
              <w:rPr>
                <w:rFonts w:ascii="arial" w:hAnsi="arial"/>
                <w:sz w:val="15"/>
              </w:rPr>
            </w:pPr>
            <w:r>
              <w:rPr>
                <w:rFonts w:ascii="arial" w:hAnsi="arial"/>
                <w:sz w:val="15"/>
              </w:rPr>
              <w:t>643,158</w:t>
            </w:r>
          </w:p>
        </w:tc>
        <w:tc>
          <w:tcPr>
            <w:tcW w:w="6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tcPr>
          <w:p>
            <w:pPr>
              <w:pStyle w:val="TableContents"/>
              <w:spacing w:lineRule="atLeast" w:line="280" w:before="0" w:after="0"/>
              <w:rPr/>
            </w:pPr>
            <w:r>
              <w:rPr/>
              <w:t> </w:t>
            </w:r>
          </w:p>
        </w:tc>
        <w:tc>
          <w:tcPr>
            <w:tcW w:w="710" w:type="dxa"/>
            <w:tcBorders/>
            <w:shd w:fill="E5E5E5" w:val="clear"/>
          </w:tcPr>
          <w:p>
            <w:pPr>
              <w:pStyle w:val="TableContents"/>
              <w:spacing w:lineRule="atLeast" w:line="280" w:before="0" w:after="0"/>
              <w:jc w:val="right"/>
              <w:rPr>
                <w:rFonts w:ascii="arial" w:hAnsi="arial"/>
                <w:sz w:val="15"/>
              </w:rPr>
            </w:pPr>
            <w:r>
              <w:rPr>
                <w:rFonts w:ascii="arial" w:hAnsi="arial"/>
                <w:sz w:val="15"/>
              </w:rPr>
              <w:t></w:t>
            </w:r>
          </w:p>
        </w:tc>
        <w:tc>
          <w:tcPr>
            <w:tcW w:w="71"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873" w:type="dxa"/>
            <w:tcBorders/>
            <w:shd w:fill="E5E5E5" w:val="clear"/>
          </w:tcPr>
          <w:p>
            <w:pPr>
              <w:pStyle w:val="TableContents"/>
              <w:spacing w:lineRule="atLeast" w:line="280" w:before="0" w:after="0"/>
              <w:jc w:val="right"/>
              <w:rPr>
                <w:rFonts w:ascii="arial" w:hAnsi="arial"/>
                <w:sz w:val="15"/>
              </w:rPr>
            </w:pPr>
            <w:r>
              <w:rPr>
                <w:rFonts w:ascii="arial" w:hAnsi="arial"/>
                <w:sz w:val="15"/>
              </w:rPr>
              <w:t>1,709,042</w:t>
            </w:r>
          </w:p>
        </w:tc>
        <w:tc>
          <w:tcPr>
            <w:tcW w:w="73"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tcPr>
          <w:p>
            <w:pPr>
              <w:pStyle w:val="TableContents"/>
              <w:spacing w:lineRule="atLeast" w:line="280" w:before="0" w:after="0"/>
              <w:rPr/>
            </w:pPr>
            <w:r>
              <w:rPr/>
              <w:t> </w:t>
            </w:r>
          </w:p>
        </w:tc>
        <w:tc>
          <w:tcPr>
            <w:tcW w:w="873" w:type="dxa"/>
            <w:tcBorders/>
            <w:shd w:fill="E5E5E5" w:val="clear"/>
          </w:tcPr>
          <w:p>
            <w:pPr>
              <w:pStyle w:val="TableContents"/>
              <w:spacing w:lineRule="atLeast" w:line="280" w:before="0" w:after="0"/>
              <w:jc w:val="right"/>
              <w:rPr>
                <w:rFonts w:ascii="arial" w:hAnsi="arial"/>
                <w:sz w:val="15"/>
              </w:rPr>
            </w:pPr>
            <w:r>
              <w:rPr>
                <w:rFonts w:ascii="arial" w:hAnsi="arial"/>
                <w:sz w:val="15"/>
              </w:rPr>
              <w:t></w:t>
            </w:r>
          </w:p>
        </w:tc>
        <w:tc>
          <w:tcPr>
            <w:tcW w:w="73"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68"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1136" w:type="dxa"/>
            <w:tcBorders/>
            <w:shd w:fill="E5E5E5" w:val="clear"/>
          </w:tcPr>
          <w:p>
            <w:pPr>
              <w:pStyle w:val="TableContents"/>
              <w:spacing w:lineRule="atLeast" w:line="280" w:before="0" w:after="0"/>
              <w:jc w:val="right"/>
              <w:rPr>
                <w:rFonts w:ascii="arial" w:hAnsi="arial"/>
                <w:sz w:val="15"/>
              </w:rPr>
            </w:pPr>
            <w:r>
              <w:rPr>
                <w:rFonts w:ascii="arial" w:hAnsi="arial"/>
                <w:sz w:val="15"/>
              </w:rPr>
              <w:t>1,132,500</w:t>
            </w:r>
          </w:p>
        </w:tc>
        <w:tc>
          <w:tcPr>
            <w:tcW w:w="94"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54"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1166" w:type="dxa"/>
            <w:tcBorders/>
            <w:shd w:fill="E5E5E5" w:val="clear"/>
          </w:tcPr>
          <w:p>
            <w:pPr>
              <w:pStyle w:val="TableContents"/>
              <w:spacing w:lineRule="atLeast" w:line="280" w:before="0" w:after="0"/>
              <w:jc w:val="right"/>
              <w:rPr>
                <w:rFonts w:ascii="arial" w:hAnsi="arial"/>
                <w:sz w:val="15"/>
              </w:rPr>
            </w:pPr>
            <w:r>
              <w:rPr>
                <w:rFonts w:ascii="arial" w:hAnsi="arial"/>
                <w:sz w:val="15"/>
              </w:rPr>
              <w:t>3,098,093</w:t>
            </w:r>
          </w:p>
        </w:tc>
        <w:tc>
          <w:tcPr>
            <w:tcW w:w="86"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pPr>
            <w:r>
              <w:rPr/>
              <w:t> </w:t>
            </w:r>
          </w:p>
        </w:tc>
        <w:tc>
          <w:tcPr>
            <w:tcW w:w="197"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1331" w:type="dxa"/>
            <w:tcBorders/>
            <w:shd w:fill="E5E5E5" w:val="clear"/>
          </w:tcPr>
          <w:p>
            <w:pPr>
              <w:pStyle w:val="TableContents"/>
              <w:spacing w:lineRule="atLeast" w:line="280" w:before="0" w:after="0"/>
              <w:jc w:val="right"/>
              <w:rPr>
                <w:rFonts w:ascii="arial" w:hAnsi="arial"/>
                <w:sz w:val="15"/>
              </w:rPr>
            </w:pPr>
            <w:r>
              <w:rPr>
                <w:rFonts w:ascii="arial" w:hAnsi="arial"/>
                <w:sz w:val="15"/>
              </w:rPr>
              <w:t>105,676</w:t>
            </w:r>
          </w:p>
        </w:tc>
        <w:tc>
          <w:tcPr>
            <w:tcW w:w="11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920" w:type="dxa"/>
            <w:tcBorders/>
            <w:shd w:fill="E5E5E5" w:val="clear"/>
          </w:tcPr>
          <w:p>
            <w:pPr>
              <w:pStyle w:val="TableContents"/>
              <w:spacing w:lineRule="atLeast" w:line="280" w:before="0" w:after="0"/>
              <w:jc w:val="right"/>
              <w:rPr>
                <w:rFonts w:ascii="arial" w:hAnsi="arial"/>
                <w:sz w:val="15"/>
              </w:rPr>
            </w:pPr>
            <w:r>
              <w:rPr>
                <w:rFonts w:ascii="arial" w:hAnsi="arial"/>
                <w:sz w:val="15"/>
              </w:rPr>
              <w:t>6,688,469  </w:t>
            </w:r>
          </w:p>
        </w:tc>
        <w:tc>
          <w:tcPr>
            <w:tcW w:w="60" w:type="dxa"/>
            <w:tcBorders/>
            <w:shd w:fill="E5E5E5" w:val="clear"/>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38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4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710" w:type="dxa"/>
            <w:tcBorders/>
            <w:shd w:fill="auto" w:val="clear"/>
          </w:tcPr>
          <w:p>
            <w:pPr>
              <w:pStyle w:val="TableContents"/>
              <w:spacing w:before="0" w:after="283"/>
              <w:rPr>
                <w:sz w:val="4"/>
                <w:szCs w:val="4"/>
              </w:rPr>
            </w:pPr>
            <w:r>
              <w:rPr>
                <w:sz w:val="4"/>
                <w:szCs w:val="4"/>
              </w:rPr>
            </w:r>
          </w:p>
        </w:tc>
        <w:tc>
          <w:tcPr>
            <w:tcW w:w="7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873" w:type="dxa"/>
            <w:tcBorders/>
            <w:shd w:fill="auto" w:val="clear"/>
          </w:tcPr>
          <w:p>
            <w:pPr>
              <w:pStyle w:val="TableContents"/>
              <w:spacing w:before="0" w:after="283"/>
              <w:rPr>
                <w:sz w:val="4"/>
                <w:szCs w:val="4"/>
              </w:rPr>
            </w:pPr>
            <w:r>
              <w:rPr>
                <w:sz w:val="4"/>
                <w:szCs w:val="4"/>
              </w:rPr>
            </w:r>
          </w:p>
        </w:tc>
        <w:tc>
          <w:tcPr>
            <w:tcW w:w="7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873" w:type="dxa"/>
            <w:tcBorders/>
            <w:shd w:fill="auto" w:val="clear"/>
          </w:tcPr>
          <w:p>
            <w:pPr>
              <w:pStyle w:val="TableContents"/>
              <w:spacing w:before="0" w:after="283"/>
              <w:rPr>
                <w:sz w:val="4"/>
                <w:szCs w:val="4"/>
              </w:rPr>
            </w:pPr>
            <w:r>
              <w:rPr>
                <w:sz w:val="4"/>
                <w:szCs w:val="4"/>
              </w:rPr>
            </w:r>
          </w:p>
        </w:tc>
        <w:tc>
          <w:tcPr>
            <w:tcW w:w="7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8" w:type="dxa"/>
            <w:tcBorders/>
            <w:shd w:fill="auto" w:val="clear"/>
          </w:tcPr>
          <w:p>
            <w:pPr>
              <w:pStyle w:val="TableContents"/>
              <w:spacing w:before="0" w:after="283"/>
              <w:rPr>
                <w:sz w:val="4"/>
                <w:szCs w:val="4"/>
              </w:rPr>
            </w:pPr>
            <w:r>
              <w:rPr>
                <w:sz w:val="4"/>
                <w:szCs w:val="4"/>
              </w:rPr>
            </w:r>
          </w:p>
        </w:tc>
        <w:tc>
          <w:tcPr>
            <w:tcW w:w="1136" w:type="dxa"/>
            <w:tcBorders/>
            <w:shd w:fill="auto" w:val="clear"/>
          </w:tcPr>
          <w:p>
            <w:pPr>
              <w:pStyle w:val="TableContents"/>
              <w:spacing w:before="0" w:after="283"/>
              <w:rPr>
                <w:sz w:val="4"/>
                <w:szCs w:val="4"/>
              </w:rPr>
            </w:pPr>
            <w:r>
              <w:rPr>
                <w:sz w:val="4"/>
                <w:szCs w:val="4"/>
              </w:rPr>
            </w:r>
          </w:p>
        </w:tc>
        <w:tc>
          <w:tcPr>
            <w:tcW w:w="9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54"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8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97" w:type="dxa"/>
            <w:tcBorders/>
            <w:shd w:fill="auto" w:val="clear"/>
          </w:tcPr>
          <w:p>
            <w:pPr>
              <w:pStyle w:val="TableContents"/>
              <w:spacing w:before="0" w:after="283"/>
              <w:rPr>
                <w:sz w:val="4"/>
                <w:szCs w:val="4"/>
              </w:rPr>
            </w:pPr>
            <w:r>
              <w:rPr>
                <w:sz w:val="4"/>
                <w:szCs w:val="4"/>
              </w:rPr>
            </w:r>
          </w:p>
        </w:tc>
        <w:tc>
          <w:tcPr>
            <w:tcW w:w="1331" w:type="dxa"/>
            <w:tcBorders/>
            <w:shd w:fill="auto" w:val="clear"/>
          </w:tcPr>
          <w:p>
            <w:pPr>
              <w:pStyle w:val="TableContents"/>
              <w:spacing w:before="0" w:after="283"/>
              <w:rPr>
                <w:sz w:val="4"/>
                <w:szCs w:val="4"/>
              </w:rPr>
            </w:pPr>
            <w:r>
              <w:rPr>
                <w:sz w:val="4"/>
                <w:szCs w:val="4"/>
              </w:rPr>
            </w:r>
          </w:p>
        </w:tc>
        <w:tc>
          <w:tcPr>
            <w:tcW w:w="11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92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c>
          <w:tcPr>
            <w:tcW w:w="38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tcPr>
          <w:p>
            <w:pPr>
              <w:pStyle w:val="TableContents"/>
              <w:spacing w:before="0" w:after="283"/>
              <w:rPr/>
            </w:pPr>
            <w:r>
              <w:rPr/>
              <w:t> </w:t>
            </w:r>
          </w:p>
        </w:tc>
        <w:tc>
          <w:tcPr>
            <w:tcW w:w="74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tcPr>
          <w:p>
            <w:pPr>
              <w:pStyle w:val="TableContents"/>
              <w:spacing w:before="0" w:after="283"/>
              <w:rPr/>
            </w:pPr>
            <w:r>
              <w:rPr/>
              <w:t> </w:t>
            </w:r>
          </w:p>
        </w:tc>
        <w:tc>
          <w:tcPr>
            <w:tcW w:w="710" w:type="dxa"/>
            <w:tcBorders>
              <w:bottom w:val="single" w:sz="8" w:space="0" w:color="001C71"/>
            </w:tcBorders>
            <w:shd w:fill="auto" w:val="clear"/>
            <w:tcMar>
              <w:bottom w:w="28" w:type="dxa"/>
            </w:tcMar>
          </w:tcPr>
          <w:p>
            <w:pPr>
              <w:pStyle w:val="TableContents"/>
              <w:spacing w:before="0" w:after="283"/>
              <w:rPr/>
            </w:pPr>
            <w:r>
              <w:rPr/>
              <w:t> </w:t>
            </w:r>
          </w:p>
        </w:tc>
        <w:tc>
          <w:tcPr>
            <w:tcW w:w="71"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tcPr>
          <w:p>
            <w:pPr>
              <w:pStyle w:val="TableContents"/>
              <w:spacing w:before="0" w:after="283"/>
              <w:rPr/>
            </w:pPr>
            <w:r>
              <w:rPr/>
              <w:t> </w:t>
            </w:r>
          </w:p>
        </w:tc>
        <w:tc>
          <w:tcPr>
            <w:tcW w:w="873" w:type="dxa"/>
            <w:tcBorders>
              <w:bottom w:val="single" w:sz="8" w:space="0" w:color="001C71"/>
            </w:tcBorders>
            <w:shd w:fill="auto" w:val="clear"/>
            <w:tcMar>
              <w:bottom w:w="28" w:type="dxa"/>
            </w:tcMar>
          </w:tcPr>
          <w:p>
            <w:pPr>
              <w:pStyle w:val="TableContents"/>
              <w:spacing w:before="0" w:after="283"/>
              <w:rPr/>
            </w:pPr>
            <w:r>
              <w:rPr/>
              <w:t> </w:t>
            </w:r>
          </w:p>
        </w:tc>
        <w:tc>
          <w:tcPr>
            <w:tcW w:w="73"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tcPr>
          <w:p>
            <w:pPr>
              <w:pStyle w:val="TableContents"/>
              <w:spacing w:before="0" w:after="283"/>
              <w:rPr/>
            </w:pPr>
            <w:r>
              <w:rPr/>
              <w:t> </w:t>
            </w:r>
          </w:p>
        </w:tc>
        <w:tc>
          <w:tcPr>
            <w:tcW w:w="873" w:type="dxa"/>
            <w:tcBorders>
              <w:bottom w:val="single" w:sz="8" w:space="0" w:color="001C71"/>
            </w:tcBorders>
            <w:shd w:fill="auto" w:val="clear"/>
            <w:tcMar>
              <w:bottom w:w="28" w:type="dxa"/>
            </w:tcMar>
          </w:tcPr>
          <w:p>
            <w:pPr>
              <w:pStyle w:val="TableContents"/>
              <w:spacing w:before="0" w:after="283"/>
              <w:rPr/>
            </w:pPr>
            <w:r>
              <w:rPr/>
              <w:t> </w:t>
            </w:r>
          </w:p>
        </w:tc>
        <w:tc>
          <w:tcPr>
            <w:tcW w:w="73"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2" w:type="dxa"/>
            <w:tcBorders>
              <w:bottom w:val="single" w:sz="8" w:space="0" w:color="001C71"/>
            </w:tcBorders>
            <w:shd w:fill="auto" w:val="clear"/>
            <w:tcMar>
              <w:bottom w:w="28"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tcPr>
          <w:p>
            <w:pPr>
              <w:pStyle w:val="TableContents"/>
              <w:spacing w:before="0" w:after="283"/>
              <w:rPr/>
            </w:pPr>
            <w:r>
              <w:rPr/>
              <w:t> </w:t>
            </w:r>
          </w:p>
        </w:tc>
        <w:tc>
          <w:tcPr>
            <w:tcW w:w="1136" w:type="dxa"/>
            <w:tcBorders>
              <w:bottom w:val="single" w:sz="8" w:space="0" w:color="001C71"/>
            </w:tcBorders>
            <w:shd w:fill="auto" w:val="clear"/>
            <w:tcMar>
              <w:bottom w:w="28" w:type="dxa"/>
            </w:tcMar>
          </w:tcPr>
          <w:p>
            <w:pPr>
              <w:pStyle w:val="TableContents"/>
              <w:spacing w:before="0" w:after="283"/>
              <w:rPr/>
            </w:pPr>
            <w:r>
              <w:rPr/>
              <w:t> </w:t>
            </w:r>
          </w:p>
        </w:tc>
        <w:tc>
          <w:tcPr>
            <w:tcW w:w="94"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84" w:type="dxa"/>
            <w:tcBorders>
              <w:bottom w:val="single" w:sz="8" w:space="0" w:color="001C71"/>
            </w:tcBorders>
            <w:shd w:fill="auto" w:val="clear"/>
            <w:tcMar>
              <w:bottom w:w="28" w:type="dxa"/>
            </w:tcMar>
            <w:vAlign w:val="bottom"/>
          </w:tcPr>
          <w:p>
            <w:pPr>
              <w:pStyle w:val="TableContents"/>
              <w:spacing w:before="0" w:after="283"/>
              <w:rPr/>
            </w:pPr>
            <w:r>
              <w:rPr/>
              <w:t> </w:t>
            </w:r>
          </w:p>
        </w:tc>
        <w:tc>
          <w:tcPr>
            <w:tcW w:w="154" w:type="dxa"/>
            <w:tcBorders>
              <w:bottom w:val="single" w:sz="8" w:space="0" w:color="001C71"/>
            </w:tcBorders>
            <w:shd w:fill="auto" w:val="clear"/>
            <w:tcMar>
              <w:bottom w:w="28" w:type="dxa"/>
            </w:tcMar>
          </w:tcPr>
          <w:p>
            <w:pPr>
              <w:pStyle w:val="TableContents"/>
              <w:spacing w:before="0" w:after="283"/>
              <w:rPr/>
            </w:pPr>
            <w:r>
              <w:rPr/>
              <w:t> </w:t>
            </w:r>
          </w:p>
        </w:tc>
        <w:tc>
          <w:tcPr>
            <w:tcW w:w="1166" w:type="dxa"/>
            <w:tcBorders>
              <w:bottom w:val="single" w:sz="8" w:space="0" w:color="001C71"/>
            </w:tcBorders>
            <w:shd w:fill="auto" w:val="clear"/>
            <w:tcMar>
              <w:bottom w:w="28" w:type="dxa"/>
            </w:tcMar>
          </w:tcPr>
          <w:p>
            <w:pPr>
              <w:pStyle w:val="TableContents"/>
              <w:spacing w:before="0" w:after="283"/>
              <w:rPr/>
            </w:pPr>
            <w:r>
              <w:rPr/>
              <w:t> </w:t>
            </w:r>
          </w:p>
        </w:tc>
        <w:tc>
          <w:tcPr>
            <w:tcW w:w="86"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7" w:type="dxa"/>
            <w:tcBorders>
              <w:bottom w:val="single" w:sz="8" w:space="0" w:color="001C71"/>
            </w:tcBorders>
            <w:shd w:fill="auto" w:val="clear"/>
            <w:tcMar>
              <w:bottom w:w="28" w:type="dxa"/>
            </w:tcMar>
            <w:vAlign w:val="bottom"/>
          </w:tcPr>
          <w:p>
            <w:pPr>
              <w:pStyle w:val="TableContents"/>
              <w:spacing w:before="0" w:after="283"/>
              <w:rPr/>
            </w:pPr>
            <w:r>
              <w:rPr/>
              <w:t> </w:t>
            </w:r>
          </w:p>
        </w:tc>
        <w:tc>
          <w:tcPr>
            <w:tcW w:w="197" w:type="dxa"/>
            <w:tcBorders>
              <w:bottom w:val="single" w:sz="8" w:space="0" w:color="001C71"/>
            </w:tcBorders>
            <w:shd w:fill="auto" w:val="clear"/>
            <w:tcMar>
              <w:bottom w:w="28" w:type="dxa"/>
            </w:tcMar>
          </w:tcPr>
          <w:p>
            <w:pPr>
              <w:pStyle w:val="TableContents"/>
              <w:spacing w:before="0" w:after="283"/>
              <w:rPr/>
            </w:pPr>
            <w:r>
              <w:rPr/>
              <w:t> </w:t>
            </w:r>
          </w:p>
        </w:tc>
        <w:tc>
          <w:tcPr>
            <w:tcW w:w="1331" w:type="dxa"/>
            <w:tcBorders>
              <w:bottom w:val="single" w:sz="8" w:space="0" w:color="001C71"/>
            </w:tcBorders>
            <w:shd w:fill="auto" w:val="clear"/>
            <w:tcMar>
              <w:bottom w:w="28" w:type="dxa"/>
            </w:tcMar>
          </w:tcPr>
          <w:p>
            <w:pPr>
              <w:pStyle w:val="TableContents"/>
              <w:spacing w:before="0" w:after="283"/>
              <w:rPr/>
            </w:pPr>
            <w:r>
              <w:rPr/>
              <w:t> </w:t>
            </w:r>
          </w:p>
        </w:tc>
        <w:tc>
          <w:tcPr>
            <w:tcW w:w="11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tcPr>
          <w:p>
            <w:pPr>
              <w:pStyle w:val="TableContents"/>
              <w:spacing w:before="0" w:after="283"/>
              <w:rPr/>
            </w:pPr>
            <w:r>
              <w:rPr/>
              <w:t> </w:t>
            </w:r>
          </w:p>
        </w:tc>
        <w:tc>
          <w:tcPr>
            <w:tcW w:w="92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r>
      <w:tr>
        <w:trPr/>
        <w:tc>
          <w:tcPr>
            <w:tcW w:w="1475"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5"/>
              </w:rPr>
            </w:pPr>
            <w:r>
              <w:rPr>
                <w:rFonts w:ascii="arial" w:hAnsi="arial"/>
                <w:b/>
                <w:sz w:val="15"/>
              </w:rPr>
              <w:t xml:space="preserve">Peter R. Wall(C) </w:t>
            </w:r>
          </w:p>
          <w:p>
            <w:pPr>
              <w:pStyle w:val="TableContents"/>
              <w:spacing w:before="0" w:after="0"/>
              <w:rPr>
                <w:rFonts w:ascii="arial" w:hAnsi="arial"/>
                <w:sz w:val="15"/>
              </w:rPr>
            </w:pPr>
            <w:r>
              <w:rPr>
                <w:rFonts w:ascii="arial" w:hAnsi="arial"/>
                <w:sz w:val="15"/>
              </w:rPr>
              <w:t>Senior Vice President,</w:t>
            </w:r>
          </w:p>
          <w:p>
            <w:pPr>
              <w:pStyle w:val="TableContents"/>
              <w:spacing w:before="0" w:after="0"/>
              <w:rPr>
                <w:rFonts w:ascii="arial" w:hAnsi="arial"/>
                <w:sz w:val="15"/>
              </w:rPr>
            </w:pPr>
            <w:r>
              <w:rPr>
                <w:rFonts w:ascii="arial" w:hAnsi="arial"/>
                <w:sz w:val="15"/>
              </w:rPr>
              <w:t>Controller and Chief</w:t>
            </w:r>
          </w:p>
          <w:p>
            <w:pPr>
              <w:pStyle w:val="TableContents"/>
              <w:spacing w:before="0" w:after="0"/>
              <w:rPr>
                <w:rFonts w:ascii="arial" w:hAnsi="arial"/>
                <w:sz w:val="15"/>
              </w:rPr>
            </w:pPr>
            <w:r>
              <w:rPr>
                <w:rFonts w:ascii="arial" w:hAnsi="arial"/>
                <w:sz w:val="15"/>
              </w:rPr>
              <w:t>Accounting Officer</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tcPr>
          <w:p>
            <w:pPr>
              <w:pStyle w:val="TableContents"/>
              <w:spacing w:lineRule="atLeast" w:line="280" w:before="0" w:after="0"/>
              <w:rPr/>
            </w:pPr>
            <w:r>
              <w:rPr/>
              <w:t> </w:t>
            </w:r>
          </w:p>
        </w:tc>
        <w:tc>
          <w:tcPr>
            <w:tcW w:w="380" w:type="dxa"/>
            <w:tcBorders/>
            <w:shd w:fill="E5E5E5" w:val="clear"/>
          </w:tcPr>
          <w:p>
            <w:pPr>
              <w:pStyle w:val="TableContents"/>
              <w:spacing w:lineRule="atLeast" w:line="280" w:before="0" w:after="0"/>
              <w:jc w:val="right"/>
              <w:rPr>
                <w:rFonts w:ascii="arial" w:hAnsi="arial"/>
                <w:sz w:val="15"/>
              </w:rPr>
            </w:pPr>
            <w:r>
              <w:rPr>
                <w:rFonts w:ascii="arial" w:hAnsi="arial"/>
                <w:sz w:val="15"/>
              </w:rPr>
              <w:t>2020</w:t>
            </w:r>
          </w:p>
        </w:tc>
        <w:tc>
          <w:tcPr>
            <w:tcW w:w="6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740" w:type="dxa"/>
            <w:tcBorders/>
            <w:shd w:fill="E5E5E5" w:val="clear"/>
          </w:tcPr>
          <w:p>
            <w:pPr>
              <w:pStyle w:val="TableContents"/>
              <w:spacing w:lineRule="atLeast" w:line="280" w:before="0" w:after="0"/>
              <w:jc w:val="right"/>
              <w:rPr>
                <w:rFonts w:ascii="arial" w:hAnsi="arial"/>
                <w:sz w:val="15"/>
              </w:rPr>
            </w:pPr>
            <w:r>
              <w:rPr>
                <w:rFonts w:ascii="arial" w:hAnsi="arial"/>
                <w:sz w:val="15"/>
              </w:rPr>
              <w:t>375,000</w:t>
            </w:r>
          </w:p>
        </w:tc>
        <w:tc>
          <w:tcPr>
            <w:tcW w:w="6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tcPr>
          <w:p>
            <w:pPr>
              <w:pStyle w:val="TableContents"/>
              <w:spacing w:lineRule="atLeast" w:line="280" w:before="0" w:after="0"/>
              <w:rPr/>
            </w:pPr>
            <w:r>
              <w:rPr/>
              <w:t> </w:t>
            </w:r>
          </w:p>
        </w:tc>
        <w:tc>
          <w:tcPr>
            <w:tcW w:w="710" w:type="dxa"/>
            <w:tcBorders/>
            <w:shd w:fill="E5E5E5" w:val="clear"/>
          </w:tcPr>
          <w:p>
            <w:pPr>
              <w:pStyle w:val="TableContents"/>
              <w:spacing w:lineRule="atLeast" w:line="280" w:before="0" w:after="0"/>
              <w:jc w:val="right"/>
              <w:rPr>
                <w:rFonts w:ascii="arial" w:hAnsi="arial"/>
                <w:sz w:val="15"/>
              </w:rPr>
            </w:pPr>
            <w:r>
              <w:rPr>
                <w:rFonts w:ascii="arial" w:hAnsi="arial"/>
                <w:sz w:val="15"/>
              </w:rPr>
              <w:t></w:t>
            </w:r>
          </w:p>
        </w:tc>
        <w:tc>
          <w:tcPr>
            <w:tcW w:w="71"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873" w:type="dxa"/>
            <w:tcBorders/>
            <w:shd w:fill="E5E5E5" w:val="clear"/>
          </w:tcPr>
          <w:p>
            <w:pPr>
              <w:pStyle w:val="TableContents"/>
              <w:spacing w:lineRule="atLeast" w:line="280" w:before="0" w:after="0"/>
              <w:jc w:val="right"/>
              <w:rPr>
                <w:rFonts w:ascii="arial" w:hAnsi="arial"/>
                <w:sz w:val="15"/>
              </w:rPr>
            </w:pPr>
            <w:r>
              <w:rPr>
                <w:rFonts w:ascii="arial" w:hAnsi="arial"/>
                <w:sz w:val="15"/>
              </w:rPr>
              <w:t>404,451</w:t>
            </w:r>
          </w:p>
        </w:tc>
        <w:tc>
          <w:tcPr>
            <w:tcW w:w="73"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tcPr>
          <w:p>
            <w:pPr>
              <w:pStyle w:val="TableContents"/>
              <w:spacing w:lineRule="atLeast" w:line="280" w:before="0" w:after="0"/>
              <w:rPr/>
            </w:pPr>
            <w:r>
              <w:rPr/>
              <w:t> </w:t>
            </w:r>
          </w:p>
        </w:tc>
        <w:tc>
          <w:tcPr>
            <w:tcW w:w="873" w:type="dxa"/>
            <w:tcBorders/>
            <w:shd w:fill="E5E5E5" w:val="clear"/>
          </w:tcPr>
          <w:p>
            <w:pPr>
              <w:pStyle w:val="TableContents"/>
              <w:spacing w:lineRule="atLeast" w:line="280" w:before="0" w:after="0"/>
              <w:jc w:val="right"/>
              <w:rPr>
                <w:rFonts w:ascii="arial" w:hAnsi="arial"/>
                <w:sz w:val="15"/>
              </w:rPr>
            </w:pPr>
            <w:r>
              <w:rPr>
                <w:rFonts w:ascii="arial" w:hAnsi="arial"/>
                <w:sz w:val="15"/>
              </w:rPr>
              <w:t></w:t>
            </w:r>
          </w:p>
        </w:tc>
        <w:tc>
          <w:tcPr>
            <w:tcW w:w="73"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68"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1136" w:type="dxa"/>
            <w:tcBorders/>
            <w:shd w:fill="E5E5E5" w:val="clear"/>
          </w:tcPr>
          <w:p>
            <w:pPr>
              <w:pStyle w:val="TableContents"/>
              <w:spacing w:lineRule="atLeast" w:line="280" w:before="0" w:after="0"/>
              <w:jc w:val="right"/>
              <w:rPr>
                <w:rFonts w:ascii="arial" w:hAnsi="arial"/>
                <w:sz w:val="15"/>
              </w:rPr>
            </w:pPr>
            <w:r>
              <w:rPr>
                <w:rFonts w:ascii="arial" w:hAnsi="arial"/>
                <w:sz w:val="15"/>
              </w:rPr>
              <w:t>372,100</w:t>
            </w:r>
          </w:p>
        </w:tc>
        <w:tc>
          <w:tcPr>
            <w:tcW w:w="94"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54"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1166" w:type="dxa"/>
            <w:tcBorders/>
            <w:shd w:fill="E5E5E5" w:val="clear"/>
          </w:tcPr>
          <w:p>
            <w:pPr>
              <w:pStyle w:val="TableContents"/>
              <w:spacing w:lineRule="atLeast" w:line="280" w:before="0" w:after="0"/>
              <w:jc w:val="right"/>
              <w:rPr>
                <w:rFonts w:ascii="arial" w:hAnsi="arial"/>
                <w:sz w:val="15"/>
              </w:rPr>
            </w:pPr>
            <w:r>
              <w:rPr>
                <w:rFonts w:ascii="arial" w:hAnsi="arial"/>
                <w:sz w:val="15"/>
              </w:rPr>
              <w:t>65,254</w:t>
            </w:r>
          </w:p>
        </w:tc>
        <w:tc>
          <w:tcPr>
            <w:tcW w:w="86"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pPr>
            <w:r>
              <w:rPr/>
              <w:t> </w:t>
            </w:r>
          </w:p>
        </w:tc>
        <w:tc>
          <w:tcPr>
            <w:tcW w:w="197"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1331" w:type="dxa"/>
            <w:tcBorders/>
            <w:shd w:fill="E5E5E5" w:val="clear"/>
          </w:tcPr>
          <w:p>
            <w:pPr>
              <w:pStyle w:val="TableContents"/>
              <w:spacing w:lineRule="atLeast" w:line="280" w:before="0" w:after="0"/>
              <w:jc w:val="right"/>
              <w:rPr>
                <w:rFonts w:ascii="arial" w:hAnsi="arial"/>
                <w:sz w:val="15"/>
              </w:rPr>
            </w:pPr>
            <w:r>
              <w:rPr>
                <w:rFonts w:ascii="arial" w:hAnsi="arial"/>
                <w:sz w:val="15"/>
              </w:rPr>
              <w:t>33,979</w:t>
            </w:r>
          </w:p>
        </w:tc>
        <w:tc>
          <w:tcPr>
            <w:tcW w:w="11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920" w:type="dxa"/>
            <w:tcBorders/>
            <w:shd w:fill="E5E5E5" w:val="clear"/>
          </w:tcPr>
          <w:p>
            <w:pPr>
              <w:pStyle w:val="TableContents"/>
              <w:spacing w:lineRule="atLeast" w:line="280" w:before="0" w:after="0"/>
              <w:jc w:val="right"/>
              <w:rPr>
                <w:rFonts w:ascii="arial" w:hAnsi="arial"/>
                <w:sz w:val="15"/>
              </w:rPr>
            </w:pPr>
            <w:r>
              <w:rPr>
                <w:rFonts w:ascii="arial" w:hAnsi="arial"/>
                <w:sz w:val="15"/>
              </w:rPr>
              <w:t>1,250,784  </w:t>
            </w:r>
          </w:p>
        </w:tc>
        <w:tc>
          <w:tcPr>
            <w:tcW w:w="60" w:type="dxa"/>
            <w:tcBorders/>
            <w:shd w:fill="E5E5E5" w:val="clear"/>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38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4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710" w:type="dxa"/>
            <w:tcBorders/>
            <w:shd w:fill="auto" w:val="clear"/>
          </w:tcPr>
          <w:p>
            <w:pPr>
              <w:pStyle w:val="TableContents"/>
              <w:spacing w:before="0" w:after="283"/>
              <w:rPr>
                <w:sz w:val="4"/>
                <w:szCs w:val="4"/>
              </w:rPr>
            </w:pPr>
            <w:r>
              <w:rPr>
                <w:sz w:val="4"/>
                <w:szCs w:val="4"/>
              </w:rPr>
            </w:r>
          </w:p>
        </w:tc>
        <w:tc>
          <w:tcPr>
            <w:tcW w:w="7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873" w:type="dxa"/>
            <w:tcBorders/>
            <w:shd w:fill="auto" w:val="clear"/>
          </w:tcPr>
          <w:p>
            <w:pPr>
              <w:pStyle w:val="TableContents"/>
              <w:spacing w:before="0" w:after="283"/>
              <w:rPr>
                <w:sz w:val="4"/>
                <w:szCs w:val="4"/>
              </w:rPr>
            </w:pPr>
            <w:r>
              <w:rPr>
                <w:sz w:val="4"/>
                <w:szCs w:val="4"/>
              </w:rPr>
            </w:r>
          </w:p>
        </w:tc>
        <w:tc>
          <w:tcPr>
            <w:tcW w:w="7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873" w:type="dxa"/>
            <w:tcBorders/>
            <w:shd w:fill="auto" w:val="clear"/>
          </w:tcPr>
          <w:p>
            <w:pPr>
              <w:pStyle w:val="TableContents"/>
              <w:spacing w:before="0" w:after="283"/>
              <w:rPr>
                <w:sz w:val="4"/>
                <w:szCs w:val="4"/>
              </w:rPr>
            </w:pPr>
            <w:r>
              <w:rPr>
                <w:sz w:val="4"/>
                <w:szCs w:val="4"/>
              </w:rPr>
            </w:r>
          </w:p>
        </w:tc>
        <w:tc>
          <w:tcPr>
            <w:tcW w:w="7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8" w:type="dxa"/>
            <w:tcBorders/>
            <w:shd w:fill="auto" w:val="clear"/>
          </w:tcPr>
          <w:p>
            <w:pPr>
              <w:pStyle w:val="TableContents"/>
              <w:spacing w:before="0" w:after="283"/>
              <w:rPr>
                <w:sz w:val="4"/>
                <w:szCs w:val="4"/>
              </w:rPr>
            </w:pPr>
            <w:r>
              <w:rPr>
                <w:sz w:val="4"/>
                <w:szCs w:val="4"/>
              </w:rPr>
            </w:r>
          </w:p>
        </w:tc>
        <w:tc>
          <w:tcPr>
            <w:tcW w:w="1136" w:type="dxa"/>
            <w:tcBorders/>
            <w:shd w:fill="auto" w:val="clear"/>
          </w:tcPr>
          <w:p>
            <w:pPr>
              <w:pStyle w:val="TableContents"/>
              <w:spacing w:before="0" w:after="283"/>
              <w:rPr>
                <w:sz w:val="4"/>
                <w:szCs w:val="4"/>
              </w:rPr>
            </w:pPr>
            <w:r>
              <w:rPr>
                <w:sz w:val="4"/>
                <w:szCs w:val="4"/>
              </w:rPr>
            </w:r>
          </w:p>
        </w:tc>
        <w:tc>
          <w:tcPr>
            <w:tcW w:w="9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54"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8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97" w:type="dxa"/>
            <w:tcBorders/>
            <w:shd w:fill="auto" w:val="clear"/>
          </w:tcPr>
          <w:p>
            <w:pPr>
              <w:pStyle w:val="TableContents"/>
              <w:spacing w:before="0" w:after="283"/>
              <w:rPr>
                <w:sz w:val="4"/>
                <w:szCs w:val="4"/>
              </w:rPr>
            </w:pPr>
            <w:r>
              <w:rPr>
                <w:sz w:val="4"/>
                <w:szCs w:val="4"/>
              </w:rPr>
            </w:r>
          </w:p>
        </w:tc>
        <w:tc>
          <w:tcPr>
            <w:tcW w:w="1331" w:type="dxa"/>
            <w:tcBorders/>
            <w:shd w:fill="auto" w:val="clear"/>
          </w:tcPr>
          <w:p>
            <w:pPr>
              <w:pStyle w:val="TableContents"/>
              <w:spacing w:before="0" w:after="283"/>
              <w:rPr>
                <w:sz w:val="4"/>
                <w:szCs w:val="4"/>
              </w:rPr>
            </w:pPr>
            <w:r>
              <w:rPr>
                <w:sz w:val="4"/>
                <w:szCs w:val="4"/>
              </w:rPr>
            </w:r>
          </w:p>
        </w:tc>
        <w:tc>
          <w:tcPr>
            <w:tcW w:w="11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92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c>
          <w:tcPr>
            <w:tcW w:w="38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tcPr>
          <w:p>
            <w:pPr>
              <w:pStyle w:val="TableContents"/>
              <w:spacing w:before="0" w:after="283"/>
              <w:rPr/>
            </w:pPr>
            <w:r>
              <w:rPr/>
              <w:t> </w:t>
            </w:r>
          </w:p>
        </w:tc>
        <w:tc>
          <w:tcPr>
            <w:tcW w:w="74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tcPr>
          <w:p>
            <w:pPr>
              <w:pStyle w:val="TableContents"/>
              <w:spacing w:before="0" w:after="283"/>
              <w:rPr/>
            </w:pPr>
            <w:r>
              <w:rPr/>
              <w:t> </w:t>
            </w:r>
          </w:p>
        </w:tc>
        <w:tc>
          <w:tcPr>
            <w:tcW w:w="710" w:type="dxa"/>
            <w:tcBorders>
              <w:bottom w:val="single" w:sz="8" w:space="0" w:color="001C71"/>
            </w:tcBorders>
            <w:shd w:fill="auto" w:val="clear"/>
            <w:tcMar>
              <w:bottom w:w="28" w:type="dxa"/>
            </w:tcMar>
          </w:tcPr>
          <w:p>
            <w:pPr>
              <w:pStyle w:val="TableContents"/>
              <w:spacing w:before="0" w:after="283"/>
              <w:rPr/>
            </w:pPr>
            <w:r>
              <w:rPr/>
              <w:t> </w:t>
            </w:r>
          </w:p>
        </w:tc>
        <w:tc>
          <w:tcPr>
            <w:tcW w:w="71"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tcPr>
          <w:p>
            <w:pPr>
              <w:pStyle w:val="TableContents"/>
              <w:spacing w:before="0" w:after="283"/>
              <w:rPr/>
            </w:pPr>
            <w:r>
              <w:rPr/>
              <w:t> </w:t>
            </w:r>
          </w:p>
        </w:tc>
        <w:tc>
          <w:tcPr>
            <w:tcW w:w="873" w:type="dxa"/>
            <w:tcBorders>
              <w:bottom w:val="single" w:sz="8" w:space="0" w:color="001C71"/>
            </w:tcBorders>
            <w:shd w:fill="auto" w:val="clear"/>
            <w:tcMar>
              <w:bottom w:w="28" w:type="dxa"/>
            </w:tcMar>
          </w:tcPr>
          <w:p>
            <w:pPr>
              <w:pStyle w:val="TableContents"/>
              <w:spacing w:before="0" w:after="283"/>
              <w:rPr/>
            </w:pPr>
            <w:r>
              <w:rPr/>
              <w:t> </w:t>
            </w:r>
          </w:p>
        </w:tc>
        <w:tc>
          <w:tcPr>
            <w:tcW w:w="73"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tcPr>
          <w:p>
            <w:pPr>
              <w:pStyle w:val="TableContents"/>
              <w:spacing w:before="0" w:after="283"/>
              <w:rPr/>
            </w:pPr>
            <w:r>
              <w:rPr/>
              <w:t> </w:t>
            </w:r>
          </w:p>
        </w:tc>
        <w:tc>
          <w:tcPr>
            <w:tcW w:w="873" w:type="dxa"/>
            <w:tcBorders>
              <w:bottom w:val="single" w:sz="8" w:space="0" w:color="001C71"/>
            </w:tcBorders>
            <w:shd w:fill="auto" w:val="clear"/>
            <w:tcMar>
              <w:bottom w:w="28" w:type="dxa"/>
            </w:tcMar>
          </w:tcPr>
          <w:p>
            <w:pPr>
              <w:pStyle w:val="TableContents"/>
              <w:spacing w:before="0" w:after="283"/>
              <w:rPr/>
            </w:pPr>
            <w:r>
              <w:rPr/>
              <w:t> </w:t>
            </w:r>
          </w:p>
        </w:tc>
        <w:tc>
          <w:tcPr>
            <w:tcW w:w="73"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2" w:type="dxa"/>
            <w:tcBorders>
              <w:bottom w:val="single" w:sz="8" w:space="0" w:color="001C71"/>
            </w:tcBorders>
            <w:shd w:fill="auto" w:val="clear"/>
            <w:tcMar>
              <w:bottom w:w="28"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tcPr>
          <w:p>
            <w:pPr>
              <w:pStyle w:val="TableContents"/>
              <w:spacing w:before="0" w:after="283"/>
              <w:rPr/>
            </w:pPr>
            <w:r>
              <w:rPr/>
              <w:t> </w:t>
            </w:r>
          </w:p>
        </w:tc>
        <w:tc>
          <w:tcPr>
            <w:tcW w:w="1136" w:type="dxa"/>
            <w:tcBorders>
              <w:bottom w:val="single" w:sz="8" w:space="0" w:color="001C71"/>
            </w:tcBorders>
            <w:shd w:fill="auto" w:val="clear"/>
            <w:tcMar>
              <w:bottom w:w="28" w:type="dxa"/>
            </w:tcMar>
          </w:tcPr>
          <w:p>
            <w:pPr>
              <w:pStyle w:val="TableContents"/>
              <w:spacing w:before="0" w:after="283"/>
              <w:rPr/>
            </w:pPr>
            <w:r>
              <w:rPr/>
              <w:t> </w:t>
            </w:r>
          </w:p>
        </w:tc>
        <w:tc>
          <w:tcPr>
            <w:tcW w:w="94"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84" w:type="dxa"/>
            <w:tcBorders>
              <w:bottom w:val="single" w:sz="8" w:space="0" w:color="001C71"/>
            </w:tcBorders>
            <w:shd w:fill="auto" w:val="clear"/>
            <w:tcMar>
              <w:bottom w:w="28" w:type="dxa"/>
            </w:tcMar>
            <w:vAlign w:val="bottom"/>
          </w:tcPr>
          <w:p>
            <w:pPr>
              <w:pStyle w:val="TableContents"/>
              <w:spacing w:before="0" w:after="283"/>
              <w:rPr/>
            </w:pPr>
            <w:r>
              <w:rPr/>
              <w:t> </w:t>
            </w:r>
          </w:p>
        </w:tc>
        <w:tc>
          <w:tcPr>
            <w:tcW w:w="154" w:type="dxa"/>
            <w:tcBorders>
              <w:bottom w:val="single" w:sz="8" w:space="0" w:color="001C71"/>
            </w:tcBorders>
            <w:shd w:fill="auto" w:val="clear"/>
            <w:tcMar>
              <w:bottom w:w="28" w:type="dxa"/>
            </w:tcMar>
          </w:tcPr>
          <w:p>
            <w:pPr>
              <w:pStyle w:val="TableContents"/>
              <w:spacing w:before="0" w:after="283"/>
              <w:rPr/>
            </w:pPr>
            <w:r>
              <w:rPr/>
              <w:t> </w:t>
            </w:r>
          </w:p>
        </w:tc>
        <w:tc>
          <w:tcPr>
            <w:tcW w:w="1166" w:type="dxa"/>
            <w:tcBorders>
              <w:bottom w:val="single" w:sz="8" w:space="0" w:color="001C71"/>
            </w:tcBorders>
            <w:shd w:fill="auto" w:val="clear"/>
            <w:tcMar>
              <w:bottom w:w="28" w:type="dxa"/>
            </w:tcMar>
          </w:tcPr>
          <w:p>
            <w:pPr>
              <w:pStyle w:val="TableContents"/>
              <w:spacing w:before="0" w:after="283"/>
              <w:rPr/>
            </w:pPr>
            <w:r>
              <w:rPr/>
              <w:t> </w:t>
            </w:r>
          </w:p>
        </w:tc>
        <w:tc>
          <w:tcPr>
            <w:tcW w:w="86"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7" w:type="dxa"/>
            <w:tcBorders>
              <w:bottom w:val="single" w:sz="8" w:space="0" w:color="001C71"/>
            </w:tcBorders>
            <w:shd w:fill="auto" w:val="clear"/>
            <w:tcMar>
              <w:bottom w:w="28" w:type="dxa"/>
            </w:tcMar>
            <w:vAlign w:val="bottom"/>
          </w:tcPr>
          <w:p>
            <w:pPr>
              <w:pStyle w:val="TableContents"/>
              <w:spacing w:before="0" w:after="283"/>
              <w:rPr/>
            </w:pPr>
            <w:r>
              <w:rPr/>
              <w:t> </w:t>
            </w:r>
          </w:p>
        </w:tc>
        <w:tc>
          <w:tcPr>
            <w:tcW w:w="197" w:type="dxa"/>
            <w:tcBorders>
              <w:bottom w:val="single" w:sz="8" w:space="0" w:color="001C71"/>
            </w:tcBorders>
            <w:shd w:fill="auto" w:val="clear"/>
            <w:tcMar>
              <w:bottom w:w="28" w:type="dxa"/>
            </w:tcMar>
          </w:tcPr>
          <w:p>
            <w:pPr>
              <w:pStyle w:val="TableContents"/>
              <w:spacing w:before="0" w:after="283"/>
              <w:rPr/>
            </w:pPr>
            <w:r>
              <w:rPr/>
              <w:t> </w:t>
            </w:r>
          </w:p>
        </w:tc>
        <w:tc>
          <w:tcPr>
            <w:tcW w:w="1331" w:type="dxa"/>
            <w:tcBorders>
              <w:bottom w:val="single" w:sz="8" w:space="0" w:color="001C71"/>
            </w:tcBorders>
            <w:shd w:fill="auto" w:val="clear"/>
            <w:tcMar>
              <w:bottom w:w="28" w:type="dxa"/>
            </w:tcMar>
          </w:tcPr>
          <w:p>
            <w:pPr>
              <w:pStyle w:val="TableContents"/>
              <w:spacing w:before="0" w:after="283"/>
              <w:rPr/>
            </w:pPr>
            <w:r>
              <w:rPr/>
              <w:t> </w:t>
            </w:r>
          </w:p>
        </w:tc>
        <w:tc>
          <w:tcPr>
            <w:tcW w:w="11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tcPr>
          <w:p>
            <w:pPr>
              <w:pStyle w:val="TableContents"/>
              <w:spacing w:before="0" w:after="283"/>
              <w:rPr/>
            </w:pPr>
            <w:r>
              <w:rPr/>
              <w:t> </w:t>
            </w:r>
          </w:p>
        </w:tc>
        <w:tc>
          <w:tcPr>
            <w:tcW w:w="92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r>
      <w:tr>
        <w:trPr/>
        <w:tc>
          <w:tcPr>
            <w:tcW w:w="1475"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5"/>
              </w:rPr>
            </w:pPr>
            <w:r>
              <w:rPr>
                <w:rFonts w:ascii="arial" w:hAnsi="arial"/>
                <w:b/>
                <w:sz w:val="15"/>
              </w:rPr>
              <w:t xml:space="preserve">Dennis V. Arriola(D) </w:t>
            </w:r>
          </w:p>
          <w:p>
            <w:pPr>
              <w:pStyle w:val="TableContents"/>
              <w:spacing w:before="0" w:after="0"/>
              <w:rPr>
                <w:rFonts w:ascii="arial" w:hAnsi="arial"/>
                <w:sz w:val="15"/>
              </w:rPr>
            </w:pPr>
            <w:r>
              <w:rPr>
                <w:rFonts w:ascii="arial" w:hAnsi="arial"/>
                <w:sz w:val="15"/>
              </w:rPr>
              <w:t>Former Executive Vice</w:t>
            </w:r>
          </w:p>
          <w:p>
            <w:pPr>
              <w:pStyle w:val="TableContents"/>
              <w:spacing w:before="0" w:after="0"/>
              <w:rPr>
                <w:rFonts w:ascii="arial" w:hAnsi="arial"/>
                <w:sz w:val="15"/>
              </w:rPr>
            </w:pPr>
            <w:r>
              <w:rPr>
                <w:rFonts w:ascii="arial" w:hAnsi="arial"/>
                <w:sz w:val="15"/>
              </w:rPr>
              <w:t>President and Group</w:t>
            </w:r>
          </w:p>
          <w:p>
            <w:pPr>
              <w:pStyle w:val="TableContents"/>
              <w:spacing w:before="0" w:after="0"/>
              <w:rPr>
                <w:rFonts w:ascii="arial" w:hAnsi="arial"/>
                <w:sz w:val="15"/>
              </w:rPr>
            </w:pPr>
            <w:r>
              <w:rPr>
                <w:rFonts w:ascii="arial" w:hAnsi="arial"/>
                <w:sz w:val="15"/>
              </w:rPr>
              <w:t>President</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tcPr>
          <w:p>
            <w:pPr>
              <w:pStyle w:val="TableContents"/>
              <w:spacing w:lineRule="atLeast" w:line="280" w:before="0" w:after="0"/>
              <w:rPr/>
            </w:pPr>
            <w:r>
              <w:rPr/>
              <w:t> </w:t>
            </w:r>
          </w:p>
        </w:tc>
        <w:tc>
          <w:tcPr>
            <w:tcW w:w="380" w:type="dxa"/>
            <w:tcBorders/>
            <w:shd w:fill="E5E5E5" w:val="clear"/>
          </w:tcPr>
          <w:p>
            <w:pPr>
              <w:pStyle w:val="TableContents"/>
              <w:spacing w:lineRule="atLeast" w:line="280" w:before="0" w:after="0"/>
              <w:jc w:val="right"/>
              <w:rPr>
                <w:rFonts w:ascii="arial" w:hAnsi="arial"/>
                <w:sz w:val="15"/>
              </w:rPr>
            </w:pPr>
            <w:r>
              <w:rPr>
                <w:rFonts w:ascii="arial" w:hAnsi="arial"/>
                <w:sz w:val="15"/>
              </w:rPr>
              <w:t>2020</w:t>
            </w:r>
          </w:p>
        </w:tc>
        <w:tc>
          <w:tcPr>
            <w:tcW w:w="6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740" w:type="dxa"/>
            <w:tcBorders/>
            <w:shd w:fill="E5E5E5" w:val="clear"/>
          </w:tcPr>
          <w:p>
            <w:pPr>
              <w:pStyle w:val="TableContents"/>
              <w:spacing w:lineRule="atLeast" w:line="280" w:before="0" w:after="0"/>
              <w:jc w:val="right"/>
              <w:rPr>
                <w:rFonts w:ascii="arial" w:hAnsi="arial"/>
                <w:sz w:val="15"/>
              </w:rPr>
            </w:pPr>
            <w:r>
              <w:rPr>
                <w:rFonts w:ascii="arial" w:hAnsi="arial"/>
                <w:sz w:val="15"/>
              </w:rPr>
              <w:t>390,793</w:t>
            </w:r>
          </w:p>
        </w:tc>
        <w:tc>
          <w:tcPr>
            <w:tcW w:w="6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tcPr>
          <w:p>
            <w:pPr>
              <w:pStyle w:val="TableContents"/>
              <w:spacing w:lineRule="atLeast" w:line="280" w:before="0" w:after="0"/>
              <w:rPr/>
            </w:pPr>
            <w:r>
              <w:rPr/>
              <w:t> </w:t>
            </w:r>
          </w:p>
        </w:tc>
        <w:tc>
          <w:tcPr>
            <w:tcW w:w="710" w:type="dxa"/>
            <w:tcBorders/>
            <w:shd w:fill="E5E5E5" w:val="clear"/>
          </w:tcPr>
          <w:p>
            <w:pPr>
              <w:pStyle w:val="TableContents"/>
              <w:spacing w:lineRule="atLeast" w:line="280" w:before="0" w:after="0"/>
              <w:jc w:val="right"/>
              <w:rPr>
                <w:rFonts w:ascii="arial" w:hAnsi="arial"/>
                <w:sz w:val="15"/>
              </w:rPr>
            </w:pPr>
            <w:r>
              <w:rPr>
                <w:rFonts w:ascii="arial" w:hAnsi="arial"/>
                <w:sz w:val="15"/>
              </w:rPr>
              <w:t></w:t>
            </w:r>
          </w:p>
        </w:tc>
        <w:tc>
          <w:tcPr>
            <w:tcW w:w="71"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873" w:type="dxa"/>
            <w:tcBorders/>
            <w:shd w:fill="E5E5E5" w:val="clear"/>
          </w:tcPr>
          <w:p>
            <w:pPr>
              <w:pStyle w:val="TableContents"/>
              <w:spacing w:lineRule="atLeast" w:line="280" w:before="0" w:after="0"/>
              <w:jc w:val="right"/>
              <w:rPr>
                <w:rFonts w:ascii="arial" w:hAnsi="arial"/>
                <w:sz w:val="15"/>
              </w:rPr>
            </w:pPr>
            <w:r>
              <w:rPr>
                <w:rFonts w:ascii="arial" w:hAnsi="arial"/>
                <w:sz w:val="15"/>
              </w:rPr>
              <w:t>1,598,823</w:t>
            </w:r>
          </w:p>
        </w:tc>
        <w:tc>
          <w:tcPr>
            <w:tcW w:w="73"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873" w:type="dxa"/>
            <w:tcBorders/>
            <w:shd w:fill="E5E5E5" w:val="clear"/>
          </w:tcPr>
          <w:p>
            <w:pPr>
              <w:pStyle w:val="TableContents"/>
              <w:spacing w:lineRule="atLeast" w:line="280" w:before="0" w:after="0"/>
              <w:jc w:val="right"/>
              <w:rPr>
                <w:rFonts w:ascii="arial" w:hAnsi="arial"/>
                <w:sz w:val="15"/>
              </w:rPr>
            </w:pPr>
            <w:r>
              <w:rPr>
                <w:rFonts w:ascii="arial" w:hAnsi="arial"/>
                <w:sz w:val="15"/>
              </w:rPr>
              <w:t>270,001</w:t>
            </w:r>
          </w:p>
        </w:tc>
        <w:tc>
          <w:tcPr>
            <w:tcW w:w="73"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68"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1136" w:type="dxa"/>
            <w:tcBorders/>
            <w:shd w:fill="E5E5E5" w:val="clear"/>
          </w:tcPr>
          <w:p>
            <w:pPr>
              <w:pStyle w:val="TableContents"/>
              <w:spacing w:lineRule="atLeast" w:line="280" w:before="0" w:after="0"/>
              <w:jc w:val="right"/>
              <w:rPr>
                <w:rFonts w:ascii="arial" w:hAnsi="arial"/>
                <w:sz w:val="15"/>
              </w:rPr>
            </w:pPr>
            <w:r>
              <w:rPr>
                <w:rFonts w:ascii="arial" w:hAnsi="arial"/>
                <w:sz w:val="15"/>
              </w:rPr>
              <w:t>545,700</w:t>
            </w:r>
          </w:p>
        </w:tc>
        <w:tc>
          <w:tcPr>
            <w:tcW w:w="94"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54"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1166" w:type="dxa"/>
            <w:tcBorders/>
            <w:shd w:fill="E5E5E5" w:val="clear"/>
          </w:tcPr>
          <w:p>
            <w:pPr>
              <w:pStyle w:val="TableContents"/>
              <w:spacing w:lineRule="atLeast" w:line="280" w:before="0" w:after="0"/>
              <w:jc w:val="right"/>
              <w:rPr>
                <w:rFonts w:ascii="arial" w:hAnsi="arial"/>
                <w:sz w:val="15"/>
              </w:rPr>
            </w:pPr>
            <w:r>
              <w:rPr>
                <w:rFonts w:ascii="arial" w:hAnsi="arial"/>
                <w:sz w:val="15"/>
              </w:rPr>
              <w:t>2,087,243</w:t>
            </w:r>
          </w:p>
        </w:tc>
        <w:tc>
          <w:tcPr>
            <w:tcW w:w="86"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pPr>
            <w:r>
              <w:rPr/>
              <w:t> </w:t>
            </w:r>
          </w:p>
        </w:tc>
        <w:tc>
          <w:tcPr>
            <w:tcW w:w="197"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1331" w:type="dxa"/>
            <w:tcBorders/>
            <w:shd w:fill="E5E5E5" w:val="clear"/>
          </w:tcPr>
          <w:p>
            <w:pPr>
              <w:pStyle w:val="TableContents"/>
              <w:spacing w:lineRule="atLeast" w:line="280" w:before="0" w:after="0"/>
              <w:jc w:val="right"/>
              <w:rPr>
                <w:rFonts w:ascii="arial" w:hAnsi="arial"/>
                <w:sz w:val="15"/>
              </w:rPr>
            </w:pPr>
            <w:r>
              <w:rPr>
                <w:rFonts w:ascii="arial" w:hAnsi="arial"/>
                <w:sz w:val="15"/>
              </w:rPr>
              <w:t>112,692</w:t>
            </w:r>
          </w:p>
        </w:tc>
        <w:tc>
          <w:tcPr>
            <w:tcW w:w="11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tcPr>
          <w:p>
            <w:pPr>
              <w:pStyle w:val="TableContents"/>
              <w:spacing w:lineRule="atLeast" w:line="280" w:before="0" w:after="0"/>
              <w:rPr>
                <w:rFonts w:ascii="arial" w:hAnsi="arial"/>
                <w:sz w:val="15"/>
              </w:rPr>
            </w:pPr>
            <w:r>
              <w:rPr>
                <w:rFonts w:ascii="arial" w:hAnsi="arial"/>
                <w:sz w:val="15"/>
              </w:rPr>
              <w:t>$</w:t>
            </w:r>
          </w:p>
        </w:tc>
        <w:tc>
          <w:tcPr>
            <w:tcW w:w="920" w:type="dxa"/>
            <w:tcBorders/>
            <w:shd w:fill="E5E5E5" w:val="clear"/>
          </w:tcPr>
          <w:p>
            <w:pPr>
              <w:pStyle w:val="TableContents"/>
              <w:spacing w:lineRule="atLeast" w:line="280" w:before="0" w:after="0"/>
              <w:jc w:val="right"/>
              <w:rPr>
                <w:rFonts w:ascii="arial" w:hAnsi="arial"/>
                <w:sz w:val="15"/>
              </w:rPr>
            </w:pPr>
            <w:r>
              <w:rPr>
                <w:rFonts w:ascii="arial" w:hAnsi="arial"/>
                <w:sz w:val="15"/>
              </w:rPr>
              <w:t>5,005,252  </w:t>
            </w:r>
          </w:p>
        </w:tc>
        <w:tc>
          <w:tcPr>
            <w:tcW w:w="60" w:type="dxa"/>
            <w:tcBorders/>
            <w:shd w:fill="E5E5E5" w:val="clear"/>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80" w:before="0" w:after="0"/>
              <w:rPr/>
            </w:pPr>
            <w:r>
              <w:rPr/>
              <w:t> </w:t>
            </w:r>
          </w:p>
        </w:tc>
        <w:tc>
          <w:tcPr>
            <w:tcW w:w="38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2019</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74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640,900</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pPr>
            <w:r>
              <w:rPr/>
              <w:t> </w:t>
            </w:r>
          </w:p>
        </w:tc>
        <w:tc>
          <w:tcPr>
            <w:tcW w:w="71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w:t>
            </w:r>
          </w:p>
        </w:tc>
        <w:tc>
          <w:tcPr>
            <w:tcW w:w="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2,345,280</w:t>
            </w:r>
          </w:p>
        </w:tc>
        <w:tc>
          <w:tcPr>
            <w:tcW w:w="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201,894</w:t>
            </w:r>
          </w:p>
        </w:tc>
        <w:tc>
          <w:tcPr>
            <w:tcW w:w="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1136"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994,900</w:t>
            </w:r>
          </w:p>
        </w:tc>
        <w:tc>
          <w:tcPr>
            <w:tcW w:w="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1166"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3,231,239</w:t>
            </w:r>
          </w:p>
        </w:tc>
        <w:tc>
          <w:tcPr>
            <w:tcW w:w="8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1331"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140,077</w:t>
            </w:r>
          </w:p>
        </w:tc>
        <w:tc>
          <w:tcPr>
            <w:tcW w:w="1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5"/>
              </w:rPr>
            </w:pPr>
            <w:r>
              <w:rPr>
                <w:rFonts w:ascii="arial" w:hAnsi="arial"/>
                <w:sz w:val="15"/>
              </w:rPr>
              <w:t>$</w:t>
            </w:r>
          </w:p>
        </w:tc>
        <w:tc>
          <w:tcPr>
            <w:tcW w:w="920" w:type="dxa"/>
            <w:tcBorders/>
            <w:shd w:fill="auto" w:val="clear"/>
            <w:vAlign w:val="bottom"/>
          </w:tcPr>
          <w:p>
            <w:pPr>
              <w:pStyle w:val="TableContents"/>
              <w:spacing w:lineRule="atLeast" w:line="280" w:before="0" w:after="0"/>
              <w:jc w:val="right"/>
              <w:rPr>
                <w:rFonts w:ascii="arial" w:hAnsi="arial"/>
                <w:sz w:val="15"/>
              </w:rPr>
            </w:pPr>
            <w:r>
              <w:rPr>
                <w:rFonts w:ascii="arial" w:hAnsi="arial"/>
                <w:sz w:val="15"/>
              </w:rPr>
              <w:t>7,554,290  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380"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5"/>
              </w:rPr>
            </w:pPr>
            <w:r>
              <w:rPr>
                <w:rFonts w:ascii="arial" w:hAnsi="arial"/>
                <w:sz w:val="15"/>
              </w:rPr>
              <w:t>2018</w:t>
            </w:r>
          </w:p>
        </w:tc>
        <w:tc>
          <w:tcPr>
            <w:tcW w:w="60" w:type="dxa"/>
            <w:tcBorders>
              <w:bottom w:val="single" w:sz="8" w:space="0" w:color="001C71"/>
            </w:tcBorders>
            <w:shd w:fill="E5E5E5" w:val="clear"/>
            <w:tcMar>
              <w:bottom w:w="28" w:type="dxa"/>
            </w:tcMar>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tcPr>
          <w:p>
            <w:pPr>
              <w:pStyle w:val="TableContents"/>
              <w:spacing w:lineRule="atLeast" w:line="280" w:before="0" w:after="0"/>
              <w:rPr>
                <w:rFonts w:ascii="arial" w:hAnsi="arial"/>
                <w:sz w:val="15"/>
              </w:rPr>
            </w:pPr>
            <w:r>
              <w:rPr>
                <w:rFonts w:ascii="arial" w:hAnsi="arial"/>
                <w:sz w:val="15"/>
              </w:rPr>
              <w:t>$</w:t>
            </w:r>
          </w:p>
        </w:tc>
        <w:tc>
          <w:tcPr>
            <w:tcW w:w="740"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5"/>
              </w:rPr>
            </w:pPr>
            <w:r>
              <w:rPr>
                <w:rFonts w:ascii="arial" w:hAnsi="arial"/>
                <w:sz w:val="15"/>
              </w:rPr>
              <w:t>614,718</w:t>
            </w:r>
          </w:p>
        </w:tc>
        <w:tc>
          <w:tcPr>
            <w:tcW w:w="60" w:type="dxa"/>
            <w:tcBorders>
              <w:bottom w:val="single" w:sz="8" w:space="0" w:color="001C71"/>
            </w:tcBorders>
            <w:shd w:fill="E5E5E5" w:val="clear"/>
            <w:tcMar>
              <w:bottom w:w="28" w:type="dxa"/>
            </w:tcMar>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710"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5"/>
              </w:rPr>
            </w:pPr>
            <w:r>
              <w:rPr>
                <w:rFonts w:ascii="arial" w:hAnsi="arial"/>
                <w:sz w:val="15"/>
              </w:rPr>
              <w:t></w:t>
            </w:r>
          </w:p>
        </w:tc>
        <w:tc>
          <w:tcPr>
            <w:tcW w:w="71" w:type="dxa"/>
            <w:tcBorders>
              <w:bottom w:val="single" w:sz="8" w:space="0" w:color="001C71"/>
            </w:tcBorders>
            <w:shd w:fill="E5E5E5" w:val="clear"/>
            <w:tcMar>
              <w:bottom w:w="28" w:type="dxa"/>
            </w:tcMar>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tcPr>
          <w:p>
            <w:pPr>
              <w:pStyle w:val="TableContents"/>
              <w:spacing w:lineRule="atLeast" w:line="280" w:before="0" w:after="0"/>
              <w:rPr>
                <w:rFonts w:ascii="arial" w:hAnsi="arial"/>
                <w:sz w:val="15"/>
              </w:rPr>
            </w:pPr>
            <w:r>
              <w:rPr>
                <w:rFonts w:ascii="arial" w:hAnsi="arial"/>
                <w:sz w:val="15"/>
              </w:rPr>
              <w:t>$</w:t>
            </w:r>
          </w:p>
        </w:tc>
        <w:tc>
          <w:tcPr>
            <w:tcW w:w="873"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5"/>
              </w:rPr>
            </w:pPr>
            <w:r>
              <w:rPr>
                <w:rFonts w:ascii="arial" w:hAnsi="arial"/>
                <w:sz w:val="15"/>
              </w:rPr>
              <w:t>1,145,826</w:t>
            </w:r>
          </w:p>
        </w:tc>
        <w:tc>
          <w:tcPr>
            <w:tcW w:w="73" w:type="dxa"/>
            <w:tcBorders>
              <w:bottom w:val="single" w:sz="8" w:space="0" w:color="001C71"/>
            </w:tcBorders>
            <w:shd w:fill="E5E5E5" w:val="clear"/>
            <w:tcMar>
              <w:bottom w:w="28" w:type="dxa"/>
            </w:tcMar>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873"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5"/>
              </w:rPr>
            </w:pPr>
            <w:r>
              <w:rPr>
                <w:rFonts w:ascii="arial" w:hAnsi="arial"/>
                <w:sz w:val="15"/>
              </w:rPr>
              <w:t></w:t>
            </w:r>
          </w:p>
        </w:tc>
        <w:tc>
          <w:tcPr>
            <w:tcW w:w="73" w:type="dxa"/>
            <w:tcBorders>
              <w:bottom w:val="single" w:sz="8" w:space="0" w:color="001C71"/>
            </w:tcBorders>
            <w:shd w:fill="E5E5E5" w:val="clear"/>
            <w:tcMar>
              <w:bottom w:w="28" w:type="dxa"/>
            </w:tcMar>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92" w:type="dxa"/>
            <w:tcBorders>
              <w:bottom w:val="single" w:sz="8" w:space="0" w:color="001C71"/>
            </w:tcBorders>
            <w:shd w:fill="E5E5E5" w:val="clear"/>
            <w:tcMar>
              <w:bottom w:w="28" w:type="dxa"/>
            </w:tcMar>
            <w:vAlign w:val="bottom"/>
          </w:tcPr>
          <w:p>
            <w:pPr>
              <w:pStyle w:val="TableContents"/>
              <w:spacing w:before="0" w:after="283"/>
              <w:rPr/>
            </w:pPr>
            <w:r>
              <w:rPr/>
              <w:t> </w:t>
            </w:r>
          </w:p>
        </w:tc>
        <w:tc>
          <w:tcPr>
            <w:tcW w:w="168" w:type="dxa"/>
            <w:tcBorders>
              <w:bottom w:val="single" w:sz="8" w:space="0" w:color="001C71"/>
            </w:tcBorders>
            <w:shd w:fill="E5E5E5" w:val="clear"/>
            <w:tcMar>
              <w:bottom w:w="28" w:type="dxa"/>
            </w:tcMar>
          </w:tcPr>
          <w:p>
            <w:pPr>
              <w:pStyle w:val="TableContents"/>
              <w:spacing w:lineRule="atLeast" w:line="280" w:before="0" w:after="0"/>
              <w:rPr>
                <w:rFonts w:ascii="arial" w:hAnsi="arial"/>
                <w:sz w:val="15"/>
              </w:rPr>
            </w:pPr>
            <w:r>
              <w:rPr>
                <w:rFonts w:ascii="arial" w:hAnsi="arial"/>
                <w:sz w:val="15"/>
              </w:rPr>
              <w:t>$</w:t>
            </w:r>
          </w:p>
        </w:tc>
        <w:tc>
          <w:tcPr>
            <w:tcW w:w="1136"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5"/>
              </w:rPr>
            </w:pPr>
            <w:r>
              <w:rPr>
                <w:rFonts w:ascii="arial" w:hAnsi="arial"/>
                <w:sz w:val="15"/>
              </w:rPr>
              <w:t>966,900</w:t>
            </w:r>
          </w:p>
        </w:tc>
        <w:tc>
          <w:tcPr>
            <w:tcW w:w="94" w:type="dxa"/>
            <w:tcBorders>
              <w:bottom w:val="single" w:sz="8" w:space="0" w:color="001C71"/>
            </w:tcBorders>
            <w:shd w:fill="E5E5E5" w:val="clear"/>
            <w:tcMar>
              <w:bottom w:w="28" w:type="dxa"/>
            </w:tcMar>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84" w:type="dxa"/>
            <w:tcBorders>
              <w:bottom w:val="single" w:sz="8" w:space="0" w:color="001C71"/>
            </w:tcBorders>
            <w:shd w:fill="E5E5E5" w:val="clear"/>
            <w:tcMar>
              <w:bottom w:w="28" w:type="dxa"/>
            </w:tcMar>
            <w:vAlign w:val="bottom"/>
          </w:tcPr>
          <w:p>
            <w:pPr>
              <w:pStyle w:val="TableContents"/>
              <w:spacing w:before="0" w:after="283"/>
              <w:rPr/>
            </w:pPr>
            <w:r>
              <w:rPr/>
              <w:t> </w:t>
            </w:r>
          </w:p>
        </w:tc>
        <w:tc>
          <w:tcPr>
            <w:tcW w:w="154" w:type="dxa"/>
            <w:tcBorders>
              <w:bottom w:val="single" w:sz="8" w:space="0" w:color="001C71"/>
            </w:tcBorders>
            <w:shd w:fill="E5E5E5" w:val="clear"/>
            <w:tcMar>
              <w:bottom w:w="28" w:type="dxa"/>
            </w:tcMar>
          </w:tcPr>
          <w:p>
            <w:pPr>
              <w:pStyle w:val="TableContents"/>
              <w:spacing w:lineRule="atLeast" w:line="280" w:before="0" w:after="0"/>
              <w:rPr>
                <w:rFonts w:ascii="arial" w:hAnsi="arial"/>
                <w:sz w:val="15"/>
              </w:rPr>
            </w:pPr>
            <w:r>
              <w:rPr>
                <w:rFonts w:ascii="arial" w:hAnsi="arial"/>
                <w:sz w:val="15"/>
              </w:rPr>
              <w:t>$</w:t>
            </w:r>
          </w:p>
        </w:tc>
        <w:tc>
          <w:tcPr>
            <w:tcW w:w="1166"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5"/>
              </w:rPr>
            </w:pPr>
            <w:r>
              <w:rPr>
                <w:rFonts w:ascii="arial" w:hAnsi="arial"/>
                <w:sz w:val="15"/>
              </w:rPr>
              <w:t>377,927</w:t>
            </w:r>
          </w:p>
        </w:tc>
        <w:tc>
          <w:tcPr>
            <w:tcW w:w="86" w:type="dxa"/>
            <w:tcBorders>
              <w:bottom w:val="single" w:sz="8" w:space="0" w:color="001C71"/>
            </w:tcBorders>
            <w:shd w:fill="E5E5E5" w:val="clear"/>
            <w:tcMar>
              <w:bottom w:w="28" w:type="dxa"/>
            </w:tcMar>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7" w:type="dxa"/>
            <w:tcBorders>
              <w:bottom w:val="single" w:sz="8" w:space="0" w:color="001C71"/>
            </w:tcBorders>
            <w:shd w:fill="E5E5E5" w:val="clear"/>
            <w:tcMar>
              <w:bottom w:w="28" w:type="dxa"/>
            </w:tcMar>
            <w:vAlign w:val="bottom"/>
          </w:tcPr>
          <w:p>
            <w:pPr>
              <w:pStyle w:val="TableContents"/>
              <w:spacing w:before="0" w:after="283"/>
              <w:rPr/>
            </w:pPr>
            <w:r>
              <w:rPr/>
              <w:t> </w:t>
            </w:r>
          </w:p>
        </w:tc>
        <w:tc>
          <w:tcPr>
            <w:tcW w:w="197" w:type="dxa"/>
            <w:tcBorders>
              <w:bottom w:val="single" w:sz="8" w:space="0" w:color="001C71"/>
            </w:tcBorders>
            <w:shd w:fill="E5E5E5" w:val="clear"/>
            <w:tcMar>
              <w:bottom w:w="28" w:type="dxa"/>
            </w:tcMar>
          </w:tcPr>
          <w:p>
            <w:pPr>
              <w:pStyle w:val="TableContents"/>
              <w:spacing w:lineRule="atLeast" w:line="280" w:before="0" w:after="0"/>
              <w:rPr>
                <w:rFonts w:ascii="arial" w:hAnsi="arial"/>
                <w:sz w:val="15"/>
              </w:rPr>
            </w:pPr>
            <w:r>
              <w:rPr>
                <w:rFonts w:ascii="arial" w:hAnsi="arial"/>
                <w:sz w:val="15"/>
              </w:rPr>
              <w:t>$</w:t>
            </w:r>
          </w:p>
        </w:tc>
        <w:tc>
          <w:tcPr>
            <w:tcW w:w="1331"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5"/>
              </w:rPr>
            </w:pPr>
            <w:r>
              <w:rPr>
                <w:rFonts w:ascii="arial" w:hAnsi="arial"/>
                <w:sz w:val="15"/>
              </w:rPr>
              <w:t>145,154</w:t>
            </w:r>
          </w:p>
        </w:tc>
        <w:tc>
          <w:tcPr>
            <w:tcW w:w="110" w:type="dxa"/>
            <w:tcBorders>
              <w:bottom w:val="single" w:sz="8" w:space="0" w:color="001C71"/>
            </w:tcBorders>
            <w:shd w:fill="E5E5E5" w:val="clear"/>
            <w:tcMar>
              <w:bottom w:w="28" w:type="dxa"/>
            </w:tcMar>
          </w:tcPr>
          <w:p>
            <w:pPr>
              <w:pStyle w:val="TableContents"/>
              <w:spacing w:before="0" w:after="283"/>
              <w:rPr>
                <w:sz w:val="4"/>
                <w:szCs w:val="4"/>
              </w:rPr>
            </w:pPr>
            <w:r>
              <w:rPr>
                <w:sz w:val="4"/>
                <w:szCs w:val="4"/>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tcPr>
          <w:p>
            <w:pPr>
              <w:pStyle w:val="TableContents"/>
              <w:spacing w:lineRule="atLeast" w:line="280" w:before="0" w:after="0"/>
              <w:rPr>
                <w:rFonts w:ascii="arial" w:hAnsi="arial"/>
                <w:sz w:val="15"/>
              </w:rPr>
            </w:pPr>
            <w:r>
              <w:rPr>
                <w:rFonts w:ascii="arial" w:hAnsi="arial"/>
                <w:sz w:val="15"/>
              </w:rPr>
              <w:t>$</w:t>
            </w:r>
          </w:p>
        </w:tc>
        <w:tc>
          <w:tcPr>
            <w:tcW w:w="920"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5"/>
              </w:rPr>
            </w:pPr>
            <w:r>
              <w:rPr>
                <w:rFonts w:ascii="arial" w:hAnsi="arial"/>
                <w:sz w:val="15"/>
              </w:rPr>
              <w:t>3,250,525  </w:t>
            </w:r>
          </w:p>
        </w:tc>
        <w:tc>
          <w:tcPr>
            <w:tcW w:w="60" w:type="dxa"/>
            <w:tcBorders>
              <w:bottom w:val="single" w:sz="8" w:space="0" w:color="001C71"/>
            </w:tcBorders>
            <w:shd w:fill="E5E5E5" w:val="clear"/>
            <w:tcMar>
              <w:bottom w:w="28" w:type="dxa"/>
            </w:tcMar>
          </w:tcPr>
          <w:p>
            <w:pPr>
              <w:pStyle w:val="TableContents"/>
              <w:spacing w:before="0" w:after="283"/>
              <w:rPr>
                <w:sz w:val="4"/>
                <w:szCs w:val="4"/>
              </w:rPr>
            </w:pPr>
            <w:r>
              <w:rPr>
                <w:sz w:val="4"/>
                <w:szCs w:val="4"/>
              </w:rPr>
            </w:r>
          </w:p>
        </w:tc>
      </w:tr>
      <w:tr>
        <w:trPr/>
        <w:tc>
          <w:tcPr>
            <w:tcW w:w="1475"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5"/>
              </w:rPr>
            </w:pPr>
            <w:r>
              <w:rPr>
                <w:rFonts w:ascii="arial" w:hAnsi="arial"/>
                <w:b/>
                <w:sz w:val="15"/>
              </w:rPr>
              <w:t xml:space="preserve">George W. Bilicic(E) </w:t>
            </w:r>
          </w:p>
          <w:p>
            <w:pPr>
              <w:pStyle w:val="TableContents"/>
              <w:spacing w:before="0" w:after="0"/>
              <w:rPr>
                <w:rFonts w:ascii="arial" w:hAnsi="arial"/>
                <w:sz w:val="15"/>
              </w:rPr>
            </w:pPr>
            <w:r>
              <w:rPr>
                <w:rFonts w:ascii="arial" w:hAnsi="arial"/>
                <w:sz w:val="15"/>
              </w:rPr>
              <w:t>Former President and</w:t>
            </w:r>
          </w:p>
          <w:p>
            <w:pPr>
              <w:pStyle w:val="TableContents"/>
              <w:spacing w:before="0" w:after="0"/>
              <w:rPr>
                <w:rFonts w:ascii="arial" w:hAnsi="arial"/>
                <w:sz w:val="15"/>
              </w:rPr>
            </w:pPr>
            <w:r>
              <w:rPr>
                <w:rFonts w:ascii="arial" w:hAnsi="arial"/>
                <w:sz w:val="15"/>
              </w:rPr>
              <w:t>Chief Legal Officer</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lineRule="atLeast" w:line="280" w:before="0" w:after="0"/>
              <w:rPr/>
            </w:pPr>
            <w:r>
              <w:rPr/>
              <w:t> </w:t>
            </w:r>
          </w:p>
        </w:tc>
        <w:tc>
          <w:tcPr>
            <w:tcW w:w="380" w:type="dxa"/>
            <w:tcBorders/>
            <w:shd w:fill="auto" w:val="clear"/>
          </w:tcPr>
          <w:p>
            <w:pPr>
              <w:pStyle w:val="TableContents"/>
              <w:spacing w:lineRule="atLeast" w:line="280" w:before="0" w:after="0"/>
              <w:jc w:val="right"/>
              <w:rPr>
                <w:rFonts w:ascii="arial" w:hAnsi="arial"/>
                <w:sz w:val="15"/>
              </w:rPr>
            </w:pPr>
            <w:r>
              <w:rPr>
                <w:rFonts w:ascii="arial" w:hAnsi="arial"/>
                <w:sz w:val="15"/>
              </w:rPr>
              <w:t>2020</w:t>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lineRule="atLeast" w:line="280" w:before="0" w:after="0"/>
              <w:rPr>
                <w:rFonts w:ascii="arial" w:hAnsi="arial"/>
                <w:sz w:val="15"/>
              </w:rPr>
            </w:pPr>
            <w:r>
              <w:rPr>
                <w:rFonts w:ascii="arial" w:hAnsi="arial"/>
                <w:sz w:val="15"/>
              </w:rPr>
              <w:t>$</w:t>
            </w:r>
          </w:p>
        </w:tc>
        <w:tc>
          <w:tcPr>
            <w:tcW w:w="740" w:type="dxa"/>
            <w:tcBorders/>
            <w:shd w:fill="auto" w:val="clear"/>
          </w:tcPr>
          <w:p>
            <w:pPr>
              <w:pStyle w:val="TableContents"/>
              <w:spacing w:lineRule="atLeast" w:line="280" w:before="0" w:after="0"/>
              <w:jc w:val="right"/>
              <w:rPr>
                <w:rFonts w:ascii="arial" w:hAnsi="arial"/>
                <w:sz w:val="15"/>
              </w:rPr>
            </w:pPr>
            <w:r>
              <w:rPr>
                <w:rFonts w:ascii="arial" w:hAnsi="arial"/>
                <w:sz w:val="15"/>
              </w:rPr>
              <w:t>275,515</w:t>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lineRule="atLeast" w:line="280" w:before="0" w:after="0"/>
              <w:rPr/>
            </w:pPr>
            <w:r>
              <w:rPr/>
              <w:t> </w:t>
            </w:r>
          </w:p>
        </w:tc>
        <w:tc>
          <w:tcPr>
            <w:tcW w:w="710" w:type="dxa"/>
            <w:tcBorders/>
            <w:shd w:fill="auto" w:val="clear"/>
          </w:tcPr>
          <w:p>
            <w:pPr>
              <w:pStyle w:val="TableContents"/>
              <w:spacing w:lineRule="atLeast" w:line="280" w:before="0" w:after="0"/>
              <w:jc w:val="right"/>
              <w:rPr>
                <w:rFonts w:ascii="arial" w:hAnsi="arial"/>
                <w:sz w:val="15"/>
              </w:rPr>
            </w:pPr>
            <w:r>
              <w:rPr>
                <w:rFonts w:ascii="arial" w:hAnsi="arial"/>
                <w:sz w:val="15"/>
              </w:rPr>
              <w:t></w:t>
            </w:r>
          </w:p>
        </w:tc>
        <w:tc>
          <w:tcPr>
            <w:tcW w:w="7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lineRule="atLeast" w:line="280" w:before="0" w:after="0"/>
              <w:rPr>
                <w:rFonts w:ascii="arial" w:hAnsi="arial"/>
                <w:sz w:val="15"/>
              </w:rPr>
            </w:pPr>
            <w:r>
              <w:rPr>
                <w:rFonts w:ascii="arial" w:hAnsi="arial"/>
                <w:sz w:val="15"/>
              </w:rPr>
              <w:t>$</w:t>
            </w:r>
          </w:p>
        </w:tc>
        <w:tc>
          <w:tcPr>
            <w:tcW w:w="873" w:type="dxa"/>
            <w:tcBorders/>
            <w:shd w:fill="auto" w:val="clear"/>
          </w:tcPr>
          <w:p>
            <w:pPr>
              <w:pStyle w:val="TableContents"/>
              <w:spacing w:lineRule="atLeast" w:line="280" w:before="0" w:after="0"/>
              <w:jc w:val="right"/>
              <w:rPr>
                <w:rFonts w:ascii="arial" w:hAnsi="arial"/>
                <w:sz w:val="15"/>
              </w:rPr>
            </w:pPr>
            <w:r>
              <w:rPr>
                <w:rFonts w:ascii="arial" w:hAnsi="arial"/>
                <w:sz w:val="15"/>
              </w:rPr>
              <w:t>2,220,465</w:t>
            </w:r>
          </w:p>
        </w:tc>
        <w:tc>
          <w:tcPr>
            <w:tcW w:w="7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lineRule="atLeast" w:line="280" w:before="0" w:after="0"/>
              <w:rPr>
                <w:rFonts w:ascii="arial" w:hAnsi="arial"/>
                <w:sz w:val="15"/>
              </w:rPr>
            </w:pPr>
            <w:r>
              <w:rPr>
                <w:rFonts w:ascii="arial" w:hAnsi="arial"/>
                <w:sz w:val="15"/>
              </w:rPr>
              <w:t>$</w:t>
            </w:r>
          </w:p>
        </w:tc>
        <w:tc>
          <w:tcPr>
            <w:tcW w:w="873" w:type="dxa"/>
            <w:tcBorders/>
            <w:shd w:fill="auto" w:val="clear"/>
          </w:tcPr>
          <w:p>
            <w:pPr>
              <w:pStyle w:val="TableContents"/>
              <w:spacing w:lineRule="atLeast" w:line="280" w:before="0" w:after="0"/>
              <w:jc w:val="right"/>
              <w:rPr>
                <w:rFonts w:ascii="arial" w:hAnsi="arial"/>
                <w:sz w:val="15"/>
              </w:rPr>
            </w:pPr>
            <w:r>
              <w:rPr>
                <w:rFonts w:ascii="arial" w:hAnsi="arial"/>
                <w:sz w:val="15"/>
              </w:rPr>
              <w:t>375,005</w:t>
            </w:r>
          </w:p>
        </w:tc>
        <w:tc>
          <w:tcPr>
            <w:tcW w:w="7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8" w:type="dxa"/>
            <w:tcBorders/>
            <w:shd w:fill="auto" w:val="clear"/>
          </w:tcPr>
          <w:p>
            <w:pPr>
              <w:pStyle w:val="TableContents"/>
              <w:spacing w:lineRule="atLeast" w:line="280" w:before="0" w:after="0"/>
              <w:rPr/>
            </w:pPr>
            <w:r>
              <w:rPr/>
              <w:t> </w:t>
            </w:r>
          </w:p>
        </w:tc>
        <w:tc>
          <w:tcPr>
            <w:tcW w:w="1136" w:type="dxa"/>
            <w:tcBorders/>
            <w:shd w:fill="auto" w:val="clear"/>
          </w:tcPr>
          <w:p>
            <w:pPr>
              <w:pStyle w:val="TableContents"/>
              <w:spacing w:lineRule="atLeast" w:line="280" w:before="0" w:after="0"/>
              <w:jc w:val="right"/>
              <w:rPr>
                <w:rFonts w:ascii="arial" w:hAnsi="arial"/>
                <w:sz w:val="15"/>
              </w:rPr>
            </w:pPr>
            <w:r>
              <w:rPr>
                <w:rFonts w:ascii="arial" w:hAnsi="arial"/>
                <w:sz w:val="15"/>
              </w:rPr>
              <w:t></w:t>
            </w:r>
          </w:p>
        </w:tc>
        <w:tc>
          <w:tcPr>
            <w:tcW w:w="9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54" w:type="dxa"/>
            <w:tcBorders/>
            <w:shd w:fill="auto" w:val="clear"/>
          </w:tcPr>
          <w:p>
            <w:pPr>
              <w:pStyle w:val="TableContents"/>
              <w:spacing w:lineRule="atLeast" w:line="280" w:before="0" w:after="0"/>
              <w:rPr>
                <w:rFonts w:ascii="arial" w:hAnsi="arial"/>
                <w:sz w:val="15"/>
              </w:rPr>
            </w:pPr>
            <w:r>
              <w:rPr>
                <w:rFonts w:ascii="arial" w:hAnsi="arial"/>
                <w:sz w:val="15"/>
              </w:rPr>
              <w:t>$</w:t>
            </w:r>
          </w:p>
        </w:tc>
        <w:tc>
          <w:tcPr>
            <w:tcW w:w="1166" w:type="dxa"/>
            <w:tcBorders/>
            <w:shd w:fill="auto" w:val="clear"/>
          </w:tcPr>
          <w:p>
            <w:pPr>
              <w:pStyle w:val="TableContents"/>
              <w:spacing w:lineRule="atLeast" w:line="280" w:before="0" w:after="0"/>
              <w:jc w:val="right"/>
              <w:rPr>
                <w:rFonts w:ascii="arial" w:hAnsi="arial"/>
                <w:sz w:val="15"/>
              </w:rPr>
            </w:pPr>
            <w:r>
              <w:rPr>
                <w:rFonts w:ascii="arial" w:hAnsi="arial"/>
                <w:sz w:val="15"/>
              </w:rPr>
              <w:t>2,772</w:t>
            </w:r>
          </w:p>
        </w:tc>
        <w:tc>
          <w:tcPr>
            <w:tcW w:w="8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97" w:type="dxa"/>
            <w:tcBorders/>
            <w:shd w:fill="auto" w:val="clear"/>
          </w:tcPr>
          <w:p>
            <w:pPr>
              <w:pStyle w:val="TableContents"/>
              <w:spacing w:lineRule="atLeast" w:line="280" w:before="0" w:after="0"/>
              <w:rPr>
                <w:rFonts w:ascii="arial" w:hAnsi="arial"/>
                <w:sz w:val="15"/>
              </w:rPr>
            </w:pPr>
            <w:r>
              <w:rPr>
                <w:rFonts w:ascii="arial" w:hAnsi="arial"/>
                <w:sz w:val="15"/>
              </w:rPr>
              <w:t>$</w:t>
            </w:r>
          </w:p>
        </w:tc>
        <w:tc>
          <w:tcPr>
            <w:tcW w:w="1331" w:type="dxa"/>
            <w:tcBorders/>
            <w:shd w:fill="auto" w:val="clear"/>
          </w:tcPr>
          <w:p>
            <w:pPr>
              <w:pStyle w:val="TableContents"/>
              <w:spacing w:lineRule="atLeast" w:line="280" w:before="0" w:after="0"/>
              <w:jc w:val="right"/>
              <w:rPr>
                <w:rFonts w:ascii="arial" w:hAnsi="arial"/>
                <w:sz w:val="15"/>
              </w:rPr>
            </w:pPr>
            <w:r>
              <w:rPr>
                <w:rFonts w:ascii="arial" w:hAnsi="arial"/>
                <w:sz w:val="15"/>
              </w:rPr>
              <w:t>3,370,566</w:t>
            </w:r>
          </w:p>
        </w:tc>
        <w:tc>
          <w:tcPr>
            <w:tcW w:w="11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lineRule="atLeast" w:line="280" w:before="0" w:after="0"/>
              <w:rPr>
                <w:rFonts w:ascii="arial" w:hAnsi="arial"/>
                <w:sz w:val="15"/>
              </w:rPr>
            </w:pPr>
            <w:r>
              <w:rPr>
                <w:rFonts w:ascii="arial" w:hAnsi="arial"/>
                <w:sz w:val="15"/>
              </w:rPr>
              <w:t>$</w:t>
            </w:r>
          </w:p>
        </w:tc>
        <w:tc>
          <w:tcPr>
            <w:tcW w:w="920" w:type="dxa"/>
            <w:tcBorders/>
            <w:shd w:fill="auto" w:val="clear"/>
          </w:tcPr>
          <w:p>
            <w:pPr>
              <w:pStyle w:val="TableContents"/>
              <w:spacing w:lineRule="atLeast" w:line="280" w:before="0" w:after="0"/>
              <w:jc w:val="right"/>
              <w:rPr>
                <w:rFonts w:ascii="arial" w:hAnsi="arial"/>
                <w:sz w:val="15"/>
              </w:rPr>
            </w:pPr>
            <w:r>
              <w:rPr>
                <w:rFonts w:ascii="arial" w:hAnsi="arial"/>
                <w:sz w:val="15"/>
              </w:rPr>
              <w:t>6,244,323  </w:t>
            </w:r>
          </w:p>
        </w:tc>
        <w:tc>
          <w:tcPr>
            <w:tcW w:w="60" w:type="dxa"/>
            <w:tcBorders/>
            <w:shd w:fill="auto" w:val="clear"/>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80" w:before="0" w:after="0"/>
              <w:rPr/>
            </w:pPr>
            <w:r>
              <w:rPr/>
              <w:t> </w:t>
            </w:r>
          </w:p>
        </w:tc>
        <w:tc>
          <w:tcPr>
            <w:tcW w:w="38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2019</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74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433,973</w:t>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71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500,000</w:t>
            </w:r>
          </w:p>
        </w:tc>
        <w:tc>
          <w:tcPr>
            <w:tcW w:w="7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873"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4,250,102</w:t>
            </w:r>
          </w:p>
        </w:tc>
        <w:tc>
          <w:tcPr>
            <w:tcW w:w="7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lineRule="atLeast" w:line="280" w:before="0" w:after="0"/>
              <w:rPr/>
            </w:pPr>
            <w:r>
              <w:rPr/>
              <w:t> </w:t>
            </w:r>
          </w:p>
        </w:tc>
        <w:tc>
          <w:tcPr>
            <w:tcW w:w="873"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w:t>
            </w:r>
          </w:p>
        </w:tc>
        <w:tc>
          <w:tcPr>
            <w:tcW w:w="7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2"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1136"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800,000</w:t>
            </w:r>
          </w:p>
        </w:tc>
        <w:tc>
          <w:tcPr>
            <w:tcW w:w="9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54"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1166"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227,611</w:t>
            </w:r>
          </w:p>
        </w:tc>
        <w:tc>
          <w:tcPr>
            <w:tcW w:w="86"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pPr>
            <w:r>
              <w:rPr/>
              <w:t> </w:t>
            </w:r>
          </w:p>
        </w:tc>
        <w:tc>
          <w:tcPr>
            <w:tcW w:w="197"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1331"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138,643</w:t>
            </w:r>
          </w:p>
        </w:tc>
        <w:tc>
          <w:tcPr>
            <w:tcW w:w="1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5"/>
              </w:rPr>
            </w:pPr>
            <w:r>
              <w:rPr>
                <w:rFonts w:ascii="arial" w:hAnsi="arial"/>
                <w:sz w:val="15"/>
              </w:rPr>
              <w:t>$</w:t>
            </w:r>
          </w:p>
        </w:tc>
        <w:tc>
          <w:tcPr>
            <w:tcW w:w="920" w:type="dxa"/>
            <w:tcBorders/>
            <w:shd w:fill="E5E5E5" w:val="clear"/>
            <w:vAlign w:val="bottom"/>
          </w:tcPr>
          <w:p>
            <w:pPr>
              <w:pStyle w:val="TableContents"/>
              <w:spacing w:lineRule="atLeast" w:line="280" w:before="0" w:after="0"/>
              <w:jc w:val="right"/>
              <w:rPr>
                <w:rFonts w:ascii="arial" w:hAnsi="arial"/>
                <w:sz w:val="15"/>
              </w:rPr>
            </w:pPr>
            <w:r>
              <w:rPr>
                <w:rFonts w:ascii="arial" w:hAnsi="arial"/>
                <w:sz w:val="15"/>
              </w:rPr>
              <w:t>6,350,329  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75"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c>
          <w:tcPr>
            <w:tcW w:w="38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tcPr>
          <w:p>
            <w:pPr>
              <w:pStyle w:val="TableContents"/>
              <w:spacing w:before="0" w:after="283"/>
              <w:rPr/>
            </w:pPr>
            <w:r>
              <w:rPr/>
              <w:t> </w:t>
            </w:r>
          </w:p>
        </w:tc>
        <w:tc>
          <w:tcPr>
            <w:tcW w:w="74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tcPr>
          <w:p>
            <w:pPr>
              <w:pStyle w:val="TableContents"/>
              <w:spacing w:before="0" w:after="283"/>
              <w:rPr/>
            </w:pPr>
            <w:r>
              <w:rPr/>
              <w:t> </w:t>
            </w:r>
          </w:p>
        </w:tc>
        <w:tc>
          <w:tcPr>
            <w:tcW w:w="710" w:type="dxa"/>
            <w:tcBorders>
              <w:bottom w:val="single" w:sz="8" w:space="0" w:color="001C71"/>
            </w:tcBorders>
            <w:shd w:fill="auto" w:val="clear"/>
            <w:tcMar>
              <w:bottom w:w="28" w:type="dxa"/>
            </w:tcMar>
          </w:tcPr>
          <w:p>
            <w:pPr>
              <w:pStyle w:val="TableContents"/>
              <w:spacing w:before="0" w:after="283"/>
              <w:rPr/>
            </w:pPr>
            <w:r>
              <w:rPr/>
              <w:t> </w:t>
            </w:r>
          </w:p>
        </w:tc>
        <w:tc>
          <w:tcPr>
            <w:tcW w:w="71"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tcPr>
          <w:p>
            <w:pPr>
              <w:pStyle w:val="TableContents"/>
              <w:spacing w:before="0" w:after="283"/>
              <w:rPr/>
            </w:pPr>
            <w:r>
              <w:rPr/>
              <w:t> </w:t>
            </w:r>
          </w:p>
        </w:tc>
        <w:tc>
          <w:tcPr>
            <w:tcW w:w="873" w:type="dxa"/>
            <w:tcBorders>
              <w:bottom w:val="single" w:sz="8" w:space="0" w:color="001C71"/>
            </w:tcBorders>
            <w:shd w:fill="auto" w:val="clear"/>
            <w:tcMar>
              <w:bottom w:w="28" w:type="dxa"/>
            </w:tcMar>
          </w:tcPr>
          <w:p>
            <w:pPr>
              <w:pStyle w:val="TableContents"/>
              <w:spacing w:before="0" w:after="283"/>
              <w:rPr/>
            </w:pPr>
            <w:r>
              <w:rPr/>
              <w:t> </w:t>
            </w:r>
          </w:p>
        </w:tc>
        <w:tc>
          <w:tcPr>
            <w:tcW w:w="73"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tcPr>
          <w:p>
            <w:pPr>
              <w:pStyle w:val="TableContents"/>
              <w:spacing w:before="0" w:after="283"/>
              <w:rPr/>
            </w:pPr>
            <w:r>
              <w:rPr/>
              <w:t> </w:t>
            </w:r>
          </w:p>
        </w:tc>
        <w:tc>
          <w:tcPr>
            <w:tcW w:w="873" w:type="dxa"/>
            <w:tcBorders>
              <w:bottom w:val="single" w:sz="8" w:space="0" w:color="001C71"/>
            </w:tcBorders>
            <w:shd w:fill="auto" w:val="clear"/>
            <w:tcMar>
              <w:bottom w:w="28" w:type="dxa"/>
            </w:tcMar>
          </w:tcPr>
          <w:p>
            <w:pPr>
              <w:pStyle w:val="TableContents"/>
              <w:spacing w:before="0" w:after="283"/>
              <w:rPr/>
            </w:pPr>
            <w:r>
              <w:rPr/>
              <w:t> </w:t>
            </w:r>
          </w:p>
        </w:tc>
        <w:tc>
          <w:tcPr>
            <w:tcW w:w="73"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2" w:type="dxa"/>
            <w:tcBorders>
              <w:bottom w:val="single" w:sz="8" w:space="0" w:color="001C71"/>
            </w:tcBorders>
            <w:shd w:fill="auto" w:val="clear"/>
            <w:tcMar>
              <w:bottom w:w="28"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tcPr>
          <w:p>
            <w:pPr>
              <w:pStyle w:val="TableContents"/>
              <w:spacing w:before="0" w:after="283"/>
              <w:rPr/>
            </w:pPr>
            <w:r>
              <w:rPr/>
              <w:t> </w:t>
            </w:r>
          </w:p>
        </w:tc>
        <w:tc>
          <w:tcPr>
            <w:tcW w:w="1136" w:type="dxa"/>
            <w:tcBorders>
              <w:bottom w:val="single" w:sz="8" w:space="0" w:color="001C71"/>
            </w:tcBorders>
            <w:shd w:fill="auto" w:val="clear"/>
            <w:tcMar>
              <w:bottom w:w="28" w:type="dxa"/>
            </w:tcMar>
          </w:tcPr>
          <w:p>
            <w:pPr>
              <w:pStyle w:val="TableContents"/>
              <w:spacing w:before="0" w:after="283"/>
              <w:rPr/>
            </w:pPr>
            <w:r>
              <w:rPr/>
              <w:t> </w:t>
            </w:r>
          </w:p>
        </w:tc>
        <w:tc>
          <w:tcPr>
            <w:tcW w:w="94"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84" w:type="dxa"/>
            <w:tcBorders>
              <w:bottom w:val="single" w:sz="8" w:space="0" w:color="001C71"/>
            </w:tcBorders>
            <w:shd w:fill="auto" w:val="clear"/>
            <w:tcMar>
              <w:bottom w:w="28" w:type="dxa"/>
            </w:tcMar>
            <w:vAlign w:val="bottom"/>
          </w:tcPr>
          <w:p>
            <w:pPr>
              <w:pStyle w:val="TableContents"/>
              <w:spacing w:before="0" w:after="283"/>
              <w:rPr/>
            </w:pPr>
            <w:r>
              <w:rPr/>
              <w:t> </w:t>
            </w:r>
          </w:p>
        </w:tc>
        <w:tc>
          <w:tcPr>
            <w:tcW w:w="154" w:type="dxa"/>
            <w:tcBorders>
              <w:bottom w:val="single" w:sz="8" w:space="0" w:color="001C71"/>
            </w:tcBorders>
            <w:shd w:fill="auto" w:val="clear"/>
            <w:tcMar>
              <w:bottom w:w="28" w:type="dxa"/>
            </w:tcMar>
          </w:tcPr>
          <w:p>
            <w:pPr>
              <w:pStyle w:val="TableContents"/>
              <w:spacing w:before="0" w:after="283"/>
              <w:rPr/>
            </w:pPr>
            <w:r>
              <w:rPr/>
              <w:t> </w:t>
            </w:r>
          </w:p>
        </w:tc>
        <w:tc>
          <w:tcPr>
            <w:tcW w:w="1166" w:type="dxa"/>
            <w:tcBorders>
              <w:bottom w:val="single" w:sz="8" w:space="0" w:color="001C71"/>
            </w:tcBorders>
            <w:shd w:fill="auto" w:val="clear"/>
            <w:tcMar>
              <w:bottom w:w="28" w:type="dxa"/>
            </w:tcMar>
          </w:tcPr>
          <w:p>
            <w:pPr>
              <w:pStyle w:val="TableContents"/>
              <w:spacing w:before="0" w:after="283"/>
              <w:rPr/>
            </w:pPr>
            <w:r>
              <w:rPr/>
              <w:t> </w:t>
            </w:r>
          </w:p>
        </w:tc>
        <w:tc>
          <w:tcPr>
            <w:tcW w:w="86"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7" w:type="dxa"/>
            <w:tcBorders>
              <w:bottom w:val="single" w:sz="8" w:space="0" w:color="001C71"/>
            </w:tcBorders>
            <w:shd w:fill="auto" w:val="clear"/>
            <w:tcMar>
              <w:bottom w:w="28" w:type="dxa"/>
            </w:tcMar>
            <w:vAlign w:val="bottom"/>
          </w:tcPr>
          <w:p>
            <w:pPr>
              <w:pStyle w:val="TableContents"/>
              <w:spacing w:before="0" w:after="283"/>
              <w:rPr/>
            </w:pPr>
            <w:r>
              <w:rPr/>
              <w:t> </w:t>
            </w:r>
          </w:p>
        </w:tc>
        <w:tc>
          <w:tcPr>
            <w:tcW w:w="197" w:type="dxa"/>
            <w:tcBorders>
              <w:bottom w:val="single" w:sz="8" w:space="0" w:color="001C71"/>
            </w:tcBorders>
            <w:shd w:fill="auto" w:val="clear"/>
            <w:tcMar>
              <w:bottom w:w="28" w:type="dxa"/>
            </w:tcMar>
          </w:tcPr>
          <w:p>
            <w:pPr>
              <w:pStyle w:val="TableContents"/>
              <w:spacing w:before="0" w:after="283"/>
              <w:rPr/>
            </w:pPr>
            <w:r>
              <w:rPr/>
              <w:t> </w:t>
            </w:r>
          </w:p>
        </w:tc>
        <w:tc>
          <w:tcPr>
            <w:tcW w:w="1331" w:type="dxa"/>
            <w:tcBorders>
              <w:bottom w:val="single" w:sz="8" w:space="0" w:color="001C71"/>
            </w:tcBorders>
            <w:shd w:fill="auto" w:val="clear"/>
            <w:tcMar>
              <w:bottom w:w="28" w:type="dxa"/>
            </w:tcMar>
          </w:tcPr>
          <w:p>
            <w:pPr>
              <w:pStyle w:val="TableContents"/>
              <w:spacing w:before="0" w:after="283"/>
              <w:rPr/>
            </w:pPr>
            <w:r>
              <w:rPr/>
              <w:t> </w:t>
            </w:r>
          </w:p>
        </w:tc>
        <w:tc>
          <w:tcPr>
            <w:tcW w:w="11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tcPr>
          <w:p>
            <w:pPr>
              <w:pStyle w:val="TableContents"/>
              <w:spacing w:before="0" w:after="283"/>
              <w:rPr/>
            </w:pPr>
            <w:r>
              <w:rPr/>
              <w:t> </w:t>
            </w:r>
          </w:p>
        </w:tc>
        <w:tc>
          <w:tcPr>
            <w:tcW w:w="920"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(A)</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Mr. Martin assumed the President role upon the departure of George Bilicic.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(B)</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Mr. Sagara was appointed as Executive Vice President and Group President effective June 27, 2020. Prior to such appointment, he was Chairman and Chief Executive Officer of SDG&amp;E.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(C)</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Wall was promoted from Vice President, Controller and Chief Accounting Officer to Senior Vice President, Controller and Chief Accounting Officer effective April 4,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(D)</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Arriola retired effective July 3,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(E)</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Mr. Bilicic separated from service effective March 30,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(F)</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salaries reported for Messrs. Arriola and Bilicic are prorated as of the date of separation from service and include the payout of accrued paid time off balances of $47,077 for Mr. Arriola and $72,892 for Mr. Bilicic.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(G)</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Represents an employment bonus paid in 2019 upon hire to Mr. Bilicic.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(H)</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Represents the grant date fair value of stock and option awards granted during the year. These amounts reflect our grant date estimate of the aggregate compensation expense that we will recognize over the service period of the awards. They are calculated in accordance with GAAP for financial reporting purposes based on the assumptions described in Note 10 of the Notes to Consolidated Financial Statements included in our Annual Report to Shareholders but disregarding estimates of forfeitures related to service-based vesting conditions.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71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 </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Stock awards consist of performance-based and service-based restricted stock units. For the performance-based restricted stock units with a performance measure based on total shareholder return, a Monte Carlo valuation model is used to reflect the probable outcome of performance conditions and calculate grant date fair value. For the 2020 performance-based restricted stock units with a performance measure based on EPS growth (as adjusted for LTIP purposes), the amounts included in this table assume the target level of performance conditions were achieved. The maximum values for these EPS growth-based awards, assuming the highest level of performance conditions were achieved, would be $2,800,176 for Mr. Martin; $840,142 for Mr. Mihalik; $427,378 for Mr. Sagara; $160,222 for Mr. Wall; $720,250 for Mr. Arriola and $1,000,296 for Mr. Bilicic. For the service-based restricted stock units, the awards were valued at the fair market value of our shares at the crediting date without reduction for non-transferability, and the amounts included in this table are equal to the number of shares subject to such awards multiplied by the grant date closing price of Sempra Energys common stock. All performance-based and service-based restricted stock units will be settled in shares of Sempra Energy common stock upon vesting. The 2020 performance-based restricted stock unit awards and the 2020 nonqualified stock option awards for Messrs. Arriola and Bilicic and the 2020 service-based restricted stock unit award for Mr. Bilicic, in each case that were granted as each such former officers 2020 annual LTIP award, were forfeited upon separation from service. A special award of service-based restricted stock units granted to Mr. Bilicic in 2019 was not forfeited upon his separation from service pursuant to its terms.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t> </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Option awards consist solely of service-based nonqualified stock options. A Black-Scholes valuation model is used to calculate their grant date fair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before="0" w:after="283"/>
              <w:jc w:val="left"/>
              <w:rPr/>
            </w:pPr>
            <w:r>
              <w:rPr/>
              <w:t> </w:t>
            </w:r>
          </w:p>
        </w:tc>
        <w:tc>
          <w:tcPr>
            <w:tcW w:w="9902" w:type="dxa"/>
            <w:tcBorders/>
            <w:shd w:fill="auto" w:val="clear"/>
          </w:tcPr>
          <w:p>
            <w:pPr>
              <w:pStyle w:val="TableContents"/>
              <w:spacing w:before="0" w:after="0"/>
              <w:jc w:val="left"/>
              <w:rPr>
                <w:rFonts w:ascii="arial" w:hAnsi="arial"/>
                <w:i/>
                <w:sz w:val="14"/>
              </w:rPr>
            </w:pPr>
            <w:r>
              <w:rPr>
                <w:rFonts w:ascii="arial" w:hAnsi="arial"/>
                <w:i/>
                <w:sz w:val="14"/>
              </w:rPr>
              <w:t xml:space="preserve">The value actually realized by executives from stock and option awards will depend upon the extent to which performance and service-based vesting conditions are satisfied and the market value of the shares subject to the award upon vesting and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283"/>
              <w:jc w:val="left"/>
              <w:rPr/>
            </w:pPr>
            <w:r>
              <w:rPr/>
              <w:t> </w:t>
            </w:r>
          </w:p>
        </w:tc>
        <w:tc>
          <w:tcPr>
            <w:tcW w:w="9904" w:type="dxa"/>
            <w:tcBorders/>
            <w:shd w:fill="auto" w:val="clear"/>
          </w:tcPr>
          <w:p>
            <w:pPr>
              <w:pStyle w:val="TableContents"/>
              <w:spacing w:before="0" w:after="0"/>
              <w:jc w:val="left"/>
              <w:rPr>
                <w:rFonts w:ascii="arial" w:hAnsi="arial"/>
                <w:i/>
                <w:sz w:val="14"/>
              </w:rPr>
            </w:pPr>
            <w:r>
              <w:rPr>
                <w:rFonts w:ascii="arial" w:hAnsi="arial"/>
                <w:i/>
                <w:sz w:val="14"/>
              </w:rPr>
              <w:t xml:space="preserve">For additional information regarding stock and option awards, please see the discussions in Grants of Plan-Based Awards and Outstanding Equity Awards at Year-End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(I)</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Represents (i) the aggregate change in the actuarial present value of accumulated benefits under pension plans at year-end over the prior year-end and (ii) above-market interest (interest in excess of 120% of the federal long-term rate) on compensation deferred on a basis that is not tax-qualified. The 2020 amounts are: </w:t>
            </w:r>
          </w:p>
        </w:tc>
      </w:tr>
    </w:tbl>
    <w:p>
      <w:pPr>
        <w:pStyle w:val="TextBody"/>
        <w:spacing w:before="200" w:after="0"/>
        <w:jc w:val="left"/>
        <w:rPr>
          <w:rFonts w:ascii="arial" w:hAnsi="arial"/>
          <w:color w:val="001C71"/>
          <w:sz w:val="16"/>
        </w:rPr>
      </w:pPr>
      <w:r>
        <w:rPr>
          <w:rFonts w:ascii="arial" w:hAnsi="arial"/>
          <w:color w:val="001C71"/>
          <w:sz w:val="16"/>
        </w:rPr>
        <w:t xml:space="preserve">2020 CHANGE IN PENSION VALUE AND ABOVE-MARKET INTEREST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89"/>
        <w:gridCol w:w="600"/>
        <w:gridCol w:w="140"/>
        <w:gridCol w:w="1118"/>
        <w:gridCol w:w="155"/>
        <w:gridCol w:w="833"/>
        <w:gridCol w:w="867"/>
        <w:gridCol w:w="722"/>
        <w:gridCol w:w="60"/>
        <w:gridCol w:w="717"/>
        <w:gridCol w:w="140"/>
        <w:gridCol w:w="1118"/>
        <w:gridCol w:w="246"/>
      </w:tblGrid>
      <w:tr>
        <w:trPr/>
        <w:tc>
          <w:tcPr>
            <w:tcW w:w="348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bottom"/>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r>
      <w:tr>
        <w:trPr/>
        <w:tc>
          <w:tcPr>
            <w:tcW w:w="3489" w:type="dxa"/>
            <w:tcBorders>
              <w:bottom w:val="single" w:sz="16" w:space="0" w:color="001C71"/>
            </w:tcBorders>
            <w:shd w:fill="auto" w:val="clear"/>
            <w:tcMar>
              <w:bottom w:w="28" w:type="dxa"/>
            </w:tcMar>
            <w:vAlign w:val="bottom"/>
          </w:tcPr>
          <w:p>
            <w:pPr>
              <w:pStyle w:val="TableContents"/>
              <w:spacing w:before="0" w:after="283"/>
              <w:rPr/>
            </w:pPr>
            <w:r>
              <w:rPr/>
              <w:t>  </w:t>
            </w:r>
          </w:p>
        </w:tc>
        <w:tc>
          <w:tcPr>
            <w:tcW w:w="600" w:type="dxa"/>
            <w:tcBorders>
              <w:bottom w:val="single" w:sz="16" w:space="0" w:color="001C71"/>
            </w:tcBorders>
            <w:shd w:fill="auto" w:val="clear"/>
            <w:tcMar>
              <w:bottom w:w="28" w:type="dxa"/>
            </w:tcMar>
            <w:vAlign w:val="bottom"/>
          </w:tcPr>
          <w:p>
            <w:pPr>
              <w:pStyle w:val="TableContents"/>
              <w:spacing w:before="0" w:after="283"/>
              <w:rPr/>
            </w:pPr>
            <w:r>
              <w:rPr/>
              <w:t>    </w:t>
            </w:r>
          </w:p>
        </w:tc>
        <w:tc>
          <w:tcPr>
            <w:tcW w:w="1258" w:type="dxa"/>
            <w:gridSpan w:val="2"/>
            <w:tcBorders>
              <w:bottom w:val="single" w:sz="16" w:space="0" w:color="001C71"/>
            </w:tcBorders>
            <w:shd w:fill="auto" w:val="clear"/>
            <w:tcMar>
              <w:bottom w:w="28" w:type="dxa"/>
            </w:tcMar>
            <w:vAlign w:val="bottom"/>
          </w:tcPr>
          <w:p>
            <w:pPr>
              <w:pStyle w:val="TableContents"/>
              <w:spacing w:before="0" w:after="0"/>
              <w:jc w:val="center"/>
              <w:rPr>
                <w:rFonts w:ascii="arial" w:hAnsi="arial"/>
                <w:b/>
                <w:color w:val="001C71"/>
                <w:sz w:val="16"/>
              </w:rPr>
            </w:pPr>
            <w:r>
              <w:rPr>
                <w:rFonts w:ascii="arial" w:hAnsi="arial"/>
                <w:b/>
                <w:color w:val="001C71"/>
                <w:sz w:val="16"/>
              </w:rPr>
              <w:t>Change in</w:t>
              <w:br/>
              <w:t>Accumulated</w:t>
              <w:br/>
              <w:t>Benefits(1)</w:t>
            </w:r>
          </w:p>
          <w:p>
            <w:pPr>
              <w:pStyle w:val="TableContents"/>
              <w:spacing w:before="0" w:after="20"/>
              <w:jc w:val="left"/>
              <w:rPr/>
            </w:pPr>
            <w:r>
              <w:rPr/>
              <w:t> </w:t>
            </w:r>
          </w:p>
        </w:tc>
        <w:tc>
          <w:tcPr>
            <w:tcW w:w="155" w:type="dxa"/>
            <w:tcBorders>
              <w:bottom w:val="single" w:sz="16" w:space="0" w:color="001C71"/>
            </w:tcBorders>
            <w:shd w:fill="auto" w:val="clear"/>
            <w:tcMar>
              <w:bottom w:w="28" w:type="dxa"/>
            </w:tcMar>
            <w:vAlign w:val="bottom"/>
          </w:tcPr>
          <w:p>
            <w:pPr>
              <w:pStyle w:val="TableContents"/>
              <w:spacing w:before="0" w:after="283"/>
              <w:rPr/>
            </w:pPr>
            <w:r>
              <w:rPr/>
              <w:t> </w:t>
            </w:r>
          </w:p>
        </w:tc>
        <w:tc>
          <w:tcPr>
            <w:tcW w:w="833" w:type="dxa"/>
            <w:tcBorders>
              <w:bottom w:val="single" w:sz="16" w:space="0" w:color="001C71"/>
            </w:tcBorders>
            <w:shd w:fill="auto" w:val="clear"/>
            <w:tcMar>
              <w:bottom w:w="28" w:type="dxa"/>
            </w:tcMar>
            <w:vAlign w:val="bottom"/>
          </w:tcPr>
          <w:p>
            <w:pPr>
              <w:pStyle w:val="TableContents"/>
              <w:spacing w:before="0" w:after="283"/>
              <w:rPr/>
            </w:pPr>
            <w:r>
              <w:rPr/>
              <w:t>    </w:t>
            </w:r>
          </w:p>
        </w:tc>
        <w:tc>
          <w:tcPr>
            <w:tcW w:w="1589" w:type="dxa"/>
            <w:gridSpan w:val="2"/>
            <w:tcBorders>
              <w:bottom w:val="single" w:sz="16" w:space="0" w:color="001C71"/>
            </w:tcBorders>
            <w:shd w:fill="auto" w:val="clear"/>
            <w:tcMar>
              <w:bottom w:w="28" w:type="dxa"/>
            </w:tcMar>
            <w:vAlign w:val="bottom"/>
          </w:tcPr>
          <w:p>
            <w:pPr>
              <w:pStyle w:val="TableContents"/>
              <w:spacing w:before="0" w:after="0"/>
              <w:jc w:val="center"/>
              <w:rPr>
                <w:rFonts w:ascii="arial" w:hAnsi="arial"/>
                <w:b/>
                <w:color w:val="001C71"/>
                <w:sz w:val="16"/>
              </w:rPr>
            </w:pPr>
            <w:r>
              <w:rPr>
                <w:rFonts w:ascii="arial" w:hAnsi="arial"/>
                <w:b/>
                <w:color w:val="001C71"/>
                <w:sz w:val="16"/>
              </w:rPr>
              <w:t>Above-Market</w:t>
              <w:br/>
              <w:t>Interest</w:t>
            </w:r>
          </w:p>
          <w:p>
            <w:pPr>
              <w:pStyle w:val="TableContents"/>
              <w:spacing w:before="0" w:after="20"/>
              <w:jc w:val="left"/>
              <w:rPr/>
            </w:pPr>
            <w:r>
              <w:rPr/>
              <w:t> </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717" w:type="dxa"/>
            <w:tcBorders>
              <w:bottom w:val="single" w:sz="16" w:space="0" w:color="001C71"/>
            </w:tcBorders>
            <w:shd w:fill="auto" w:val="clear"/>
            <w:tcMar>
              <w:bottom w:w="28" w:type="dxa"/>
            </w:tcMar>
            <w:vAlign w:val="bottom"/>
          </w:tcPr>
          <w:p>
            <w:pPr>
              <w:pStyle w:val="TableContents"/>
              <w:spacing w:before="0" w:after="283"/>
              <w:rPr/>
            </w:pPr>
            <w:r>
              <w:rPr/>
              <w:t>    </w:t>
            </w:r>
          </w:p>
        </w:tc>
        <w:tc>
          <w:tcPr>
            <w:tcW w:w="1258" w:type="dxa"/>
            <w:gridSpan w:val="2"/>
            <w:tcBorders>
              <w:bottom w:val="single" w:sz="16" w:space="0" w:color="001C71"/>
            </w:tcBorders>
            <w:shd w:fill="auto" w:val="clear"/>
            <w:tcMar>
              <w:bottom w:w="28" w:type="dxa"/>
            </w:tcMar>
            <w:vAlign w:val="bottom"/>
          </w:tcPr>
          <w:p>
            <w:pPr>
              <w:pStyle w:val="TableContents"/>
              <w:spacing w:before="0" w:after="0"/>
              <w:jc w:val="center"/>
              <w:rPr>
                <w:rFonts w:ascii="arial" w:hAnsi="arial"/>
                <w:b/>
                <w:color w:val="001C71"/>
                <w:sz w:val="16"/>
              </w:rPr>
            </w:pPr>
            <w:r>
              <w:rPr>
                <w:rFonts w:ascii="arial" w:hAnsi="arial"/>
                <w:b/>
                <w:color w:val="001C71"/>
                <w:sz w:val="16"/>
              </w:rPr>
              <w:t>Total</w:t>
            </w:r>
          </w:p>
          <w:p>
            <w:pPr>
              <w:pStyle w:val="TableContents"/>
              <w:spacing w:before="0" w:after="20"/>
              <w:jc w:val="left"/>
              <w:rPr/>
            </w:pPr>
            <w:r>
              <w:rPr/>
              <w:t> </w:t>
            </w:r>
          </w:p>
        </w:tc>
        <w:tc>
          <w:tcPr>
            <w:tcW w:w="246" w:type="dxa"/>
            <w:tcBorders>
              <w:bottom w:val="single" w:sz="16" w:space="0" w:color="001C71"/>
            </w:tcBorders>
            <w:shd w:fill="auto" w:val="clear"/>
            <w:tcMar>
              <w:bottom w:w="28" w:type="dxa"/>
            </w:tcMar>
            <w:vAlign w:val="bottom"/>
          </w:tcPr>
          <w:p>
            <w:pPr>
              <w:pStyle w:val="TableContents"/>
              <w:spacing w:before="0" w:after="283"/>
              <w:rPr/>
            </w:pPr>
            <w:r>
              <w:rPr/>
              <w:t> </w:t>
            </w:r>
          </w:p>
        </w:tc>
      </w:tr>
      <w:tr>
        <w:trPr>
          <w:trHeight w:val="60" w:hRule="atLeast"/>
        </w:trPr>
        <w:tc>
          <w:tcPr>
            <w:tcW w:w="3489" w:type="dxa"/>
            <w:tcBorders/>
            <w:shd w:fill="E5E5E5" w:val="clear"/>
            <w:vAlign w:val="center"/>
          </w:tcPr>
          <w:p>
            <w:pPr>
              <w:pStyle w:val="TableContents"/>
              <w:spacing w:before="0" w:after="283"/>
              <w:rPr>
                <w:sz w:val="4"/>
                <w:szCs w:val="4"/>
              </w:rPr>
            </w:pPr>
            <w:r>
              <w:rPr>
                <w:sz w:val="4"/>
                <w:szCs w:val="4"/>
              </w:rPr>
            </w:r>
          </w:p>
        </w:tc>
        <w:tc>
          <w:tcPr>
            <w:tcW w:w="2013" w:type="dxa"/>
            <w:gridSpan w:val="4"/>
            <w:tcBorders/>
            <w:shd w:fill="E5E5E5" w:val="clear"/>
            <w:vAlign w:val="center"/>
          </w:tcPr>
          <w:p>
            <w:pPr>
              <w:pStyle w:val="TableContents"/>
              <w:spacing w:before="0" w:after="283"/>
              <w:rPr>
                <w:sz w:val="4"/>
                <w:szCs w:val="4"/>
              </w:rPr>
            </w:pPr>
            <w:r>
              <w:rPr>
                <w:sz w:val="4"/>
                <w:szCs w:val="4"/>
              </w:rPr>
            </w:r>
          </w:p>
        </w:tc>
        <w:tc>
          <w:tcPr>
            <w:tcW w:w="2482" w:type="dxa"/>
            <w:gridSpan w:val="4"/>
            <w:tcBorders/>
            <w:shd w:fill="E5E5E5" w:val="clear"/>
            <w:vAlign w:val="center"/>
          </w:tcPr>
          <w:p>
            <w:pPr>
              <w:pStyle w:val="TableContents"/>
              <w:spacing w:before="0" w:after="283"/>
              <w:rPr>
                <w:sz w:val="4"/>
                <w:szCs w:val="4"/>
              </w:rPr>
            </w:pPr>
            <w:r>
              <w:rPr>
                <w:sz w:val="4"/>
                <w:szCs w:val="4"/>
              </w:rPr>
            </w:r>
          </w:p>
        </w:tc>
        <w:tc>
          <w:tcPr>
            <w:tcW w:w="2221" w:type="dxa"/>
            <w:gridSpan w:val="4"/>
            <w:tcBorders/>
            <w:shd w:fill="E5E5E5" w:val="clear"/>
            <w:vAlign w:val="center"/>
          </w:tcPr>
          <w:p>
            <w:pPr>
              <w:pStyle w:val="TableContents"/>
              <w:spacing w:before="0" w:after="283"/>
              <w:rPr>
                <w:sz w:val="4"/>
                <w:szCs w:val="4"/>
              </w:rPr>
            </w:pPr>
            <w:r>
              <w:rPr>
                <w:sz w:val="4"/>
                <w:szCs w:val="4"/>
              </w:rPr>
            </w:r>
          </w:p>
        </w:tc>
      </w:tr>
      <w:tr>
        <w:trPr/>
        <w:tc>
          <w:tcPr>
            <w:tcW w:w="3489" w:type="dxa"/>
            <w:tcBorders/>
            <w:shd w:fill="E5E5E5" w:val="clear"/>
          </w:tcPr>
          <w:p>
            <w:pPr>
              <w:pStyle w:val="TableContents"/>
              <w:spacing w:before="0" w:after="0"/>
              <w:rPr>
                <w:rFonts w:ascii="arial" w:hAnsi="arial"/>
                <w:sz w:val="16"/>
              </w:rPr>
            </w:pPr>
            <w:r>
              <w:rPr>
                <w:rFonts w:ascii="arial" w:hAnsi="arial"/>
                <w:sz w:val="16"/>
              </w:rPr>
              <w:t>Jeffrey W. Martin</w:t>
            </w:r>
          </w:p>
        </w:tc>
        <w:tc>
          <w:tcPr>
            <w:tcW w:w="6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8" w:type="dxa"/>
            <w:tcBorders/>
            <w:shd w:fill="E5E5E5" w:val="clear"/>
            <w:vAlign w:val="bottom"/>
          </w:tcPr>
          <w:p>
            <w:pPr>
              <w:pStyle w:val="TableContents"/>
              <w:spacing w:before="0" w:after="283"/>
              <w:jc w:val="right"/>
              <w:rPr/>
            </w:pPr>
            <w:r>
              <w:rPr/>
              <w:t>10,532,416</w:t>
            </w:r>
          </w:p>
        </w:tc>
        <w:tc>
          <w:tcPr>
            <w:tcW w:w="155" w:type="dxa"/>
            <w:tcBorders/>
            <w:shd w:fill="E5E5E5" w:val="clear"/>
            <w:vAlign w:val="bottom"/>
          </w:tcPr>
          <w:p>
            <w:pPr>
              <w:pStyle w:val="TableContents"/>
              <w:spacing w:before="0" w:after="283"/>
              <w:rPr/>
            </w:pPr>
            <w:r>
              <w:rPr/>
              <w:t> </w:t>
            </w:r>
          </w:p>
        </w:tc>
        <w:tc>
          <w:tcPr>
            <w:tcW w:w="833" w:type="dxa"/>
            <w:tcBorders/>
            <w:shd w:fill="E5E5E5" w:val="clear"/>
            <w:vAlign w:val="bottom"/>
          </w:tcPr>
          <w:p>
            <w:pPr>
              <w:pStyle w:val="TableContents"/>
              <w:spacing w:before="0" w:after="283"/>
              <w:rPr/>
            </w:pPr>
            <w:r>
              <w:rPr/>
              <w:t>    </w:t>
            </w:r>
          </w:p>
        </w:tc>
        <w:tc>
          <w:tcPr>
            <w:tcW w:w="867" w:type="dxa"/>
            <w:tcBorders/>
            <w:shd w:fill="E5E5E5" w:val="clear"/>
            <w:vAlign w:val="bottom"/>
          </w:tcPr>
          <w:p>
            <w:pPr>
              <w:pStyle w:val="TableContents"/>
              <w:spacing w:before="0" w:after="283"/>
              <w:rPr/>
            </w:pPr>
            <w:r>
              <w:rPr/>
              <w:t>            </w:t>
            </w:r>
            <w:r>
              <w:rPr/>
              <w:t>$</w:t>
            </w:r>
          </w:p>
        </w:tc>
        <w:tc>
          <w:tcPr>
            <w:tcW w:w="722" w:type="dxa"/>
            <w:tcBorders/>
            <w:shd w:fill="E5E5E5" w:val="clear"/>
            <w:vAlign w:val="bottom"/>
          </w:tcPr>
          <w:p>
            <w:pPr>
              <w:pStyle w:val="TableContents"/>
              <w:spacing w:before="0" w:after="283"/>
              <w:jc w:val="right"/>
              <w:rPr/>
            </w:pPr>
            <w:r>
              <w:rPr/>
              <w:t>35,217</w:t>
            </w:r>
          </w:p>
        </w:tc>
        <w:tc>
          <w:tcPr>
            <w:tcW w:w="60" w:type="dxa"/>
            <w:tcBorders/>
            <w:shd w:fill="E5E5E5" w:val="clear"/>
            <w:vAlign w:val="bottom"/>
          </w:tcPr>
          <w:p>
            <w:pPr>
              <w:pStyle w:val="TableContents"/>
              <w:spacing w:before="0" w:after="283"/>
              <w:rPr/>
            </w:pPr>
            <w:r>
              <w:rPr/>
              <w:t> </w:t>
            </w:r>
          </w:p>
        </w:tc>
        <w:tc>
          <w:tcPr>
            <w:tcW w:w="71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8" w:type="dxa"/>
            <w:tcBorders/>
            <w:shd w:fill="E5E5E5" w:val="clear"/>
            <w:vAlign w:val="bottom"/>
          </w:tcPr>
          <w:p>
            <w:pPr>
              <w:pStyle w:val="TableContents"/>
              <w:spacing w:before="0" w:after="283"/>
              <w:jc w:val="right"/>
              <w:rPr/>
            </w:pPr>
            <w:r>
              <w:rPr/>
              <w:t>10,567,633</w:t>
            </w:r>
          </w:p>
        </w:tc>
        <w:tc>
          <w:tcPr>
            <w:tcW w:w="246" w:type="dxa"/>
            <w:tcBorders/>
            <w:shd w:fill="E5E5E5" w:val="clear"/>
            <w:vAlign w:val="bottom"/>
          </w:tcPr>
          <w:p>
            <w:pPr>
              <w:pStyle w:val="TableContents"/>
              <w:spacing w:before="0" w:after="283"/>
              <w:rPr/>
            </w:pPr>
            <w:r>
              <w:rPr/>
              <w:t> </w:t>
            </w:r>
          </w:p>
        </w:tc>
      </w:tr>
      <w:tr>
        <w:trPr>
          <w:trHeight w:val="60" w:hRule="atLeast"/>
        </w:trPr>
        <w:tc>
          <w:tcPr>
            <w:tcW w:w="3489" w:type="dxa"/>
            <w:tcBorders/>
            <w:shd w:fill="auto" w:val="clear"/>
            <w:vAlign w:val="center"/>
          </w:tcPr>
          <w:p>
            <w:pPr>
              <w:pStyle w:val="TableContents"/>
              <w:spacing w:before="0" w:after="283"/>
              <w:rPr>
                <w:sz w:val="4"/>
                <w:szCs w:val="4"/>
              </w:rPr>
            </w:pPr>
            <w:r>
              <w:rPr>
                <w:sz w:val="4"/>
                <w:szCs w:val="4"/>
              </w:rPr>
            </w:r>
          </w:p>
        </w:tc>
        <w:tc>
          <w:tcPr>
            <w:tcW w:w="2013" w:type="dxa"/>
            <w:gridSpan w:val="4"/>
            <w:tcBorders/>
            <w:shd w:fill="auto" w:val="clear"/>
            <w:vAlign w:val="center"/>
          </w:tcPr>
          <w:p>
            <w:pPr>
              <w:pStyle w:val="TableContents"/>
              <w:spacing w:before="0" w:after="283"/>
              <w:rPr>
                <w:sz w:val="4"/>
                <w:szCs w:val="4"/>
              </w:rPr>
            </w:pPr>
            <w:r>
              <w:rPr>
                <w:sz w:val="4"/>
                <w:szCs w:val="4"/>
              </w:rPr>
            </w:r>
          </w:p>
        </w:tc>
        <w:tc>
          <w:tcPr>
            <w:tcW w:w="2482" w:type="dxa"/>
            <w:gridSpan w:val="4"/>
            <w:tcBorders/>
            <w:shd w:fill="auto" w:val="clear"/>
            <w:vAlign w:val="center"/>
          </w:tcPr>
          <w:p>
            <w:pPr>
              <w:pStyle w:val="TableContents"/>
              <w:spacing w:before="0" w:after="283"/>
              <w:rPr>
                <w:sz w:val="4"/>
                <w:szCs w:val="4"/>
              </w:rPr>
            </w:pPr>
            <w:r>
              <w:rPr>
                <w:sz w:val="4"/>
                <w:szCs w:val="4"/>
              </w:rPr>
            </w:r>
          </w:p>
        </w:tc>
        <w:tc>
          <w:tcPr>
            <w:tcW w:w="2221" w:type="dxa"/>
            <w:gridSpan w:val="4"/>
            <w:tcBorders/>
            <w:shd w:fill="auto" w:val="clear"/>
            <w:vAlign w:val="center"/>
          </w:tcPr>
          <w:p>
            <w:pPr>
              <w:pStyle w:val="TableContents"/>
              <w:spacing w:before="0" w:after="283"/>
              <w:rPr>
                <w:sz w:val="4"/>
                <w:szCs w:val="4"/>
              </w:rPr>
            </w:pPr>
            <w:r>
              <w:rPr>
                <w:sz w:val="4"/>
                <w:szCs w:val="4"/>
              </w:rPr>
            </w:r>
          </w:p>
        </w:tc>
      </w:tr>
      <w:tr>
        <w:trPr/>
        <w:tc>
          <w:tcPr>
            <w:tcW w:w="3489" w:type="dxa"/>
            <w:tcBorders/>
            <w:shd w:fill="auto" w:val="clear"/>
          </w:tcPr>
          <w:p>
            <w:pPr>
              <w:pStyle w:val="TableContents"/>
              <w:spacing w:before="0" w:after="0"/>
              <w:rPr>
                <w:rFonts w:ascii="arial" w:hAnsi="arial"/>
                <w:sz w:val="16"/>
              </w:rPr>
            </w:pPr>
            <w:r>
              <w:rPr>
                <w:rFonts w:ascii="arial" w:hAnsi="arial"/>
                <w:sz w:val="16"/>
              </w:rPr>
              <w:t>Trevor I. Mihalik</w:t>
            </w:r>
          </w:p>
        </w:tc>
        <w:tc>
          <w:tcPr>
            <w:tcW w:w="6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8" w:type="dxa"/>
            <w:tcBorders/>
            <w:shd w:fill="auto" w:val="clear"/>
            <w:vAlign w:val="bottom"/>
          </w:tcPr>
          <w:p>
            <w:pPr>
              <w:pStyle w:val="TableContents"/>
              <w:spacing w:before="0" w:after="283"/>
              <w:jc w:val="right"/>
              <w:rPr/>
            </w:pPr>
            <w:r>
              <w:rPr/>
              <w:t>2,916,386</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rPr/>
            </w:pPr>
            <w:r>
              <w:rPr/>
              <w:t>            </w:t>
            </w:r>
            <w:r>
              <w:rPr/>
              <w:t>$</w:t>
            </w:r>
          </w:p>
        </w:tc>
        <w:tc>
          <w:tcPr>
            <w:tcW w:w="722" w:type="dxa"/>
            <w:tcBorders/>
            <w:shd w:fill="auto" w:val="clear"/>
            <w:vAlign w:val="bottom"/>
          </w:tcPr>
          <w:p>
            <w:pPr>
              <w:pStyle w:val="TableContents"/>
              <w:spacing w:before="0" w:after="283"/>
              <w:jc w:val="right"/>
              <w:rPr/>
            </w:pPr>
            <w:r>
              <w:rPr/>
              <w:t>11,477</w:t>
            </w:r>
          </w:p>
        </w:tc>
        <w:tc>
          <w:tcPr>
            <w:tcW w:w="60"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8" w:type="dxa"/>
            <w:tcBorders/>
            <w:shd w:fill="auto" w:val="clear"/>
            <w:vAlign w:val="bottom"/>
          </w:tcPr>
          <w:p>
            <w:pPr>
              <w:pStyle w:val="TableContents"/>
              <w:spacing w:before="0" w:after="283"/>
              <w:jc w:val="right"/>
              <w:rPr/>
            </w:pPr>
            <w:r>
              <w:rPr/>
              <w:t>2,927,863</w:t>
            </w:r>
          </w:p>
        </w:tc>
        <w:tc>
          <w:tcPr>
            <w:tcW w:w="246" w:type="dxa"/>
            <w:tcBorders/>
            <w:shd w:fill="auto" w:val="clear"/>
            <w:vAlign w:val="bottom"/>
          </w:tcPr>
          <w:p>
            <w:pPr>
              <w:pStyle w:val="TableContents"/>
              <w:spacing w:before="0" w:after="283"/>
              <w:rPr/>
            </w:pPr>
            <w:r>
              <w:rPr/>
              <w:t> </w:t>
            </w:r>
          </w:p>
        </w:tc>
      </w:tr>
      <w:tr>
        <w:trPr>
          <w:trHeight w:val="60" w:hRule="atLeast"/>
        </w:trPr>
        <w:tc>
          <w:tcPr>
            <w:tcW w:w="3489" w:type="dxa"/>
            <w:tcBorders/>
            <w:shd w:fill="E5E5E5" w:val="clear"/>
            <w:vAlign w:val="center"/>
          </w:tcPr>
          <w:p>
            <w:pPr>
              <w:pStyle w:val="TableContents"/>
              <w:spacing w:before="0" w:after="283"/>
              <w:rPr>
                <w:sz w:val="4"/>
                <w:szCs w:val="4"/>
              </w:rPr>
            </w:pPr>
            <w:r>
              <w:rPr>
                <w:sz w:val="4"/>
                <w:szCs w:val="4"/>
              </w:rPr>
            </w:r>
          </w:p>
        </w:tc>
        <w:tc>
          <w:tcPr>
            <w:tcW w:w="2013" w:type="dxa"/>
            <w:gridSpan w:val="4"/>
            <w:tcBorders/>
            <w:shd w:fill="E5E5E5" w:val="clear"/>
            <w:vAlign w:val="center"/>
          </w:tcPr>
          <w:p>
            <w:pPr>
              <w:pStyle w:val="TableContents"/>
              <w:spacing w:before="0" w:after="283"/>
              <w:rPr>
                <w:sz w:val="4"/>
                <w:szCs w:val="4"/>
              </w:rPr>
            </w:pPr>
            <w:r>
              <w:rPr>
                <w:sz w:val="4"/>
                <w:szCs w:val="4"/>
              </w:rPr>
            </w:r>
          </w:p>
        </w:tc>
        <w:tc>
          <w:tcPr>
            <w:tcW w:w="2482" w:type="dxa"/>
            <w:gridSpan w:val="4"/>
            <w:tcBorders/>
            <w:shd w:fill="E5E5E5" w:val="clear"/>
            <w:vAlign w:val="center"/>
          </w:tcPr>
          <w:p>
            <w:pPr>
              <w:pStyle w:val="TableContents"/>
              <w:spacing w:before="0" w:after="283"/>
              <w:rPr>
                <w:sz w:val="4"/>
                <w:szCs w:val="4"/>
              </w:rPr>
            </w:pPr>
            <w:r>
              <w:rPr>
                <w:sz w:val="4"/>
                <w:szCs w:val="4"/>
              </w:rPr>
            </w:r>
          </w:p>
        </w:tc>
        <w:tc>
          <w:tcPr>
            <w:tcW w:w="2221" w:type="dxa"/>
            <w:gridSpan w:val="4"/>
            <w:tcBorders/>
            <w:shd w:fill="E5E5E5" w:val="clear"/>
            <w:vAlign w:val="center"/>
          </w:tcPr>
          <w:p>
            <w:pPr>
              <w:pStyle w:val="TableContents"/>
              <w:spacing w:before="0" w:after="283"/>
              <w:rPr>
                <w:sz w:val="4"/>
                <w:szCs w:val="4"/>
              </w:rPr>
            </w:pPr>
            <w:r>
              <w:rPr>
                <w:sz w:val="4"/>
                <w:szCs w:val="4"/>
              </w:rPr>
            </w:r>
          </w:p>
        </w:tc>
      </w:tr>
      <w:tr>
        <w:trPr/>
        <w:tc>
          <w:tcPr>
            <w:tcW w:w="3489" w:type="dxa"/>
            <w:tcBorders/>
            <w:shd w:fill="E5E5E5" w:val="clear"/>
          </w:tcPr>
          <w:p>
            <w:pPr>
              <w:pStyle w:val="TableContents"/>
              <w:spacing w:before="0" w:after="0"/>
              <w:rPr>
                <w:rFonts w:ascii="arial" w:hAnsi="arial"/>
                <w:sz w:val="16"/>
              </w:rPr>
            </w:pPr>
            <w:r>
              <w:rPr>
                <w:rFonts w:ascii="arial" w:hAnsi="arial"/>
                <w:sz w:val="16"/>
              </w:rPr>
              <w:t>Kevin C. Sagara</w:t>
            </w:r>
          </w:p>
        </w:tc>
        <w:tc>
          <w:tcPr>
            <w:tcW w:w="6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8" w:type="dxa"/>
            <w:tcBorders/>
            <w:shd w:fill="E5E5E5" w:val="clear"/>
            <w:vAlign w:val="bottom"/>
          </w:tcPr>
          <w:p>
            <w:pPr>
              <w:pStyle w:val="TableContents"/>
              <w:spacing w:before="0" w:after="283"/>
              <w:jc w:val="right"/>
              <w:rPr/>
            </w:pPr>
            <w:r>
              <w:rPr/>
              <w:t>3,025,909</w:t>
            </w:r>
          </w:p>
        </w:tc>
        <w:tc>
          <w:tcPr>
            <w:tcW w:w="155" w:type="dxa"/>
            <w:tcBorders/>
            <w:shd w:fill="E5E5E5" w:val="clear"/>
            <w:vAlign w:val="bottom"/>
          </w:tcPr>
          <w:p>
            <w:pPr>
              <w:pStyle w:val="TableContents"/>
              <w:spacing w:before="0" w:after="283"/>
              <w:rPr/>
            </w:pPr>
            <w:r>
              <w:rPr/>
              <w:t> </w:t>
            </w:r>
          </w:p>
        </w:tc>
        <w:tc>
          <w:tcPr>
            <w:tcW w:w="833" w:type="dxa"/>
            <w:tcBorders/>
            <w:shd w:fill="E5E5E5" w:val="clear"/>
            <w:vAlign w:val="bottom"/>
          </w:tcPr>
          <w:p>
            <w:pPr>
              <w:pStyle w:val="TableContents"/>
              <w:spacing w:before="0" w:after="283"/>
              <w:rPr/>
            </w:pPr>
            <w:r>
              <w:rPr/>
              <w:t>    </w:t>
            </w:r>
          </w:p>
        </w:tc>
        <w:tc>
          <w:tcPr>
            <w:tcW w:w="867" w:type="dxa"/>
            <w:tcBorders/>
            <w:shd w:fill="E5E5E5" w:val="clear"/>
            <w:vAlign w:val="bottom"/>
          </w:tcPr>
          <w:p>
            <w:pPr>
              <w:pStyle w:val="TableContents"/>
              <w:spacing w:before="0" w:after="283"/>
              <w:rPr/>
            </w:pPr>
            <w:r>
              <w:rPr/>
              <w:t>            </w:t>
            </w:r>
            <w:r>
              <w:rPr/>
              <w:t>$</w:t>
            </w:r>
          </w:p>
        </w:tc>
        <w:tc>
          <w:tcPr>
            <w:tcW w:w="722" w:type="dxa"/>
            <w:tcBorders/>
            <w:shd w:fill="E5E5E5" w:val="clear"/>
            <w:vAlign w:val="bottom"/>
          </w:tcPr>
          <w:p>
            <w:pPr>
              <w:pStyle w:val="TableContents"/>
              <w:spacing w:before="0" w:after="283"/>
              <w:jc w:val="right"/>
              <w:rPr/>
            </w:pPr>
            <w:r>
              <w:rPr/>
              <w:t>72,184</w:t>
            </w:r>
          </w:p>
        </w:tc>
        <w:tc>
          <w:tcPr>
            <w:tcW w:w="60" w:type="dxa"/>
            <w:tcBorders/>
            <w:shd w:fill="E5E5E5" w:val="clear"/>
            <w:vAlign w:val="bottom"/>
          </w:tcPr>
          <w:p>
            <w:pPr>
              <w:pStyle w:val="TableContents"/>
              <w:spacing w:before="0" w:after="283"/>
              <w:rPr/>
            </w:pPr>
            <w:r>
              <w:rPr/>
              <w:t> </w:t>
            </w:r>
          </w:p>
        </w:tc>
        <w:tc>
          <w:tcPr>
            <w:tcW w:w="71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8" w:type="dxa"/>
            <w:tcBorders/>
            <w:shd w:fill="E5E5E5" w:val="clear"/>
            <w:vAlign w:val="bottom"/>
          </w:tcPr>
          <w:p>
            <w:pPr>
              <w:pStyle w:val="TableContents"/>
              <w:spacing w:before="0" w:after="283"/>
              <w:jc w:val="right"/>
              <w:rPr/>
            </w:pPr>
            <w:r>
              <w:rPr/>
              <w:t>3,098,093</w:t>
            </w:r>
          </w:p>
        </w:tc>
        <w:tc>
          <w:tcPr>
            <w:tcW w:w="246" w:type="dxa"/>
            <w:tcBorders/>
            <w:shd w:fill="E5E5E5" w:val="clear"/>
            <w:vAlign w:val="bottom"/>
          </w:tcPr>
          <w:p>
            <w:pPr>
              <w:pStyle w:val="TableContents"/>
              <w:spacing w:before="0" w:after="283"/>
              <w:rPr/>
            </w:pPr>
            <w:r>
              <w:rPr/>
              <w:t> </w:t>
            </w:r>
          </w:p>
        </w:tc>
      </w:tr>
      <w:tr>
        <w:trPr>
          <w:trHeight w:val="60" w:hRule="atLeast"/>
        </w:trPr>
        <w:tc>
          <w:tcPr>
            <w:tcW w:w="3489" w:type="dxa"/>
            <w:tcBorders/>
            <w:shd w:fill="auto" w:val="clear"/>
            <w:vAlign w:val="center"/>
          </w:tcPr>
          <w:p>
            <w:pPr>
              <w:pStyle w:val="TableContents"/>
              <w:spacing w:before="0" w:after="283"/>
              <w:rPr>
                <w:sz w:val="4"/>
                <w:szCs w:val="4"/>
              </w:rPr>
            </w:pPr>
            <w:r>
              <w:rPr>
                <w:sz w:val="4"/>
                <w:szCs w:val="4"/>
              </w:rPr>
            </w:r>
          </w:p>
        </w:tc>
        <w:tc>
          <w:tcPr>
            <w:tcW w:w="2013" w:type="dxa"/>
            <w:gridSpan w:val="4"/>
            <w:tcBorders/>
            <w:shd w:fill="auto" w:val="clear"/>
            <w:vAlign w:val="center"/>
          </w:tcPr>
          <w:p>
            <w:pPr>
              <w:pStyle w:val="TableContents"/>
              <w:spacing w:before="0" w:after="283"/>
              <w:rPr>
                <w:sz w:val="4"/>
                <w:szCs w:val="4"/>
              </w:rPr>
            </w:pPr>
            <w:r>
              <w:rPr>
                <w:sz w:val="4"/>
                <w:szCs w:val="4"/>
              </w:rPr>
            </w:r>
          </w:p>
        </w:tc>
        <w:tc>
          <w:tcPr>
            <w:tcW w:w="2482" w:type="dxa"/>
            <w:gridSpan w:val="4"/>
            <w:tcBorders/>
            <w:shd w:fill="auto" w:val="clear"/>
            <w:vAlign w:val="center"/>
          </w:tcPr>
          <w:p>
            <w:pPr>
              <w:pStyle w:val="TableContents"/>
              <w:spacing w:before="0" w:after="283"/>
              <w:rPr>
                <w:sz w:val="4"/>
                <w:szCs w:val="4"/>
              </w:rPr>
            </w:pPr>
            <w:r>
              <w:rPr>
                <w:sz w:val="4"/>
                <w:szCs w:val="4"/>
              </w:rPr>
            </w:r>
          </w:p>
        </w:tc>
        <w:tc>
          <w:tcPr>
            <w:tcW w:w="2221" w:type="dxa"/>
            <w:gridSpan w:val="4"/>
            <w:tcBorders/>
            <w:shd w:fill="auto" w:val="clear"/>
            <w:vAlign w:val="center"/>
          </w:tcPr>
          <w:p>
            <w:pPr>
              <w:pStyle w:val="TableContents"/>
              <w:spacing w:before="0" w:after="283"/>
              <w:rPr>
                <w:sz w:val="4"/>
                <w:szCs w:val="4"/>
              </w:rPr>
            </w:pPr>
            <w:r>
              <w:rPr>
                <w:sz w:val="4"/>
                <w:szCs w:val="4"/>
              </w:rPr>
            </w:r>
          </w:p>
        </w:tc>
      </w:tr>
      <w:tr>
        <w:trPr/>
        <w:tc>
          <w:tcPr>
            <w:tcW w:w="3489" w:type="dxa"/>
            <w:tcBorders/>
            <w:shd w:fill="auto" w:val="clear"/>
          </w:tcPr>
          <w:p>
            <w:pPr>
              <w:pStyle w:val="TableContents"/>
              <w:spacing w:before="0" w:after="0"/>
              <w:rPr>
                <w:rFonts w:ascii="arial" w:hAnsi="arial"/>
                <w:sz w:val="16"/>
              </w:rPr>
            </w:pPr>
            <w:r>
              <w:rPr>
                <w:rFonts w:ascii="arial" w:hAnsi="arial"/>
                <w:sz w:val="16"/>
              </w:rPr>
              <w:t>Peter R. Wall</w:t>
            </w:r>
          </w:p>
        </w:tc>
        <w:tc>
          <w:tcPr>
            <w:tcW w:w="6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8" w:type="dxa"/>
            <w:tcBorders/>
            <w:shd w:fill="auto" w:val="clear"/>
            <w:vAlign w:val="bottom"/>
          </w:tcPr>
          <w:p>
            <w:pPr>
              <w:pStyle w:val="TableContents"/>
              <w:spacing w:before="0" w:after="283"/>
              <w:jc w:val="right"/>
              <w:rPr/>
            </w:pPr>
            <w:r>
              <w:rPr/>
              <w:t>64,313</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rPr/>
            </w:pPr>
            <w:r>
              <w:rPr/>
              <w:t>            </w:t>
            </w:r>
            <w:r>
              <w:rPr/>
              <w:t>$</w:t>
            </w:r>
          </w:p>
        </w:tc>
        <w:tc>
          <w:tcPr>
            <w:tcW w:w="722" w:type="dxa"/>
            <w:tcBorders/>
            <w:shd w:fill="auto" w:val="clear"/>
            <w:vAlign w:val="bottom"/>
          </w:tcPr>
          <w:p>
            <w:pPr>
              <w:pStyle w:val="TableContents"/>
              <w:spacing w:before="0" w:after="283"/>
              <w:jc w:val="right"/>
              <w:rPr/>
            </w:pPr>
            <w:r>
              <w:rPr/>
              <w:t>941</w:t>
            </w:r>
          </w:p>
        </w:tc>
        <w:tc>
          <w:tcPr>
            <w:tcW w:w="60"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8" w:type="dxa"/>
            <w:tcBorders/>
            <w:shd w:fill="auto" w:val="clear"/>
            <w:vAlign w:val="bottom"/>
          </w:tcPr>
          <w:p>
            <w:pPr>
              <w:pStyle w:val="TableContents"/>
              <w:spacing w:before="0" w:after="283"/>
              <w:jc w:val="right"/>
              <w:rPr/>
            </w:pPr>
            <w:r>
              <w:rPr/>
              <w:t>65,254</w:t>
            </w:r>
          </w:p>
        </w:tc>
        <w:tc>
          <w:tcPr>
            <w:tcW w:w="246" w:type="dxa"/>
            <w:tcBorders/>
            <w:shd w:fill="auto" w:val="clear"/>
            <w:vAlign w:val="bottom"/>
          </w:tcPr>
          <w:p>
            <w:pPr>
              <w:pStyle w:val="TableContents"/>
              <w:spacing w:before="0" w:after="283"/>
              <w:rPr/>
            </w:pPr>
            <w:r>
              <w:rPr/>
              <w:t> </w:t>
            </w:r>
          </w:p>
        </w:tc>
      </w:tr>
      <w:tr>
        <w:trPr>
          <w:trHeight w:val="60" w:hRule="atLeast"/>
        </w:trPr>
        <w:tc>
          <w:tcPr>
            <w:tcW w:w="3489" w:type="dxa"/>
            <w:tcBorders/>
            <w:shd w:fill="E5E5E5" w:val="clear"/>
            <w:vAlign w:val="center"/>
          </w:tcPr>
          <w:p>
            <w:pPr>
              <w:pStyle w:val="TableContents"/>
              <w:spacing w:before="0" w:after="283"/>
              <w:rPr>
                <w:sz w:val="4"/>
                <w:szCs w:val="4"/>
              </w:rPr>
            </w:pPr>
            <w:r>
              <w:rPr>
                <w:sz w:val="4"/>
                <w:szCs w:val="4"/>
              </w:rPr>
            </w:r>
          </w:p>
        </w:tc>
        <w:tc>
          <w:tcPr>
            <w:tcW w:w="2013" w:type="dxa"/>
            <w:gridSpan w:val="4"/>
            <w:tcBorders/>
            <w:shd w:fill="E5E5E5" w:val="clear"/>
            <w:vAlign w:val="center"/>
          </w:tcPr>
          <w:p>
            <w:pPr>
              <w:pStyle w:val="TableContents"/>
              <w:spacing w:before="0" w:after="283"/>
              <w:rPr>
                <w:sz w:val="4"/>
                <w:szCs w:val="4"/>
              </w:rPr>
            </w:pPr>
            <w:r>
              <w:rPr>
                <w:sz w:val="4"/>
                <w:szCs w:val="4"/>
              </w:rPr>
            </w:r>
          </w:p>
        </w:tc>
        <w:tc>
          <w:tcPr>
            <w:tcW w:w="2482" w:type="dxa"/>
            <w:gridSpan w:val="4"/>
            <w:tcBorders/>
            <w:shd w:fill="E5E5E5" w:val="clear"/>
            <w:vAlign w:val="center"/>
          </w:tcPr>
          <w:p>
            <w:pPr>
              <w:pStyle w:val="TableContents"/>
              <w:spacing w:before="0" w:after="283"/>
              <w:rPr>
                <w:sz w:val="4"/>
                <w:szCs w:val="4"/>
              </w:rPr>
            </w:pPr>
            <w:r>
              <w:rPr>
                <w:sz w:val="4"/>
                <w:szCs w:val="4"/>
              </w:rPr>
            </w:r>
          </w:p>
        </w:tc>
        <w:tc>
          <w:tcPr>
            <w:tcW w:w="2221" w:type="dxa"/>
            <w:gridSpan w:val="4"/>
            <w:tcBorders/>
            <w:shd w:fill="E5E5E5" w:val="clear"/>
            <w:vAlign w:val="center"/>
          </w:tcPr>
          <w:p>
            <w:pPr>
              <w:pStyle w:val="TableContents"/>
              <w:spacing w:before="0" w:after="283"/>
              <w:rPr>
                <w:sz w:val="4"/>
                <w:szCs w:val="4"/>
              </w:rPr>
            </w:pPr>
            <w:r>
              <w:rPr>
                <w:sz w:val="4"/>
                <w:szCs w:val="4"/>
              </w:rPr>
            </w:r>
          </w:p>
        </w:tc>
      </w:tr>
      <w:tr>
        <w:trPr/>
        <w:tc>
          <w:tcPr>
            <w:tcW w:w="3489" w:type="dxa"/>
            <w:tcBorders/>
            <w:shd w:fill="E5E5E5" w:val="clear"/>
          </w:tcPr>
          <w:p>
            <w:pPr>
              <w:pStyle w:val="TableContents"/>
              <w:spacing w:before="0" w:after="0"/>
              <w:rPr>
                <w:rFonts w:ascii="arial" w:hAnsi="arial"/>
                <w:sz w:val="16"/>
              </w:rPr>
            </w:pPr>
            <w:r>
              <w:rPr>
                <w:rFonts w:ascii="arial" w:hAnsi="arial"/>
                <w:sz w:val="16"/>
              </w:rPr>
              <w:t>Dennis V. Arriola</w:t>
            </w:r>
          </w:p>
        </w:tc>
        <w:tc>
          <w:tcPr>
            <w:tcW w:w="6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8" w:type="dxa"/>
            <w:tcBorders/>
            <w:shd w:fill="E5E5E5" w:val="clear"/>
            <w:vAlign w:val="bottom"/>
          </w:tcPr>
          <w:p>
            <w:pPr>
              <w:pStyle w:val="TableContents"/>
              <w:spacing w:before="0" w:after="283"/>
              <w:jc w:val="right"/>
              <w:rPr/>
            </w:pPr>
            <w:r>
              <w:rPr/>
              <w:t>2,065,991</w:t>
            </w:r>
          </w:p>
        </w:tc>
        <w:tc>
          <w:tcPr>
            <w:tcW w:w="155" w:type="dxa"/>
            <w:tcBorders/>
            <w:shd w:fill="E5E5E5" w:val="clear"/>
            <w:vAlign w:val="bottom"/>
          </w:tcPr>
          <w:p>
            <w:pPr>
              <w:pStyle w:val="TableContents"/>
              <w:spacing w:before="0" w:after="283"/>
              <w:rPr/>
            </w:pPr>
            <w:r>
              <w:rPr/>
              <w:t> </w:t>
            </w:r>
          </w:p>
        </w:tc>
        <w:tc>
          <w:tcPr>
            <w:tcW w:w="833" w:type="dxa"/>
            <w:tcBorders/>
            <w:shd w:fill="E5E5E5" w:val="clear"/>
            <w:vAlign w:val="bottom"/>
          </w:tcPr>
          <w:p>
            <w:pPr>
              <w:pStyle w:val="TableContents"/>
              <w:spacing w:before="0" w:after="283"/>
              <w:rPr/>
            </w:pPr>
            <w:r>
              <w:rPr/>
              <w:t>    </w:t>
            </w:r>
          </w:p>
        </w:tc>
        <w:tc>
          <w:tcPr>
            <w:tcW w:w="867" w:type="dxa"/>
            <w:tcBorders/>
            <w:shd w:fill="E5E5E5" w:val="clear"/>
            <w:vAlign w:val="bottom"/>
          </w:tcPr>
          <w:p>
            <w:pPr>
              <w:pStyle w:val="TableContents"/>
              <w:spacing w:before="0" w:after="283"/>
              <w:rPr/>
            </w:pPr>
            <w:r>
              <w:rPr/>
              <w:t>            </w:t>
            </w:r>
            <w:r>
              <w:rPr/>
              <w:t>$</w:t>
            </w:r>
          </w:p>
        </w:tc>
        <w:tc>
          <w:tcPr>
            <w:tcW w:w="722" w:type="dxa"/>
            <w:tcBorders/>
            <w:shd w:fill="E5E5E5" w:val="clear"/>
            <w:vAlign w:val="bottom"/>
          </w:tcPr>
          <w:p>
            <w:pPr>
              <w:pStyle w:val="TableContents"/>
              <w:spacing w:before="0" w:after="283"/>
              <w:jc w:val="right"/>
              <w:rPr/>
            </w:pPr>
            <w:r>
              <w:rPr/>
              <w:t>21,252</w:t>
            </w:r>
          </w:p>
        </w:tc>
        <w:tc>
          <w:tcPr>
            <w:tcW w:w="60" w:type="dxa"/>
            <w:tcBorders/>
            <w:shd w:fill="E5E5E5" w:val="clear"/>
            <w:vAlign w:val="bottom"/>
          </w:tcPr>
          <w:p>
            <w:pPr>
              <w:pStyle w:val="TableContents"/>
              <w:spacing w:before="0" w:after="283"/>
              <w:rPr/>
            </w:pPr>
            <w:r>
              <w:rPr/>
              <w:t> </w:t>
            </w:r>
          </w:p>
        </w:tc>
        <w:tc>
          <w:tcPr>
            <w:tcW w:w="71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8" w:type="dxa"/>
            <w:tcBorders/>
            <w:shd w:fill="E5E5E5" w:val="clear"/>
            <w:vAlign w:val="bottom"/>
          </w:tcPr>
          <w:p>
            <w:pPr>
              <w:pStyle w:val="TableContents"/>
              <w:spacing w:before="0" w:after="283"/>
              <w:jc w:val="right"/>
              <w:rPr/>
            </w:pPr>
            <w:r>
              <w:rPr/>
              <w:t>2,087,243</w:t>
            </w:r>
          </w:p>
        </w:tc>
        <w:tc>
          <w:tcPr>
            <w:tcW w:w="246" w:type="dxa"/>
            <w:tcBorders/>
            <w:shd w:fill="E5E5E5" w:val="clear"/>
            <w:vAlign w:val="bottom"/>
          </w:tcPr>
          <w:p>
            <w:pPr>
              <w:pStyle w:val="TableContents"/>
              <w:spacing w:before="0" w:after="283"/>
              <w:rPr/>
            </w:pPr>
            <w:r>
              <w:rPr/>
              <w:t> </w:t>
            </w:r>
          </w:p>
        </w:tc>
      </w:tr>
      <w:tr>
        <w:trPr>
          <w:trHeight w:val="60" w:hRule="atLeast"/>
        </w:trPr>
        <w:tc>
          <w:tcPr>
            <w:tcW w:w="3489" w:type="dxa"/>
            <w:tcBorders/>
            <w:shd w:fill="auto" w:val="clear"/>
            <w:vAlign w:val="center"/>
          </w:tcPr>
          <w:p>
            <w:pPr>
              <w:pStyle w:val="TableContents"/>
              <w:spacing w:before="0" w:after="283"/>
              <w:rPr>
                <w:sz w:val="4"/>
                <w:szCs w:val="4"/>
              </w:rPr>
            </w:pPr>
            <w:r>
              <w:rPr>
                <w:sz w:val="4"/>
                <w:szCs w:val="4"/>
              </w:rPr>
            </w:r>
          </w:p>
        </w:tc>
        <w:tc>
          <w:tcPr>
            <w:tcW w:w="2013" w:type="dxa"/>
            <w:gridSpan w:val="4"/>
            <w:tcBorders/>
            <w:shd w:fill="auto" w:val="clear"/>
            <w:vAlign w:val="center"/>
          </w:tcPr>
          <w:p>
            <w:pPr>
              <w:pStyle w:val="TableContents"/>
              <w:spacing w:before="0" w:after="283"/>
              <w:rPr>
                <w:sz w:val="4"/>
                <w:szCs w:val="4"/>
              </w:rPr>
            </w:pPr>
            <w:r>
              <w:rPr>
                <w:sz w:val="4"/>
                <w:szCs w:val="4"/>
              </w:rPr>
            </w:r>
          </w:p>
        </w:tc>
        <w:tc>
          <w:tcPr>
            <w:tcW w:w="2482" w:type="dxa"/>
            <w:gridSpan w:val="4"/>
            <w:tcBorders/>
            <w:shd w:fill="auto" w:val="clear"/>
            <w:vAlign w:val="center"/>
          </w:tcPr>
          <w:p>
            <w:pPr>
              <w:pStyle w:val="TableContents"/>
              <w:spacing w:before="0" w:after="283"/>
              <w:rPr>
                <w:sz w:val="4"/>
                <w:szCs w:val="4"/>
              </w:rPr>
            </w:pPr>
            <w:r>
              <w:rPr>
                <w:sz w:val="4"/>
                <w:szCs w:val="4"/>
              </w:rPr>
            </w:r>
          </w:p>
        </w:tc>
        <w:tc>
          <w:tcPr>
            <w:tcW w:w="2221" w:type="dxa"/>
            <w:gridSpan w:val="4"/>
            <w:tcBorders/>
            <w:shd w:fill="auto" w:val="clear"/>
            <w:vAlign w:val="center"/>
          </w:tcPr>
          <w:p>
            <w:pPr>
              <w:pStyle w:val="TableContents"/>
              <w:spacing w:before="0" w:after="283"/>
              <w:rPr>
                <w:sz w:val="4"/>
                <w:szCs w:val="4"/>
              </w:rPr>
            </w:pPr>
            <w:r>
              <w:rPr>
                <w:sz w:val="4"/>
                <w:szCs w:val="4"/>
              </w:rPr>
            </w:r>
          </w:p>
        </w:tc>
      </w:tr>
      <w:tr>
        <w:trPr/>
        <w:tc>
          <w:tcPr>
            <w:tcW w:w="3489"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George W. Bilicic</w:t>
            </w:r>
          </w:p>
        </w:tc>
        <w:tc>
          <w:tcPr>
            <w:tcW w:w="60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60" w:type="dxa"/>
            </w:tcMar>
            <w:vAlign w:val="bottom"/>
          </w:tcPr>
          <w:p>
            <w:pPr>
              <w:pStyle w:val="TableContents"/>
              <w:spacing w:before="0" w:after="283"/>
              <w:rPr/>
            </w:pPr>
            <w:r>
              <w:rPr/>
              <w:t>$</w:t>
            </w:r>
          </w:p>
        </w:tc>
        <w:tc>
          <w:tcPr>
            <w:tcW w:w="1118" w:type="dxa"/>
            <w:tcBorders>
              <w:bottom w:val="single" w:sz="8" w:space="0" w:color="001C71"/>
            </w:tcBorders>
            <w:shd w:fill="auto" w:val="clear"/>
            <w:tcMar>
              <w:bottom w:w="60" w:type="dxa"/>
            </w:tcMar>
            <w:vAlign w:val="bottom"/>
          </w:tcPr>
          <w:p>
            <w:pPr>
              <w:pStyle w:val="TableContents"/>
              <w:spacing w:before="0" w:after="283"/>
              <w:jc w:val="right"/>
              <w:rPr/>
            </w:pPr>
            <w:r>
              <w:rPr/>
              <w:t>(227,611</w:t>
            </w:r>
          </w:p>
        </w:tc>
        <w:tc>
          <w:tcPr>
            <w:tcW w:w="155" w:type="dxa"/>
            <w:tcBorders>
              <w:bottom w:val="single" w:sz="8" w:space="0" w:color="001C71"/>
            </w:tcBorders>
            <w:shd w:fill="auto" w:val="clear"/>
            <w:tcMar>
              <w:bottom w:w="60" w:type="dxa"/>
            </w:tcMar>
            <w:vAlign w:val="bottom"/>
          </w:tcPr>
          <w:p>
            <w:pPr>
              <w:pStyle w:val="TableContents"/>
              <w:spacing w:before="0" w:after="283"/>
              <w:rPr/>
            </w:pPr>
            <w:r>
              <w:rPr/>
              <w:t>) </w:t>
            </w:r>
          </w:p>
        </w:tc>
        <w:tc>
          <w:tcPr>
            <w:tcW w:w="8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7" w:type="dxa"/>
            <w:tcBorders>
              <w:bottom w:val="single" w:sz="8" w:space="0" w:color="001C71"/>
            </w:tcBorders>
            <w:shd w:fill="auto" w:val="clear"/>
            <w:tcMar>
              <w:bottom w:w="60" w:type="dxa"/>
            </w:tcMar>
            <w:vAlign w:val="bottom"/>
          </w:tcPr>
          <w:p>
            <w:pPr>
              <w:pStyle w:val="TableContents"/>
              <w:spacing w:before="0" w:after="283"/>
              <w:rPr/>
            </w:pPr>
            <w:r>
              <w:rPr/>
              <w:t>            </w:t>
            </w:r>
            <w:r>
              <w:rPr/>
              <w:t>$</w:t>
            </w:r>
          </w:p>
        </w:tc>
        <w:tc>
          <w:tcPr>
            <w:tcW w:w="722" w:type="dxa"/>
            <w:tcBorders>
              <w:bottom w:val="single" w:sz="8" w:space="0" w:color="001C71"/>
            </w:tcBorders>
            <w:shd w:fill="auto" w:val="clear"/>
            <w:tcMar>
              <w:bottom w:w="60" w:type="dxa"/>
            </w:tcMar>
            <w:vAlign w:val="bottom"/>
          </w:tcPr>
          <w:p>
            <w:pPr>
              <w:pStyle w:val="TableContents"/>
              <w:spacing w:before="0" w:after="283"/>
              <w:jc w:val="right"/>
              <w:rPr/>
            </w:pPr>
            <w:r>
              <w:rPr/>
              <w:t>2,772</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17"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60" w:type="dxa"/>
            </w:tcMar>
            <w:vAlign w:val="bottom"/>
          </w:tcPr>
          <w:p>
            <w:pPr>
              <w:pStyle w:val="TableContents"/>
              <w:spacing w:before="0" w:after="283"/>
              <w:rPr/>
            </w:pPr>
            <w:r>
              <w:rPr/>
              <w:t>$</w:t>
            </w:r>
          </w:p>
        </w:tc>
        <w:tc>
          <w:tcPr>
            <w:tcW w:w="1118" w:type="dxa"/>
            <w:tcBorders>
              <w:bottom w:val="single" w:sz="8" w:space="0" w:color="001C71"/>
            </w:tcBorders>
            <w:shd w:fill="auto" w:val="clear"/>
            <w:tcMar>
              <w:bottom w:w="60" w:type="dxa"/>
            </w:tcMar>
            <w:vAlign w:val="bottom"/>
          </w:tcPr>
          <w:p>
            <w:pPr>
              <w:pStyle w:val="TableContents"/>
              <w:spacing w:before="0" w:after="283"/>
              <w:jc w:val="right"/>
              <w:rPr/>
            </w:pPr>
            <w:r>
              <w:rPr/>
              <w:t>(224,839</w:t>
            </w:r>
          </w:p>
        </w:tc>
        <w:tc>
          <w:tcPr>
            <w:tcW w:w="246"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8"/>
        <w:gridCol w:w="228"/>
        <w:gridCol w:w="9669"/>
      </w:tblGrid>
      <w:tr>
        <w:trPr/>
        <w:tc>
          <w:tcPr>
            <w:tcW w:w="308" w:type="dxa"/>
            <w:tcBorders/>
            <w:shd w:fill="auto" w:val="clear"/>
            <w:vAlign w:val="center"/>
          </w:tcPr>
          <w:p>
            <w:pPr>
              <w:pStyle w:val="TableContents"/>
              <w:spacing w:before="0" w:after="283"/>
              <w:rPr/>
            </w:pPr>
            <w:r>
              <w:rPr/>
              <w:t> </w:t>
            </w:r>
          </w:p>
        </w:tc>
        <w:tc>
          <w:tcPr>
            <w:tcW w:w="228" w:type="dxa"/>
            <w:tcBorders/>
            <w:shd w:fill="auto" w:val="clear"/>
          </w:tcPr>
          <w:p>
            <w:pPr>
              <w:pStyle w:val="TableContents"/>
              <w:spacing w:before="0" w:after="283"/>
              <w:jc w:val="left"/>
              <w:rPr>
                <w:i/>
              </w:rPr>
            </w:pPr>
            <w:r>
              <w:rPr>
                <w:i/>
              </w:rPr>
              <w:t>(1)</w:t>
            </w:r>
          </w:p>
        </w:tc>
        <w:tc>
          <w:tcPr>
            <w:tcW w:w="9669" w:type="dxa"/>
            <w:tcBorders/>
            <w:shd w:fill="auto" w:val="clear"/>
          </w:tcPr>
          <w:p>
            <w:pPr>
              <w:pStyle w:val="TableContents"/>
              <w:spacing w:before="0" w:after="0"/>
              <w:jc w:val="left"/>
              <w:rPr>
                <w:rFonts w:ascii="arial" w:hAnsi="arial"/>
                <w:i/>
                <w:sz w:val="14"/>
              </w:rPr>
            </w:pPr>
            <w:r>
              <w:rPr>
                <w:rFonts w:ascii="arial" w:hAnsi="arial"/>
                <w:i/>
                <w:sz w:val="14"/>
              </w:rPr>
              <w:t xml:space="preserve">The changes in the actuarial value of pension benefits are due to changes in pay, performance-based annual bonus plan performance (impacts calculation of final average earnings under the SERP as described in Pension Benefits below), the accrual of additional age and service and changes in actuarial assumptions such as mortality and interest rates. For Mr. Martins pension benefit, approximately two-thirds of the increase is related to the impact of incorporating an additional year of Chief Executive Officer-level pay into the calculation of the defined benefit and approximately one-third of the increase is due to changes in interest rates, additional accrued service and other actuarial assumptions. No pension benefits will be paid to Mr. Martin until after his retirement from the company. Mr. Bilicic did not meet the vesting requirements upon his separation from service and is not entitled to pension benefits.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203"/>
        <w:gridCol w:w="9698"/>
      </w:tblGrid>
      <w:tr>
        <w:trPr/>
        <w:tc>
          <w:tcPr>
            <w:tcW w:w="304"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9698" w:type="dxa"/>
            <w:tcBorders/>
            <w:shd w:fill="auto" w:val="clear"/>
          </w:tcPr>
          <w:p>
            <w:pPr>
              <w:pStyle w:val="TableContents"/>
              <w:spacing w:before="0" w:after="0"/>
              <w:jc w:val="left"/>
              <w:rPr>
                <w:rFonts w:ascii="arial" w:hAnsi="arial"/>
                <w:i/>
                <w:sz w:val="14"/>
              </w:rPr>
            </w:pPr>
            <w:r>
              <w:rPr>
                <w:rFonts w:ascii="arial" w:hAnsi="arial"/>
                <w:i/>
                <w:sz w:val="14"/>
              </w:rPr>
              <w:t xml:space="preserve">For additional information regarding pension benefits and deferred compensation, please see the discussions under Pension Benefits and Nonqualified Deferred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(J)</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All Other Compensation amounts for 2020 are: </w:t>
            </w:r>
          </w:p>
        </w:tc>
      </w:tr>
    </w:tbl>
    <w:p>
      <w:pPr>
        <w:pStyle w:val="TextBody"/>
        <w:spacing w:before="200" w:after="0"/>
        <w:jc w:val="left"/>
        <w:rPr>
          <w:rFonts w:ascii="arial" w:hAnsi="arial"/>
          <w:color w:val="001C71"/>
          <w:sz w:val="16"/>
        </w:rPr>
      </w:pPr>
      <w:r>
        <w:rPr>
          <w:rFonts w:ascii="arial" w:hAnsi="arial"/>
          <w:color w:val="001C71"/>
          <w:sz w:val="16"/>
        </w:rPr>
        <w:t xml:space="preserve">2020 ALL OTHER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80"/>
        <w:gridCol w:w="380"/>
        <w:gridCol w:w="1838"/>
        <w:gridCol w:w="1969"/>
        <w:gridCol w:w="60"/>
        <w:gridCol w:w="433"/>
        <w:gridCol w:w="621"/>
        <w:gridCol w:w="680"/>
        <w:gridCol w:w="60"/>
        <w:gridCol w:w="433"/>
        <w:gridCol w:w="140"/>
        <w:gridCol w:w="987"/>
        <w:gridCol w:w="59"/>
        <w:gridCol w:w="407"/>
        <w:gridCol w:w="60"/>
        <w:gridCol w:w="1105"/>
        <w:gridCol w:w="93"/>
      </w:tblGrid>
      <w:tr>
        <w:trPr/>
        <w:tc>
          <w:tcPr>
            <w:tcW w:w="8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r>
      <w:tr>
        <w:trPr/>
        <w:tc>
          <w:tcPr>
            <w:tcW w:w="880" w:type="dxa"/>
            <w:tcBorders>
              <w:bottom w:val="single" w:sz="16" w:space="0" w:color="001C71"/>
            </w:tcBorders>
            <w:shd w:fill="auto" w:val="clear"/>
            <w:tcMar>
              <w:bottom w:w="28" w:type="dxa"/>
            </w:tcMar>
            <w:vAlign w:val="bottom"/>
          </w:tcPr>
          <w:p>
            <w:pPr>
              <w:pStyle w:val="TableContents"/>
              <w:spacing w:before="0" w:after="283"/>
              <w:rPr/>
            </w:pPr>
            <w:r>
              <w:rPr/>
              <w:t>  </w:t>
            </w:r>
          </w:p>
        </w:tc>
        <w:tc>
          <w:tcPr>
            <w:tcW w:w="380" w:type="dxa"/>
            <w:tcBorders>
              <w:bottom w:val="single" w:sz="16" w:space="0" w:color="001C71"/>
            </w:tcBorders>
            <w:shd w:fill="auto" w:val="clear"/>
            <w:tcMar>
              <w:bottom w:w="28" w:type="dxa"/>
            </w:tcMar>
            <w:vAlign w:val="bottom"/>
          </w:tcPr>
          <w:p>
            <w:pPr>
              <w:pStyle w:val="TableContents"/>
              <w:spacing w:before="0" w:after="283"/>
              <w:rPr/>
            </w:pPr>
            <w:r>
              <w:rPr/>
              <w:t>    </w:t>
            </w:r>
          </w:p>
        </w:tc>
        <w:tc>
          <w:tcPr>
            <w:tcW w:w="3807" w:type="dxa"/>
            <w:gridSpan w:val="2"/>
            <w:tcBorders>
              <w:bottom w:val="single" w:sz="16" w:space="0" w:color="001C71"/>
            </w:tcBorders>
            <w:shd w:fill="auto" w:val="clear"/>
            <w:tcMar>
              <w:bottom w:w="28" w:type="dxa"/>
            </w:tcMar>
            <w:vAlign w:val="bottom"/>
          </w:tcPr>
          <w:p>
            <w:pPr>
              <w:pStyle w:val="TableContents"/>
              <w:spacing w:before="0" w:after="0"/>
              <w:jc w:val="center"/>
              <w:rPr>
                <w:rFonts w:ascii="arial" w:hAnsi="arial"/>
                <w:b/>
                <w:color w:val="001C71"/>
                <w:sz w:val="16"/>
              </w:rPr>
            </w:pPr>
            <w:r>
              <w:rPr>
                <w:rFonts w:ascii="arial" w:hAnsi="arial"/>
                <w:b/>
                <w:color w:val="001C71"/>
                <w:sz w:val="16"/>
              </w:rPr>
              <w:t>Company 401(k) and</w:t>
              <w:br/>
              <w:t>Deferred Compensation</w:t>
              <w:br/>
              <w:t>Plan Contributions</w:t>
            </w:r>
          </w:p>
          <w:p>
            <w:pPr>
              <w:pStyle w:val="TableContents"/>
              <w:spacing w:before="0" w:after="20"/>
              <w:jc w:val="left"/>
              <w:rPr/>
            </w:pPr>
            <w:r>
              <w:rPr/>
              <w:t> </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433" w:type="dxa"/>
            <w:tcBorders>
              <w:bottom w:val="single" w:sz="16" w:space="0" w:color="001C71"/>
            </w:tcBorders>
            <w:shd w:fill="auto" w:val="clear"/>
            <w:tcMar>
              <w:bottom w:w="28" w:type="dxa"/>
            </w:tcMar>
            <w:vAlign w:val="bottom"/>
          </w:tcPr>
          <w:p>
            <w:pPr>
              <w:pStyle w:val="TableContents"/>
              <w:spacing w:before="0" w:after="283"/>
              <w:rPr/>
            </w:pPr>
            <w:r>
              <w:rPr/>
              <w:t>    </w:t>
            </w:r>
          </w:p>
        </w:tc>
        <w:tc>
          <w:tcPr>
            <w:tcW w:w="1301" w:type="dxa"/>
            <w:gridSpan w:val="2"/>
            <w:tcBorders>
              <w:bottom w:val="single" w:sz="16" w:space="0" w:color="001C71"/>
            </w:tcBorders>
            <w:shd w:fill="auto" w:val="clear"/>
            <w:tcMar>
              <w:bottom w:w="28" w:type="dxa"/>
            </w:tcMar>
            <w:vAlign w:val="bottom"/>
          </w:tcPr>
          <w:p>
            <w:pPr>
              <w:pStyle w:val="TableContents"/>
              <w:spacing w:before="0" w:after="0"/>
              <w:jc w:val="center"/>
              <w:rPr>
                <w:rFonts w:ascii="arial" w:hAnsi="arial"/>
                <w:b/>
                <w:color w:val="001C71"/>
                <w:sz w:val="16"/>
              </w:rPr>
            </w:pPr>
            <w:r>
              <w:rPr>
                <w:rFonts w:ascii="arial" w:hAnsi="arial"/>
                <w:b/>
                <w:color w:val="001C71"/>
                <w:sz w:val="16"/>
              </w:rPr>
              <w:t>Insurance</w:t>
              <w:br/>
              <w:t>Premiums(1)</w:t>
            </w:r>
          </w:p>
          <w:p>
            <w:pPr>
              <w:pStyle w:val="TableContents"/>
              <w:spacing w:before="0" w:after="20"/>
              <w:jc w:val="left"/>
              <w:rPr/>
            </w:pPr>
            <w:r>
              <w:rPr/>
              <w:t> </w:t>
            </w:r>
          </w:p>
        </w:tc>
        <w:tc>
          <w:tcPr>
            <w:tcW w:w="60" w:type="dxa"/>
            <w:tcBorders>
              <w:bottom w:val="single" w:sz="16" w:space="0" w:color="001C71"/>
            </w:tcBorders>
            <w:shd w:fill="auto" w:val="clear"/>
            <w:tcMar>
              <w:bottom w:w="28" w:type="dxa"/>
            </w:tcMar>
            <w:vAlign w:val="bottom"/>
          </w:tcPr>
          <w:p>
            <w:pPr>
              <w:pStyle w:val="TableContents"/>
              <w:spacing w:before="0" w:after="283"/>
              <w:rPr/>
            </w:pPr>
            <w:r>
              <w:rPr/>
              <w:t> </w:t>
            </w:r>
          </w:p>
        </w:tc>
        <w:tc>
          <w:tcPr>
            <w:tcW w:w="433" w:type="dxa"/>
            <w:tcBorders>
              <w:bottom w:val="single" w:sz="16" w:space="0" w:color="001C71"/>
            </w:tcBorders>
            <w:shd w:fill="auto" w:val="clear"/>
            <w:tcMar>
              <w:bottom w:w="28" w:type="dxa"/>
            </w:tcMar>
            <w:vAlign w:val="bottom"/>
          </w:tcPr>
          <w:p>
            <w:pPr>
              <w:pStyle w:val="TableContents"/>
              <w:spacing w:before="0" w:after="283"/>
              <w:rPr/>
            </w:pPr>
            <w:r>
              <w:rPr/>
              <w:t>    </w:t>
            </w:r>
          </w:p>
        </w:tc>
        <w:tc>
          <w:tcPr>
            <w:tcW w:w="1127" w:type="dxa"/>
            <w:gridSpan w:val="2"/>
            <w:tcBorders>
              <w:bottom w:val="single" w:sz="16" w:space="0" w:color="001C71"/>
            </w:tcBorders>
            <w:shd w:fill="auto" w:val="clear"/>
            <w:tcMar>
              <w:bottom w:w="28" w:type="dxa"/>
            </w:tcMar>
            <w:vAlign w:val="bottom"/>
          </w:tcPr>
          <w:p>
            <w:pPr>
              <w:pStyle w:val="TableContents"/>
              <w:spacing w:before="0" w:after="0"/>
              <w:jc w:val="center"/>
              <w:rPr>
                <w:rFonts w:ascii="arial" w:hAnsi="arial"/>
                <w:b/>
                <w:color w:val="001C71"/>
                <w:sz w:val="16"/>
              </w:rPr>
            </w:pPr>
            <w:r>
              <w:rPr>
                <w:rFonts w:ascii="arial" w:hAnsi="arial"/>
                <w:b/>
                <w:color w:val="001C71"/>
                <w:sz w:val="16"/>
              </w:rPr>
              <w:t>Other(2)</w:t>
            </w:r>
          </w:p>
          <w:p>
            <w:pPr>
              <w:pStyle w:val="TableContents"/>
              <w:spacing w:before="0" w:after="20"/>
              <w:jc w:val="left"/>
              <w:rPr/>
            </w:pPr>
            <w:r>
              <w:rPr/>
              <w:t> </w:t>
            </w:r>
          </w:p>
        </w:tc>
        <w:tc>
          <w:tcPr>
            <w:tcW w:w="59" w:type="dxa"/>
            <w:tcBorders>
              <w:bottom w:val="single" w:sz="16" w:space="0" w:color="001C71"/>
            </w:tcBorders>
            <w:shd w:fill="auto" w:val="clear"/>
            <w:tcMar>
              <w:bottom w:w="28" w:type="dxa"/>
            </w:tcMar>
            <w:vAlign w:val="bottom"/>
          </w:tcPr>
          <w:p>
            <w:pPr>
              <w:pStyle w:val="TableContents"/>
              <w:spacing w:before="0" w:after="283"/>
              <w:rPr/>
            </w:pPr>
            <w:r>
              <w:rPr/>
              <w:t> </w:t>
            </w:r>
          </w:p>
        </w:tc>
        <w:tc>
          <w:tcPr>
            <w:tcW w:w="407" w:type="dxa"/>
            <w:tcBorders>
              <w:bottom w:val="single" w:sz="16" w:space="0" w:color="001C71"/>
            </w:tcBorders>
            <w:shd w:fill="auto" w:val="clear"/>
            <w:tcMar>
              <w:bottom w:w="28" w:type="dxa"/>
            </w:tcMar>
            <w:vAlign w:val="bottom"/>
          </w:tcPr>
          <w:p>
            <w:pPr>
              <w:pStyle w:val="TableContents"/>
              <w:spacing w:before="0" w:after="283"/>
              <w:rPr/>
            </w:pPr>
            <w:r>
              <w:rPr/>
              <w:t>    </w:t>
            </w:r>
          </w:p>
        </w:tc>
        <w:tc>
          <w:tcPr>
            <w:tcW w:w="1165" w:type="dxa"/>
            <w:gridSpan w:val="2"/>
            <w:tcBorders>
              <w:bottom w:val="single" w:sz="16" w:space="0" w:color="001C71"/>
            </w:tcBorders>
            <w:shd w:fill="auto" w:val="clear"/>
            <w:tcMar>
              <w:bottom w:w="28" w:type="dxa"/>
            </w:tcMar>
            <w:vAlign w:val="bottom"/>
          </w:tcPr>
          <w:p>
            <w:pPr>
              <w:pStyle w:val="TableContents"/>
              <w:spacing w:before="0" w:after="0"/>
              <w:jc w:val="center"/>
              <w:rPr>
                <w:rFonts w:ascii="arial" w:hAnsi="arial"/>
                <w:b/>
                <w:color w:val="001C71"/>
                <w:sz w:val="16"/>
              </w:rPr>
            </w:pPr>
            <w:r>
              <w:rPr>
                <w:rFonts w:ascii="arial" w:hAnsi="arial"/>
                <w:b/>
                <w:color w:val="001C71"/>
                <w:sz w:val="16"/>
              </w:rPr>
              <w:t>Total</w:t>
            </w:r>
          </w:p>
          <w:p>
            <w:pPr>
              <w:pStyle w:val="TableContents"/>
              <w:spacing w:before="0" w:after="20"/>
              <w:jc w:val="left"/>
              <w:rPr/>
            </w:pPr>
            <w:r>
              <w:rPr/>
              <w:t> </w:t>
            </w:r>
          </w:p>
        </w:tc>
        <w:tc>
          <w:tcPr>
            <w:tcW w:w="93" w:type="dxa"/>
            <w:tcBorders>
              <w:bottom w:val="single" w:sz="16" w:space="0" w:color="001C71"/>
            </w:tcBorders>
            <w:shd w:fill="auto" w:val="clear"/>
            <w:tcMar>
              <w:bottom w:w="28" w:type="dxa"/>
            </w:tcMar>
            <w:vAlign w:val="bottom"/>
          </w:tcPr>
          <w:p>
            <w:pPr>
              <w:pStyle w:val="TableContents"/>
              <w:spacing w:before="0" w:after="283"/>
              <w:rPr/>
            </w:pPr>
            <w:r>
              <w:rPr/>
              <w:t> </w:t>
            </w:r>
          </w:p>
        </w:tc>
      </w:tr>
      <w:tr>
        <w:trPr>
          <w:trHeight w:val="60" w:hRule="atLeast"/>
        </w:trPr>
        <w:tc>
          <w:tcPr>
            <w:tcW w:w="880" w:type="dxa"/>
            <w:tcBorders/>
            <w:shd w:fill="E5E5E5" w:val="clear"/>
            <w:vAlign w:val="center"/>
          </w:tcPr>
          <w:p>
            <w:pPr>
              <w:pStyle w:val="TableContents"/>
              <w:spacing w:before="0" w:after="283"/>
              <w:rPr>
                <w:sz w:val="4"/>
                <w:szCs w:val="4"/>
              </w:rPr>
            </w:pPr>
            <w:r>
              <w:rPr>
                <w:sz w:val="4"/>
                <w:szCs w:val="4"/>
              </w:rPr>
            </w:r>
          </w:p>
        </w:tc>
        <w:tc>
          <w:tcPr>
            <w:tcW w:w="4247" w:type="dxa"/>
            <w:gridSpan w:val="4"/>
            <w:tcBorders/>
            <w:shd w:fill="E5E5E5" w:val="clear"/>
            <w:vAlign w:val="center"/>
          </w:tcPr>
          <w:p>
            <w:pPr>
              <w:pStyle w:val="TableContents"/>
              <w:spacing w:before="0" w:after="283"/>
              <w:rPr>
                <w:sz w:val="4"/>
                <w:szCs w:val="4"/>
              </w:rPr>
            </w:pPr>
            <w:r>
              <w:rPr>
                <w:sz w:val="4"/>
                <w:szCs w:val="4"/>
              </w:rPr>
            </w:r>
          </w:p>
        </w:tc>
        <w:tc>
          <w:tcPr>
            <w:tcW w:w="1794" w:type="dxa"/>
            <w:gridSpan w:val="4"/>
            <w:tcBorders/>
            <w:shd w:fill="E5E5E5" w:val="clear"/>
            <w:vAlign w:val="center"/>
          </w:tcPr>
          <w:p>
            <w:pPr>
              <w:pStyle w:val="TableContents"/>
              <w:spacing w:before="0" w:after="283"/>
              <w:rPr>
                <w:sz w:val="4"/>
                <w:szCs w:val="4"/>
              </w:rPr>
            </w:pPr>
            <w:r>
              <w:rPr>
                <w:sz w:val="4"/>
                <w:szCs w:val="4"/>
              </w:rPr>
            </w:r>
          </w:p>
        </w:tc>
        <w:tc>
          <w:tcPr>
            <w:tcW w:w="1619" w:type="dxa"/>
            <w:gridSpan w:val="4"/>
            <w:tcBorders/>
            <w:shd w:fill="E5E5E5" w:val="clear"/>
            <w:vAlign w:val="center"/>
          </w:tcPr>
          <w:p>
            <w:pPr>
              <w:pStyle w:val="TableContents"/>
              <w:spacing w:before="0" w:after="283"/>
              <w:rPr>
                <w:sz w:val="4"/>
                <w:szCs w:val="4"/>
              </w:rPr>
            </w:pPr>
            <w:r>
              <w:rPr>
                <w:sz w:val="4"/>
                <w:szCs w:val="4"/>
              </w:rPr>
            </w:r>
          </w:p>
        </w:tc>
        <w:tc>
          <w:tcPr>
            <w:tcW w:w="1665" w:type="dxa"/>
            <w:gridSpan w:val="4"/>
            <w:tcBorders/>
            <w:shd w:fill="E5E5E5" w:val="clear"/>
            <w:vAlign w:val="center"/>
          </w:tcPr>
          <w:p>
            <w:pPr>
              <w:pStyle w:val="TableContents"/>
              <w:spacing w:before="0" w:after="283"/>
              <w:rPr>
                <w:sz w:val="4"/>
                <w:szCs w:val="4"/>
              </w:rPr>
            </w:pPr>
            <w:r>
              <w:rPr>
                <w:sz w:val="4"/>
                <w:szCs w:val="4"/>
              </w:rPr>
            </w:r>
          </w:p>
        </w:tc>
      </w:tr>
      <w:tr>
        <w:trPr/>
        <w:tc>
          <w:tcPr>
            <w:tcW w:w="880" w:type="dxa"/>
            <w:tcBorders/>
            <w:shd w:fill="E5E5E5" w:val="clear"/>
          </w:tcPr>
          <w:p>
            <w:pPr>
              <w:pStyle w:val="TableContents"/>
              <w:spacing w:before="0" w:after="0"/>
              <w:rPr>
                <w:rFonts w:ascii="arial" w:hAnsi="arial"/>
                <w:sz w:val="16"/>
              </w:rPr>
            </w:pPr>
            <w:r>
              <w:rPr>
                <w:rFonts w:ascii="arial" w:hAnsi="arial"/>
                <w:sz w:val="16"/>
              </w:rPr>
              <w:t>Jeffrey W. Martin</w:t>
            </w:r>
          </w:p>
        </w:tc>
        <w:tc>
          <w:tcPr>
            <w:tcW w:w="380" w:type="dxa"/>
            <w:tcBorders/>
            <w:shd w:fill="E5E5E5" w:val="clear"/>
            <w:vAlign w:val="bottom"/>
          </w:tcPr>
          <w:p>
            <w:pPr>
              <w:pStyle w:val="TableContents"/>
              <w:spacing w:before="0" w:after="283"/>
              <w:rPr/>
            </w:pPr>
            <w:r>
              <w:rPr/>
              <w:t>    </w:t>
            </w:r>
          </w:p>
        </w:tc>
        <w:tc>
          <w:tcPr>
            <w:tcW w:w="1838" w:type="dxa"/>
            <w:tcBorders/>
            <w:shd w:fill="E5E5E5" w:val="clear"/>
            <w:vAlign w:val="bottom"/>
          </w:tcPr>
          <w:p>
            <w:pPr>
              <w:pStyle w:val="TableContents"/>
              <w:spacing w:before="0" w:after="283"/>
              <w:rPr/>
            </w:pPr>
            <w:r>
              <w:rPr/>
              <w:t>                            </w:t>
            </w:r>
            <w:r>
              <w:rPr/>
              <w:t>$</w:t>
            </w:r>
          </w:p>
        </w:tc>
        <w:tc>
          <w:tcPr>
            <w:tcW w:w="1969" w:type="dxa"/>
            <w:tcBorders/>
            <w:shd w:fill="E5E5E5" w:val="clear"/>
            <w:vAlign w:val="bottom"/>
          </w:tcPr>
          <w:p>
            <w:pPr>
              <w:pStyle w:val="TableContents"/>
              <w:spacing w:before="0" w:after="283"/>
              <w:jc w:val="right"/>
              <w:rPr/>
            </w:pPr>
            <w:r>
              <w:rPr/>
              <w:t>174,899</w:t>
            </w:r>
          </w:p>
        </w:tc>
        <w:tc>
          <w:tcPr>
            <w:tcW w:w="60" w:type="dxa"/>
            <w:tcBorders/>
            <w:shd w:fill="E5E5E5" w:val="clear"/>
            <w:vAlign w:val="bottom"/>
          </w:tcPr>
          <w:p>
            <w:pPr>
              <w:pStyle w:val="TableContents"/>
              <w:spacing w:before="0" w:after="283"/>
              <w:rPr/>
            </w:pPr>
            <w:r>
              <w:rPr/>
              <w:t> </w:t>
            </w:r>
          </w:p>
        </w:tc>
        <w:tc>
          <w:tcPr>
            <w:tcW w:w="433" w:type="dxa"/>
            <w:tcBorders/>
            <w:shd w:fill="E5E5E5" w:val="clear"/>
            <w:vAlign w:val="bottom"/>
          </w:tcPr>
          <w:p>
            <w:pPr>
              <w:pStyle w:val="TableContents"/>
              <w:spacing w:before="0" w:after="283"/>
              <w:rPr/>
            </w:pPr>
            <w:r>
              <w:rPr/>
              <w:t>    </w:t>
            </w:r>
          </w:p>
        </w:tc>
        <w:tc>
          <w:tcPr>
            <w:tcW w:w="621" w:type="dxa"/>
            <w:tcBorders/>
            <w:shd w:fill="E5E5E5" w:val="clear"/>
            <w:vAlign w:val="bottom"/>
          </w:tcPr>
          <w:p>
            <w:pPr>
              <w:pStyle w:val="TableContents"/>
              <w:spacing w:before="0" w:after="283"/>
              <w:rPr/>
            </w:pPr>
            <w:r>
              <w:rPr/>
              <w:t>        </w:t>
            </w:r>
            <w:r>
              <w:rPr/>
              <w:t>$</w:t>
            </w:r>
          </w:p>
        </w:tc>
        <w:tc>
          <w:tcPr>
            <w:tcW w:w="680" w:type="dxa"/>
            <w:tcBorders/>
            <w:shd w:fill="E5E5E5" w:val="clear"/>
            <w:vAlign w:val="bottom"/>
          </w:tcPr>
          <w:p>
            <w:pPr>
              <w:pStyle w:val="TableContents"/>
              <w:spacing w:before="0" w:after="283"/>
              <w:jc w:val="right"/>
              <w:rPr/>
            </w:pPr>
            <w:r>
              <w:rPr/>
              <w:t>28,697</w:t>
            </w:r>
          </w:p>
        </w:tc>
        <w:tc>
          <w:tcPr>
            <w:tcW w:w="60" w:type="dxa"/>
            <w:tcBorders/>
            <w:shd w:fill="E5E5E5" w:val="clear"/>
            <w:vAlign w:val="bottom"/>
          </w:tcPr>
          <w:p>
            <w:pPr>
              <w:pStyle w:val="TableContents"/>
              <w:spacing w:before="0" w:after="283"/>
              <w:rPr/>
            </w:pPr>
            <w:r>
              <w:rPr/>
              <w:t> </w:t>
            </w:r>
          </w:p>
        </w:tc>
        <w:tc>
          <w:tcPr>
            <w:tcW w:w="43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7" w:type="dxa"/>
            <w:tcBorders/>
            <w:shd w:fill="E5E5E5" w:val="clear"/>
            <w:vAlign w:val="bottom"/>
          </w:tcPr>
          <w:p>
            <w:pPr>
              <w:pStyle w:val="TableContents"/>
              <w:spacing w:before="0" w:after="283"/>
              <w:jc w:val="right"/>
              <w:rPr/>
            </w:pPr>
            <w:r>
              <w:rPr/>
              <w:t>103,068</w:t>
            </w:r>
          </w:p>
        </w:tc>
        <w:tc>
          <w:tcPr>
            <w:tcW w:w="59" w:type="dxa"/>
            <w:tcBorders/>
            <w:shd w:fill="E5E5E5" w:val="clear"/>
            <w:vAlign w:val="bottom"/>
          </w:tcPr>
          <w:p>
            <w:pPr>
              <w:pStyle w:val="TableContents"/>
              <w:spacing w:before="0" w:after="283"/>
              <w:rPr/>
            </w:pPr>
            <w:r>
              <w:rPr/>
              <w:t> </w:t>
            </w:r>
          </w:p>
        </w:tc>
        <w:tc>
          <w:tcPr>
            <w:tcW w:w="40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5" w:type="dxa"/>
            <w:tcBorders/>
            <w:shd w:fill="E5E5E5" w:val="clear"/>
            <w:vAlign w:val="bottom"/>
          </w:tcPr>
          <w:p>
            <w:pPr>
              <w:pStyle w:val="TableContents"/>
              <w:spacing w:before="0" w:after="283"/>
              <w:jc w:val="right"/>
              <w:rPr/>
            </w:pPr>
            <w:r>
              <w:rPr/>
              <w:t>$306,664</w:t>
            </w:r>
          </w:p>
        </w:tc>
        <w:tc>
          <w:tcPr>
            <w:tcW w:w="93" w:type="dxa"/>
            <w:tcBorders/>
            <w:shd w:fill="E5E5E5" w:val="clear"/>
            <w:vAlign w:val="bottom"/>
          </w:tcPr>
          <w:p>
            <w:pPr>
              <w:pStyle w:val="TableContents"/>
              <w:spacing w:before="0" w:after="283"/>
              <w:rPr/>
            </w:pPr>
            <w:r>
              <w:rPr/>
              <w:t> </w:t>
            </w:r>
          </w:p>
        </w:tc>
      </w:tr>
      <w:tr>
        <w:trPr>
          <w:trHeight w:val="60" w:hRule="atLeast"/>
        </w:trPr>
        <w:tc>
          <w:tcPr>
            <w:tcW w:w="880" w:type="dxa"/>
            <w:tcBorders/>
            <w:shd w:fill="auto" w:val="clear"/>
            <w:vAlign w:val="center"/>
          </w:tcPr>
          <w:p>
            <w:pPr>
              <w:pStyle w:val="TableContents"/>
              <w:spacing w:before="0" w:after="283"/>
              <w:rPr>
                <w:sz w:val="4"/>
                <w:szCs w:val="4"/>
              </w:rPr>
            </w:pPr>
            <w:r>
              <w:rPr>
                <w:sz w:val="4"/>
                <w:szCs w:val="4"/>
              </w:rPr>
            </w:r>
          </w:p>
        </w:tc>
        <w:tc>
          <w:tcPr>
            <w:tcW w:w="4247" w:type="dxa"/>
            <w:gridSpan w:val="4"/>
            <w:tcBorders/>
            <w:shd w:fill="auto" w:val="clear"/>
            <w:vAlign w:val="center"/>
          </w:tcPr>
          <w:p>
            <w:pPr>
              <w:pStyle w:val="TableContents"/>
              <w:spacing w:before="0" w:after="283"/>
              <w:rPr>
                <w:sz w:val="4"/>
                <w:szCs w:val="4"/>
              </w:rPr>
            </w:pPr>
            <w:r>
              <w:rPr>
                <w:sz w:val="4"/>
                <w:szCs w:val="4"/>
              </w:rPr>
            </w:r>
          </w:p>
        </w:tc>
        <w:tc>
          <w:tcPr>
            <w:tcW w:w="1794" w:type="dxa"/>
            <w:gridSpan w:val="4"/>
            <w:tcBorders/>
            <w:shd w:fill="auto" w:val="clear"/>
            <w:vAlign w:val="center"/>
          </w:tcPr>
          <w:p>
            <w:pPr>
              <w:pStyle w:val="TableContents"/>
              <w:spacing w:before="0" w:after="283"/>
              <w:rPr>
                <w:sz w:val="4"/>
                <w:szCs w:val="4"/>
              </w:rPr>
            </w:pPr>
            <w:r>
              <w:rPr>
                <w:sz w:val="4"/>
                <w:szCs w:val="4"/>
              </w:rPr>
            </w:r>
          </w:p>
        </w:tc>
        <w:tc>
          <w:tcPr>
            <w:tcW w:w="1619" w:type="dxa"/>
            <w:gridSpan w:val="4"/>
            <w:tcBorders/>
            <w:shd w:fill="auto" w:val="clear"/>
            <w:vAlign w:val="center"/>
          </w:tcPr>
          <w:p>
            <w:pPr>
              <w:pStyle w:val="TableContents"/>
              <w:spacing w:before="0" w:after="283"/>
              <w:rPr>
                <w:sz w:val="4"/>
                <w:szCs w:val="4"/>
              </w:rPr>
            </w:pPr>
            <w:r>
              <w:rPr>
                <w:sz w:val="4"/>
                <w:szCs w:val="4"/>
              </w:rPr>
            </w:r>
          </w:p>
        </w:tc>
        <w:tc>
          <w:tcPr>
            <w:tcW w:w="1665" w:type="dxa"/>
            <w:gridSpan w:val="4"/>
            <w:tcBorders/>
            <w:shd w:fill="auto" w:val="clear"/>
            <w:vAlign w:val="center"/>
          </w:tcPr>
          <w:p>
            <w:pPr>
              <w:pStyle w:val="TableContents"/>
              <w:spacing w:before="0" w:after="283"/>
              <w:rPr>
                <w:sz w:val="4"/>
                <w:szCs w:val="4"/>
              </w:rPr>
            </w:pPr>
            <w:r>
              <w:rPr>
                <w:sz w:val="4"/>
                <w:szCs w:val="4"/>
              </w:rPr>
            </w:r>
          </w:p>
        </w:tc>
      </w:tr>
      <w:tr>
        <w:trPr/>
        <w:tc>
          <w:tcPr>
            <w:tcW w:w="880" w:type="dxa"/>
            <w:tcBorders/>
            <w:shd w:fill="auto" w:val="clear"/>
          </w:tcPr>
          <w:p>
            <w:pPr>
              <w:pStyle w:val="TableContents"/>
              <w:spacing w:before="0" w:after="0"/>
              <w:rPr>
                <w:rFonts w:ascii="arial" w:hAnsi="arial"/>
                <w:sz w:val="16"/>
              </w:rPr>
            </w:pPr>
            <w:r>
              <w:rPr>
                <w:rFonts w:ascii="arial" w:hAnsi="arial"/>
                <w:sz w:val="16"/>
              </w:rPr>
              <w:t>Trevor I. Mihalik</w:t>
            </w:r>
          </w:p>
        </w:tc>
        <w:tc>
          <w:tcPr>
            <w:tcW w:w="380" w:type="dxa"/>
            <w:tcBorders/>
            <w:shd w:fill="auto" w:val="clear"/>
            <w:vAlign w:val="bottom"/>
          </w:tcPr>
          <w:p>
            <w:pPr>
              <w:pStyle w:val="TableContents"/>
              <w:spacing w:before="0" w:after="283"/>
              <w:rPr/>
            </w:pPr>
            <w:r>
              <w:rPr/>
              <w:t>    </w:t>
            </w:r>
          </w:p>
        </w:tc>
        <w:tc>
          <w:tcPr>
            <w:tcW w:w="1838" w:type="dxa"/>
            <w:tcBorders/>
            <w:shd w:fill="auto" w:val="clear"/>
            <w:vAlign w:val="bottom"/>
          </w:tcPr>
          <w:p>
            <w:pPr>
              <w:pStyle w:val="TableContents"/>
              <w:spacing w:before="0" w:after="283"/>
              <w:rPr/>
            </w:pPr>
            <w:r>
              <w:rPr/>
              <w:t>                            </w:t>
            </w:r>
            <w:r>
              <w:rPr/>
              <w:t>$</w:t>
            </w:r>
          </w:p>
        </w:tc>
        <w:tc>
          <w:tcPr>
            <w:tcW w:w="1969" w:type="dxa"/>
            <w:tcBorders/>
            <w:shd w:fill="auto" w:val="clear"/>
            <w:vAlign w:val="bottom"/>
          </w:tcPr>
          <w:p>
            <w:pPr>
              <w:pStyle w:val="TableContents"/>
              <w:spacing w:before="0" w:after="283"/>
              <w:jc w:val="right"/>
              <w:rPr/>
            </w:pPr>
            <w:r>
              <w:rPr/>
              <w:t>70,540</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r>
              <w:rPr/>
              <w:t>$</w:t>
            </w:r>
          </w:p>
        </w:tc>
        <w:tc>
          <w:tcPr>
            <w:tcW w:w="680" w:type="dxa"/>
            <w:tcBorders/>
            <w:shd w:fill="auto" w:val="clear"/>
            <w:vAlign w:val="bottom"/>
          </w:tcPr>
          <w:p>
            <w:pPr>
              <w:pStyle w:val="TableContents"/>
              <w:spacing w:before="0" w:after="283"/>
              <w:jc w:val="right"/>
              <w:rPr/>
            </w:pPr>
            <w:r>
              <w:rPr/>
              <w:t>9,658</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7" w:type="dxa"/>
            <w:tcBorders/>
            <w:shd w:fill="auto" w:val="clear"/>
            <w:vAlign w:val="bottom"/>
          </w:tcPr>
          <w:p>
            <w:pPr>
              <w:pStyle w:val="TableContents"/>
              <w:spacing w:before="0" w:after="283"/>
              <w:jc w:val="right"/>
              <w:rPr/>
            </w:pPr>
            <w:r>
              <w:rPr/>
              <w:t>50,000</w:t>
            </w:r>
          </w:p>
        </w:tc>
        <w:tc>
          <w:tcPr>
            <w:tcW w:w="59"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$130,198</w:t>
            </w:r>
          </w:p>
        </w:tc>
        <w:tc>
          <w:tcPr>
            <w:tcW w:w="93" w:type="dxa"/>
            <w:tcBorders/>
            <w:shd w:fill="auto" w:val="clear"/>
            <w:vAlign w:val="bottom"/>
          </w:tcPr>
          <w:p>
            <w:pPr>
              <w:pStyle w:val="TableContents"/>
              <w:spacing w:before="0" w:after="283"/>
              <w:rPr/>
            </w:pPr>
            <w:r>
              <w:rPr/>
              <w:t> </w:t>
            </w:r>
          </w:p>
        </w:tc>
      </w:tr>
      <w:tr>
        <w:trPr>
          <w:trHeight w:val="60" w:hRule="atLeast"/>
        </w:trPr>
        <w:tc>
          <w:tcPr>
            <w:tcW w:w="880" w:type="dxa"/>
            <w:tcBorders/>
            <w:shd w:fill="E5E5E5" w:val="clear"/>
            <w:vAlign w:val="center"/>
          </w:tcPr>
          <w:p>
            <w:pPr>
              <w:pStyle w:val="TableContents"/>
              <w:spacing w:before="0" w:after="283"/>
              <w:rPr>
                <w:sz w:val="4"/>
                <w:szCs w:val="4"/>
              </w:rPr>
            </w:pPr>
            <w:r>
              <w:rPr>
                <w:sz w:val="4"/>
                <w:szCs w:val="4"/>
              </w:rPr>
            </w:r>
          </w:p>
        </w:tc>
        <w:tc>
          <w:tcPr>
            <w:tcW w:w="4247" w:type="dxa"/>
            <w:gridSpan w:val="4"/>
            <w:tcBorders/>
            <w:shd w:fill="E5E5E5" w:val="clear"/>
            <w:vAlign w:val="center"/>
          </w:tcPr>
          <w:p>
            <w:pPr>
              <w:pStyle w:val="TableContents"/>
              <w:spacing w:before="0" w:after="283"/>
              <w:rPr>
                <w:sz w:val="4"/>
                <w:szCs w:val="4"/>
              </w:rPr>
            </w:pPr>
            <w:r>
              <w:rPr>
                <w:sz w:val="4"/>
                <w:szCs w:val="4"/>
              </w:rPr>
            </w:r>
          </w:p>
        </w:tc>
        <w:tc>
          <w:tcPr>
            <w:tcW w:w="1794" w:type="dxa"/>
            <w:gridSpan w:val="4"/>
            <w:tcBorders/>
            <w:shd w:fill="E5E5E5" w:val="clear"/>
            <w:vAlign w:val="center"/>
          </w:tcPr>
          <w:p>
            <w:pPr>
              <w:pStyle w:val="TableContents"/>
              <w:spacing w:before="0" w:after="283"/>
              <w:rPr>
                <w:sz w:val="4"/>
                <w:szCs w:val="4"/>
              </w:rPr>
            </w:pPr>
            <w:r>
              <w:rPr>
                <w:sz w:val="4"/>
                <w:szCs w:val="4"/>
              </w:rPr>
            </w:r>
          </w:p>
        </w:tc>
        <w:tc>
          <w:tcPr>
            <w:tcW w:w="1619" w:type="dxa"/>
            <w:gridSpan w:val="4"/>
            <w:tcBorders/>
            <w:shd w:fill="E5E5E5" w:val="clear"/>
            <w:vAlign w:val="center"/>
          </w:tcPr>
          <w:p>
            <w:pPr>
              <w:pStyle w:val="TableContents"/>
              <w:spacing w:before="0" w:after="283"/>
              <w:rPr>
                <w:sz w:val="4"/>
                <w:szCs w:val="4"/>
              </w:rPr>
            </w:pPr>
            <w:r>
              <w:rPr>
                <w:sz w:val="4"/>
                <w:szCs w:val="4"/>
              </w:rPr>
            </w:r>
          </w:p>
        </w:tc>
        <w:tc>
          <w:tcPr>
            <w:tcW w:w="1665" w:type="dxa"/>
            <w:gridSpan w:val="4"/>
            <w:tcBorders/>
            <w:shd w:fill="E5E5E5" w:val="clear"/>
            <w:vAlign w:val="center"/>
          </w:tcPr>
          <w:p>
            <w:pPr>
              <w:pStyle w:val="TableContents"/>
              <w:spacing w:before="0" w:after="283"/>
              <w:rPr>
                <w:sz w:val="4"/>
                <w:szCs w:val="4"/>
              </w:rPr>
            </w:pPr>
            <w:r>
              <w:rPr>
                <w:sz w:val="4"/>
                <w:szCs w:val="4"/>
              </w:rPr>
            </w:r>
          </w:p>
        </w:tc>
      </w:tr>
      <w:tr>
        <w:trPr/>
        <w:tc>
          <w:tcPr>
            <w:tcW w:w="880" w:type="dxa"/>
            <w:tcBorders/>
            <w:shd w:fill="E5E5E5" w:val="clear"/>
          </w:tcPr>
          <w:p>
            <w:pPr>
              <w:pStyle w:val="TableContents"/>
              <w:spacing w:before="0" w:after="0"/>
              <w:rPr>
                <w:rFonts w:ascii="arial" w:hAnsi="arial"/>
                <w:sz w:val="16"/>
              </w:rPr>
            </w:pPr>
            <w:r>
              <w:rPr>
                <w:rFonts w:ascii="arial" w:hAnsi="arial"/>
                <w:sz w:val="16"/>
              </w:rPr>
              <w:t>Kevin C. Sagara</w:t>
            </w:r>
          </w:p>
        </w:tc>
        <w:tc>
          <w:tcPr>
            <w:tcW w:w="380" w:type="dxa"/>
            <w:tcBorders/>
            <w:shd w:fill="E5E5E5" w:val="clear"/>
            <w:vAlign w:val="bottom"/>
          </w:tcPr>
          <w:p>
            <w:pPr>
              <w:pStyle w:val="TableContents"/>
              <w:spacing w:before="0" w:after="283"/>
              <w:rPr/>
            </w:pPr>
            <w:r>
              <w:rPr/>
              <w:t>    </w:t>
            </w:r>
          </w:p>
        </w:tc>
        <w:tc>
          <w:tcPr>
            <w:tcW w:w="1838" w:type="dxa"/>
            <w:tcBorders/>
            <w:shd w:fill="E5E5E5" w:val="clear"/>
            <w:vAlign w:val="bottom"/>
          </w:tcPr>
          <w:p>
            <w:pPr>
              <w:pStyle w:val="TableContents"/>
              <w:spacing w:before="0" w:after="283"/>
              <w:rPr/>
            </w:pPr>
            <w:r>
              <w:rPr/>
              <w:t>                            </w:t>
            </w:r>
            <w:r>
              <w:rPr/>
              <w:t>$</w:t>
            </w:r>
          </w:p>
        </w:tc>
        <w:tc>
          <w:tcPr>
            <w:tcW w:w="1969" w:type="dxa"/>
            <w:tcBorders/>
            <w:shd w:fill="E5E5E5" w:val="clear"/>
            <w:vAlign w:val="bottom"/>
          </w:tcPr>
          <w:p>
            <w:pPr>
              <w:pStyle w:val="TableContents"/>
              <w:spacing w:before="0" w:after="283"/>
              <w:jc w:val="right"/>
              <w:rPr/>
            </w:pPr>
            <w:r>
              <w:rPr/>
              <w:t>54,265</w:t>
            </w:r>
          </w:p>
        </w:tc>
        <w:tc>
          <w:tcPr>
            <w:tcW w:w="60" w:type="dxa"/>
            <w:tcBorders/>
            <w:shd w:fill="E5E5E5" w:val="clear"/>
            <w:vAlign w:val="bottom"/>
          </w:tcPr>
          <w:p>
            <w:pPr>
              <w:pStyle w:val="TableContents"/>
              <w:spacing w:before="0" w:after="283"/>
              <w:rPr/>
            </w:pPr>
            <w:r>
              <w:rPr/>
              <w:t> </w:t>
            </w:r>
          </w:p>
        </w:tc>
        <w:tc>
          <w:tcPr>
            <w:tcW w:w="433" w:type="dxa"/>
            <w:tcBorders/>
            <w:shd w:fill="E5E5E5" w:val="clear"/>
            <w:vAlign w:val="bottom"/>
          </w:tcPr>
          <w:p>
            <w:pPr>
              <w:pStyle w:val="TableContents"/>
              <w:spacing w:before="0" w:after="283"/>
              <w:rPr/>
            </w:pPr>
            <w:r>
              <w:rPr/>
              <w:t>    </w:t>
            </w:r>
          </w:p>
        </w:tc>
        <w:tc>
          <w:tcPr>
            <w:tcW w:w="621" w:type="dxa"/>
            <w:tcBorders/>
            <w:shd w:fill="E5E5E5" w:val="clear"/>
            <w:vAlign w:val="bottom"/>
          </w:tcPr>
          <w:p>
            <w:pPr>
              <w:pStyle w:val="TableContents"/>
              <w:spacing w:before="0" w:after="283"/>
              <w:rPr/>
            </w:pPr>
            <w:r>
              <w:rPr/>
              <w:t>        </w:t>
            </w:r>
            <w:r>
              <w:rPr/>
              <w:t>$</w:t>
            </w:r>
          </w:p>
        </w:tc>
        <w:tc>
          <w:tcPr>
            <w:tcW w:w="680" w:type="dxa"/>
            <w:tcBorders/>
            <w:shd w:fill="E5E5E5" w:val="clear"/>
            <w:vAlign w:val="bottom"/>
          </w:tcPr>
          <w:p>
            <w:pPr>
              <w:pStyle w:val="TableContents"/>
              <w:spacing w:before="0" w:after="283"/>
              <w:jc w:val="right"/>
              <w:rPr/>
            </w:pPr>
            <w:r>
              <w:rPr/>
              <w:t>11,774</w:t>
            </w:r>
          </w:p>
        </w:tc>
        <w:tc>
          <w:tcPr>
            <w:tcW w:w="60" w:type="dxa"/>
            <w:tcBorders/>
            <w:shd w:fill="E5E5E5" w:val="clear"/>
            <w:vAlign w:val="bottom"/>
          </w:tcPr>
          <w:p>
            <w:pPr>
              <w:pStyle w:val="TableContents"/>
              <w:spacing w:before="0" w:after="283"/>
              <w:rPr/>
            </w:pPr>
            <w:r>
              <w:rPr/>
              <w:t> </w:t>
            </w:r>
          </w:p>
        </w:tc>
        <w:tc>
          <w:tcPr>
            <w:tcW w:w="43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7" w:type="dxa"/>
            <w:tcBorders/>
            <w:shd w:fill="E5E5E5" w:val="clear"/>
            <w:vAlign w:val="bottom"/>
          </w:tcPr>
          <w:p>
            <w:pPr>
              <w:pStyle w:val="TableContents"/>
              <w:spacing w:before="0" w:after="283"/>
              <w:jc w:val="right"/>
              <w:rPr/>
            </w:pPr>
            <w:r>
              <w:rPr/>
              <w:t>39,637</w:t>
            </w:r>
          </w:p>
        </w:tc>
        <w:tc>
          <w:tcPr>
            <w:tcW w:w="59" w:type="dxa"/>
            <w:tcBorders/>
            <w:shd w:fill="E5E5E5" w:val="clear"/>
            <w:vAlign w:val="bottom"/>
          </w:tcPr>
          <w:p>
            <w:pPr>
              <w:pStyle w:val="TableContents"/>
              <w:spacing w:before="0" w:after="283"/>
              <w:rPr/>
            </w:pPr>
            <w:r>
              <w:rPr/>
              <w:t> </w:t>
            </w:r>
          </w:p>
        </w:tc>
        <w:tc>
          <w:tcPr>
            <w:tcW w:w="40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5" w:type="dxa"/>
            <w:tcBorders/>
            <w:shd w:fill="E5E5E5" w:val="clear"/>
            <w:vAlign w:val="bottom"/>
          </w:tcPr>
          <w:p>
            <w:pPr>
              <w:pStyle w:val="TableContents"/>
              <w:spacing w:before="0" w:after="283"/>
              <w:jc w:val="right"/>
              <w:rPr/>
            </w:pPr>
            <w:r>
              <w:rPr/>
              <w:t>$105,676</w:t>
            </w:r>
          </w:p>
        </w:tc>
        <w:tc>
          <w:tcPr>
            <w:tcW w:w="93" w:type="dxa"/>
            <w:tcBorders/>
            <w:shd w:fill="E5E5E5" w:val="clear"/>
            <w:vAlign w:val="bottom"/>
          </w:tcPr>
          <w:p>
            <w:pPr>
              <w:pStyle w:val="TableContents"/>
              <w:spacing w:before="0" w:after="283"/>
              <w:rPr/>
            </w:pPr>
            <w:r>
              <w:rPr/>
              <w:t> </w:t>
            </w:r>
          </w:p>
        </w:tc>
      </w:tr>
      <w:tr>
        <w:trPr>
          <w:trHeight w:val="60" w:hRule="atLeast"/>
        </w:trPr>
        <w:tc>
          <w:tcPr>
            <w:tcW w:w="880" w:type="dxa"/>
            <w:tcBorders/>
            <w:shd w:fill="auto" w:val="clear"/>
            <w:vAlign w:val="center"/>
          </w:tcPr>
          <w:p>
            <w:pPr>
              <w:pStyle w:val="TableContents"/>
              <w:spacing w:before="0" w:after="283"/>
              <w:rPr>
                <w:sz w:val="4"/>
                <w:szCs w:val="4"/>
              </w:rPr>
            </w:pPr>
            <w:r>
              <w:rPr>
                <w:sz w:val="4"/>
                <w:szCs w:val="4"/>
              </w:rPr>
            </w:r>
          </w:p>
        </w:tc>
        <w:tc>
          <w:tcPr>
            <w:tcW w:w="4247" w:type="dxa"/>
            <w:gridSpan w:val="4"/>
            <w:tcBorders/>
            <w:shd w:fill="auto" w:val="clear"/>
            <w:vAlign w:val="center"/>
          </w:tcPr>
          <w:p>
            <w:pPr>
              <w:pStyle w:val="TableContents"/>
              <w:spacing w:before="0" w:after="283"/>
              <w:rPr>
                <w:sz w:val="4"/>
                <w:szCs w:val="4"/>
              </w:rPr>
            </w:pPr>
            <w:r>
              <w:rPr>
                <w:sz w:val="4"/>
                <w:szCs w:val="4"/>
              </w:rPr>
            </w:r>
          </w:p>
        </w:tc>
        <w:tc>
          <w:tcPr>
            <w:tcW w:w="1794" w:type="dxa"/>
            <w:gridSpan w:val="4"/>
            <w:tcBorders/>
            <w:shd w:fill="auto" w:val="clear"/>
            <w:vAlign w:val="center"/>
          </w:tcPr>
          <w:p>
            <w:pPr>
              <w:pStyle w:val="TableContents"/>
              <w:spacing w:before="0" w:after="283"/>
              <w:rPr>
                <w:sz w:val="4"/>
                <w:szCs w:val="4"/>
              </w:rPr>
            </w:pPr>
            <w:r>
              <w:rPr>
                <w:sz w:val="4"/>
                <w:szCs w:val="4"/>
              </w:rPr>
            </w:r>
          </w:p>
        </w:tc>
        <w:tc>
          <w:tcPr>
            <w:tcW w:w="1619" w:type="dxa"/>
            <w:gridSpan w:val="4"/>
            <w:tcBorders/>
            <w:shd w:fill="auto" w:val="clear"/>
            <w:vAlign w:val="center"/>
          </w:tcPr>
          <w:p>
            <w:pPr>
              <w:pStyle w:val="TableContents"/>
              <w:spacing w:before="0" w:after="283"/>
              <w:rPr>
                <w:sz w:val="4"/>
                <w:szCs w:val="4"/>
              </w:rPr>
            </w:pPr>
            <w:r>
              <w:rPr>
                <w:sz w:val="4"/>
                <w:szCs w:val="4"/>
              </w:rPr>
            </w:r>
          </w:p>
        </w:tc>
        <w:tc>
          <w:tcPr>
            <w:tcW w:w="1665" w:type="dxa"/>
            <w:gridSpan w:val="4"/>
            <w:tcBorders/>
            <w:shd w:fill="auto" w:val="clear"/>
            <w:vAlign w:val="center"/>
          </w:tcPr>
          <w:p>
            <w:pPr>
              <w:pStyle w:val="TableContents"/>
              <w:spacing w:before="0" w:after="283"/>
              <w:rPr>
                <w:sz w:val="4"/>
                <w:szCs w:val="4"/>
              </w:rPr>
            </w:pPr>
            <w:r>
              <w:rPr>
                <w:sz w:val="4"/>
                <w:szCs w:val="4"/>
              </w:rPr>
            </w:r>
          </w:p>
        </w:tc>
      </w:tr>
      <w:tr>
        <w:trPr/>
        <w:tc>
          <w:tcPr>
            <w:tcW w:w="880" w:type="dxa"/>
            <w:tcBorders/>
            <w:shd w:fill="auto" w:val="clear"/>
          </w:tcPr>
          <w:p>
            <w:pPr>
              <w:pStyle w:val="TableContents"/>
              <w:spacing w:before="0" w:after="0"/>
              <w:rPr>
                <w:rFonts w:ascii="arial" w:hAnsi="arial"/>
                <w:sz w:val="16"/>
              </w:rPr>
            </w:pPr>
            <w:r>
              <w:rPr>
                <w:rFonts w:ascii="arial" w:hAnsi="arial"/>
                <w:sz w:val="16"/>
              </w:rPr>
              <w:t>Peter R. Wall</w:t>
            </w:r>
          </w:p>
        </w:tc>
        <w:tc>
          <w:tcPr>
            <w:tcW w:w="380" w:type="dxa"/>
            <w:tcBorders/>
            <w:shd w:fill="auto" w:val="clear"/>
            <w:vAlign w:val="bottom"/>
          </w:tcPr>
          <w:p>
            <w:pPr>
              <w:pStyle w:val="TableContents"/>
              <w:spacing w:before="0" w:after="283"/>
              <w:rPr/>
            </w:pPr>
            <w:r>
              <w:rPr/>
              <w:t>    </w:t>
            </w:r>
          </w:p>
        </w:tc>
        <w:tc>
          <w:tcPr>
            <w:tcW w:w="1838" w:type="dxa"/>
            <w:tcBorders/>
            <w:shd w:fill="auto" w:val="clear"/>
            <w:vAlign w:val="bottom"/>
          </w:tcPr>
          <w:p>
            <w:pPr>
              <w:pStyle w:val="TableContents"/>
              <w:spacing w:before="0" w:after="283"/>
              <w:rPr/>
            </w:pPr>
            <w:r>
              <w:rPr/>
              <w:t>                            </w:t>
            </w:r>
            <w:r>
              <w:rPr/>
              <w:t>$</w:t>
            </w:r>
          </w:p>
        </w:tc>
        <w:tc>
          <w:tcPr>
            <w:tcW w:w="1969" w:type="dxa"/>
            <w:tcBorders/>
            <w:shd w:fill="auto" w:val="clear"/>
            <w:vAlign w:val="bottom"/>
          </w:tcPr>
          <w:p>
            <w:pPr>
              <w:pStyle w:val="TableContents"/>
              <w:spacing w:before="0" w:after="283"/>
              <w:jc w:val="right"/>
              <w:rPr/>
            </w:pPr>
            <w:r>
              <w:rPr/>
              <w:t>20,789</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r>
              <w:rPr/>
              <w:t>$</w:t>
            </w:r>
          </w:p>
        </w:tc>
        <w:tc>
          <w:tcPr>
            <w:tcW w:w="680" w:type="dxa"/>
            <w:tcBorders/>
            <w:shd w:fill="auto" w:val="clear"/>
            <w:vAlign w:val="bottom"/>
          </w:tcPr>
          <w:p>
            <w:pPr>
              <w:pStyle w:val="TableContents"/>
              <w:spacing w:before="0" w:after="283"/>
              <w:jc w:val="right"/>
              <w:rPr/>
            </w:pPr>
            <w:r>
              <w:rPr/>
              <w:t>2,125</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7" w:type="dxa"/>
            <w:tcBorders/>
            <w:shd w:fill="auto" w:val="clear"/>
            <w:vAlign w:val="bottom"/>
          </w:tcPr>
          <w:p>
            <w:pPr>
              <w:pStyle w:val="TableContents"/>
              <w:spacing w:before="0" w:after="283"/>
              <w:jc w:val="right"/>
              <w:rPr/>
            </w:pPr>
            <w:r>
              <w:rPr/>
              <w:t>11,065</w:t>
            </w:r>
          </w:p>
        </w:tc>
        <w:tc>
          <w:tcPr>
            <w:tcW w:w="59"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$33,979</w:t>
            </w:r>
          </w:p>
        </w:tc>
        <w:tc>
          <w:tcPr>
            <w:tcW w:w="93" w:type="dxa"/>
            <w:tcBorders/>
            <w:shd w:fill="auto" w:val="clear"/>
            <w:vAlign w:val="bottom"/>
          </w:tcPr>
          <w:p>
            <w:pPr>
              <w:pStyle w:val="TableContents"/>
              <w:spacing w:before="0" w:after="283"/>
              <w:rPr/>
            </w:pPr>
            <w:r>
              <w:rPr/>
              <w:t> </w:t>
            </w:r>
          </w:p>
        </w:tc>
      </w:tr>
      <w:tr>
        <w:trPr>
          <w:trHeight w:val="60" w:hRule="atLeast"/>
        </w:trPr>
        <w:tc>
          <w:tcPr>
            <w:tcW w:w="880" w:type="dxa"/>
            <w:tcBorders/>
            <w:shd w:fill="E5E5E5" w:val="clear"/>
            <w:vAlign w:val="center"/>
          </w:tcPr>
          <w:p>
            <w:pPr>
              <w:pStyle w:val="TableContents"/>
              <w:spacing w:before="0" w:after="283"/>
              <w:rPr>
                <w:sz w:val="4"/>
                <w:szCs w:val="4"/>
              </w:rPr>
            </w:pPr>
            <w:r>
              <w:rPr>
                <w:sz w:val="4"/>
                <w:szCs w:val="4"/>
              </w:rPr>
            </w:r>
          </w:p>
        </w:tc>
        <w:tc>
          <w:tcPr>
            <w:tcW w:w="4247" w:type="dxa"/>
            <w:gridSpan w:val="4"/>
            <w:tcBorders/>
            <w:shd w:fill="E5E5E5" w:val="clear"/>
            <w:vAlign w:val="center"/>
          </w:tcPr>
          <w:p>
            <w:pPr>
              <w:pStyle w:val="TableContents"/>
              <w:spacing w:before="0" w:after="283"/>
              <w:rPr>
                <w:sz w:val="4"/>
                <w:szCs w:val="4"/>
              </w:rPr>
            </w:pPr>
            <w:r>
              <w:rPr>
                <w:sz w:val="4"/>
                <w:szCs w:val="4"/>
              </w:rPr>
            </w:r>
          </w:p>
        </w:tc>
        <w:tc>
          <w:tcPr>
            <w:tcW w:w="1794" w:type="dxa"/>
            <w:gridSpan w:val="4"/>
            <w:tcBorders/>
            <w:shd w:fill="E5E5E5" w:val="clear"/>
            <w:vAlign w:val="center"/>
          </w:tcPr>
          <w:p>
            <w:pPr>
              <w:pStyle w:val="TableContents"/>
              <w:spacing w:before="0" w:after="283"/>
              <w:rPr>
                <w:sz w:val="4"/>
                <w:szCs w:val="4"/>
              </w:rPr>
            </w:pPr>
            <w:r>
              <w:rPr>
                <w:sz w:val="4"/>
                <w:szCs w:val="4"/>
              </w:rPr>
            </w:r>
          </w:p>
        </w:tc>
        <w:tc>
          <w:tcPr>
            <w:tcW w:w="1619" w:type="dxa"/>
            <w:gridSpan w:val="4"/>
            <w:tcBorders/>
            <w:shd w:fill="E5E5E5" w:val="clear"/>
            <w:vAlign w:val="center"/>
          </w:tcPr>
          <w:p>
            <w:pPr>
              <w:pStyle w:val="TableContents"/>
              <w:spacing w:before="0" w:after="283"/>
              <w:rPr>
                <w:sz w:val="4"/>
                <w:szCs w:val="4"/>
              </w:rPr>
            </w:pPr>
            <w:r>
              <w:rPr>
                <w:sz w:val="4"/>
                <w:szCs w:val="4"/>
              </w:rPr>
            </w:r>
          </w:p>
        </w:tc>
        <w:tc>
          <w:tcPr>
            <w:tcW w:w="1665" w:type="dxa"/>
            <w:gridSpan w:val="4"/>
            <w:tcBorders/>
            <w:shd w:fill="E5E5E5" w:val="clear"/>
            <w:vAlign w:val="center"/>
          </w:tcPr>
          <w:p>
            <w:pPr>
              <w:pStyle w:val="TableContents"/>
              <w:spacing w:before="0" w:after="283"/>
              <w:rPr>
                <w:sz w:val="4"/>
                <w:szCs w:val="4"/>
              </w:rPr>
            </w:pPr>
            <w:r>
              <w:rPr>
                <w:sz w:val="4"/>
                <w:szCs w:val="4"/>
              </w:rPr>
            </w:r>
          </w:p>
        </w:tc>
      </w:tr>
      <w:tr>
        <w:trPr/>
        <w:tc>
          <w:tcPr>
            <w:tcW w:w="880" w:type="dxa"/>
            <w:tcBorders/>
            <w:shd w:fill="E5E5E5" w:val="clear"/>
          </w:tcPr>
          <w:p>
            <w:pPr>
              <w:pStyle w:val="TableContents"/>
              <w:spacing w:before="0" w:after="0"/>
              <w:rPr>
                <w:rFonts w:ascii="arial" w:hAnsi="arial"/>
                <w:sz w:val="16"/>
              </w:rPr>
            </w:pPr>
            <w:r>
              <w:rPr>
                <w:rFonts w:ascii="arial" w:hAnsi="arial"/>
                <w:sz w:val="16"/>
              </w:rPr>
              <w:t>Dennis V. Arriola</w:t>
            </w:r>
          </w:p>
        </w:tc>
        <w:tc>
          <w:tcPr>
            <w:tcW w:w="380" w:type="dxa"/>
            <w:tcBorders/>
            <w:shd w:fill="E5E5E5" w:val="clear"/>
            <w:vAlign w:val="bottom"/>
          </w:tcPr>
          <w:p>
            <w:pPr>
              <w:pStyle w:val="TableContents"/>
              <w:spacing w:before="0" w:after="283"/>
              <w:rPr/>
            </w:pPr>
            <w:r>
              <w:rPr/>
              <w:t>    </w:t>
            </w:r>
          </w:p>
        </w:tc>
        <w:tc>
          <w:tcPr>
            <w:tcW w:w="1838" w:type="dxa"/>
            <w:tcBorders/>
            <w:shd w:fill="E5E5E5" w:val="clear"/>
            <w:vAlign w:val="bottom"/>
          </w:tcPr>
          <w:p>
            <w:pPr>
              <w:pStyle w:val="TableContents"/>
              <w:spacing w:before="0" w:after="283"/>
              <w:rPr/>
            </w:pPr>
            <w:r>
              <w:rPr/>
              <w:t>                            </w:t>
            </w:r>
            <w:r>
              <w:rPr/>
              <w:t>$</w:t>
            </w:r>
          </w:p>
        </w:tc>
        <w:tc>
          <w:tcPr>
            <w:tcW w:w="1969" w:type="dxa"/>
            <w:tcBorders/>
            <w:shd w:fill="E5E5E5" w:val="clear"/>
            <w:vAlign w:val="bottom"/>
          </w:tcPr>
          <w:p>
            <w:pPr>
              <w:pStyle w:val="TableContents"/>
              <w:spacing w:before="0" w:after="283"/>
              <w:jc w:val="right"/>
              <w:rPr/>
            </w:pPr>
            <w:r>
              <w:rPr/>
              <w:t>54,893</w:t>
            </w:r>
          </w:p>
        </w:tc>
        <w:tc>
          <w:tcPr>
            <w:tcW w:w="60" w:type="dxa"/>
            <w:tcBorders/>
            <w:shd w:fill="E5E5E5" w:val="clear"/>
            <w:vAlign w:val="bottom"/>
          </w:tcPr>
          <w:p>
            <w:pPr>
              <w:pStyle w:val="TableContents"/>
              <w:spacing w:before="0" w:after="283"/>
              <w:rPr/>
            </w:pPr>
            <w:r>
              <w:rPr/>
              <w:t> </w:t>
            </w:r>
          </w:p>
        </w:tc>
        <w:tc>
          <w:tcPr>
            <w:tcW w:w="433" w:type="dxa"/>
            <w:tcBorders/>
            <w:shd w:fill="E5E5E5" w:val="clear"/>
            <w:vAlign w:val="bottom"/>
          </w:tcPr>
          <w:p>
            <w:pPr>
              <w:pStyle w:val="TableContents"/>
              <w:spacing w:before="0" w:after="283"/>
              <w:rPr/>
            </w:pPr>
            <w:r>
              <w:rPr/>
              <w:t>    </w:t>
            </w:r>
          </w:p>
        </w:tc>
        <w:tc>
          <w:tcPr>
            <w:tcW w:w="621" w:type="dxa"/>
            <w:tcBorders/>
            <w:shd w:fill="E5E5E5" w:val="clear"/>
            <w:vAlign w:val="bottom"/>
          </w:tcPr>
          <w:p>
            <w:pPr>
              <w:pStyle w:val="TableContents"/>
              <w:spacing w:before="0" w:after="283"/>
              <w:rPr/>
            </w:pPr>
            <w:r>
              <w:rPr/>
              <w:t>        </w:t>
            </w:r>
            <w:r>
              <w:rPr/>
              <w:t>$</w:t>
            </w:r>
          </w:p>
        </w:tc>
        <w:tc>
          <w:tcPr>
            <w:tcW w:w="680" w:type="dxa"/>
            <w:tcBorders/>
            <w:shd w:fill="E5E5E5" w:val="clear"/>
            <w:vAlign w:val="bottom"/>
          </w:tcPr>
          <w:p>
            <w:pPr>
              <w:pStyle w:val="TableContents"/>
              <w:spacing w:before="0" w:after="283"/>
              <w:jc w:val="right"/>
              <w:rPr/>
            </w:pPr>
            <w:r>
              <w:rPr/>
              <w:t>6,079</w:t>
            </w:r>
          </w:p>
        </w:tc>
        <w:tc>
          <w:tcPr>
            <w:tcW w:w="60" w:type="dxa"/>
            <w:tcBorders/>
            <w:shd w:fill="E5E5E5" w:val="clear"/>
            <w:vAlign w:val="bottom"/>
          </w:tcPr>
          <w:p>
            <w:pPr>
              <w:pStyle w:val="TableContents"/>
              <w:spacing w:before="0" w:after="283"/>
              <w:rPr/>
            </w:pPr>
            <w:r>
              <w:rPr/>
              <w:t> </w:t>
            </w:r>
          </w:p>
        </w:tc>
        <w:tc>
          <w:tcPr>
            <w:tcW w:w="43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7" w:type="dxa"/>
            <w:tcBorders/>
            <w:shd w:fill="E5E5E5" w:val="clear"/>
            <w:vAlign w:val="bottom"/>
          </w:tcPr>
          <w:p>
            <w:pPr>
              <w:pStyle w:val="TableContents"/>
              <w:spacing w:before="0" w:after="283"/>
              <w:jc w:val="right"/>
              <w:rPr/>
            </w:pPr>
            <w:r>
              <w:rPr/>
              <w:t>51,720</w:t>
            </w:r>
          </w:p>
        </w:tc>
        <w:tc>
          <w:tcPr>
            <w:tcW w:w="59" w:type="dxa"/>
            <w:tcBorders/>
            <w:shd w:fill="E5E5E5" w:val="clear"/>
            <w:vAlign w:val="bottom"/>
          </w:tcPr>
          <w:p>
            <w:pPr>
              <w:pStyle w:val="TableContents"/>
              <w:spacing w:before="0" w:after="283"/>
              <w:rPr/>
            </w:pPr>
            <w:r>
              <w:rPr/>
              <w:t> </w:t>
            </w:r>
          </w:p>
        </w:tc>
        <w:tc>
          <w:tcPr>
            <w:tcW w:w="40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5" w:type="dxa"/>
            <w:tcBorders/>
            <w:shd w:fill="E5E5E5" w:val="clear"/>
            <w:vAlign w:val="bottom"/>
          </w:tcPr>
          <w:p>
            <w:pPr>
              <w:pStyle w:val="TableContents"/>
              <w:spacing w:before="0" w:after="283"/>
              <w:jc w:val="right"/>
              <w:rPr/>
            </w:pPr>
            <w:r>
              <w:rPr/>
              <w:t>$112,692</w:t>
            </w:r>
          </w:p>
        </w:tc>
        <w:tc>
          <w:tcPr>
            <w:tcW w:w="93" w:type="dxa"/>
            <w:tcBorders/>
            <w:shd w:fill="E5E5E5" w:val="clear"/>
            <w:vAlign w:val="bottom"/>
          </w:tcPr>
          <w:p>
            <w:pPr>
              <w:pStyle w:val="TableContents"/>
              <w:spacing w:before="0" w:after="283"/>
              <w:rPr/>
            </w:pPr>
            <w:r>
              <w:rPr/>
              <w:t> </w:t>
            </w:r>
          </w:p>
        </w:tc>
      </w:tr>
      <w:tr>
        <w:trPr>
          <w:trHeight w:val="60" w:hRule="atLeast"/>
        </w:trPr>
        <w:tc>
          <w:tcPr>
            <w:tcW w:w="880" w:type="dxa"/>
            <w:tcBorders/>
            <w:shd w:fill="auto" w:val="clear"/>
            <w:vAlign w:val="center"/>
          </w:tcPr>
          <w:p>
            <w:pPr>
              <w:pStyle w:val="TableContents"/>
              <w:spacing w:before="0" w:after="283"/>
              <w:rPr>
                <w:sz w:val="4"/>
                <w:szCs w:val="4"/>
              </w:rPr>
            </w:pPr>
            <w:r>
              <w:rPr>
                <w:sz w:val="4"/>
                <w:szCs w:val="4"/>
              </w:rPr>
            </w:r>
          </w:p>
        </w:tc>
        <w:tc>
          <w:tcPr>
            <w:tcW w:w="4247" w:type="dxa"/>
            <w:gridSpan w:val="4"/>
            <w:tcBorders/>
            <w:shd w:fill="auto" w:val="clear"/>
            <w:vAlign w:val="center"/>
          </w:tcPr>
          <w:p>
            <w:pPr>
              <w:pStyle w:val="TableContents"/>
              <w:spacing w:before="0" w:after="283"/>
              <w:rPr>
                <w:sz w:val="4"/>
                <w:szCs w:val="4"/>
              </w:rPr>
            </w:pPr>
            <w:r>
              <w:rPr>
                <w:sz w:val="4"/>
                <w:szCs w:val="4"/>
              </w:rPr>
            </w:r>
          </w:p>
        </w:tc>
        <w:tc>
          <w:tcPr>
            <w:tcW w:w="1794" w:type="dxa"/>
            <w:gridSpan w:val="4"/>
            <w:tcBorders/>
            <w:shd w:fill="auto" w:val="clear"/>
            <w:vAlign w:val="center"/>
          </w:tcPr>
          <w:p>
            <w:pPr>
              <w:pStyle w:val="TableContents"/>
              <w:spacing w:before="0" w:after="283"/>
              <w:rPr>
                <w:sz w:val="4"/>
                <w:szCs w:val="4"/>
              </w:rPr>
            </w:pPr>
            <w:r>
              <w:rPr>
                <w:sz w:val="4"/>
                <w:szCs w:val="4"/>
              </w:rPr>
            </w:r>
          </w:p>
        </w:tc>
        <w:tc>
          <w:tcPr>
            <w:tcW w:w="1619" w:type="dxa"/>
            <w:gridSpan w:val="4"/>
            <w:tcBorders/>
            <w:shd w:fill="auto" w:val="clear"/>
            <w:vAlign w:val="center"/>
          </w:tcPr>
          <w:p>
            <w:pPr>
              <w:pStyle w:val="TableContents"/>
              <w:spacing w:before="0" w:after="283"/>
              <w:rPr>
                <w:sz w:val="4"/>
                <w:szCs w:val="4"/>
              </w:rPr>
            </w:pPr>
            <w:r>
              <w:rPr>
                <w:sz w:val="4"/>
                <w:szCs w:val="4"/>
              </w:rPr>
            </w:r>
          </w:p>
        </w:tc>
        <w:tc>
          <w:tcPr>
            <w:tcW w:w="1665" w:type="dxa"/>
            <w:gridSpan w:val="4"/>
            <w:tcBorders/>
            <w:shd w:fill="auto" w:val="clear"/>
            <w:vAlign w:val="center"/>
          </w:tcPr>
          <w:p>
            <w:pPr>
              <w:pStyle w:val="TableContents"/>
              <w:spacing w:before="0" w:after="283"/>
              <w:rPr>
                <w:sz w:val="4"/>
                <w:szCs w:val="4"/>
              </w:rPr>
            </w:pPr>
            <w:r>
              <w:rPr>
                <w:sz w:val="4"/>
                <w:szCs w:val="4"/>
              </w:rPr>
            </w:r>
          </w:p>
        </w:tc>
      </w:tr>
      <w:tr>
        <w:trPr/>
        <w:tc>
          <w:tcPr>
            <w:tcW w:w="880"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George W. Bilicic</w:t>
            </w:r>
          </w:p>
        </w:tc>
        <w:tc>
          <w:tcPr>
            <w:tcW w:w="380" w:type="dxa"/>
            <w:tcBorders>
              <w:bottom w:val="single" w:sz="8" w:space="0" w:color="001C71"/>
            </w:tcBorders>
            <w:shd w:fill="auto" w:val="clear"/>
            <w:tcMar>
              <w:bottom w:w="28" w:type="dxa"/>
            </w:tcMar>
            <w:vAlign w:val="bottom"/>
          </w:tcPr>
          <w:p>
            <w:pPr>
              <w:pStyle w:val="TableContents"/>
              <w:spacing w:before="0" w:after="283"/>
              <w:rPr/>
            </w:pPr>
            <w:r>
              <w:rPr/>
              <w:t>    </w:t>
            </w:r>
          </w:p>
        </w:tc>
        <w:tc>
          <w:tcPr>
            <w:tcW w:w="1838" w:type="dxa"/>
            <w:tcBorders>
              <w:bottom w:val="single" w:sz="8" w:space="0" w:color="001C71"/>
            </w:tcBorders>
            <w:shd w:fill="auto" w:val="clear"/>
            <w:tcMar>
              <w:bottom w:w="60" w:type="dxa"/>
            </w:tcMar>
            <w:vAlign w:val="bottom"/>
          </w:tcPr>
          <w:p>
            <w:pPr>
              <w:pStyle w:val="TableContents"/>
              <w:spacing w:before="0" w:after="283"/>
              <w:rPr/>
            </w:pPr>
            <w:r>
              <w:rPr/>
              <w:t> </w:t>
            </w:r>
          </w:p>
        </w:tc>
        <w:tc>
          <w:tcPr>
            <w:tcW w:w="1969" w:type="dxa"/>
            <w:tcBorders>
              <w:bottom w:val="single" w:sz="8" w:space="0" w:color="001C71"/>
            </w:tcBorders>
            <w:shd w:fill="auto" w:val="clear"/>
            <w:tcMar>
              <w:bottom w:w="60" w:type="dxa"/>
            </w:tcMar>
            <w:vAlign w:val="bottom"/>
          </w:tcPr>
          <w:p>
            <w:pPr>
              <w:pStyle w:val="TableContents"/>
              <w:spacing w:before="0" w:after="283"/>
              <w:jc w:val="right"/>
              <w:rPr/>
            </w:pPr>
            <w:r>
              <w:rPr/>
              <w:t>                             </w:t>
            </w:r>
            <w:r>
              <w:rPr/>
              <w:t></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433" w:type="dxa"/>
            <w:tcBorders>
              <w:bottom w:val="single" w:sz="8" w:space="0" w:color="001C71"/>
            </w:tcBorders>
            <w:shd w:fill="auto" w:val="clear"/>
            <w:tcMar>
              <w:bottom w:w="28" w:type="dxa"/>
            </w:tcMar>
            <w:vAlign w:val="bottom"/>
          </w:tcPr>
          <w:p>
            <w:pPr>
              <w:pStyle w:val="TableContents"/>
              <w:spacing w:before="0" w:after="283"/>
              <w:rPr/>
            </w:pPr>
            <w:r>
              <w:rPr/>
              <w:t>    </w:t>
            </w:r>
          </w:p>
        </w:tc>
        <w:tc>
          <w:tcPr>
            <w:tcW w:w="621" w:type="dxa"/>
            <w:tcBorders>
              <w:bottom w:val="single" w:sz="8" w:space="0" w:color="001C71"/>
            </w:tcBorders>
            <w:shd w:fill="auto" w:val="clear"/>
            <w:tcMar>
              <w:bottom w:w="60" w:type="dxa"/>
            </w:tcMar>
            <w:vAlign w:val="bottom"/>
          </w:tcPr>
          <w:p>
            <w:pPr>
              <w:pStyle w:val="TableContents"/>
              <w:spacing w:before="0" w:after="283"/>
              <w:rPr/>
            </w:pPr>
            <w:r>
              <w:rPr/>
              <w:t> </w:t>
            </w:r>
          </w:p>
        </w:tc>
        <w:tc>
          <w:tcPr>
            <w:tcW w:w="680" w:type="dxa"/>
            <w:tcBorders>
              <w:bottom w:val="single" w:sz="8" w:space="0" w:color="001C71"/>
            </w:tcBorders>
            <w:shd w:fill="auto" w:val="clear"/>
            <w:tcMar>
              <w:bottom w:w="60" w:type="dxa"/>
            </w:tcMar>
            <w:vAlign w:val="bottom"/>
          </w:tcPr>
          <w:p>
            <w:pPr>
              <w:pStyle w:val="TableContents"/>
              <w:spacing w:before="0" w:after="283"/>
              <w:jc w:val="right"/>
              <w:rPr/>
            </w:pPr>
            <w:r>
              <w:rPr/>
              <w:t>        </w:t>
            </w:r>
            <w:r>
              <w:rPr/>
              <w:t></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433"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60" w:type="dxa"/>
            </w:tcMar>
            <w:vAlign w:val="bottom"/>
          </w:tcPr>
          <w:p>
            <w:pPr>
              <w:pStyle w:val="TableContents"/>
              <w:spacing w:before="0" w:after="283"/>
              <w:rPr/>
            </w:pPr>
            <w:r>
              <w:rPr/>
              <w:t>$</w:t>
            </w:r>
          </w:p>
        </w:tc>
        <w:tc>
          <w:tcPr>
            <w:tcW w:w="987" w:type="dxa"/>
            <w:tcBorders>
              <w:bottom w:val="single" w:sz="8" w:space="0" w:color="001C71"/>
            </w:tcBorders>
            <w:shd w:fill="auto" w:val="clear"/>
            <w:tcMar>
              <w:bottom w:w="60" w:type="dxa"/>
            </w:tcMar>
            <w:vAlign w:val="bottom"/>
          </w:tcPr>
          <w:p>
            <w:pPr>
              <w:pStyle w:val="TableContents"/>
              <w:spacing w:before="0" w:after="283"/>
              <w:jc w:val="right"/>
              <w:rPr/>
            </w:pPr>
            <w:r>
              <w:rPr/>
              <w:t>3,370,566</w:t>
            </w:r>
          </w:p>
        </w:tc>
        <w:tc>
          <w:tcPr>
            <w:tcW w:w="59" w:type="dxa"/>
            <w:tcBorders>
              <w:bottom w:val="single" w:sz="8" w:space="0" w:color="001C71"/>
            </w:tcBorders>
            <w:shd w:fill="auto" w:val="clear"/>
            <w:tcMar>
              <w:bottom w:w="60" w:type="dxa"/>
            </w:tcMar>
            <w:vAlign w:val="bottom"/>
          </w:tcPr>
          <w:p>
            <w:pPr>
              <w:pStyle w:val="TableContents"/>
              <w:spacing w:before="0" w:after="283"/>
              <w:rPr/>
            </w:pPr>
            <w:r>
              <w:rPr/>
              <w:t> </w:t>
            </w:r>
          </w:p>
        </w:tc>
        <w:tc>
          <w:tcPr>
            <w:tcW w:w="407"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105" w:type="dxa"/>
            <w:tcBorders>
              <w:bottom w:val="single" w:sz="8" w:space="0" w:color="001C71"/>
            </w:tcBorders>
            <w:shd w:fill="auto" w:val="clear"/>
            <w:tcMar>
              <w:bottom w:w="60" w:type="dxa"/>
            </w:tcMar>
            <w:vAlign w:val="bottom"/>
          </w:tcPr>
          <w:p>
            <w:pPr>
              <w:pStyle w:val="TableContents"/>
              <w:spacing w:before="0" w:after="283"/>
              <w:jc w:val="right"/>
              <w:rPr/>
            </w:pPr>
            <w:r>
              <w:rPr/>
              <w:t>$3,370,566</w:t>
            </w:r>
          </w:p>
        </w:tc>
        <w:tc>
          <w:tcPr>
            <w:tcW w:w="93"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7"/>
        <w:gridCol w:w="228"/>
        <w:gridCol w:w="9670"/>
      </w:tblGrid>
      <w:tr>
        <w:trPr/>
        <w:tc>
          <w:tcPr>
            <w:tcW w:w="307" w:type="dxa"/>
            <w:tcBorders/>
            <w:shd w:fill="auto" w:val="clear"/>
            <w:vAlign w:val="center"/>
          </w:tcPr>
          <w:p>
            <w:pPr>
              <w:pStyle w:val="TableContents"/>
              <w:spacing w:before="0" w:after="283"/>
              <w:rPr/>
            </w:pPr>
            <w:r>
              <w:rPr/>
              <w:t> </w:t>
            </w:r>
          </w:p>
        </w:tc>
        <w:tc>
          <w:tcPr>
            <w:tcW w:w="228" w:type="dxa"/>
            <w:tcBorders/>
            <w:shd w:fill="auto" w:val="clear"/>
          </w:tcPr>
          <w:p>
            <w:pPr>
              <w:pStyle w:val="TableContents"/>
              <w:spacing w:before="0" w:after="283"/>
              <w:jc w:val="left"/>
              <w:rPr>
                <w:i/>
              </w:rPr>
            </w:pPr>
            <w:r>
              <w:rPr>
                <w:i/>
              </w:rPr>
              <w:t>(1)</w:t>
            </w:r>
          </w:p>
        </w:tc>
        <w:tc>
          <w:tcPr>
            <w:tcW w:w="9670" w:type="dxa"/>
            <w:tcBorders/>
            <w:shd w:fill="auto" w:val="clear"/>
          </w:tcPr>
          <w:p>
            <w:pPr>
              <w:pStyle w:val="TableContents"/>
              <w:spacing w:before="0" w:after="0"/>
              <w:jc w:val="left"/>
              <w:rPr>
                <w:rFonts w:ascii="arial" w:hAnsi="arial"/>
                <w:i/>
                <w:sz w:val="14"/>
              </w:rPr>
            </w:pPr>
            <w:r>
              <w:rPr>
                <w:rFonts w:ascii="arial" w:hAnsi="arial"/>
                <w:i/>
                <w:sz w:val="14"/>
              </w:rPr>
              <w:t xml:space="preserve">Amounts include premiums for supplemental disability benefits, and for Mr. Martin, life insurance premiums of $18,964. Information on these programs is provided under Compensation Discussion and AnalysisBenefit PlansHealth, Life Insurance and Disability Plans and Other Benefits.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7"/>
        <w:gridCol w:w="219"/>
        <w:gridCol w:w="9679"/>
      </w:tblGrid>
      <w:tr>
        <w:trPr/>
        <w:tc>
          <w:tcPr>
            <w:tcW w:w="307" w:type="dxa"/>
            <w:tcBorders/>
            <w:shd w:fill="auto" w:val="clear"/>
            <w:vAlign w:val="center"/>
          </w:tcPr>
          <w:p>
            <w:pPr>
              <w:pStyle w:val="TableContents"/>
              <w:spacing w:before="0" w:after="283"/>
              <w:rPr/>
            </w:pPr>
            <w:r>
              <w:rPr/>
              <w:t> </w:t>
            </w:r>
          </w:p>
        </w:tc>
        <w:tc>
          <w:tcPr>
            <w:tcW w:w="219" w:type="dxa"/>
            <w:tcBorders/>
            <w:shd w:fill="auto" w:val="clear"/>
          </w:tcPr>
          <w:p>
            <w:pPr>
              <w:pStyle w:val="TableContents"/>
              <w:spacing w:before="0" w:after="283"/>
              <w:jc w:val="left"/>
              <w:rPr>
                <w:i/>
              </w:rPr>
            </w:pPr>
            <w:r>
              <w:rPr>
                <w:i/>
              </w:rPr>
              <w:t>(2)</w:t>
            </w:r>
          </w:p>
        </w:tc>
        <w:tc>
          <w:tcPr>
            <w:tcW w:w="9679" w:type="dxa"/>
            <w:tcBorders/>
            <w:shd w:fill="auto" w:val="clear"/>
          </w:tcPr>
          <w:p>
            <w:pPr>
              <w:pStyle w:val="TableContents"/>
              <w:spacing w:before="0" w:after="0"/>
              <w:jc w:val="left"/>
              <w:rPr>
                <w:rFonts w:ascii="arial" w:hAnsi="arial"/>
                <w:i/>
                <w:sz w:val="14"/>
              </w:rPr>
            </w:pPr>
            <w:r>
              <w:rPr>
                <w:rFonts w:ascii="arial" w:hAnsi="arial"/>
                <w:i/>
                <w:sz w:val="14"/>
              </w:rPr>
              <w:t xml:space="preserve">Amounts shown in the Other column consist of our contributions to charitable, educational and other non-profit organizations to match the personal contributions of executive officers on a dollar-for-dollar basis up to an annual maximum match of $25,000 ($15,000 for Mr. Wall) for each named executive officer; financial and estate planning services; an executive benefit program allowance ($40,000 for Mr. Martin, $30,000 for Messrs.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72</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6"/>
        <w:gridCol w:w="9699"/>
      </w:tblGrid>
      <w:tr>
        <w:trPr/>
        <w:tc>
          <w:tcPr>
            <w:tcW w:w="506" w:type="dxa"/>
            <w:tcBorders/>
            <w:shd w:fill="auto" w:val="clear"/>
            <w:vAlign w:val="center"/>
          </w:tcPr>
          <w:p>
            <w:pPr>
              <w:pStyle w:val="TableContents"/>
              <w:spacing w:before="0" w:after="283"/>
              <w:rPr/>
            </w:pPr>
            <w:r>
              <w:rPr/>
              <w:t> </w:t>
            </w:r>
          </w:p>
        </w:tc>
        <w:tc>
          <w:tcPr>
            <w:tcW w:w="9699" w:type="dxa"/>
            <w:tcBorders/>
            <w:shd w:fill="auto" w:val="clear"/>
          </w:tcPr>
          <w:p>
            <w:pPr>
              <w:pStyle w:val="TableContents"/>
              <w:spacing w:before="0" w:after="283"/>
              <w:jc w:val="left"/>
              <w:rPr>
                <w:i/>
              </w:rPr>
            </w:pPr>
            <w:r>
              <w:rPr>
                <w:i/>
              </w:rPr>
              <w:t xml:space="preserve">Mihalik, Sagara, Arriola and Bilicic and $0 for Mr. Wall); the cost of a residential security assessment for Mr. Sagara; the incremental cost to the company for Mr. Martin of (i) commuting and other personal use of company cars and drivers and (ii) the personal use of the companys aircraft service in the amount of $37,292 (with the incremental cost calculated based on the amounts invoiced to the company for the applicable flights), which use, in lieu of flying commercial, was encouraged by our Board of Directors during the pendency of the COVID-19 pandemic; and $3,348,000 in cash severance and other benefits paid and payable to Mr. Bilicic pursuant to the terms of his separation from service but excluding the value realized in connection with a service-based restricted stock unit award consisting of 31,427 shares that vested pursuant to its terms upon Mr. Bilicics separation from service (see Compensation TablesOption Exercises and Stock Vested and Compensation TablesSeverance and Change in Control Benefits below for additional information). Amounts shown do not include parking at company offices and the occasional personal use by executive officers of company property and services (including entertainment events which would not otherwise be used for the business purposes for which they were obtained) for which we incur no more than nominal incremental cost or for which we are reimbursed by the executive for the incremental cost of personal use. On rare occasions, family members and guests of named executive officers travel on non-commercial aircraft when the aircraft is already going to a specific destination for a business purpose. This use has a nominal incremental cost to the company and, if calculable, this nominal amount is included in All Other Compensation above. </w:t>
            </w:r>
          </w:p>
        </w:tc>
      </w:tr>
    </w:tbl>
    <w:p>
      <w:pPr>
        <w:pStyle w:val="TextBody"/>
        <w:spacing w:before="200" w:after="0"/>
        <w:jc w:val="left"/>
        <w:rPr>
          <w:rFonts w:ascii="arial" w:hAnsi="arial"/>
          <w:color w:val="001C71"/>
          <w:sz w:val="16"/>
        </w:rPr>
      </w:pPr>
      <w:r>
        <w:rPr>
          <w:rFonts w:ascii="arial" w:hAnsi="arial"/>
          <w:color w:val="001C71"/>
          <w:sz w:val="16"/>
        </w:rPr>
        <w:t xml:space="preserve">SUMMARY OF BASE SALARY, BONUS, STOCK AWARDS, OPTION AWARDS AND NON-EQUITY INCENTIVE PLAN COMPENSATION </w:t>
      </w:r>
    </w:p>
    <w:p>
      <w:pPr>
        <w:pStyle w:val="TextBody"/>
        <w:spacing w:before="80" w:after="0"/>
        <w:jc w:val="left"/>
        <w:rPr>
          <w:rFonts w:ascii="arial" w:hAnsi="arial"/>
          <w:sz w:val="16"/>
        </w:rPr>
      </w:pPr>
      <w:r>
        <w:rPr>
          <w:rFonts w:ascii="arial" w:hAnsi="arial"/>
          <w:sz w:val="16"/>
        </w:rPr>
        <w:t xml:space="preserve">The table below presents an alternative version of the 2020 Summary Compensation Table that excludes the change in actuarial value of pension, nonqualified deferred compensation earnings and All Other Compensation. The purpose of this table is to provide readers with a view of the elements of compensation that are reviewed and determined annually by the Compensation and Talent Development Committee. This table is not a substitute for the 2020 Summary Compensation Table and related footnotes shown above. </w:t>
      </w:r>
    </w:p>
    <w:p>
      <w:pPr>
        <w:pStyle w:val="TextBody"/>
        <w:spacing w:before="0" w:after="0"/>
        <w:jc w:val="left"/>
        <w:rPr/>
      </w:pPr>
      <w:r>
        <w:rPr/>
        <w:t> </w:t>
      </w:r>
    </w:p>
    <w:tbl>
      <w:tblPr>
        <w:tblW w:w="10840" w:type="dxa"/>
        <w:jc w:val="center"/>
        <w:tblInd w:w="0" w:type="dxa"/>
        <w:tblCellMar>
          <w:top w:w="0" w:type="dxa"/>
          <w:left w:w="0" w:type="dxa"/>
          <w:bottom w:w="0" w:type="dxa"/>
          <w:right w:w="0" w:type="dxa"/>
        </w:tblCellMar>
      </w:tblPr>
      <w:tblGrid>
        <w:gridCol w:w="2420"/>
        <w:gridCol w:w="60"/>
        <w:gridCol w:w="60"/>
        <w:gridCol w:w="380"/>
        <w:gridCol w:w="60"/>
        <w:gridCol w:w="60"/>
        <w:gridCol w:w="110"/>
        <w:gridCol w:w="740"/>
        <w:gridCol w:w="60"/>
        <w:gridCol w:w="60"/>
        <w:gridCol w:w="110"/>
        <w:gridCol w:w="605"/>
        <w:gridCol w:w="60"/>
        <w:gridCol w:w="60"/>
        <w:gridCol w:w="188"/>
        <w:gridCol w:w="1272"/>
        <w:gridCol w:w="60"/>
        <w:gridCol w:w="60"/>
        <w:gridCol w:w="206"/>
        <w:gridCol w:w="1389"/>
        <w:gridCol w:w="60"/>
        <w:gridCol w:w="60"/>
        <w:gridCol w:w="192"/>
        <w:gridCol w:w="1298"/>
        <w:gridCol w:w="60"/>
        <w:gridCol w:w="60"/>
        <w:gridCol w:w="110"/>
        <w:gridCol w:w="920"/>
        <w:gridCol w:w="60"/>
      </w:tblGrid>
      <w:tr>
        <w:trPr/>
        <w:tc>
          <w:tcPr>
            <w:tcW w:w="24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24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2" w:space="0" w:color="001C71"/>
            </w:tcBorders>
            <w:shd w:fill="auto" w:val="clear"/>
            <w:tcMar>
              <w:bottom w:w="28" w:type="dxa"/>
            </w:tcMar>
            <w:vAlign w:val="bottom"/>
          </w:tcPr>
          <w:p>
            <w:pPr>
              <w:pStyle w:val="TableContents"/>
              <w:jc w:val="center"/>
              <w:rPr/>
            </w:pPr>
            <w:r>
              <w:rPr>
                <w:b/>
                <w:color w:val="001C71"/>
              </w:rPr>
              <w:t>Stock Awards</w:t>
            </w:r>
            <w:r>
              <w:rPr/>
              <w:t xml:space="preserve"> </w:t>
            </w:r>
          </w:p>
          <w:p>
            <w:pPr>
              <w:pStyle w:val="TableContents"/>
              <w:spacing w:before="0" w:after="20"/>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gridSpan w:val="2"/>
            <w:tcBorders>
              <w:bottom w:val="single" w:sz="2" w:space="0" w:color="001C71"/>
            </w:tcBorders>
            <w:shd w:fill="auto" w:val="clear"/>
            <w:tcMar>
              <w:bottom w:w="28" w:type="dxa"/>
            </w:tcMar>
            <w:vAlign w:val="bottom"/>
          </w:tcPr>
          <w:p>
            <w:pPr>
              <w:pStyle w:val="TableContents"/>
              <w:jc w:val="center"/>
              <w:rPr/>
            </w:pPr>
            <w:r>
              <w:rPr>
                <w:b/>
                <w:color w:val="001C71"/>
              </w:rPr>
              <w:t>Option Awards</w:t>
            </w:r>
            <w:r>
              <w:rPr/>
              <w:t xml:space="preserve"> </w:t>
            </w:r>
          </w:p>
          <w:p>
            <w:pPr>
              <w:pStyle w:val="TableContents"/>
              <w:spacing w:before="0" w:after="20"/>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2" w:space="0" w:color="001C71"/>
            </w:tcBorders>
            <w:shd w:fill="auto" w:val="clear"/>
            <w:tcMar>
              <w:bottom w:w="28" w:type="dxa"/>
            </w:tcMar>
            <w:vAlign w:val="bottom"/>
          </w:tcPr>
          <w:p>
            <w:pPr>
              <w:pStyle w:val="TableContents"/>
              <w:jc w:val="center"/>
              <w:rPr/>
            </w:pPr>
            <w:r>
              <w:rPr>
                <w:b/>
                <w:color w:val="001C71"/>
              </w:rPr>
              <w:t>Non-Equity</w:t>
              <w:br/>
              <w:t>Incentive Plan</w:t>
              <w:br/>
              <w:t>Compensation</w:t>
            </w:r>
            <w:r>
              <w:rPr/>
              <w:t xml:space="preserve"> </w:t>
            </w:r>
          </w:p>
          <w:p>
            <w:pPr>
              <w:pStyle w:val="TableContents"/>
              <w:spacing w:before="0" w:after="20"/>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42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440"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Year</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850"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Salary</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715"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Bonus</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460"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Restricted</w:t>
              <w:br/>
              <w:t>stock</w:t>
              <w:br/>
              <w:t>units</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595"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Service-</w:t>
              <w:br/>
              <w:t>based</w:t>
              <w:br/>
              <w:t>options</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490"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Performance-</w:t>
              <w:br/>
              <w:t>based annual</w:t>
              <w:br/>
              <w:t>cash bonus</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030"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Total    </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r>
      <w:tr>
        <w:trPr/>
        <w:tc>
          <w:tcPr>
            <w:tcW w:w="2420"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Jeffrey W. Martin</w:t>
            </w:r>
          </w:p>
          <w:p>
            <w:pPr>
              <w:pStyle w:val="TableContents"/>
              <w:spacing w:before="0" w:after="0"/>
              <w:rPr>
                <w:rFonts w:ascii="arial" w:hAnsi="arial"/>
                <w:sz w:val="16"/>
              </w:rPr>
            </w:pPr>
            <w:r>
              <w:rPr>
                <w:rFonts w:ascii="arial" w:hAnsi="arial"/>
                <w:sz w:val="16"/>
              </w:rPr>
              <w:t>Chairman, Chief Executive</w:t>
            </w:r>
          </w:p>
          <w:p>
            <w:pPr>
              <w:pStyle w:val="TableContents"/>
              <w:spacing w:before="0" w:after="20"/>
              <w:rPr>
                <w:rFonts w:ascii="arial" w:hAnsi="arial"/>
                <w:sz w:val="16"/>
              </w:rPr>
            </w:pPr>
            <w:r>
              <w:rPr>
                <w:rFonts w:ascii="arial" w:hAnsi="arial"/>
                <w:sz w:val="16"/>
              </w:rPr>
              <w:t>Officer and President</w:t>
            </w:r>
          </w:p>
        </w:tc>
        <w:tc>
          <w:tcPr>
            <w:tcW w:w="60" w:type="dxa"/>
            <w:tcBorders/>
            <w:shd w:fill="E5E5E5" w:val="clear"/>
            <w:vAlign w:val="bottom"/>
          </w:tcPr>
          <w:p>
            <w:pPr>
              <w:pStyle w:val="TableContents"/>
              <w:spacing w:before="0" w:after="283"/>
              <w:rPr/>
            </w:pPr>
            <w:r>
              <w:rPr/>
              <w:t> </w:t>
            </w:r>
          </w:p>
        </w:tc>
        <w:tc>
          <w:tcPr>
            <w:tcW w:w="60" w:type="dxa"/>
            <w:tcBorders/>
            <w:shd w:fill="E5E5E5" w:val="clear"/>
          </w:tcPr>
          <w:p>
            <w:pPr>
              <w:pStyle w:val="TableContents"/>
              <w:spacing w:lineRule="atLeast" w:line="280" w:before="0" w:after="0"/>
              <w:rPr/>
            </w:pPr>
            <w:r>
              <w:rPr/>
              <w:t> </w:t>
            </w:r>
          </w:p>
        </w:tc>
        <w:tc>
          <w:tcPr>
            <w:tcW w:w="380" w:type="dxa"/>
            <w:tcBorders/>
            <w:shd w:fill="E5E5E5" w:val="clear"/>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shd w:fill="E5E5E5" w:val="clear"/>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tcPr>
          <w:p>
            <w:pPr>
              <w:pStyle w:val="TableContents"/>
              <w:spacing w:lineRule="atLeast" w:line="280" w:before="0" w:after="0"/>
              <w:rPr>
                <w:rFonts w:ascii="arial" w:hAnsi="arial"/>
                <w:sz w:val="16"/>
              </w:rPr>
            </w:pPr>
            <w:r>
              <w:rPr>
                <w:rFonts w:ascii="arial" w:hAnsi="arial"/>
                <w:sz w:val="16"/>
              </w:rPr>
              <w:t>$</w:t>
            </w:r>
          </w:p>
        </w:tc>
        <w:tc>
          <w:tcPr>
            <w:tcW w:w="740" w:type="dxa"/>
            <w:tcBorders/>
            <w:shd w:fill="E5E5E5" w:val="clear"/>
          </w:tcPr>
          <w:p>
            <w:pPr>
              <w:pStyle w:val="TableContents"/>
              <w:spacing w:lineRule="atLeast" w:line="280" w:before="0" w:after="0"/>
              <w:jc w:val="right"/>
              <w:rPr>
                <w:rFonts w:ascii="arial" w:hAnsi="arial"/>
                <w:sz w:val="16"/>
              </w:rPr>
            </w:pPr>
            <w:r>
              <w:rPr>
                <w:rFonts w:ascii="arial" w:hAnsi="arial"/>
                <w:sz w:val="16"/>
              </w:rPr>
              <w:t>1,300,000</w:t>
            </w:r>
          </w:p>
        </w:tc>
        <w:tc>
          <w:tcPr>
            <w:tcW w:w="60" w:type="dxa"/>
            <w:tcBorders/>
            <w:shd w:fill="E5E5E5" w:val="clear"/>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tcPr>
          <w:p>
            <w:pPr>
              <w:pStyle w:val="TableContents"/>
              <w:spacing w:lineRule="atLeast" w:line="280" w:before="0" w:after="0"/>
              <w:rPr/>
            </w:pPr>
            <w:r>
              <w:rPr/>
              <w:t> </w:t>
            </w:r>
          </w:p>
        </w:tc>
        <w:tc>
          <w:tcPr>
            <w:tcW w:w="605" w:type="dxa"/>
            <w:tcBorders/>
            <w:shd w:fill="E5E5E5" w:val="clear"/>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E5E5E5" w:val="clear"/>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88" w:type="dxa"/>
            <w:tcBorders/>
            <w:shd w:fill="E5E5E5" w:val="clear"/>
          </w:tcPr>
          <w:p>
            <w:pPr>
              <w:pStyle w:val="TableContents"/>
              <w:spacing w:lineRule="atLeast" w:line="280" w:before="0" w:after="0"/>
              <w:rPr>
                <w:rFonts w:ascii="arial" w:hAnsi="arial"/>
                <w:sz w:val="16"/>
              </w:rPr>
            </w:pPr>
            <w:r>
              <w:rPr>
                <w:rFonts w:ascii="arial" w:hAnsi="arial"/>
                <w:sz w:val="16"/>
              </w:rPr>
              <w:t>$</w:t>
            </w:r>
          </w:p>
        </w:tc>
        <w:tc>
          <w:tcPr>
            <w:tcW w:w="1272" w:type="dxa"/>
            <w:tcBorders/>
            <w:shd w:fill="E5E5E5" w:val="clear"/>
          </w:tcPr>
          <w:p>
            <w:pPr>
              <w:pStyle w:val="TableContents"/>
              <w:spacing w:lineRule="atLeast" w:line="280" w:before="0" w:after="0"/>
              <w:jc w:val="right"/>
              <w:rPr>
                <w:rFonts w:ascii="arial" w:hAnsi="arial"/>
                <w:sz w:val="16"/>
              </w:rPr>
            </w:pPr>
            <w:r>
              <w:rPr>
                <w:rFonts w:ascii="arial" w:hAnsi="arial"/>
                <w:sz w:val="16"/>
              </w:rPr>
              <w:t>5,166,808</w:t>
            </w:r>
          </w:p>
        </w:tc>
        <w:tc>
          <w:tcPr>
            <w:tcW w:w="60" w:type="dxa"/>
            <w:tcBorders/>
            <w:shd w:fill="E5E5E5" w:val="clear"/>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206" w:type="dxa"/>
            <w:tcBorders/>
            <w:shd w:fill="E5E5E5" w:val="clear"/>
          </w:tcPr>
          <w:p>
            <w:pPr>
              <w:pStyle w:val="TableContents"/>
              <w:spacing w:lineRule="atLeast" w:line="280" w:before="0" w:after="0"/>
              <w:rPr>
                <w:rFonts w:ascii="arial" w:hAnsi="arial"/>
                <w:sz w:val="16"/>
              </w:rPr>
            </w:pPr>
            <w:r>
              <w:rPr>
                <w:rFonts w:ascii="arial" w:hAnsi="arial"/>
                <w:sz w:val="16"/>
              </w:rPr>
              <w:t>$</w:t>
            </w:r>
          </w:p>
        </w:tc>
        <w:tc>
          <w:tcPr>
            <w:tcW w:w="1389" w:type="dxa"/>
            <w:tcBorders/>
            <w:shd w:fill="E5E5E5" w:val="clear"/>
          </w:tcPr>
          <w:p>
            <w:pPr>
              <w:pStyle w:val="TableContents"/>
              <w:spacing w:lineRule="atLeast" w:line="280" w:before="0" w:after="0"/>
              <w:jc w:val="right"/>
              <w:rPr>
                <w:rFonts w:ascii="arial" w:hAnsi="arial"/>
                <w:sz w:val="16"/>
              </w:rPr>
            </w:pPr>
            <w:r>
              <w:rPr>
                <w:rFonts w:ascii="arial" w:hAnsi="arial"/>
                <w:sz w:val="16"/>
              </w:rPr>
              <w:t>2,100,014</w:t>
            </w:r>
          </w:p>
        </w:tc>
        <w:tc>
          <w:tcPr>
            <w:tcW w:w="60" w:type="dxa"/>
            <w:tcBorders/>
            <w:shd w:fill="E5E5E5" w:val="clear"/>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92" w:type="dxa"/>
            <w:tcBorders/>
            <w:shd w:fill="E5E5E5" w:val="clear"/>
          </w:tcPr>
          <w:p>
            <w:pPr>
              <w:pStyle w:val="TableContents"/>
              <w:spacing w:lineRule="atLeast" w:line="280" w:before="0" w:after="0"/>
              <w:rPr>
                <w:rFonts w:ascii="arial" w:hAnsi="arial"/>
                <w:sz w:val="16"/>
              </w:rPr>
            </w:pPr>
            <w:r>
              <w:rPr>
                <w:rFonts w:ascii="arial" w:hAnsi="arial"/>
                <w:sz w:val="16"/>
              </w:rPr>
              <w:t>$</w:t>
            </w:r>
          </w:p>
        </w:tc>
        <w:tc>
          <w:tcPr>
            <w:tcW w:w="1298" w:type="dxa"/>
            <w:tcBorders/>
            <w:shd w:fill="E5E5E5" w:val="clear"/>
          </w:tcPr>
          <w:p>
            <w:pPr>
              <w:pStyle w:val="TableContents"/>
              <w:spacing w:lineRule="atLeast" w:line="280" w:before="0" w:after="0"/>
              <w:jc w:val="right"/>
              <w:rPr>
                <w:rFonts w:ascii="arial" w:hAnsi="arial"/>
                <w:sz w:val="16"/>
              </w:rPr>
            </w:pPr>
            <w:r>
              <w:rPr>
                <w:rFonts w:ascii="arial" w:hAnsi="arial"/>
                <w:sz w:val="16"/>
              </w:rPr>
              <w:t>3,740,600</w:t>
            </w:r>
          </w:p>
        </w:tc>
        <w:tc>
          <w:tcPr>
            <w:tcW w:w="60" w:type="dxa"/>
            <w:tcBorders/>
            <w:shd w:fill="E5E5E5" w:val="clear"/>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tcPr>
          <w:p>
            <w:pPr>
              <w:pStyle w:val="TableContents"/>
              <w:spacing w:lineRule="atLeast" w:line="280" w:before="0" w:after="0"/>
              <w:rPr>
                <w:rFonts w:ascii="arial" w:hAnsi="arial"/>
                <w:sz w:val="16"/>
              </w:rPr>
            </w:pPr>
            <w:r>
              <w:rPr>
                <w:rFonts w:ascii="arial" w:hAnsi="arial"/>
                <w:sz w:val="16"/>
              </w:rPr>
              <w:t>$</w:t>
            </w:r>
          </w:p>
        </w:tc>
        <w:tc>
          <w:tcPr>
            <w:tcW w:w="920" w:type="dxa"/>
            <w:tcBorders/>
            <w:shd w:fill="E5E5E5" w:val="clear"/>
          </w:tcPr>
          <w:p>
            <w:pPr>
              <w:pStyle w:val="TableContents"/>
              <w:spacing w:lineRule="atLeast" w:line="280" w:before="0" w:after="0"/>
              <w:jc w:val="right"/>
              <w:rPr>
                <w:rFonts w:ascii="arial" w:hAnsi="arial"/>
                <w:sz w:val="16"/>
              </w:rPr>
            </w:pPr>
            <w:r>
              <w:rPr>
                <w:rFonts w:ascii="arial" w:hAnsi="arial"/>
                <w:sz w:val="16"/>
              </w:rPr>
              <w:t>12,307,422  </w:t>
            </w:r>
          </w:p>
        </w:tc>
        <w:tc>
          <w:tcPr>
            <w:tcW w:w="60" w:type="dxa"/>
            <w:tcBorders/>
            <w:shd w:fill="E5E5E5" w:val="clear"/>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80" w:before="0" w:after="0"/>
              <w:rPr/>
            </w:pPr>
            <w:r>
              <w:rPr/>
              <w:t> </w:t>
            </w:r>
          </w:p>
        </w:tc>
        <w:tc>
          <w:tcPr>
            <w:tcW w:w="38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2019</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1,200,000</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pPr>
            <w:r>
              <w:rPr/>
              <w:t> </w:t>
            </w:r>
          </w:p>
        </w:tc>
        <w:tc>
          <w:tcPr>
            <w:tcW w:w="605"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5,927,197</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389"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1,800,005</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3,027,100</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11,954,302  </w:t>
            </w:r>
          </w:p>
        </w:tc>
        <w:tc>
          <w:tcPr>
            <w:tcW w:w="60" w:type="dxa"/>
            <w:tcBorders/>
            <w:shd w:fill="auto" w:val="clear"/>
            <w:vAlign w:val="bottom"/>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380"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6"/>
              </w:rPr>
            </w:pPr>
            <w:r>
              <w:rPr>
                <w:rFonts w:ascii="arial" w:hAnsi="arial"/>
                <w:sz w:val="16"/>
              </w:rPr>
              <w:t>2018</w:t>
            </w:r>
          </w:p>
        </w:tc>
        <w:tc>
          <w:tcPr>
            <w:tcW w:w="60"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tcPr>
          <w:p>
            <w:pPr>
              <w:pStyle w:val="TableContents"/>
              <w:spacing w:lineRule="atLeast" w:line="280" w:before="0" w:after="0"/>
              <w:rPr>
                <w:rFonts w:ascii="arial" w:hAnsi="arial"/>
                <w:sz w:val="16"/>
              </w:rPr>
            </w:pPr>
            <w:r>
              <w:rPr>
                <w:rFonts w:ascii="arial" w:hAnsi="arial"/>
                <w:sz w:val="16"/>
              </w:rPr>
              <w:t>$</w:t>
            </w:r>
          </w:p>
        </w:tc>
        <w:tc>
          <w:tcPr>
            <w:tcW w:w="740"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6"/>
              </w:rPr>
            </w:pPr>
            <w:r>
              <w:rPr>
                <w:rFonts w:ascii="arial" w:hAnsi="arial"/>
                <w:sz w:val="16"/>
              </w:rPr>
              <w:t>968,493</w:t>
            </w:r>
          </w:p>
        </w:tc>
        <w:tc>
          <w:tcPr>
            <w:tcW w:w="60"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605"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88" w:type="dxa"/>
            <w:tcBorders>
              <w:bottom w:val="single" w:sz="8" w:space="0" w:color="001C71"/>
            </w:tcBorders>
            <w:shd w:fill="E5E5E5" w:val="clear"/>
            <w:tcMar>
              <w:bottom w:w="28" w:type="dxa"/>
            </w:tcMar>
          </w:tcPr>
          <w:p>
            <w:pPr>
              <w:pStyle w:val="TableContents"/>
              <w:spacing w:lineRule="atLeast" w:line="280" w:before="0" w:after="0"/>
              <w:rPr>
                <w:rFonts w:ascii="arial" w:hAnsi="arial"/>
                <w:sz w:val="16"/>
              </w:rPr>
            </w:pPr>
            <w:r>
              <w:rPr>
                <w:rFonts w:ascii="arial" w:hAnsi="arial"/>
                <w:sz w:val="16"/>
              </w:rPr>
              <w:t>$</w:t>
            </w:r>
          </w:p>
        </w:tc>
        <w:tc>
          <w:tcPr>
            <w:tcW w:w="1272"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6"/>
              </w:rPr>
            </w:pPr>
            <w:r>
              <w:rPr>
                <w:rFonts w:ascii="arial" w:hAnsi="arial"/>
                <w:sz w:val="16"/>
              </w:rPr>
              <w:t>4,450,221</w:t>
            </w:r>
          </w:p>
        </w:tc>
        <w:tc>
          <w:tcPr>
            <w:tcW w:w="60"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206"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1389"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92" w:type="dxa"/>
            <w:tcBorders>
              <w:bottom w:val="single" w:sz="8" w:space="0" w:color="001C71"/>
            </w:tcBorders>
            <w:shd w:fill="E5E5E5" w:val="clear"/>
            <w:tcMar>
              <w:bottom w:w="28" w:type="dxa"/>
            </w:tcMar>
          </w:tcPr>
          <w:p>
            <w:pPr>
              <w:pStyle w:val="TableContents"/>
              <w:spacing w:lineRule="atLeast" w:line="280" w:before="0" w:after="0"/>
              <w:rPr>
                <w:rFonts w:ascii="arial" w:hAnsi="arial"/>
                <w:sz w:val="16"/>
              </w:rPr>
            </w:pPr>
            <w:r>
              <w:rPr>
                <w:rFonts w:ascii="arial" w:hAnsi="arial"/>
                <w:sz w:val="16"/>
              </w:rPr>
              <w:t>$</w:t>
            </w:r>
          </w:p>
        </w:tc>
        <w:tc>
          <w:tcPr>
            <w:tcW w:w="1298"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6"/>
              </w:rPr>
            </w:pPr>
            <w:r>
              <w:rPr>
                <w:rFonts w:ascii="arial" w:hAnsi="arial"/>
                <w:sz w:val="16"/>
              </w:rPr>
              <w:t>2,267,300</w:t>
            </w:r>
          </w:p>
        </w:tc>
        <w:tc>
          <w:tcPr>
            <w:tcW w:w="60" w:type="dxa"/>
            <w:tcBorders>
              <w:bottom w:val="single" w:sz="8" w:space="0" w:color="001C71"/>
            </w:tcBorders>
            <w:shd w:fill="E5E5E5" w:val="clear"/>
            <w:tcMar>
              <w:bottom w:w="28" w:type="dxa"/>
            </w:tcMar>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tcPr>
          <w:p>
            <w:pPr>
              <w:pStyle w:val="TableContents"/>
              <w:spacing w:lineRule="atLeast" w:line="280" w:before="0" w:after="0"/>
              <w:rPr>
                <w:rFonts w:ascii="arial" w:hAnsi="arial"/>
                <w:sz w:val="16"/>
              </w:rPr>
            </w:pPr>
            <w:r>
              <w:rPr>
                <w:rFonts w:ascii="arial" w:hAnsi="arial"/>
                <w:sz w:val="16"/>
              </w:rPr>
              <w:t>$</w:t>
            </w:r>
          </w:p>
        </w:tc>
        <w:tc>
          <w:tcPr>
            <w:tcW w:w="920" w:type="dxa"/>
            <w:tcBorders>
              <w:bottom w:val="single" w:sz="8" w:space="0" w:color="001C71"/>
            </w:tcBorders>
            <w:shd w:fill="E5E5E5" w:val="clear"/>
            <w:tcMar>
              <w:bottom w:w="28" w:type="dxa"/>
            </w:tcMar>
          </w:tcPr>
          <w:p>
            <w:pPr>
              <w:pStyle w:val="TableContents"/>
              <w:spacing w:lineRule="atLeast" w:line="280" w:before="0" w:after="0"/>
              <w:jc w:val="right"/>
              <w:rPr>
                <w:rFonts w:ascii="arial" w:hAnsi="arial"/>
                <w:sz w:val="16"/>
              </w:rPr>
            </w:pPr>
            <w:r>
              <w:rPr>
                <w:rFonts w:ascii="arial" w:hAnsi="arial"/>
                <w:sz w:val="16"/>
              </w:rPr>
              <w:t>7,686,014  </w:t>
            </w:r>
          </w:p>
        </w:tc>
        <w:tc>
          <w:tcPr>
            <w:tcW w:w="60" w:type="dxa"/>
            <w:tcBorders>
              <w:bottom w:val="single" w:sz="8" w:space="0" w:color="001C71"/>
            </w:tcBorders>
            <w:shd w:fill="E5E5E5" w:val="clear"/>
            <w:tcMar>
              <w:bottom w:w="28" w:type="dxa"/>
            </w:tcMar>
          </w:tcPr>
          <w:p>
            <w:pPr>
              <w:pStyle w:val="TableContents"/>
              <w:spacing w:lineRule="atLeast" w:line="280" w:before="0" w:after="0"/>
              <w:rPr/>
            </w:pPr>
            <w:r>
              <w:rPr/>
              <w:t> </w:t>
            </w:r>
          </w:p>
        </w:tc>
      </w:tr>
      <w:tr>
        <w:trPr/>
        <w:tc>
          <w:tcPr>
            <w:tcW w:w="2420"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Trevor I. Mihalik</w:t>
            </w:r>
          </w:p>
          <w:p>
            <w:pPr>
              <w:pStyle w:val="TableContents"/>
              <w:spacing w:before="0" w:after="0"/>
              <w:rPr>
                <w:rFonts w:ascii="arial" w:hAnsi="arial"/>
                <w:sz w:val="16"/>
              </w:rPr>
            </w:pPr>
            <w:r>
              <w:rPr>
                <w:rFonts w:ascii="arial" w:hAnsi="arial"/>
                <w:sz w:val="16"/>
              </w:rPr>
              <w:t>Executive Vice President and</w:t>
            </w:r>
          </w:p>
          <w:p>
            <w:pPr>
              <w:pStyle w:val="TableContents"/>
              <w:spacing w:before="0" w:after="20"/>
              <w:rPr>
                <w:rFonts w:ascii="arial" w:hAnsi="arial"/>
                <w:sz w:val="16"/>
              </w:rPr>
            </w:pPr>
            <w:r>
              <w:rPr>
                <w:rFonts w:ascii="arial" w:hAnsi="arial"/>
                <w:sz w:val="16"/>
              </w:rPr>
              <w:t>Chief Financial Officer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80" w:before="0" w:after="0"/>
              <w:rPr/>
            </w:pPr>
            <w:r>
              <w:rPr/>
              <w:t> </w:t>
            </w:r>
          </w:p>
        </w:tc>
        <w:tc>
          <w:tcPr>
            <w:tcW w:w="38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730,000</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pPr>
            <w:r>
              <w:rPr/>
              <w:t> </w:t>
            </w:r>
          </w:p>
        </w:tc>
        <w:tc>
          <w:tcPr>
            <w:tcW w:w="605"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1,865,247</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389"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315,014</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1,231,400</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4,141,661  </w:t>
            </w:r>
          </w:p>
        </w:tc>
        <w:tc>
          <w:tcPr>
            <w:tcW w:w="60" w:type="dxa"/>
            <w:tcBorders/>
            <w:shd w:fill="auto" w:val="clear"/>
            <w:vAlign w:val="bottom"/>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80" w:before="0" w:after="0"/>
              <w:rPr/>
            </w:pPr>
            <w:r>
              <w:rPr/>
              <w:t> </w:t>
            </w:r>
          </w:p>
        </w:tc>
        <w:tc>
          <w:tcPr>
            <w:tcW w:w="38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2019</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650,000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pPr>
            <w:r>
              <w:rPr/>
              <w:t> </w:t>
            </w:r>
          </w:p>
        </w:tc>
        <w:tc>
          <w:tcPr>
            <w:tcW w:w="605"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88"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1,211,982</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206"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389"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204,758</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92"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1,009,100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3,075,840  </w:t>
            </w:r>
          </w:p>
        </w:tc>
        <w:tc>
          <w:tcPr>
            <w:tcW w:w="60" w:type="dxa"/>
            <w:tcBorders/>
            <w:shd w:fill="E5E5E5" w:val="clear"/>
            <w:vAlign w:val="bottom"/>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380"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2018</w:t>
            </w:r>
          </w:p>
        </w:tc>
        <w:tc>
          <w:tcPr>
            <w:tcW w:w="6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534,247</w:t>
            </w:r>
          </w:p>
        </w:tc>
        <w:tc>
          <w:tcPr>
            <w:tcW w:w="6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605"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88"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1,880,243</w:t>
            </w:r>
          </w:p>
        </w:tc>
        <w:tc>
          <w:tcPr>
            <w:tcW w:w="6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06"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1389"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92"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863,700</w:t>
            </w:r>
          </w:p>
        </w:tc>
        <w:tc>
          <w:tcPr>
            <w:tcW w:w="6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bottom w:val="single" w:sz="8" w:space="0" w:color="001C7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3,278,190  </w:t>
            </w:r>
          </w:p>
        </w:tc>
        <w:tc>
          <w:tcPr>
            <w:tcW w:w="60" w:type="dxa"/>
            <w:tcBorders>
              <w:bottom w:val="single" w:sz="8" w:space="0" w:color="001C71"/>
            </w:tcBorders>
            <w:shd w:fill="auto" w:val="clear"/>
            <w:tcMar>
              <w:bottom w:w="28" w:type="dxa"/>
            </w:tcMar>
            <w:vAlign w:val="bottom"/>
          </w:tcPr>
          <w:p>
            <w:pPr>
              <w:pStyle w:val="TableContents"/>
              <w:spacing w:lineRule="atLeast" w:line="280" w:before="0" w:after="0"/>
              <w:rPr/>
            </w:pPr>
            <w:r>
              <w:rPr/>
              <w:t> </w:t>
            </w:r>
          </w:p>
        </w:tc>
      </w:tr>
      <w:tr>
        <w:trPr/>
        <w:tc>
          <w:tcPr>
            <w:tcW w:w="2420"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Kevin C. Sagara</w:t>
            </w:r>
          </w:p>
          <w:p>
            <w:pPr>
              <w:pStyle w:val="TableContents"/>
              <w:spacing w:before="0" w:after="0"/>
              <w:rPr>
                <w:rFonts w:ascii="arial" w:hAnsi="arial"/>
                <w:sz w:val="16"/>
              </w:rPr>
            </w:pPr>
            <w:r>
              <w:rPr>
                <w:rFonts w:ascii="arial" w:hAnsi="arial"/>
                <w:sz w:val="16"/>
              </w:rPr>
              <w:t>Executive Vice President and</w:t>
            </w:r>
          </w:p>
          <w:p>
            <w:pPr>
              <w:pStyle w:val="TableContents"/>
              <w:spacing w:before="0" w:after="20"/>
              <w:rPr>
                <w:rFonts w:ascii="arial" w:hAnsi="arial"/>
                <w:sz w:val="16"/>
              </w:rPr>
            </w:pPr>
            <w:r>
              <w:rPr>
                <w:rFonts w:ascii="arial" w:hAnsi="arial"/>
                <w:sz w:val="16"/>
              </w:rPr>
              <w:t>Group President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80" w:before="0" w:after="0"/>
              <w:rPr/>
            </w:pPr>
            <w:r>
              <w:rPr/>
              <w:t> </w:t>
            </w:r>
          </w:p>
        </w:tc>
        <w:tc>
          <w:tcPr>
            <w:tcW w:w="38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643,158</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pPr>
            <w:r>
              <w:rPr/>
              <w:t> </w:t>
            </w:r>
          </w:p>
        </w:tc>
        <w:tc>
          <w:tcPr>
            <w:tcW w:w="605"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88"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1,709,042</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206" w:type="dxa"/>
            <w:tcBorders/>
            <w:shd w:fill="E5E5E5" w:val="clear"/>
            <w:vAlign w:val="bottom"/>
          </w:tcPr>
          <w:p>
            <w:pPr>
              <w:pStyle w:val="TableContents"/>
              <w:spacing w:lineRule="atLeast" w:line="280" w:before="0" w:after="0"/>
              <w:rPr/>
            </w:pPr>
            <w:r>
              <w:rPr/>
              <w:t> </w:t>
            </w:r>
          </w:p>
        </w:tc>
        <w:tc>
          <w:tcPr>
            <w:tcW w:w="1389"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92"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1,132,500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3,484,700  </w:t>
            </w:r>
          </w:p>
        </w:tc>
        <w:tc>
          <w:tcPr>
            <w:tcW w:w="60" w:type="dxa"/>
            <w:tcBorders/>
            <w:shd w:fill="E5E5E5" w:val="clear"/>
            <w:vAlign w:val="bottom"/>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sz w:val="4"/>
                <w:szCs w:val="4"/>
              </w:rPr>
            </w:pPr>
            <w:r>
              <w:rPr>
                <w:sz w:val="4"/>
                <w:szCs w:val="4"/>
              </w:rPr>
            </w:r>
          </w:p>
        </w:tc>
        <w:tc>
          <w:tcPr>
            <w:tcW w:w="127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sz w:val="4"/>
                <w:szCs w:val="4"/>
              </w:rPr>
            </w:pPr>
            <w:r>
              <w:rPr>
                <w:sz w:val="4"/>
                <w:szCs w:val="4"/>
              </w:rPr>
            </w:r>
          </w:p>
        </w:tc>
        <w:tc>
          <w:tcPr>
            <w:tcW w:w="12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38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before="0" w:after="283"/>
              <w:rPr/>
            </w:pPr>
            <w:r>
              <w:rPr/>
              <w:t> </w:t>
            </w:r>
          </w:p>
        </w:tc>
        <w:tc>
          <w:tcPr>
            <w:tcW w:w="74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before="0" w:after="283"/>
              <w:rPr/>
            </w:pPr>
            <w:r>
              <w:rPr/>
              <w:t> </w:t>
            </w:r>
          </w:p>
        </w:tc>
        <w:tc>
          <w:tcPr>
            <w:tcW w:w="605"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88" w:type="dxa"/>
            <w:tcBorders>
              <w:bottom w:val="single" w:sz="8" w:space="0" w:color="001C71"/>
            </w:tcBorders>
            <w:shd w:fill="auto" w:val="clear"/>
            <w:tcMar>
              <w:bottom w:w="28" w:type="dxa"/>
            </w:tcMar>
            <w:vAlign w:val="bottom"/>
          </w:tcPr>
          <w:p>
            <w:pPr>
              <w:pStyle w:val="TableContents"/>
              <w:spacing w:before="0" w:after="283"/>
              <w:rPr/>
            </w:pPr>
            <w:r>
              <w:rPr/>
              <w:t> </w:t>
            </w:r>
          </w:p>
        </w:tc>
        <w:tc>
          <w:tcPr>
            <w:tcW w:w="127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06" w:type="dxa"/>
            <w:tcBorders>
              <w:bottom w:val="single" w:sz="8" w:space="0" w:color="001C71"/>
            </w:tcBorders>
            <w:shd w:fill="auto" w:val="clear"/>
            <w:tcMar>
              <w:bottom w:w="28" w:type="dxa"/>
            </w:tcMar>
            <w:vAlign w:val="bottom"/>
          </w:tcPr>
          <w:p>
            <w:pPr>
              <w:pStyle w:val="TableContents"/>
              <w:spacing w:before="0" w:after="283"/>
              <w:rPr/>
            </w:pPr>
            <w:r>
              <w:rPr/>
              <w:t> </w:t>
            </w:r>
          </w:p>
        </w:tc>
        <w:tc>
          <w:tcPr>
            <w:tcW w:w="138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92" w:type="dxa"/>
            <w:tcBorders>
              <w:bottom w:val="single" w:sz="8" w:space="0" w:color="001C71"/>
            </w:tcBorders>
            <w:shd w:fill="auto" w:val="clear"/>
            <w:tcMar>
              <w:bottom w:w="28" w:type="dxa"/>
            </w:tcMar>
            <w:vAlign w:val="bottom"/>
          </w:tcPr>
          <w:p>
            <w:pPr>
              <w:pStyle w:val="TableContents"/>
              <w:spacing w:before="0" w:after="283"/>
              <w:rPr/>
            </w:pPr>
            <w:r>
              <w:rPr/>
              <w:t> </w:t>
            </w:r>
          </w:p>
        </w:tc>
        <w:tc>
          <w:tcPr>
            <w:tcW w:w="1298"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before="0" w:after="283"/>
              <w:rPr/>
            </w:pPr>
            <w:r>
              <w:rPr/>
              <w:t> </w:t>
            </w:r>
          </w:p>
        </w:tc>
        <w:tc>
          <w:tcPr>
            <w:tcW w:w="92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r>
      <w:tr>
        <w:trPr/>
        <w:tc>
          <w:tcPr>
            <w:tcW w:w="2420"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Peter R. Wall</w:t>
            </w:r>
          </w:p>
          <w:p>
            <w:pPr>
              <w:pStyle w:val="TableContents"/>
              <w:spacing w:before="0" w:after="0"/>
              <w:rPr>
                <w:rFonts w:ascii="arial" w:hAnsi="arial"/>
                <w:sz w:val="16"/>
              </w:rPr>
            </w:pPr>
            <w:r>
              <w:rPr>
                <w:rFonts w:ascii="arial" w:hAnsi="arial"/>
                <w:sz w:val="16"/>
              </w:rPr>
              <w:t>Senior Vice President, Controller</w:t>
            </w:r>
          </w:p>
          <w:p>
            <w:pPr>
              <w:pStyle w:val="TableContents"/>
              <w:spacing w:before="0" w:after="20"/>
              <w:rPr>
                <w:rFonts w:ascii="arial" w:hAnsi="arial"/>
                <w:sz w:val="16"/>
              </w:rPr>
            </w:pPr>
            <w:r>
              <w:rPr>
                <w:rFonts w:ascii="arial" w:hAnsi="arial"/>
                <w:sz w:val="16"/>
              </w:rPr>
              <w:t>and Chief Accounting Officer</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80" w:before="0" w:after="0"/>
              <w:rPr/>
            </w:pPr>
            <w:r>
              <w:rPr/>
              <w:t> </w:t>
            </w:r>
          </w:p>
        </w:tc>
        <w:tc>
          <w:tcPr>
            <w:tcW w:w="38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375,000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pPr>
            <w:r>
              <w:rPr/>
              <w:t> </w:t>
            </w:r>
          </w:p>
        </w:tc>
        <w:tc>
          <w:tcPr>
            <w:tcW w:w="605"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88"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404,451</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206" w:type="dxa"/>
            <w:tcBorders/>
            <w:shd w:fill="E5E5E5" w:val="clear"/>
            <w:vAlign w:val="bottom"/>
          </w:tcPr>
          <w:p>
            <w:pPr>
              <w:pStyle w:val="TableContents"/>
              <w:spacing w:lineRule="atLeast" w:line="280" w:before="0" w:after="0"/>
              <w:rPr/>
            </w:pPr>
            <w:r>
              <w:rPr/>
              <w:t> </w:t>
            </w:r>
          </w:p>
        </w:tc>
        <w:tc>
          <w:tcPr>
            <w:tcW w:w="1389"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92"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372,100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1,151,551  </w:t>
            </w:r>
          </w:p>
        </w:tc>
        <w:tc>
          <w:tcPr>
            <w:tcW w:w="60" w:type="dxa"/>
            <w:tcBorders/>
            <w:shd w:fill="E5E5E5" w:val="clear"/>
            <w:vAlign w:val="bottom"/>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sz w:val="4"/>
                <w:szCs w:val="4"/>
              </w:rPr>
            </w:pPr>
            <w:r>
              <w:rPr>
                <w:sz w:val="4"/>
                <w:szCs w:val="4"/>
              </w:rPr>
            </w:r>
          </w:p>
        </w:tc>
        <w:tc>
          <w:tcPr>
            <w:tcW w:w="127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sz w:val="4"/>
                <w:szCs w:val="4"/>
              </w:rPr>
            </w:pPr>
            <w:r>
              <w:rPr>
                <w:sz w:val="4"/>
                <w:szCs w:val="4"/>
              </w:rPr>
            </w:r>
          </w:p>
        </w:tc>
        <w:tc>
          <w:tcPr>
            <w:tcW w:w="12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38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before="0" w:after="283"/>
              <w:rPr/>
            </w:pPr>
            <w:r>
              <w:rPr/>
              <w:t> </w:t>
            </w:r>
          </w:p>
        </w:tc>
        <w:tc>
          <w:tcPr>
            <w:tcW w:w="74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before="0" w:after="283"/>
              <w:rPr/>
            </w:pPr>
            <w:r>
              <w:rPr/>
              <w:t> </w:t>
            </w:r>
          </w:p>
        </w:tc>
        <w:tc>
          <w:tcPr>
            <w:tcW w:w="605"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88" w:type="dxa"/>
            <w:tcBorders>
              <w:bottom w:val="single" w:sz="8" w:space="0" w:color="001C71"/>
            </w:tcBorders>
            <w:shd w:fill="auto" w:val="clear"/>
            <w:tcMar>
              <w:bottom w:w="28" w:type="dxa"/>
            </w:tcMar>
            <w:vAlign w:val="bottom"/>
          </w:tcPr>
          <w:p>
            <w:pPr>
              <w:pStyle w:val="TableContents"/>
              <w:spacing w:before="0" w:after="283"/>
              <w:rPr/>
            </w:pPr>
            <w:r>
              <w:rPr/>
              <w:t> </w:t>
            </w:r>
          </w:p>
        </w:tc>
        <w:tc>
          <w:tcPr>
            <w:tcW w:w="127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06" w:type="dxa"/>
            <w:tcBorders>
              <w:bottom w:val="single" w:sz="8" w:space="0" w:color="001C71"/>
            </w:tcBorders>
            <w:shd w:fill="auto" w:val="clear"/>
            <w:tcMar>
              <w:bottom w:w="28" w:type="dxa"/>
            </w:tcMar>
            <w:vAlign w:val="bottom"/>
          </w:tcPr>
          <w:p>
            <w:pPr>
              <w:pStyle w:val="TableContents"/>
              <w:spacing w:before="0" w:after="283"/>
              <w:rPr/>
            </w:pPr>
            <w:r>
              <w:rPr/>
              <w:t> </w:t>
            </w:r>
          </w:p>
        </w:tc>
        <w:tc>
          <w:tcPr>
            <w:tcW w:w="138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92" w:type="dxa"/>
            <w:tcBorders>
              <w:bottom w:val="single" w:sz="8" w:space="0" w:color="001C71"/>
            </w:tcBorders>
            <w:shd w:fill="auto" w:val="clear"/>
            <w:tcMar>
              <w:bottom w:w="28" w:type="dxa"/>
            </w:tcMar>
            <w:vAlign w:val="bottom"/>
          </w:tcPr>
          <w:p>
            <w:pPr>
              <w:pStyle w:val="TableContents"/>
              <w:spacing w:before="0" w:after="283"/>
              <w:rPr/>
            </w:pPr>
            <w:r>
              <w:rPr/>
              <w:t> </w:t>
            </w:r>
          </w:p>
        </w:tc>
        <w:tc>
          <w:tcPr>
            <w:tcW w:w="1298"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before="0" w:after="283"/>
              <w:rPr/>
            </w:pPr>
            <w:r>
              <w:rPr/>
              <w:t> </w:t>
            </w:r>
          </w:p>
        </w:tc>
        <w:tc>
          <w:tcPr>
            <w:tcW w:w="92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r>
      <w:tr>
        <w:trPr/>
        <w:tc>
          <w:tcPr>
            <w:tcW w:w="2420"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Dennis V. Arriola</w:t>
            </w:r>
          </w:p>
          <w:p>
            <w:pPr>
              <w:pStyle w:val="TableContents"/>
              <w:spacing w:before="0" w:after="0"/>
              <w:rPr>
                <w:rFonts w:ascii="arial" w:hAnsi="arial"/>
                <w:sz w:val="16"/>
              </w:rPr>
            </w:pPr>
            <w:r>
              <w:rPr>
                <w:rFonts w:ascii="arial" w:hAnsi="arial"/>
                <w:sz w:val="16"/>
              </w:rPr>
              <w:t>Former Executive Vice President</w:t>
            </w:r>
          </w:p>
          <w:p>
            <w:pPr>
              <w:pStyle w:val="TableContents"/>
              <w:spacing w:before="0" w:after="20"/>
              <w:rPr>
                <w:rFonts w:ascii="arial" w:hAnsi="arial"/>
                <w:sz w:val="16"/>
              </w:rPr>
            </w:pPr>
            <w:r>
              <w:rPr>
                <w:rFonts w:ascii="arial" w:hAnsi="arial"/>
                <w:sz w:val="16"/>
              </w:rPr>
              <w:t>and Group President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80" w:before="0" w:after="0"/>
              <w:rPr/>
            </w:pPr>
            <w:r>
              <w:rPr/>
              <w:t> </w:t>
            </w:r>
          </w:p>
        </w:tc>
        <w:tc>
          <w:tcPr>
            <w:tcW w:w="38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390,793</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pPr>
            <w:r>
              <w:rPr/>
              <w:t> </w:t>
            </w:r>
          </w:p>
        </w:tc>
        <w:tc>
          <w:tcPr>
            <w:tcW w:w="605"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88"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1,598,823</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206"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389"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270,001</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92"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545,700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2,805,317  </w:t>
            </w:r>
          </w:p>
        </w:tc>
        <w:tc>
          <w:tcPr>
            <w:tcW w:w="60" w:type="dxa"/>
            <w:tcBorders/>
            <w:shd w:fill="E5E5E5" w:val="clear"/>
            <w:vAlign w:val="bottom"/>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80" w:before="0" w:after="0"/>
              <w:rPr/>
            </w:pPr>
            <w:r>
              <w:rPr/>
              <w:t> </w:t>
            </w:r>
          </w:p>
        </w:tc>
        <w:tc>
          <w:tcPr>
            <w:tcW w:w="38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2019</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640,900</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pPr>
            <w:r>
              <w:rPr/>
              <w:t> </w:t>
            </w:r>
          </w:p>
        </w:tc>
        <w:tc>
          <w:tcPr>
            <w:tcW w:w="605"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2,345,280</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389"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201,894</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994,900</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4,182,974  </w:t>
            </w:r>
          </w:p>
        </w:tc>
        <w:tc>
          <w:tcPr>
            <w:tcW w:w="60" w:type="dxa"/>
            <w:tcBorders/>
            <w:shd w:fill="auto" w:val="clear"/>
            <w:vAlign w:val="bottom"/>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380"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2018</w:t>
            </w:r>
          </w:p>
        </w:tc>
        <w:tc>
          <w:tcPr>
            <w:tcW w:w="6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614,718</w:t>
            </w:r>
          </w:p>
        </w:tc>
        <w:tc>
          <w:tcPr>
            <w:tcW w:w="6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605"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88"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1,145,826</w:t>
            </w:r>
          </w:p>
        </w:tc>
        <w:tc>
          <w:tcPr>
            <w:tcW w:w="6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206"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1389"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92"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966,900</w:t>
            </w:r>
          </w:p>
        </w:tc>
        <w:tc>
          <w:tcPr>
            <w:tcW w:w="6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0" w:type="dxa"/>
            <w:tcBorders>
              <w:bottom w:val="single" w:sz="8" w:space="0" w:color="001C71"/>
            </w:tcBorders>
            <w:shd w:fill="E5E5E5" w:val="clear"/>
            <w:tcMar>
              <w:bottom w:w="28" w:type="dxa"/>
            </w:tcM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bottom w:val="single" w:sz="8" w:space="0" w:color="001C71"/>
            </w:tcBorders>
            <w:shd w:fill="E5E5E5"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2,727,444  </w:t>
            </w:r>
          </w:p>
        </w:tc>
        <w:tc>
          <w:tcPr>
            <w:tcW w:w="60" w:type="dxa"/>
            <w:tcBorders>
              <w:bottom w:val="single" w:sz="8" w:space="0" w:color="001C71"/>
            </w:tcBorders>
            <w:shd w:fill="E5E5E5" w:val="clear"/>
            <w:tcMar>
              <w:bottom w:w="28" w:type="dxa"/>
            </w:tcMar>
            <w:vAlign w:val="bottom"/>
          </w:tcPr>
          <w:p>
            <w:pPr>
              <w:pStyle w:val="TableContents"/>
              <w:spacing w:lineRule="atLeast" w:line="280" w:before="0" w:after="0"/>
              <w:rPr/>
            </w:pPr>
            <w:r>
              <w:rPr/>
              <w:t> </w:t>
            </w:r>
          </w:p>
        </w:tc>
      </w:tr>
      <w:tr>
        <w:trPr/>
        <w:tc>
          <w:tcPr>
            <w:tcW w:w="2420" w:type="dxa"/>
            <w:vMerge w:val="restart"/>
            <w:tcBorders>
              <w:bottom w:val="single" w:sz="8" w:space="0" w:color="001C71"/>
            </w:tcBorders>
            <w:shd w:fill="auto" w:val="clear"/>
            <w:tcMar>
              <w:bottom w:w="28" w:type="dxa"/>
            </w:tcM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George W. Bilicic</w:t>
            </w:r>
          </w:p>
          <w:p>
            <w:pPr>
              <w:pStyle w:val="TableContents"/>
              <w:spacing w:before="0" w:after="0"/>
              <w:rPr>
                <w:rFonts w:ascii="arial" w:hAnsi="arial"/>
                <w:sz w:val="16"/>
              </w:rPr>
            </w:pPr>
            <w:r>
              <w:rPr>
                <w:rFonts w:ascii="arial" w:hAnsi="arial"/>
                <w:sz w:val="16"/>
              </w:rPr>
              <w:t>Former President and Chief</w:t>
            </w:r>
          </w:p>
          <w:p>
            <w:pPr>
              <w:pStyle w:val="TableContents"/>
              <w:spacing w:before="0" w:after="20"/>
              <w:rPr>
                <w:rFonts w:ascii="arial" w:hAnsi="arial"/>
                <w:sz w:val="16"/>
              </w:rPr>
            </w:pPr>
            <w:r>
              <w:rPr>
                <w:rFonts w:ascii="arial" w:hAnsi="arial"/>
                <w:sz w:val="16"/>
              </w:rPr>
              <w:t>Legal Officer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80" w:before="0" w:after="0"/>
              <w:rPr/>
            </w:pPr>
            <w:r>
              <w:rPr/>
              <w:t> </w:t>
            </w:r>
          </w:p>
        </w:tc>
        <w:tc>
          <w:tcPr>
            <w:tcW w:w="38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275,515</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pPr>
            <w:r>
              <w:rPr/>
              <w:t> </w:t>
            </w:r>
          </w:p>
        </w:tc>
        <w:tc>
          <w:tcPr>
            <w:tcW w:w="605"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2,220,465</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1389"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375,005</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lineRule="atLeast" w:line="280" w:before="0" w:after="0"/>
              <w:rPr/>
            </w:pPr>
            <w:r>
              <w:rPr/>
              <w:t> </w:t>
            </w:r>
          </w:p>
        </w:tc>
        <w:tc>
          <w:tcPr>
            <w:tcW w:w="1298"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auto" w:val="clear"/>
            <w:vAlign w:val="bottom"/>
          </w:tcPr>
          <w:p>
            <w:pPr>
              <w:pStyle w:val="TableContents"/>
              <w:spacing w:lineRule="atLeast" w:line="280"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auto" w:val="clear"/>
            <w:vAlign w:val="bottom"/>
          </w:tcPr>
          <w:p>
            <w:pPr>
              <w:pStyle w:val="TableContents"/>
              <w:spacing w:lineRule="atLeast" w:line="280" w:before="0" w:after="0"/>
              <w:jc w:val="right"/>
              <w:rPr>
                <w:rFonts w:ascii="arial" w:hAnsi="arial"/>
                <w:sz w:val="16"/>
              </w:rPr>
            </w:pPr>
            <w:r>
              <w:rPr>
                <w:rFonts w:ascii="arial" w:hAnsi="arial"/>
                <w:sz w:val="16"/>
              </w:rPr>
              <w:t>2,870,985  </w:t>
            </w:r>
          </w:p>
        </w:tc>
        <w:tc>
          <w:tcPr>
            <w:tcW w:w="60" w:type="dxa"/>
            <w:tcBorders/>
            <w:shd w:fill="auto" w:val="clear"/>
            <w:vAlign w:val="bottom"/>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80" w:before="0" w:after="0"/>
              <w:rPr/>
            </w:pPr>
            <w:r>
              <w:rPr/>
              <w:t> </w:t>
            </w:r>
          </w:p>
        </w:tc>
        <w:tc>
          <w:tcPr>
            <w:tcW w:w="38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2019</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74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433,973</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605"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500,000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88"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72"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4,250,102</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206" w:type="dxa"/>
            <w:tcBorders/>
            <w:shd w:fill="E5E5E5" w:val="clear"/>
            <w:vAlign w:val="bottom"/>
          </w:tcPr>
          <w:p>
            <w:pPr>
              <w:pStyle w:val="TableContents"/>
              <w:spacing w:lineRule="atLeast" w:line="280" w:before="0" w:after="0"/>
              <w:rPr/>
            </w:pPr>
            <w:r>
              <w:rPr/>
              <w:t> </w:t>
            </w:r>
          </w:p>
        </w:tc>
        <w:tc>
          <w:tcPr>
            <w:tcW w:w="1389"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92"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1298"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800,000</w:t>
            </w:r>
          </w:p>
        </w:tc>
        <w:tc>
          <w:tcPr>
            <w:tcW w:w="60" w:type="dxa"/>
            <w:tcBorders/>
            <w:shd w:fill="E5E5E5" w:val="clear"/>
            <w:vAlign w:val="bottom"/>
          </w:tcPr>
          <w:p>
            <w:pPr>
              <w:pStyle w:val="TableContents"/>
              <w:spacing w:lineRule="atLeast" w:line="280" w:before="0" w:after="0"/>
              <w:rPr/>
            </w:pPr>
            <w:r>
              <w:rPr/>
              <w:t> </w:t>
            </w:r>
          </w:p>
        </w:tc>
        <w:tc>
          <w:tcPr>
            <w:tcW w:w="60"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lineRule="atLeast" w:line="280" w:before="0" w:after="0"/>
              <w:rPr>
                <w:rFonts w:ascii="arial" w:hAnsi="arial"/>
                <w:sz w:val="16"/>
              </w:rPr>
            </w:pPr>
            <w:r>
              <w:rPr>
                <w:rFonts w:ascii="arial" w:hAnsi="arial"/>
                <w:sz w:val="16"/>
              </w:rPr>
              <w:t>$</w:t>
            </w:r>
          </w:p>
        </w:tc>
        <w:tc>
          <w:tcPr>
            <w:tcW w:w="920" w:type="dxa"/>
            <w:tcBorders/>
            <w:shd w:fill="E5E5E5" w:val="clear"/>
            <w:vAlign w:val="bottom"/>
          </w:tcPr>
          <w:p>
            <w:pPr>
              <w:pStyle w:val="TableContents"/>
              <w:spacing w:lineRule="atLeast" w:line="280" w:before="0" w:after="0"/>
              <w:jc w:val="right"/>
              <w:rPr>
                <w:rFonts w:ascii="arial" w:hAnsi="arial"/>
                <w:sz w:val="16"/>
              </w:rPr>
            </w:pPr>
            <w:r>
              <w:rPr>
                <w:rFonts w:ascii="arial" w:hAnsi="arial"/>
                <w:sz w:val="16"/>
              </w:rPr>
              <w:t>5,984,075  </w:t>
            </w:r>
          </w:p>
        </w:tc>
        <w:tc>
          <w:tcPr>
            <w:tcW w:w="60" w:type="dxa"/>
            <w:tcBorders/>
            <w:shd w:fill="E5E5E5" w:val="clear"/>
            <w:vAlign w:val="bottom"/>
          </w:tcPr>
          <w:p>
            <w:pPr>
              <w:pStyle w:val="TableContents"/>
              <w:spacing w:lineRule="atLeast" w:line="280" w:before="0" w:after="0"/>
              <w:rPr/>
            </w:pPr>
            <w:r>
              <w:rPr/>
              <w:t> </w:t>
            </w:r>
          </w:p>
        </w:tc>
      </w:tr>
      <w:tr>
        <w:trPr/>
        <w:tc>
          <w:tcPr>
            <w:tcW w:w="2420" w:type="dxa"/>
            <w:vMerge w:val="continue"/>
            <w:tcBorders>
              <w:bottom w:val="single" w:sz="8" w:space="0" w:color="001C71"/>
            </w:tcBorders>
            <w:shd w:fill="auto" w:val="clear"/>
            <w:tcMar>
              <w:bottom w:w="28" w:type="dxa"/>
            </w:tcMa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38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before="0" w:after="283"/>
              <w:rPr/>
            </w:pPr>
            <w:r>
              <w:rPr/>
              <w:t> </w:t>
            </w:r>
          </w:p>
        </w:tc>
        <w:tc>
          <w:tcPr>
            <w:tcW w:w="74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before="0" w:after="283"/>
              <w:rPr/>
            </w:pPr>
            <w:r>
              <w:rPr/>
              <w:t> </w:t>
            </w:r>
          </w:p>
        </w:tc>
        <w:tc>
          <w:tcPr>
            <w:tcW w:w="605"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88" w:type="dxa"/>
            <w:tcBorders>
              <w:bottom w:val="single" w:sz="8" w:space="0" w:color="001C71"/>
            </w:tcBorders>
            <w:shd w:fill="auto" w:val="clear"/>
            <w:tcMar>
              <w:bottom w:w="28" w:type="dxa"/>
            </w:tcMar>
            <w:vAlign w:val="bottom"/>
          </w:tcPr>
          <w:p>
            <w:pPr>
              <w:pStyle w:val="TableContents"/>
              <w:spacing w:before="0" w:after="283"/>
              <w:rPr/>
            </w:pPr>
            <w:r>
              <w:rPr/>
              <w:t> </w:t>
            </w:r>
          </w:p>
        </w:tc>
        <w:tc>
          <w:tcPr>
            <w:tcW w:w="127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06" w:type="dxa"/>
            <w:tcBorders>
              <w:bottom w:val="single" w:sz="8" w:space="0" w:color="001C71"/>
            </w:tcBorders>
            <w:shd w:fill="auto" w:val="clear"/>
            <w:tcMar>
              <w:bottom w:w="28" w:type="dxa"/>
            </w:tcMar>
            <w:vAlign w:val="bottom"/>
          </w:tcPr>
          <w:p>
            <w:pPr>
              <w:pStyle w:val="TableContents"/>
              <w:spacing w:before="0" w:after="283"/>
              <w:rPr/>
            </w:pPr>
            <w:r>
              <w:rPr/>
              <w:t> </w:t>
            </w:r>
          </w:p>
        </w:tc>
        <w:tc>
          <w:tcPr>
            <w:tcW w:w="138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92" w:type="dxa"/>
            <w:tcBorders>
              <w:bottom w:val="single" w:sz="8" w:space="0" w:color="001C71"/>
            </w:tcBorders>
            <w:shd w:fill="auto" w:val="clear"/>
            <w:tcMar>
              <w:bottom w:w="28" w:type="dxa"/>
            </w:tcMar>
            <w:vAlign w:val="bottom"/>
          </w:tcPr>
          <w:p>
            <w:pPr>
              <w:pStyle w:val="TableContents"/>
              <w:spacing w:before="0" w:after="283"/>
              <w:rPr/>
            </w:pPr>
            <w:r>
              <w:rPr/>
              <w:t> </w:t>
            </w:r>
          </w:p>
        </w:tc>
        <w:tc>
          <w:tcPr>
            <w:tcW w:w="1298"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0" w:type="dxa"/>
            <w:tcBorders>
              <w:bottom w:val="single" w:sz="8" w:space="0" w:color="001C71"/>
            </w:tcBorders>
            <w:shd w:fill="auto" w:val="clear"/>
            <w:tcMar>
              <w:bottom w:w="28" w:type="dxa"/>
            </w:tcMar>
            <w:vAlign w:val="bottom"/>
          </w:tcPr>
          <w:p>
            <w:pPr>
              <w:pStyle w:val="TableContents"/>
              <w:spacing w:before="0" w:after="283"/>
              <w:rPr/>
            </w:pPr>
            <w:r>
              <w:rPr/>
              <w:t> </w:t>
            </w:r>
          </w:p>
        </w:tc>
        <w:tc>
          <w:tcPr>
            <w:tcW w:w="92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73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Grants of Plan-Based Awards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named executive officers participated in incentive compensation plans that are designed to encourage high levels of performance on both a short-term and a long-term basis. Performance-based annual cash bonuses were provided under our annual bonus plan. Long-term equity-based incentives were provided under our 2019 Long-Term Incentive Plan. </w:t>
      </w:r>
    </w:p>
    <w:p>
      <w:pPr>
        <w:pStyle w:val="TextBody"/>
        <w:spacing w:before="120" w:after="0"/>
        <w:jc w:val="left"/>
        <w:rPr>
          <w:rFonts w:ascii="arial" w:hAnsi="arial"/>
          <w:sz w:val="16"/>
        </w:rPr>
      </w:pPr>
      <w:r>
        <w:rPr>
          <w:rFonts w:ascii="arial" w:hAnsi="arial"/>
          <w:sz w:val="16"/>
        </w:rPr>
        <w:t xml:space="preserve">We summarize below our 2020 grants of plan-based awards for our executive officers named in the 2020 Summary Compensation Table. </w:t>
      </w:r>
    </w:p>
    <w:p>
      <w:pPr>
        <w:pStyle w:val="TextBody"/>
        <w:spacing w:before="200" w:after="0"/>
        <w:jc w:val="left"/>
        <w:rPr>
          <w:rFonts w:ascii="arial" w:hAnsi="arial"/>
          <w:color w:val="001C71"/>
          <w:sz w:val="16"/>
        </w:rPr>
      </w:pPr>
      <w:r>
        <w:rPr>
          <w:rFonts w:ascii="arial" w:hAnsi="arial"/>
          <w:color w:val="001C71"/>
          <w:sz w:val="16"/>
        </w:rPr>
        <w:t xml:space="preserve">2020 GRANTS OF PLAN-BASED AWARDS </w:t>
      </w:r>
    </w:p>
    <w:p>
      <w:pPr>
        <w:pStyle w:val="TextBody"/>
        <w:spacing w:before="0" w:after="0"/>
        <w:jc w:val="left"/>
        <w:rPr/>
      </w:pPr>
      <w:r>
        <w:rPr/>
        <w:t> </w:t>
      </w:r>
    </w:p>
    <w:tbl>
      <w:tblPr>
        <w:tblW w:w="13640" w:type="dxa"/>
        <w:jc w:val="center"/>
        <w:tblInd w:w="0" w:type="dxa"/>
        <w:tblCellMar>
          <w:top w:w="0" w:type="dxa"/>
          <w:left w:w="0" w:type="dxa"/>
          <w:bottom w:w="0" w:type="dxa"/>
          <w:right w:w="0" w:type="dxa"/>
        </w:tblCellMar>
      </w:tblPr>
      <w:tblGrid>
        <w:gridCol w:w="1400"/>
        <w:gridCol w:w="60"/>
        <w:gridCol w:w="60"/>
        <w:gridCol w:w="320"/>
        <w:gridCol w:w="60"/>
        <w:gridCol w:w="60"/>
        <w:gridCol w:w="120"/>
        <w:gridCol w:w="410"/>
        <w:gridCol w:w="60"/>
        <w:gridCol w:w="60"/>
        <w:gridCol w:w="103"/>
        <w:gridCol w:w="967"/>
        <w:gridCol w:w="60"/>
        <w:gridCol w:w="60"/>
        <w:gridCol w:w="140"/>
        <w:gridCol w:w="980"/>
        <w:gridCol w:w="60"/>
        <w:gridCol w:w="60"/>
        <w:gridCol w:w="140"/>
        <w:gridCol w:w="980"/>
        <w:gridCol w:w="60"/>
        <w:gridCol w:w="60"/>
        <w:gridCol w:w="103"/>
        <w:gridCol w:w="967"/>
        <w:gridCol w:w="75"/>
        <w:gridCol w:w="75"/>
        <w:gridCol w:w="75"/>
        <w:gridCol w:w="855"/>
        <w:gridCol w:w="75"/>
        <w:gridCol w:w="75"/>
        <w:gridCol w:w="85"/>
        <w:gridCol w:w="985"/>
        <w:gridCol w:w="60"/>
        <w:gridCol w:w="60"/>
        <w:gridCol w:w="75"/>
        <w:gridCol w:w="560"/>
        <w:gridCol w:w="60"/>
        <w:gridCol w:w="60"/>
        <w:gridCol w:w="75"/>
        <w:gridCol w:w="800"/>
        <w:gridCol w:w="60"/>
        <w:gridCol w:w="60"/>
        <w:gridCol w:w="140"/>
        <w:gridCol w:w="680"/>
        <w:gridCol w:w="60"/>
        <w:gridCol w:w="60"/>
        <w:gridCol w:w="140"/>
        <w:gridCol w:w="980"/>
        <w:gridCol w:w="60"/>
      </w:tblGrid>
      <w:tr>
        <w:trPr/>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auto" w:val="cle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380" w:type="dxa"/>
            <w:gridSpan w:val="2"/>
            <w:vMerge w:val="restart"/>
            <w:tcBorders>
              <w:bottom w:val="single" w:sz="12" w:space="0" w:color="001C71"/>
            </w:tcBorders>
            <w:shd w:fill="auto" w:val="clear"/>
            <w:tcMar>
              <w:bottom w:w="40" w:type="dxa"/>
            </w:tcMar>
            <w:vAlign w:val="bottom"/>
          </w:tcPr>
          <w:p>
            <w:pPr>
              <w:pStyle w:val="TableContents"/>
              <w:spacing w:before="0" w:after="0"/>
              <w:jc w:val="center"/>
              <w:rPr>
                <w:rFonts w:ascii="arial" w:hAnsi="arial"/>
                <w:b/>
                <w:color w:val="001C71"/>
                <w:sz w:val="13"/>
              </w:rPr>
            </w:pPr>
            <w:r>
              <w:rPr>
                <w:rFonts w:ascii="arial" w:hAnsi="arial"/>
                <w:b/>
                <w:color w:val="001C71"/>
                <w:sz w:val="13"/>
              </w:rPr>
              <w:t>Grant</w:t>
              <w:br/>
              <w:t>Date</w:t>
            </w:r>
          </w:p>
          <w:p>
            <w:pPr>
              <w:pStyle w:val="TableContents"/>
              <w:spacing w:before="0" w:after="20"/>
              <w:jc w:val="center"/>
              <w:rPr>
                <w:rFonts w:ascii="arial" w:hAnsi="arial"/>
                <w:b/>
                <w:color w:val="001C71"/>
                <w:sz w:val="13"/>
              </w:rPr>
            </w:pPr>
            <w:r>
              <w:rPr>
                <w:rFonts w:ascii="arial" w:hAnsi="arial"/>
                <w:b/>
                <w:color w:val="001C71"/>
                <w:sz w:val="13"/>
              </w:rPr>
              <w:t>(A)</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530" w:type="dxa"/>
            <w:gridSpan w:val="2"/>
            <w:vMerge w:val="restart"/>
            <w:tcBorders>
              <w:bottom w:val="single" w:sz="12" w:space="0" w:color="001C71"/>
            </w:tcBorders>
            <w:shd w:fill="auto" w:val="clear"/>
            <w:tcMar>
              <w:bottom w:w="40" w:type="dxa"/>
            </w:tcMar>
            <w:vAlign w:val="bottom"/>
          </w:tcPr>
          <w:p>
            <w:pPr>
              <w:pStyle w:val="TableContents"/>
              <w:spacing w:before="0" w:after="0"/>
              <w:jc w:val="center"/>
              <w:rPr>
                <w:rFonts w:ascii="arial" w:hAnsi="arial"/>
                <w:b/>
                <w:color w:val="001C71"/>
                <w:sz w:val="13"/>
              </w:rPr>
            </w:pPr>
            <w:r>
              <w:rPr>
                <w:rFonts w:ascii="arial" w:hAnsi="arial"/>
                <w:b/>
                <w:color w:val="001C71"/>
                <w:sz w:val="13"/>
              </w:rPr>
              <w:t>Authori-</w:t>
              <w:br/>
              <w:t>zation</w:t>
              <w:br/>
              <w:t>Date</w:t>
            </w:r>
          </w:p>
          <w:p>
            <w:pPr>
              <w:pStyle w:val="TableContents"/>
              <w:spacing w:before="0" w:after="20"/>
              <w:jc w:val="center"/>
              <w:rPr>
                <w:rFonts w:ascii="arial" w:hAnsi="arial"/>
                <w:b/>
                <w:color w:val="001C71"/>
                <w:sz w:val="13"/>
              </w:rPr>
            </w:pPr>
            <w:r>
              <w:rPr>
                <w:rFonts w:ascii="arial" w:hAnsi="arial"/>
                <w:b/>
                <w:color w:val="001C71"/>
                <w:sz w:val="13"/>
              </w:rPr>
              <w:t>(A)</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50" w:type="dxa"/>
            <w:gridSpan w:val="10"/>
            <w:tcBorders>
              <w:bottom w:val="single" w:sz="2" w:space="0" w:color="001C71"/>
            </w:tcBorders>
            <w:shd w:fill="auto" w:val="clear"/>
            <w:tcMar>
              <w:bottom w:w="40" w:type="dxa"/>
            </w:tcMar>
            <w:vAlign w:val="bottom"/>
          </w:tcPr>
          <w:p>
            <w:pPr>
              <w:pStyle w:val="TableContents"/>
              <w:spacing w:before="0" w:after="283"/>
              <w:jc w:val="center"/>
              <w:rPr>
                <w:b/>
                <w:color w:val="001C71"/>
              </w:rPr>
            </w:pPr>
            <w:r>
              <w:rPr>
                <w:b/>
                <w:color w:val="001C71"/>
              </w:rPr>
              <w:t>Estimated Possible Payouts Under</w:t>
              <w:br/>
              <w:t>Non-Equity Incentive Plan Awards</w:t>
              <w:br/>
              <w:t>(Performance-Based Annual Bonus)</w:t>
              <w:br/>
              <w:t>(B)</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70" w:type="dxa"/>
            <w:gridSpan w:val="10"/>
            <w:tcBorders>
              <w:bottom w:val="single" w:sz="2" w:space="0" w:color="001C71"/>
            </w:tcBorders>
            <w:shd w:fill="auto" w:val="clear"/>
            <w:tcMar>
              <w:bottom w:w="40" w:type="dxa"/>
            </w:tcMar>
            <w:vAlign w:val="bottom"/>
          </w:tcPr>
          <w:p>
            <w:pPr>
              <w:pStyle w:val="TableContents"/>
              <w:spacing w:before="0" w:after="283"/>
              <w:jc w:val="center"/>
              <w:rPr>
                <w:b/>
                <w:color w:val="001C71"/>
              </w:rPr>
            </w:pPr>
            <w:r>
              <w:rPr>
                <w:b/>
                <w:color w:val="001C71"/>
              </w:rPr>
              <w:t>Estimated Future Payouts</w:t>
              <w:br/>
              <w:t>Under Equity Incentive Plan</w:t>
              <w:br/>
              <w:t>Awards (Number of Shares)</w:t>
              <w:br/>
              <w:t>(C)(E)</w:t>
            </w:r>
          </w:p>
        </w:tc>
        <w:tc>
          <w:tcPr>
            <w:tcW w:w="60" w:type="dxa"/>
            <w:tcBorders/>
            <w:shd w:fill="auto" w:val="cle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35" w:type="dxa"/>
            <w:gridSpan w:val="2"/>
            <w:vMerge w:val="restart"/>
            <w:tcBorders>
              <w:bottom w:val="single" w:sz="12" w:space="0" w:color="001C71"/>
            </w:tcBorders>
            <w:shd w:fill="auto" w:val="clear"/>
            <w:tcMar>
              <w:bottom w:w="40" w:type="dxa"/>
            </w:tcMar>
            <w:vAlign w:val="bottom"/>
          </w:tcPr>
          <w:p>
            <w:pPr>
              <w:pStyle w:val="TableContents"/>
              <w:spacing w:before="0" w:after="0"/>
              <w:jc w:val="center"/>
              <w:rPr>
                <w:rFonts w:ascii="arial" w:hAnsi="arial"/>
                <w:b/>
                <w:color w:val="001C71"/>
                <w:sz w:val="13"/>
              </w:rPr>
            </w:pPr>
            <w:r>
              <w:rPr>
                <w:rFonts w:ascii="arial" w:hAnsi="arial"/>
                <w:b/>
                <w:color w:val="001C71"/>
                <w:sz w:val="13"/>
              </w:rPr>
              <w:t>All Other</w:t>
              <w:br/>
              <w:t>Stock</w:t>
              <w:br/>
              <w:t>Awards</w:t>
            </w:r>
          </w:p>
          <w:p>
            <w:pPr>
              <w:pStyle w:val="TableContents"/>
              <w:spacing w:before="0" w:after="20"/>
              <w:jc w:val="center"/>
              <w:rPr>
                <w:rFonts w:ascii="arial" w:hAnsi="arial"/>
                <w:b/>
                <w:color w:val="001C71"/>
                <w:sz w:val="13"/>
              </w:rPr>
            </w:pPr>
            <w:r>
              <w:rPr>
                <w:rFonts w:ascii="arial" w:hAnsi="arial"/>
                <w:b/>
                <w:color w:val="001C71"/>
                <w:sz w:val="13"/>
              </w:rPr>
              <w:t>Number</w:t>
              <w:br/>
              <w:t>of Shares</w:t>
              <w:br/>
              <w:t>(D)(E)</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5" w:type="dxa"/>
            <w:gridSpan w:val="6"/>
            <w:tcBorders>
              <w:bottom w:val="single" w:sz="2" w:space="0" w:color="001C71"/>
            </w:tcBorders>
            <w:shd w:fill="auto" w:val="clear"/>
            <w:tcMar>
              <w:bottom w:w="40" w:type="dxa"/>
            </w:tcMar>
            <w:vAlign w:val="bottom"/>
          </w:tcPr>
          <w:p>
            <w:pPr>
              <w:pStyle w:val="TableContents"/>
              <w:spacing w:before="0" w:after="283"/>
              <w:jc w:val="center"/>
              <w:rPr/>
            </w:pPr>
            <w:r>
              <w:rPr>
                <w:b/>
                <w:color w:val="001C71"/>
              </w:rPr>
              <w:t>Option Awards</w:t>
              <w:br/>
              <w:t>(Service-Based</w:t>
              <w:br/>
              <w:t>Stock Options)</w:t>
            </w:r>
            <w:r>
              <w:rPr/>
              <w:br/>
            </w:r>
            <w:r>
              <w:rPr>
                <w:b/>
                <w:color w:val="001C71"/>
              </w:rPr>
              <w:t>(F)</w:t>
            </w:r>
          </w:p>
        </w:tc>
        <w:tc>
          <w:tcPr>
            <w:tcW w:w="60" w:type="dxa"/>
            <w:tcBorders/>
            <w:shd w:fill="auto" w:val="cle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1120" w:type="dxa"/>
            <w:gridSpan w:val="2"/>
            <w:vMerge w:val="restart"/>
            <w:tcBorders>
              <w:bottom w:val="single" w:sz="12" w:space="0" w:color="001C71"/>
            </w:tcBorders>
            <w:shd w:fill="auto" w:val="clear"/>
            <w:tcMar>
              <w:bottom w:w="40" w:type="dxa"/>
            </w:tcMar>
            <w:vAlign w:val="bottom"/>
          </w:tcPr>
          <w:p>
            <w:pPr>
              <w:pStyle w:val="TableContents"/>
              <w:spacing w:before="0" w:after="0"/>
              <w:jc w:val="center"/>
              <w:rPr>
                <w:rFonts w:ascii="arial" w:hAnsi="arial"/>
                <w:b/>
                <w:color w:val="001C71"/>
                <w:sz w:val="13"/>
              </w:rPr>
            </w:pPr>
            <w:r>
              <w:rPr>
                <w:rFonts w:ascii="arial" w:hAnsi="arial"/>
                <w:b/>
                <w:color w:val="001C71"/>
                <w:sz w:val="13"/>
              </w:rPr>
              <w:t>Grant Date</w:t>
              <w:br/>
              <w:t>Fair Value</w:t>
            </w:r>
          </w:p>
          <w:p>
            <w:pPr>
              <w:pStyle w:val="TableContents"/>
              <w:spacing w:before="0" w:after="0"/>
              <w:jc w:val="center"/>
              <w:rPr>
                <w:rFonts w:ascii="arial" w:hAnsi="arial"/>
                <w:b/>
                <w:color w:val="001C71"/>
                <w:sz w:val="13"/>
              </w:rPr>
            </w:pPr>
            <w:r>
              <w:rPr>
                <w:rFonts w:ascii="arial" w:hAnsi="arial"/>
                <w:b/>
                <w:color w:val="001C71"/>
                <w:sz w:val="13"/>
              </w:rPr>
              <w:t>of Stock</w:t>
              <w:br/>
              <w:t>and Option</w:t>
              <w:br/>
              <w:t>Awards</w:t>
            </w:r>
          </w:p>
          <w:p>
            <w:pPr>
              <w:pStyle w:val="TableContents"/>
              <w:spacing w:before="0" w:after="20"/>
              <w:jc w:val="center"/>
              <w:rPr>
                <w:rFonts w:ascii="arial" w:hAnsi="arial"/>
                <w:b/>
                <w:color w:val="001C71"/>
                <w:sz w:val="13"/>
              </w:rPr>
            </w:pPr>
            <w:r>
              <w:rPr>
                <w:rFonts w:ascii="arial" w:hAnsi="arial"/>
                <w:b/>
                <w:color w:val="001C71"/>
                <w:sz w:val="13"/>
              </w:rPr>
              <w:t>(G)</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r>
      <w:tr>
        <w:trPr/>
        <w:tc>
          <w:tcPr>
            <w:tcW w:w="1400" w:type="dxa"/>
            <w:tcBorders>
              <w:bottom w:val="single" w:sz="12" w:space="0" w:color="001C71"/>
            </w:tcBorders>
            <w:shd w:fill="auto" w:val="clear"/>
            <w:tcMar>
              <w:bottom w:w="28" w:type="dxa"/>
            </w:tcMar>
            <w:vAlign w:val="bottom"/>
          </w:tcPr>
          <w:p>
            <w:pPr>
              <w:pStyle w:val="TableContents"/>
              <w:rPr/>
            </w:pPr>
            <w:r>
              <w:rPr/>
              <w:t>  </w:t>
            </w:r>
          </w:p>
          <w:p>
            <w:pPr>
              <w:pStyle w:val="TableContents"/>
              <w:spacing w:before="0" w:after="0"/>
              <w:rPr/>
            </w:pPr>
            <w:r>
              <w:rPr/>
              <w:t> </w:t>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380" w:type="dxa"/>
            <w:gridSpan w:val="2"/>
            <w:vMerge w:val="continue"/>
            <w:tcBorders>
              <w:bottom w:val="single" w:sz="12" w:space="0" w:color="001C71"/>
            </w:tcBorders>
            <w:shd w:fill="auto" w:val="clear"/>
            <w:tcMar>
              <w:bottom w:w="40"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530" w:type="dxa"/>
            <w:gridSpan w:val="2"/>
            <w:vMerge w:val="continue"/>
            <w:tcBorders>
              <w:bottom w:val="single" w:sz="12" w:space="0" w:color="001C71"/>
            </w:tcBorders>
            <w:shd w:fill="auto" w:val="clear"/>
            <w:tcMar>
              <w:bottom w:w="40"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07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Threshold</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12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Target</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12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Maximum</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07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Threshold</w:t>
            </w:r>
          </w:p>
        </w:tc>
        <w:tc>
          <w:tcPr>
            <w:tcW w:w="75" w:type="dxa"/>
            <w:tcBorders>
              <w:bottom w:val="single" w:sz="12" w:space="0" w:color="001C71"/>
            </w:tcBorders>
            <w:shd w:fill="auto" w:val="clear"/>
            <w:tcMar>
              <w:bottom w:w="28" w:type="dxa"/>
            </w:tcMar>
            <w:vAlign w:val="bottom"/>
          </w:tcPr>
          <w:p>
            <w:pPr>
              <w:pStyle w:val="TableContents"/>
              <w:spacing w:before="0" w:after="283"/>
              <w:rPr/>
            </w:pPr>
            <w:r>
              <w:rPr/>
              <w:t> </w:t>
            </w:r>
          </w:p>
        </w:tc>
        <w:tc>
          <w:tcPr>
            <w:tcW w:w="75" w:type="dxa"/>
            <w:tcBorders>
              <w:bottom w:val="single" w:sz="12" w:space="0" w:color="001C71"/>
            </w:tcBorders>
            <w:shd w:fill="auto" w:val="clear"/>
            <w:tcMar>
              <w:bottom w:w="28" w:type="dxa"/>
            </w:tcMar>
            <w:vAlign w:val="bottom"/>
          </w:tcPr>
          <w:p>
            <w:pPr>
              <w:pStyle w:val="TableContents"/>
              <w:spacing w:before="0" w:after="283"/>
              <w:rPr/>
            </w:pPr>
            <w:r>
              <w:rPr/>
              <w:t> </w:t>
            </w:r>
          </w:p>
        </w:tc>
        <w:tc>
          <w:tcPr>
            <w:tcW w:w="93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Target</w:t>
            </w:r>
          </w:p>
        </w:tc>
        <w:tc>
          <w:tcPr>
            <w:tcW w:w="75" w:type="dxa"/>
            <w:tcBorders>
              <w:bottom w:val="single" w:sz="12" w:space="0" w:color="001C71"/>
            </w:tcBorders>
            <w:shd w:fill="auto" w:val="clear"/>
            <w:tcMar>
              <w:bottom w:w="28" w:type="dxa"/>
            </w:tcMar>
            <w:vAlign w:val="bottom"/>
          </w:tcPr>
          <w:p>
            <w:pPr>
              <w:pStyle w:val="TableContents"/>
              <w:spacing w:before="0" w:after="283"/>
              <w:rPr/>
            </w:pPr>
            <w:r>
              <w:rPr/>
              <w:t> </w:t>
            </w:r>
          </w:p>
        </w:tc>
        <w:tc>
          <w:tcPr>
            <w:tcW w:w="75" w:type="dxa"/>
            <w:tcBorders>
              <w:bottom w:val="single" w:sz="12" w:space="0" w:color="001C71"/>
            </w:tcBorders>
            <w:shd w:fill="auto" w:val="clear"/>
            <w:tcMar>
              <w:bottom w:w="28" w:type="dxa"/>
            </w:tcMar>
            <w:vAlign w:val="bottom"/>
          </w:tcPr>
          <w:p>
            <w:pPr>
              <w:pStyle w:val="TableContents"/>
              <w:spacing w:before="0" w:after="283"/>
              <w:rPr/>
            </w:pPr>
            <w:r>
              <w:rPr/>
              <w:t> </w:t>
            </w:r>
          </w:p>
        </w:tc>
        <w:tc>
          <w:tcPr>
            <w:tcW w:w="107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Maximum</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635" w:type="dxa"/>
            <w:gridSpan w:val="2"/>
            <w:vMerge w:val="continue"/>
            <w:tcBorders>
              <w:bottom w:val="single" w:sz="12" w:space="0" w:color="001C71"/>
            </w:tcBorders>
            <w:shd w:fill="auto" w:val="clear"/>
            <w:tcMar>
              <w:bottom w:w="40"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875"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Number</w:t>
              <w:br/>
              <w:t>of</w:t>
              <w:br/>
              <w:t>Shares</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820" w:type="dxa"/>
            <w:gridSpan w:val="2"/>
            <w:tcBorders>
              <w:bottom w:val="single" w:sz="12" w:space="0" w:color="001C71"/>
            </w:tcBorders>
            <w:shd w:fill="auto" w:val="clear"/>
            <w:tcMar>
              <w:bottom w:w="40" w:type="dxa"/>
            </w:tcMar>
            <w:vAlign w:val="bottom"/>
          </w:tcPr>
          <w:p>
            <w:pPr>
              <w:pStyle w:val="TableContents"/>
              <w:spacing w:before="0" w:after="0"/>
              <w:rPr/>
            </w:pPr>
            <w:r>
              <w:rPr/>
              <w:t> </w:t>
            </w:r>
          </w:p>
          <w:p>
            <w:pPr>
              <w:pStyle w:val="TableContents"/>
              <w:spacing w:before="0" w:after="20"/>
              <w:jc w:val="center"/>
              <w:rPr>
                <w:rFonts w:ascii="arial" w:hAnsi="arial"/>
                <w:b/>
                <w:color w:val="001C71"/>
                <w:sz w:val="13"/>
              </w:rPr>
            </w:pPr>
            <w:r>
              <w:rPr>
                <w:rFonts w:ascii="arial" w:hAnsi="arial"/>
                <w:b/>
                <w:color w:val="001C71"/>
                <w:sz w:val="13"/>
              </w:rPr>
              <w:t>Exercise</w:t>
              <w:br/>
              <w:t>Price</w:t>
              <w:br/>
              <w:t>per</w:t>
              <w:br/>
              <w:t>Share</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1120" w:type="dxa"/>
            <w:gridSpan w:val="2"/>
            <w:vMerge w:val="continue"/>
            <w:tcBorders>
              <w:bottom w:val="single" w:sz="12" w:space="0" w:color="001C71"/>
            </w:tcBorders>
            <w:shd w:fill="auto" w:val="clear"/>
            <w:tcMar>
              <w:bottom w:w="40"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b/>
                <w:sz w:val="15"/>
              </w:rPr>
            </w:pPr>
            <w:r>
              <w:rPr>
                <w:rFonts w:ascii="arial" w:hAnsi="arial"/>
                <w:b/>
                <w:sz w:val="15"/>
              </w:rPr>
              <w:t>Jeffrey W. Martin</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3" w:type="dxa"/>
            <w:tcBorders/>
            <w:shd w:fill="E5E5E5" w:val="clear"/>
            <w:vAlign w:val="bottom"/>
          </w:tcPr>
          <w:p>
            <w:pPr>
              <w:pStyle w:val="TableContents"/>
              <w:spacing w:before="0" w:after="283"/>
              <w:rPr>
                <w:sz w:val="4"/>
                <w:szCs w:val="4"/>
              </w:rPr>
            </w:pPr>
            <w:r>
              <w:rPr>
                <w:sz w:val="4"/>
                <w:szCs w:val="4"/>
              </w:rPr>
            </w:r>
          </w:p>
        </w:tc>
        <w:tc>
          <w:tcPr>
            <w:tcW w:w="96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9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9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3" w:type="dxa"/>
            <w:tcBorders/>
            <w:shd w:fill="E5E5E5" w:val="clear"/>
            <w:vAlign w:val="bottom"/>
          </w:tcPr>
          <w:p>
            <w:pPr>
              <w:pStyle w:val="TableContents"/>
              <w:spacing w:before="0" w:after="283"/>
              <w:rPr>
                <w:sz w:val="4"/>
                <w:szCs w:val="4"/>
              </w:rPr>
            </w:pPr>
            <w:r>
              <w:rPr>
                <w:sz w:val="4"/>
                <w:szCs w:val="4"/>
              </w:rPr>
            </w:r>
          </w:p>
        </w:tc>
        <w:tc>
          <w:tcPr>
            <w:tcW w:w="967" w:type="dxa"/>
            <w:tcBorders/>
            <w:shd w:fill="E5E5E5" w:val="clear"/>
            <w:vAlign w:val="bottom"/>
          </w:tcPr>
          <w:p>
            <w:pPr>
              <w:pStyle w:val="TableContents"/>
              <w:spacing w:before="0" w:after="283"/>
              <w:rPr>
                <w:sz w:val="4"/>
                <w:szCs w:val="4"/>
              </w:rPr>
            </w:pPr>
            <w:r>
              <w:rPr>
                <w:sz w:val="4"/>
                <w:szCs w:val="4"/>
              </w:rPr>
            </w:r>
          </w:p>
        </w:tc>
        <w:tc>
          <w:tcPr>
            <w:tcW w:w="75" w:type="dxa"/>
            <w:tcBorders/>
            <w:shd w:fill="E5E5E5" w:val="clear"/>
            <w:vAlign w:val="bottom"/>
          </w:tcPr>
          <w:p>
            <w:pPr>
              <w:pStyle w:val="TableContents"/>
              <w:spacing w:before="0" w:after="283"/>
              <w:rPr>
                <w:sz w:val="4"/>
                <w:szCs w:val="4"/>
              </w:rPr>
            </w:pPr>
            <w:r>
              <w:rPr>
                <w:sz w:val="4"/>
                <w:szCs w:val="4"/>
              </w:rPr>
            </w:r>
          </w:p>
        </w:tc>
        <w:tc>
          <w:tcPr>
            <w:tcW w:w="75"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283"/>
              <w:rPr>
                <w:sz w:val="4"/>
                <w:szCs w:val="4"/>
              </w:rPr>
            </w:pPr>
            <w:r>
              <w:rPr>
                <w:sz w:val="4"/>
                <w:szCs w:val="4"/>
              </w:rPr>
            </w:r>
          </w:p>
        </w:tc>
        <w:tc>
          <w:tcPr>
            <w:tcW w:w="855" w:type="dxa"/>
            <w:tcBorders/>
            <w:shd w:fill="E5E5E5" w:val="clear"/>
            <w:vAlign w:val="bottom"/>
          </w:tcPr>
          <w:p>
            <w:pPr>
              <w:pStyle w:val="TableContents"/>
              <w:spacing w:before="0" w:after="283"/>
              <w:rPr>
                <w:sz w:val="4"/>
                <w:szCs w:val="4"/>
              </w:rPr>
            </w:pPr>
            <w:r>
              <w:rPr>
                <w:sz w:val="4"/>
                <w:szCs w:val="4"/>
              </w:rPr>
            </w:r>
          </w:p>
        </w:tc>
        <w:tc>
          <w:tcPr>
            <w:tcW w:w="75" w:type="dxa"/>
            <w:tcBorders/>
            <w:shd w:fill="E5E5E5" w:val="clear"/>
            <w:vAlign w:val="bottom"/>
          </w:tcPr>
          <w:p>
            <w:pPr>
              <w:pStyle w:val="TableContents"/>
              <w:spacing w:before="0" w:after="283"/>
              <w:rPr>
                <w:sz w:val="4"/>
                <w:szCs w:val="4"/>
              </w:rPr>
            </w:pPr>
            <w:r>
              <w:rPr>
                <w:sz w:val="4"/>
                <w:szCs w:val="4"/>
              </w:rPr>
            </w:r>
          </w:p>
        </w:tc>
        <w:tc>
          <w:tcPr>
            <w:tcW w:w="75"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sz w:val="4"/>
                <w:szCs w:val="4"/>
              </w:rPr>
            </w:pPr>
            <w:r>
              <w:rPr>
                <w:sz w:val="4"/>
                <w:szCs w:val="4"/>
              </w:rPr>
            </w:r>
          </w:p>
        </w:tc>
        <w:tc>
          <w:tcPr>
            <w:tcW w:w="98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283"/>
              <w:rPr>
                <w:sz w:val="4"/>
                <w:szCs w:val="4"/>
              </w:rPr>
            </w:pPr>
            <w:r>
              <w:rPr>
                <w:sz w:val="4"/>
                <w:szCs w:val="4"/>
              </w:rPr>
            </w:r>
          </w:p>
        </w:tc>
        <w:tc>
          <w:tcPr>
            <w:tcW w:w="5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283"/>
              <w:rPr>
                <w:sz w:val="4"/>
                <w:szCs w:val="4"/>
              </w:rPr>
            </w:pPr>
            <w:r>
              <w:rPr>
                <w:sz w:val="4"/>
                <w:szCs w:val="4"/>
              </w:rPr>
            </w:r>
          </w:p>
        </w:tc>
        <w:tc>
          <w:tcPr>
            <w:tcW w:w="80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6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9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Performance-based Restricted Stock Units (PBRSU) based on TSR vs. S&amp;P 500 Utilities Index</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jc w:val="right"/>
              <w:rPr/>
            </w:pPr>
            <w:r>
              <w:rPr/>
              <w:t>16,430</w:t>
            </w:r>
          </w:p>
        </w:tc>
        <w:tc>
          <w:tcPr>
            <w:tcW w:w="75"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jc w:val="right"/>
              <w:rPr/>
            </w:pPr>
            <w:r>
              <w:rPr/>
              <w:t>32,860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2,557,362</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PBRSU based on TSR vs. S&amp;P 500 Index</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283"/>
              <w:rPr/>
            </w:pPr>
            <w:r>
              <w:rPr/>
              <w:t> </w:t>
            </w:r>
          </w:p>
        </w:tc>
        <w:tc>
          <w:tcPr>
            <w:tcW w:w="967" w:type="dxa"/>
            <w:tcBorders/>
            <w:shd w:fill="E5E5E5" w:val="clear"/>
            <w:vAlign w:val="center"/>
          </w:tcPr>
          <w:p>
            <w:pPr>
              <w:pStyle w:val="TableContents"/>
              <w:spacing w:before="0" w:after="283"/>
              <w:jc w:val="right"/>
              <w:rPr/>
            </w:pPr>
            <w:r>
              <w:rPr/>
              <w:t>      </w:t>
            </w:r>
          </w:p>
        </w:tc>
        <w:tc>
          <w:tcPr>
            <w:tcW w:w="75" w:type="dxa"/>
            <w:tcBorders/>
            <w:shd w:fill="E5E5E5" w:val="clear"/>
            <w:vAlign w:val="center"/>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283"/>
              <w:rPr/>
            </w:pPr>
            <w:r>
              <w:rPr/>
              <w:t> </w:t>
            </w:r>
          </w:p>
        </w:tc>
        <w:tc>
          <w:tcPr>
            <w:tcW w:w="855" w:type="dxa"/>
            <w:tcBorders/>
            <w:shd w:fill="E5E5E5" w:val="clear"/>
            <w:vAlign w:val="center"/>
          </w:tcPr>
          <w:p>
            <w:pPr>
              <w:pStyle w:val="TableContents"/>
              <w:spacing w:before="0" w:after="283"/>
              <w:jc w:val="right"/>
              <w:rPr/>
            </w:pPr>
            <w:r>
              <w:rPr/>
              <w:t>7,042</w:t>
            </w:r>
          </w:p>
        </w:tc>
        <w:tc>
          <w:tcPr>
            <w:tcW w:w="75" w:type="dxa"/>
            <w:tcBorders/>
            <w:shd w:fill="E5E5E5" w:val="clear"/>
            <w:vAlign w:val="center"/>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283"/>
              <w:rPr/>
            </w:pPr>
            <w:r>
              <w:rPr/>
              <w:t> </w:t>
            </w:r>
          </w:p>
        </w:tc>
        <w:tc>
          <w:tcPr>
            <w:tcW w:w="985" w:type="dxa"/>
            <w:tcBorders/>
            <w:shd w:fill="E5E5E5" w:val="clear"/>
            <w:vAlign w:val="center"/>
          </w:tcPr>
          <w:p>
            <w:pPr>
              <w:pStyle w:val="TableContents"/>
              <w:spacing w:before="0" w:after="283"/>
              <w:jc w:val="right"/>
              <w:rPr/>
            </w:pPr>
            <w:r>
              <w:rPr/>
              <w:t>14,084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56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980" w:type="dxa"/>
            <w:tcBorders/>
            <w:shd w:fill="E5E5E5" w:val="clear"/>
            <w:vAlign w:val="center"/>
          </w:tcPr>
          <w:p>
            <w:pPr>
              <w:pStyle w:val="TableContents"/>
              <w:spacing w:before="0" w:after="283"/>
              <w:jc w:val="right"/>
              <w:rPr/>
            </w:pPr>
            <w:r>
              <w:rPr/>
              <w:t>1,209,358</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EPS growth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1/02/20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pPr>
            <w:r>
              <w:rPr/>
              <w:t>12/16/19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0"/>
              <w:rPr/>
            </w:pPr>
            <w:r>
              <w:rPr/>
              <w:t> </w:t>
            </w:r>
          </w:p>
        </w:tc>
        <w:tc>
          <w:tcPr>
            <w:tcW w:w="967"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9,389</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18,778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5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8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6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0" w:type="dxa"/>
            <w:tcBorders/>
            <w:shd w:fill="auto" w:val="clear"/>
            <w:vAlign w:val="bottom"/>
          </w:tcPr>
          <w:p>
            <w:pPr>
              <w:pStyle w:val="TableContents"/>
              <w:spacing w:before="0" w:after="283"/>
              <w:jc w:val="right"/>
              <w:rPr/>
            </w:pPr>
            <w:r>
              <w:rPr/>
              <w:t>1,400,088</w:t>
            </w:r>
          </w:p>
        </w:tc>
        <w:tc>
          <w:tcPr>
            <w:tcW w:w="60" w:type="dxa"/>
            <w:tcBorders/>
            <w:shd w:fill="auto" w:val="clear"/>
            <w:vAlign w:val="bottom"/>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Nonqualified Stock Options</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320" w:type="dxa"/>
            <w:tcBorders/>
            <w:shd w:fill="E5E5E5" w:val="clear"/>
            <w:vAlign w:val="bottom"/>
          </w:tcPr>
          <w:p>
            <w:pPr>
              <w:pStyle w:val="TableContents"/>
              <w:spacing w:before="0" w:after="283"/>
              <w:jc w:val="right"/>
              <w:rPr/>
            </w:pPr>
            <w:r>
              <w:rPr/>
              <w:t>1/02/20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410" w:type="dxa"/>
            <w:tcBorders/>
            <w:shd w:fill="E5E5E5" w:val="clear"/>
            <w:vAlign w:val="bottom"/>
          </w:tcPr>
          <w:p>
            <w:pPr>
              <w:pStyle w:val="TableContents"/>
              <w:spacing w:before="0" w:after="283"/>
              <w:jc w:val="right"/>
              <w:rPr/>
            </w:pPr>
            <w:r>
              <w:rPr/>
              <w:t>12/16/19</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bottom"/>
          </w:tcPr>
          <w:p>
            <w:pPr>
              <w:pStyle w:val="TableContents"/>
              <w:spacing w:before="0" w:after="0"/>
              <w:rPr/>
            </w:pPr>
            <w:r>
              <w:rPr/>
              <w:t> </w:t>
            </w:r>
          </w:p>
        </w:tc>
        <w:tc>
          <w:tcPr>
            <w:tcW w:w="967"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9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9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bottom"/>
          </w:tcPr>
          <w:p>
            <w:pPr>
              <w:pStyle w:val="TableContents"/>
              <w:spacing w:before="0" w:after="0"/>
              <w:rPr/>
            </w:pPr>
            <w:r>
              <w:rPr/>
              <w:t> </w:t>
            </w:r>
          </w:p>
        </w:tc>
        <w:tc>
          <w:tcPr>
            <w:tcW w:w="967" w:type="dxa"/>
            <w:tcBorders/>
            <w:shd w:fill="E5E5E5" w:val="clear"/>
            <w:vAlign w:val="bottom"/>
          </w:tcPr>
          <w:p>
            <w:pPr>
              <w:pStyle w:val="TableContents"/>
              <w:spacing w:before="0" w:after="0"/>
              <w:rPr/>
            </w:pPr>
            <w:r>
              <w:rPr/>
              <w:t> </w:t>
            </w:r>
          </w:p>
        </w:tc>
        <w:tc>
          <w:tcPr>
            <w:tcW w:w="75" w:type="dxa"/>
            <w:tcBorders/>
            <w:shd w:fill="E5E5E5" w:val="clear"/>
            <w:vAlign w:val="bottom"/>
          </w:tcPr>
          <w:p>
            <w:pPr>
              <w:pStyle w:val="TableContents"/>
              <w:spacing w:before="0" w:after="0"/>
              <w:rPr/>
            </w:pPr>
            <w:r>
              <w:rPr/>
              <w:t> </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855" w:type="dxa"/>
            <w:tcBorders/>
            <w:shd w:fill="E5E5E5" w:val="clear"/>
            <w:vAlign w:val="bottom"/>
          </w:tcPr>
          <w:p>
            <w:pPr>
              <w:pStyle w:val="TableContents"/>
              <w:spacing w:before="0" w:after="0"/>
              <w:rPr/>
            </w:pPr>
            <w:r>
              <w:rPr/>
              <w:t> </w:t>
            </w:r>
          </w:p>
        </w:tc>
        <w:tc>
          <w:tcPr>
            <w:tcW w:w="75" w:type="dxa"/>
            <w:tcBorders/>
            <w:shd w:fill="E5E5E5" w:val="clear"/>
            <w:vAlign w:val="bottom"/>
          </w:tcPr>
          <w:p>
            <w:pPr>
              <w:pStyle w:val="TableContents"/>
              <w:spacing w:before="0" w:after="0"/>
              <w:rPr/>
            </w:pPr>
            <w:r>
              <w:rPr/>
              <w:t> </w:t>
            </w:r>
          </w:p>
        </w:tc>
        <w:tc>
          <w:tcPr>
            <w:tcW w:w="75"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0"/>
              <w:rPr/>
            </w:pPr>
            <w:r>
              <w:rPr/>
              <w:t> </w:t>
            </w:r>
          </w:p>
        </w:tc>
        <w:tc>
          <w:tcPr>
            <w:tcW w:w="985"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5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106,276</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80" w:type="dxa"/>
            <w:tcBorders/>
            <w:shd w:fill="E5E5E5" w:val="clear"/>
            <w:vAlign w:val="bottom"/>
          </w:tcPr>
          <w:p>
            <w:pPr>
              <w:pStyle w:val="TableContents"/>
              <w:spacing w:before="0" w:after="283"/>
              <w:jc w:val="right"/>
              <w:rPr/>
            </w:pPr>
            <w:r>
              <w:rPr/>
              <w:t>149.12</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0" w:type="dxa"/>
            <w:tcBorders/>
            <w:shd w:fill="E5E5E5" w:val="clear"/>
            <w:vAlign w:val="bottom"/>
          </w:tcPr>
          <w:p>
            <w:pPr>
              <w:pStyle w:val="TableContents"/>
              <w:spacing w:before="0" w:after="283"/>
              <w:jc w:val="right"/>
              <w:rPr/>
            </w:pPr>
            <w:r>
              <w:rPr/>
              <w:t>2,100,014</w:t>
            </w:r>
          </w:p>
        </w:tc>
        <w:tc>
          <w:tcPr>
            <w:tcW w:w="60" w:type="dxa"/>
            <w:tcBorders/>
            <w:shd w:fill="E5E5E5" w:val="clear"/>
            <w:vAlign w:val="bottom"/>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bottom w:val="single" w:sz="8" w:space="0" w:color="001C71"/>
            </w:tcBorders>
            <w:shd w:fill="auto" w:val="clear"/>
            <w:tcMar>
              <w:bottom w:w="28" w:type="dxa"/>
            </w:tcMar>
          </w:tcPr>
          <w:p>
            <w:pPr>
              <w:pStyle w:val="TableContents"/>
              <w:spacing w:before="0" w:after="0"/>
              <w:rPr>
                <w:rFonts w:ascii="arial" w:hAnsi="arial"/>
                <w:sz w:val="15"/>
              </w:rPr>
            </w:pPr>
            <w:r>
              <w:rPr>
                <w:rFonts w:ascii="arial" w:hAnsi="arial"/>
                <w:sz w:val="15"/>
              </w:rPr>
              <w:t>Performance-Based Annual Bonus</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2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1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3" w:type="dxa"/>
            <w:tcBorders>
              <w:bottom w:val="single" w:sz="8" w:space="0" w:color="001C71"/>
            </w:tcBorders>
            <w:shd w:fill="auto" w:val="clear"/>
            <w:tcMar>
              <w:bottom w:w="28" w:type="dxa"/>
            </w:tcMar>
            <w:vAlign w:val="center"/>
          </w:tcPr>
          <w:p>
            <w:pPr>
              <w:pStyle w:val="TableContents"/>
              <w:spacing w:before="0" w:after="283"/>
              <w:rPr/>
            </w:pPr>
            <w:r>
              <w:rPr/>
              <w:t> </w:t>
            </w:r>
          </w:p>
        </w:tc>
        <w:tc>
          <w:tcPr>
            <w:tcW w:w="967" w:type="dxa"/>
            <w:tcBorders>
              <w:bottom w:val="single" w:sz="8" w:space="0" w:color="001C71"/>
            </w:tcBorders>
            <w:shd w:fill="auto" w:val="clear"/>
            <w:tcMar>
              <w:bottom w:w="28" w:type="dxa"/>
            </w:tcMar>
            <w:vAlign w:val="center"/>
          </w:tcPr>
          <w:p>
            <w:pPr>
              <w:pStyle w:val="TableContents"/>
              <w:spacing w:before="0" w:after="283"/>
              <w:jc w:val="right"/>
              <w:rPr/>
            </w:pPr>
            <w:r>
              <w:rPr/>
              <w:t>      </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spacing w:before="0" w:after="283"/>
              <w:rPr/>
            </w:pPr>
            <w:r>
              <w:rPr/>
              <w:t>$</w:t>
            </w:r>
          </w:p>
        </w:tc>
        <w:tc>
          <w:tcPr>
            <w:tcW w:w="980" w:type="dxa"/>
            <w:tcBorders>
              <w:bottom w:val="single" w:sz="8" w:space="0" w:color="001C71"/>
            </w:tcBorders>
            <w:shd w:fill="auto" w:val="clear"/>
            <w:tcMar>
              <w:bottom w:w="28" w:type="dxa"/>
            </w:tcMar>
            <w:vAlign w:val="center"/>
          </w:tcPr>
          <w:p>
            <w:pPr>
              <w:pStyle w:val="TableContents"/>
              <w:spacing w:before="0" w:after="283"/>
              <w:jc w:val="right"/>
              <w:rPr/>
            </w:pPr>
            <w:r>
              <w:rPr/>
              <w:t>1,885,000</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spacing w:before="0" w:after="283"/>
              <w:rPr/>
            </w:pPr>
            <w:r>
              <w:rPr/>
              <w:t>$</w:t>
            </w:r>
          </w:p>
        </w:tc>
        <w:tc>
          <w:tcPr>
            <w:tcW w:w="980" w:type="dxa"/>
            <w:tcBorders>
              <w:bottom w:val="single" w:sz="8" w:space="0" w:color="001C71"/>
            </w:tcBorders>
            <w:shd w:fill="auto" w:val="clear"/>
            <w:tcMar>
              <w:bottom w:w="28" w:type="dxa"/>
            </w:tcMar>
            <w:vAlign w:val="center"/>
          </w:tcPr>
          <w:p>
            <w:pPr>
              <w:pStyle w:val="TableContents"/>
              <w:spacing w:before="0" w:after="283"/>
              <w:jc w:val="right"/>
              <w:rPr/>
            </w:pPr>
            <w:r>
              <w:rPr/>
              <w:t>3,770,000</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3"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67"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auto" w:val="clear"/>
            <w:tcMar>
              <w:bottom w:w="28" w:type="dxa"/>
            </w:tcMar>
            <w:vAlign w:val="bottom"/>
          </w:tcPr>
          <w:p>
            <w:pPr>
              <w:pStyle w:val="TableContents"/>
              <w:spacing w:before="0" w:after="283"/>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85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auto" w:val="clear"/>
            <w:tcMar>
              <w:bottom w:w="28" w:type="dxa"/>
            </w:tcMar>
            <w:vAlign w:val="bottom"/>
          </w:tcPr>
          <w:p>
            <w:pPr>
              <w:pStyle w:val="TableContents"/>
              <w:spacing w:before="0" w:after="283"/>
              <w:rPr/>
            </w:pPr>
            <w:r>
              <w:rPr/>
              <w:t> </w:t>
            </w:r>
          </w:p>
        </w:tc>
        <w:tc>
          <w:tcPr>
            <w:tcW w:w="8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8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80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8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b/>
                <w:sz w:val="15"/>
              </w:rPr>
            </w:pPr>
            <w:r>
              <w:rPr>
                <w:rFonts w:ascii="arial" w:hAnsi="arial"/>
                <w:b/>
                <w:sz w:val="15"/>
              </w:rPr>
              <w:t>Trevor I. Mihalik</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tc>
        <w:tc>
          <w:tcPr>
            <w:tcW w:w="32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0"/>
              <w:rPr/>
            </w:pPr>
            <w:r>
              <w:rPr/>
              <w:t> </w:t>
            </w:r>
          </w:p>
        </w:tc>
        <w:tc>
          <w:tcPr>
            <w:tcW w:w="41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bottom"/>
          </w:tcPr>
          <w:p>
            <w:pPr>
              <w:pStyle w:val="TableContents"/>
              <w:spacing w:before="0" w:after="0"/>
              <w:rPr/>
            </w:pPr>
            <w:r>
              <w:rPr/>
              <w:t> </w:t>
            </w:r>
          </w:p>
        </w:tc>
        <w:tc>
          <w:tcPr>
            <w:tcW w:w="967" w:type="dxa"/>
            <w:tcBorders/>
            <w:shd w:fill="E5E5E5" w:val="clear"/>
            <w:vAlign w:val="bottom"/>
          </w:tcPr>
          <w:p>
            <w:pPr>
              <w:pStyle w:val="TableContents"/>
              <w:spacing w:before="0" w:after="0"/>
              <w:rPr/>
            </w:pPr>
            <w:r>
              <w:rPr/>
              <w:t> </w:t>
            </w:r>
          </w:p>
        </w:tc>
        <w:tc>
          <w:tcPr>
            <w:tcW w:w="75" w:type="dxa"/>
            <w:tcBorders/>
            <w:shd w:fill="E5E5E5" w:val="clear"/>
            <w:vAlign w:val="bottom"/>
          </w:tcPr>
          <w:p>
            <w:pPr>
              <w:pStyle w:val="TableContents"/>
              <w:spacing w:before="0" w:after="0"/>
              <w:rPr/>
            </w:pPr>
            <w:r>
              <w:rPr/>
              <w:t> </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855" w:type="dxa"/>
            <w:tcBorders/>
            <w:shd w:fill="E5E5E5" w:val="clear"/>
            <w:vAlign w:val="bottom"/>
          </w:tcPr>
          <w:p>
            <w:pPr>
              <w:pStyle w:val="TableContents"/>
              <w:spacing w:before="0" w:after="0"/>
              <w:rPr/>
            </w:pPr>
            <w:r>
              <w:rPr/>
              <w:t> </w:t>
            </w:r>
          </w:p>
        </w:tc>
        <w:tc>
          <w:tcPr>
            <w:tcW w:w="75" w:type="dxa"/>
            <w:tcBorders/>
            <w:shd w:fill="E5E5E5" w:val="clear"/>
            <w:vAlign w:val="bottom"/>
          </w:tcPr>
          <w:p>
            <w:pPr>
              <w:pStyle w:val="TableContents"/>
              <w:spacing w:before="0" w:after="0"/>
              <w:rPr/>
            </w:pPr>
            <w:r>
              <w:rPr/>
              <w:t> </w:t>
            </w:r>
          </w:p>
        </w:tc>
        <w:tc>
          <w:tcPr>
            <w:tcW w:w="75"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0"/>
              <w:rPr/>
            </w:pPr>
            <w:r>
              <w:rPr/>
              <w:t> </w:t>
            </w:r>
          </w:p>
        </w:tc>
        <w:tc>
          <w:tcPr>
            <w:tcW w:w="985"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5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80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6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9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TSR vs. S&amp;P 500 Utilities Index</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b/>
              </w:rPr>
            </w:pPr>
            <w:r>
              <w:rPr>
                <w:b/>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b/>
              </w:rPr>
            </w:pPr>
            <w:r>
              <w:rPr>
                <w:b/>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jc w:val="right"/>
              <w:rPr>
                <w:b/>
              </w:rPr>
            </w:pPr>
            <w:r>
              <w:rPr>
                <w:b/>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jc w:val="right"/>
              <w:rPr>
                <w:b/>
              </w:rPr>
            </w:pPr>
            <w:r>
              <w:rPr>
                <w:b/>
              </w:rPr>
              <w:t>4,929</w:t>
            </w:r>
          </w:p>
        </w:tc>
        <w:tc>
          <w:tcPr>
            <w:tcW w:w="75"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jc w:val="right"/>
              <w:rPr>
                <w:b/>
              </w:rPr>
            </w:pPr>
            <w:r>
              <w:rPr>
                <w:b/>
              </w:rPr>
              <w:t>9,858</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b/>
              </w:rPr>
            </w:pPr>
            <w:r>
              <w:rPr>
                <w:b/>
              </w:rPr>
              <w:t>$</w:t>
            </w:r>
          </w:p>
        </w:tc>
        <w:tc>
          <w:tcPr>
            <w:tcW w:w="980" w:type="dxa"/>
            <w:tcBorders/>
            <w:shd w:fill="auto" w:val="clear"/>
            <w:vAlign w:val="center"/>
          </w:tcPr>
          <w:p>
            <w:pPr>
              <w:pStyle w:val="TableContents"/>
              <w:spacing w:before="0" w:after="283"/>
              <w:jc w:val="right"/>
              <w:rPr>
                <w:b/>
              </w:rPr>
            </w:pPr>
            <w:r>
              <w:rPr>
                <w:b/>
              </w:rPr>
              <w:t>767,209</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PBRSU based on TSR vs. S&amp;P 500 Index</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283"/>
              <w:rPr/>
            </w:pPr>
            <w:r>
              <w:rPr/>
              <w:t> </w:t>
            </w:r>
          </w:p>
        </w:tc>
        <w:tc>
          <w:tcPr>
            <w:tcW w:w="967" w:type="dxa"/>
            <w:tcBorders/>
            <w:shd w:fill="E5E5E5" w:val="clear"/>
            <w:vAlign w:val="center"/>
          </w:tcPr>
          <w:p>
            <w:pPr>
              <w:pStyle w:val="TableContents"/>
              <w:spacing w:before="0" w:after="283"/>
              <w:jc w:val="right"/>
              <w:rPr/>
            </w:pPr>
            <w:r>
              <w:rPr/>
              <w:t>      </w:t>
            </w:r>
          </w:p>
        </w:tc>
        <w:tc>
          <w:tcPr>
            <w:tcW w:w="75" w:type="dxa"/>
            <w:tcBorders/>
            <w:shd w:fill="E5E5E5" w:val="clear"/>
            <w:vAlign w:val="center"/>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283"/>
              <w:rPr/>
            </w:pPr>
            <w:r>
              <w:rPr/>
              <w:t> </w:t>
            </w:r>
          </w:p>
        </w:tc>
        <w:tc>
          <w:tcPr>
            <w:tcW w:w="855" w:type="dxa"/>
            <w:tcBorders/>
            <w:shd w:fill="E5E5E5" w:val="clear"/>
            <w:vAlign w:val="center"/>
          </w:tcPr>
          <w:p>
            <w:pPr>
              <w:pStyle w:val="TableContents"/>
              <w:spacing w:before="0" w:after="283"/>
              <w:jc w:val="right"/>
              <w:rPr/>
            </w:pPr>
            <w:r>
              <w:rPr/>
              <w:t>2,113</w:t>
            </w:r>
          </w:p>
        </w:tc>
        <w:tc>
          <w:tcPr>
            <w:tcW w:w="75" w:type="dxa"/>
            <w:tcBorders/>
            <w:shd w:fill="E5E5E5" w:val="clear"/>
            <w:vAlign w:val="center"/>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283"/>
              <w:rPr/>
            </w:pPr>
            <w:r>
              <w:rPr/>
              <w:t> </w:t>
            </w:r>
          </w:p>
        </w:tc>
        <w:tc>
          <w:tcPr>
            <w:tcW w:w="985" w:type="dxa"/>
            <w:tcBorders/>
            <w:shd w:fill="E5E5E5" w:val="clear"/>
            <w:vAlign w:val="center"/>
          </w:tcPr>
          <w:p>
            <w:pPr>
              <w:pStyle w:val="TableContents"/>
              <w:spacing w:before="0" w:after="283"/>
              <w:jc w:val="right"/>
              <w:rPr/>
            </w:pPr>
            <w:r>
              <w:rPr/>
              <w:t>4,226</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56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980" w:type="dxa"/>
            <w:tcBorders/>
            <w:shd w:fill="E5E5E5" w:val="clear"/>
            <w:vAlign w:val="center"/>
          </w:tcPr>
          <w:p>
            <w:pPr>
              <w:pStyle w:val="TableContents"/>
              <w:spacing w:before="0" w:after="283"/>
              <w:jc w:val="right"/>
              <w:rPr/>
            </w:pPr>
            <w:r>
              <w:rPr/>
              <w:t>362,876</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EPS growth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1/02/20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pPr>
            <w:r>
              <w:rPr/>
              <w:t>12/16/19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0"/>
              <w:rPr/>
            </w:pPr>
            <w:r>
              <w:rPr/>
              <w:t> </w:t>
            </w:r>
          </w:p>
        </w:tc>
        <w:tc>
          <w:tcPr>
            <w:tcW w:w="967"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2,817</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5,634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5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8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6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0" w:type="dxa"/>
            <w:tcBorders/>
            <w:shd w:fill="auto" w:val="clear"/>
            <w:vAlign w:val="bottom"/>
          </w:tcPr>
          <w:p>
            <w:pPr>
              <w:pStyle w:val="TableContents"/>
              <w:spacing w:before="0" w:after="283"/>
              <w:jc w:val="right"/>
              <w:rPr/>
            </w:pPr>
            <w:r>
              <w:rPr/>
              <w:t>420,071</w:t>
            </w:r>
          </w:p>
        </w:tc>
        <w:tc>
          <w:tcPr>
            <w:tcW w:w="60" w:type="dxa"/>
            <w:tcBorders/>
            <w:shd w:fill="auto" w:val="clear"/>
            <w:vAlign w:val="bottom"/>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Service-based Restricted Stock Units</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75" w:type="dxa"/>
            <w:tcBorders/>
            <w:shd w:fill="E5E5E5" w:val="clear"/>
            <w:vAlign w:val="center"/>
          </w:tcPr>
          <w:p>
            <w:pPr>
              <w:pStyle w:val="TableContents"/>
              <w:spacing w:before="0" w:after="0"/>
              <w:rPr/>
            </w:pPr>
            <w:r>
              <w:rPr/>
              <w:t> </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855" w:type="dxa"/>
            <w:tcBorders/>
            <w:shd w:fill="E5E5E5" w:val="clear"/>
            <w:vAlign w:val="center"/>
          </w:tcPr>
          <w:p>
            <w:pPr>
              <w:pStyle w:val="TableContents"/>
              <w:spacing w:before="0" w:after="0"/>
              <w:rPr/>
            </w:pPr>
            <w:r>
              <w:rPr/>
              <w:t> </w:t>
            </w:r>
          </w:p>
        </w:tc>
        <w:tc>
          <w:tcPr>
            <w:tcW w:w="75" w:type="dxa"/>
            <w:tcBorders/>
            <w:shd w:fill="E5E5E5" w:val="clear"/>
            <w:vAlign w:val="center"/>
          </w:tcPr>
          <w:p>
            <w:pPr>
              <w:pStyle w:val="TableContents"/>
              <w:spacing w:before="0" w:after="0"/>
              <w:rPr/>
            </w:pPr>
            <w:r>
              <w:rPr/>
              <w:t> </w:t>
            </w:r>
          </w:p>
        </w:tc>
        <w:tc>
          <w:tcPr>
            <w:tcW w:w="75"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0"/>
              <w:rPr/>
            </w:pPr>
            <w:r>
              <w:rPr/>
              <w:t> </w:t>
            </w:r>
          </w:p>
        </w:tc>
        <w:tc>
          <w:tcPr>
            <w:tcW w:w="98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283"/>
              <w:rPr/>
            </w:pPr>
            <w:r>
              <w:rPr/>
              <w:t> </w:t>
            </w:r>
          </w:p>
        </w:tc>
        <w:tc>
          <w:tcPr>
            <w:tcW w:w="560" w:type="dxa"/>
            <w:tcBorders/>
            <w:shd w:fill="E5E5E5" w:val="clear"/>
            <w:vAlign w:val="center"/>
          </w:tcPr>
          <w:p>
            <w:pPr>
              <w:pStyle w:val="TableContents"/>
              <w:spacing w:before="0" w:after="283"/>
              <w:jc w:val="right"/>
              <w:rPr/>
            </w:pPr>
            <w:r>
              <w:rPr/>
              <w:t>2,113</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980" w:type="dxa"/>
            <w:tcBorders/>
            <w:shd w:fill="E5E5E5" w:val="clear"/>
            <w:vAlign w:val="center"/>
          </w:tcPr>
          <w:p>
            <w:pPr>
              <w:pStyle w:val="TableContents"/>
              <w:spacing w:before="0" w:after="283"/>
              <w:jc w:val="right"/>
              <w:rPr/>
            </w:pPr>
            <w:r>
              <w:rPr/>
              <w:t>315,091</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Nonqualified Stock Options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855"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c>
          <w:tcPr>
            <w:tcW w:w="75"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0"/>
              <w:rPr/>
            </w:pPr>
            <w:r>
              <w:rPr/>
              <w:t> </w:t>
            </w:r>
          </w:p>
        </w:tc>
        <w:tc>
          <w:tcPr>
            <w:tcW w:w="98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15,942</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149.12</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315,014</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bottom w:val="single" w:sz="8" w:space="0" w:color="001C71"/>
            </w:tcBorders>
            <w:shd w:fill="E5E5E5" w:val="clear"/>
            <w:tcMar>
              <w:bottom w:w="28" w:type="dxa"/>
            </w:tcMar>
          </w:tcPr>
          <w:p>
            <w:pPr>
              <w:pStyle w:val="TableContents"/>
              <w:spacing w:before="0" w:after="0"/>
              <w:rPr>
                <w:rFonts w:ascii="arial" w:hAnsi="arial"/>
                <w:sz w:val="15"/>
              </w:rPr>
            </w:pPr>
            <w:r>
              <w:rPr>
                <w:rFonts w:ascii="arial" w:hAnsi="arial"/>
                <w:sz w:val="15"/>
              </w:rPr>
              <w:t>Performance-Based Annual Bonus</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32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41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3" w:type="dxa"/>
            <w:tcBorders>
              <w:bottom w:val="single" w:sz="8" w:space="0" w:color="001C71"/>
            </w:tcBorders>
            <w:shd w:fill="E5E5E5" w:val="clear"/>
            <w:tcMar>
              <w:bottom w:w="28" w:type="dxa"/>
            </w:tcMar>
            <w:vAlign w:val="center"/>
          </w:tcPr>
          <w:p>
            <w:pPr>
              <w:pStyle w:val="TableContents"/>
              <w:spacing w:before="0" w:after="283"/>
              <w:rPr/>
            </w:pPr>
            <w:r>
              <w:rPr/>
              <w:t> </w:t>
            </w:r>
          </w:p>
        </w:tc>
        <w:tc>
          <w:tcPr>
            <w:tcW w:w="967" w:type="dxa"/>
            <w:tcBorders>
              <w:bottom w:val="single" w:sz="8" w:space="0" w:color="001C71"/>
            </w:tcBorders>
            <w:shd w:fill="E5E5E5" w:val="clear"/>
            <w:tcMar>
              <w:bottom w:w="28" w:type="dxa"/>
            </w:tcMar>
            <w:vAlign w:val="center"/>
          </w:tcPr>
          <w:p>
            <w:pPr>
              <w:pStyle w:val="TableContents"/>
              <w:spacing w:before="0" w:after="283"/>
              <w:jc w:val="right"/>
              <w:rPr/>
            </w:pPr>
            <w:r>
              <w:rPr/>
              <w:t>      </w:t>
            </w:r>
          </w:p>
        </w:tc>
        <w:tc>
          <w:tcPr>
            <w:tcW w:w="60" w:type="dxa"/>
            <w:tcBorders>
              <w:bottom w:val="single" w:sz="8" w:space="0" w:color="001C71"/>
            </w:tcBorders>
            <w:shd w:fill="E5E5E5" w:val="clear"/>
            <w:tcMar>
              <w:bottom w:w="28" w:type="dxa"/>
            </w:tcMar>
            <w:vAlign w:val="center"/>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center"/>
          </w:tcPr>
          <w:p>
            <w:pPr>
              <w:pStyle w:val="TableContents"/>
              <w:spacing w:before="0" w:after="283"/>
              <w:rPr/>
            </w:pPr>
            <w:r>
              <w:rPr/>
              <w:t>$</w:t>
            </w:r>
          </w:p>
        </w:tc>
        <w:tc>
          <w:tcPr>
            <w:tcW w:w="980" w:type="dxa"/>
            <w:tcBorders>
              <w:bottom w:val="single" w:sz="8" w:space="0" w:color="001C71"/>
            </w:tcBorders>
            <w:shd w:fill="E5E5E5" w:val="clear"/>
            <w:tcMar>
              <w:bottom w:w="28" w:type="dxa"/>
            </w:tcMar>
            <w:vAlign w:val="center"/>
          </w:tcPr>
          <w:p>
            <w:pPr>
              <w:pStyle w:val="TableContents"/>
              <w:spacing w:before="0" w:after="283"/>
              <w:jc w:val="right"/>
              <w:rPr/>
            </w:pPr>
            <w:r>
              <w:rPr/>
              <w:t>620,500</w:t>
            </w:r>
          </w:p>
        </w:tc>
        <w:tc>
          <w:tcPr>
            <w:tcW w:w="60" w:type="dxa"/>
            <w:tcBorders>
              <w:bottom w:val="single" w:sz="8" w:space="0" w:color="001C71"/>
            </w:tcBorders>
            <w:shd w:fill="E5E5E5" w:val="clear"/>
            <w:tcMar>
              <w:bottom w:w="28" w:type="dxa"/>
            </w:tcMar>
            <w:vAlign w:val="center"/>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center"/>
          </w:tcPr>
          <w:p>
            <w:pPr>
              <w:pStyle w:val="TableContents"/>
              <w:spacing w:before="0" w:after="283"/>
              <w:rPr/>
            </w:pPr>
            <w:r>
              <w:rPr/>
              <w:t>$</w:t>
            </w:r>
          </w:p>
        </w:tc>
        <w:tc>
          <w:tcPr>
            <w:tcW w:w="980" w:type="dxa"/>
            <w:tcBorders>
              <w:bottom w:val="single" w:sz="8" w:space="0" w:color="001C71"/>
            </w:tcBorders>
            <w:shd w:fill="E5E5E5" w:val="clear"/>
            <w:tcMar>
              <w:bottom w:w="28" w:type="dxa"/>
            </w:tcMar>
            <w:vAlign w:val="center"/>
          </w:tcPr>
          <w:p>
            <w:pPr>
              <w:pStyle w:val="TableContents"/>
              <w:spacing w:before="0" w:after="283"/>
              <w:jc w:val="right"/>
              <w:rPr/>
            </w:pPr>
            <w:r>
              <w:rPr/>
              <w:t>1,241,000</w:t>
            </w:r>
          </w:p>
        </w:tc>
        <w:tc>
          <w:tcPr>
            <w:tcW w:w="60" w:type="dxa"/>
            <w:tcBorders>
              <w:bottom w:val="single" w:sz="8" w:space="0" w:color="001C71"/>
            </w:tcBorders>
            <w:shd w:fill="E5E5E5" w:val="clear"/>
            <w:tcMar>
              <w:bottom w:w="28" w:type="dxa"/>
            </w:tcMar>
            <w:vAlign w:val="center"/>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3"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967"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E5E5E5" w:val="clear"/>
            <w:tcMar>
              <w:bottom w:w="28" w:type="dxa"/>
            </w:tcMar>
            <w:vAlign w:val="bottom"/>
          </w:tcPr>
          <w:p>
            <w:pPr>
              <w:pStyle w:val="TableContents"/>
              <w:spacing w:before="0" w:after="283"/>
              <w:rPr/>
            </w:pPr>
            <w:r>
              <w:rPr/>
              <w:t> </w:t>
            </w:r>
          </w:p>
        </w:tc>
        <w:tc>
          <w:tcPr>
            <w:tcW w:w="75"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855"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E5E5E5" w:val="clear"/>
            <w:tcMar>
              <w:bottom w:w="28" w:type="dxa"/>
            </w:tcMar>
            <w:vAlign w:val="bottom"/>
          </w:tcPr>
          <w:p>
            <w:pPr>
              <w:pStyle w:val="TableContents"/>
              <w:spacing w:before="0" w:after="283"/>
              <w:rPr/>
            </w:pPr>
            <w:r>
              <w:rPr/>
              <w:t> </w:t>
            </w:r>
          </w:p>
        </w:tc>
        <w:tc>
          <w:tcPr>
            <w:tcW w:w="85"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985"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5"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56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5"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80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8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98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rPr/>
            </w:pPr>
            <w:r>
              <w:rPr/>
              <w:t xml:space="preserve">  </w:t>
            </w:r>
          </w:p>
          <w:p>
            <w:pPr>
              <w:pStyle w:val="TableContents"/>
              <w:spacing w:before="0" w:after="0"/>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b/>
                <w:sz w:val="15"/>
              </w:rPr>
            </w:pPr>
            <w:r>
              <w:rPr>
                <w:rFonts w:ascii="arial" w:hAnsi="arial"/>
                <w:b/>
                <w:sz w:val="15"/>
              </w:rPr>
              <w:t>Kevin C. Sagara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0"/>
              <w:rPr/>
            </w:pPr>
            <w:r>
              <w:rPr/>
              <w:t> </w:t>
            </w:r>
          </w:p>
        </w:tc>
        <w:tc>
          <w:tcPr>
            <w:tcW w:w="32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0"/>
              <w:rPr/>
            </w:pPr>
            <w:r>
              <w:rPr/>
              <w:t> </w:t>
            </w:r>
          </w:p>
        </w:tc>
        <w:tc>
          <w:tcPr>
            <w:tcW w:w="41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0"/>
              <w:rPr/>
            </w:pPr>
            <w:r>
              <w:rPr/>
              <w:t> </w:t>
            </w:r>
          </w:p>
        </w:tc>
        <w:tc>
          <w:tcPr>
            <w:tcW w:w="967"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0"/>
              <w:rPr/>
            </w:pPr>
            <w:r>
              <w:rPr/>
              <w:t> </w:t>
            </w:r>
          </w:p>
        </w:tc>
        <w:tc>
          <w:tcPr>
            <w:tcW w:w="967" w:type="dxa"/>
            <w:tcBorders/>
            <w:shd w:fill="auto" w:val="clear"/>
            <w:vAlign w:val="bottom"/>
          </w:tcPr>
          <w:p>
            <w:pPr>
              <w:pStyle w:val="TableContents"/>
              <w:spacing w:before="0" w:after="0"/>
              <w:rPr/>
            </w:pPr>
            <w:r>
              <w:rPr/>
              <w:t> </w:t>
            </w:r>
          </w:p>
        </w:tc>
        <w:tc>
          <w:tcPr>
            <w:tcW w:w="75" w:type="dxa"/>
            <w:tcBorders/>
            <w:shd w:fill="auto" w:val="clear"/>
            <w:vAlign w:val="bottom"/>
          </w:tcPr>
          <w:p>
            <w:pPr>
              <w:pStyle w:val="TableContents"/>
              <w:spacing w:before="0" w:after="0"/>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855" w:type="dxa"/>
            <w:tcBorders/>
            <w:shd w:fill="auto" w:val="clear"/>
            <w:vAlign w:val="bottom"/>
          </w:tcPr>
          <w:p>
            <w:pPr>
              <w:pStyle w:val="TableContents"/>
              <w:spacing w:before="0" w:after="0"/>
              <w:rPr/>
            </w:pPr>
            <w:r>
              <w:rPr/>
              <w:t> </w:t>
            </w:r>
          </w:p>
        </w:tc>
        <w:tc>
          <w:tcPr>
            <w:tcW w:w="75" w:type="dxa"/>
            <w:tcBorders/>
            <w:shd w:fill="auto" w:val="clear"/>
            <w:vAlign w:val="bottom"/>
          </w:tcPr>
          <w:p>
            <w:pPr>
              <w:pStyle w:val="TableContents"/>
              <w:spacing w:before="0" w:after="0"/>
              <w:rPr/>
            </w:pPr>
            <w:r>
              <w:rPr/>
              <w:t> </w:t>
            </w:r>
          </w:p>
        </w:tc>
        <w:tc>
          <w:tcPr>
            <w:tcW w:w="7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0"/>
              <w:rPr/>
            </w:pPr>
            <w:r>
              <w:rPr/>
              <w:t> </w:t>
            </w:r>
          </w:p>
        </w:tc>
        <w:tc>
          <w:tcPr>
            <w:tcW w:w="98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5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8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6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PBRSU based on TSR vs. S&amp;P 500 Utilities Index</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283"/>
              <w:rPr/>
            </w:pPr>
            <w:r>
              <w:rPr/>
              <w:t> </w:t>
            </w:r>
          </w:p>
        </w:tc>
        <w:tc>
          <w:tcPr>
            <w:tcW w:w="967" w:type="dxa"/>
            <w:tcBorders/>
            <w:shd w:fill="E5E5E5" w:val="clear"/>
            <w:vAlign w:val="center"/>
          </w:tcPr>
          <w:p>
            <w:pPr>
              <w:pStyle w:val="TableContents"/>
              <w:spacing w:before="0" w:after="283"/>
              <w:jc w:val="right"/>
              <w:rPr/>
            </w:pPr>
            <w:r>
              <w:rPr/>
              <w:t>      </w:t>
            </w:r>
          </w:p>
        </w:tc>
        <w:tc>
          <w:tcPr>
            <w:tcW w:w="75" w:type="dxa"/>
            <w:tcBorders/>
            <w:shd w:fill="E5E5E5" w:val="clear"/>
            <w:vAlign w:val="center"/>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283"/>
              <w:rPr/>
            </w:pPr>
            <w:r>
              <w:rPr/>
              <w:t> </w:t>
            </w:r>
          </w:p>
        </w:tc>
        <w:tc>
          <w:tcPr>
            <w:tcW w:w="855" w:type="dxa"/>
            <w:tcBorders/>
            <w:shd w:fill="E5E5E5" w:val="clear"/>
            <w:vAlign w:val="center"/>
          </w:tcPr>
          <w:p>
            <w:pPr>
              <w:pStyle w:val="TableContents"/>
              <w:spacing w:before="0" w:after="283"/>
              <w:jc w:val="right"/>
              <w:rPr/>
            </w:pPr>
            <w:r>
              <w:rPr/>
              <w:t>2,507</w:t>
            </w:r>
          </w:p>
        </w:tc>
        <w:tc>
          <w:tcPr>
            <w:tcW w:w="75" w:type="dxa"/>
            <w:tcBorders/>
            <w:shd w:fill="E5E5E5" w:val="clear"/>
            <w:vAlign w:val="center"/>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283"/>
              <w:rPr/>
            </w:pPr>
            <w:r>
              <w:rPr/>
              <w:t> </w:t>
            </w:r>
          </w:p>
        </w:tc>
        <w:tc>
          <w:tcPr>
            <w:tcW w:w="985" w:type="dxa"/>
            <w:tcBorders/>
            <w:shd w:fill="E5E5E5" w:val="clear"/>
            <w:vAlign w:val="center"/>
          </w:tcPr>
          <w:p>
            <w:pPr>
              <w:pStyle w:val="TableContents"/>
              <w:spacing w:before="0" w:after="283"/>
              <w:jc w:val="right"/>
              <w:rPr/>
            </w:pPr>
            <w:r>
              <w:rPr/>
              <w:t>5,014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56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980" w:type="dxa"/>
            <w:tcBorders/>
            <w:shd w:fill="E5E5E5" w:val="clear"/>
            <w:vAlign w:val="center"/>
          </w:tcPr>
          <w:p>
            <w:pPr>
              <w:pStyle w:val="TableContents"/>
              <w:spacing w:before="0" w:after="283"/>
              <w:jc w:val="right"/>
              <w:rPr/>
            </w:pPr>
            <w:r>
              <w:rPr/>
              <w:t>390,220</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TSR vs. S&amp;P 500 Index</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jc w:val="right"/>
              <w:rPr/>
            </w:pPr>
            <w:r>
              <w:rPr/>
              <w:t>1,075</w:t>
            </w:r>
          </w:p>
        </w:tc>
        <w:tc>
          <w:tcPr>
            <w:tcW w:w="75"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jc w:val="right"/>
              <w:rPr/>
            </w:pPr>
            <w:r>
              <w:rPr/>
              <w:t>2,150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184,615</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PBRSU based on EPS growth</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320" w:type="dxa"/>
            <w:tcBorders/>
            <w:shd w:fill="E5E5E5" w:val="clear"/>
            <w:vAlign w:val="bottom"/>
          </w:tcPr>
          <w:p>
            <w:pPr>
              <w:pStyle w:val="TableContents"/>
              <w:spacing w:before="0" w:after="283"/>
              <w:jc w:val="right"/>
              <w:rPr/>
            </w:pPr>
            <w:r>
              <w:rPr/>
              <w:t>1/02/20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410" w:type="dxa"/>
            <w:tcBorders/>
            <w:shd w:fill="E5E5E5" w:val="clear"/>
            <w:vAlign w:val="bottom"/>
          </w:tcPr>
          <w:p>
            <w:pPr>
              <w:pStyle w:val="TableContents"/>
              <w:spacing w:before="0" w:after="283"/>
              <w:jc w:val="right"/>
              <w:rPr/>
            </w:pPr>
            <w:r>
              <w:rPr/>
              <w:t>12/16/19</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bottom"/>
          </w:tcPr>
          <w:p>
            <w:pPr>
              <w:pStyle w:val="TableContents"/>
              <w:spacing w:before="0" w:after="0"/>
              <w:rPr/>
            </w:pPr>
            <w:r>
              <w:rPr/>
              <w:t> </w:t>
            </w:r>
          </w:p>
        </w:tc>
        <w:tc>
          <w:tcPr>
            <w:tcW w:w="967"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9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9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bottom"/>
          </w:tcPr>
          <w:p>
            <w:pPr>
              <w:pStyle w:val="TableContents"/>
              <w:spacing w:before="0" w:after="283"/>
              <w:rPr/>
            </w:pPr>
            <w:r>
              <w:rPr/>
              <w:t> </w:t>
            </w:r>
          </w:p>
        </w:tc>
        <w:tc>
          <w:tcPr>
            <w:tcW w:w="967" w:type="dxa"/>
            <w:tcBorders/>
            <w:shd w:fill="E5E5E5" w:val="clear"/>
            <w:vAlign w:val="bottom"/>
          </w:tcPr>
          <w:p>
            <w:pPr>
              <w:pStyle w:val="TableContents"/>
              <w:spacing w:before="0" w:after="283"/>
              <w:jc w:val="right"/>
              <w:rPr/>
            </w:pPr>
            <w:r>
              <w:rPr/>
              <w:t>      </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855" w:type="dxa"/>
            <w:tcBorders/>
            <w:shd w:fill="E5E5E5" w:val="clear"/>
            <w:vAlign w:val="bottom"/>
          </w:tcPr>
          <w:p>
            <w:pPr>
              <w:pStyle w:val="TableContents"/>
              <w:spacing w:before="0" w:after="283"/>
              <w:jc w:val="right"/>
              <w:rPr/>
            </w:pPr>
            <w:r>
              <w:rPr/>
              <w:t>1,433</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85" w:type="dxa"/>
            <w:tcBorders/>
            <w:shd w:fill="E5E5E5" w:val="clear"/>
            <w:vAlign w:val="bottom"/>
          </w:tcPr>
          <w:p>
            <w:pPr>
              <w:pStyle w:val="TableContents"/>
              <w:spacing w:before="0" w:after="283"/>
              <w:jc w:val="right"/>
              <w:rPr/>
            </w:pPr>
            <w:r>
              <w:rPr/>
              <w:t>2,866</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5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80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6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980" w:type="dxa"/>
            <w:tcBorders/>
            <w:shd w:fill="E5E5E5" w:val="clear"/>
            <w:vAlign w:val="bottom"/>
          </w:tcPr>
          <w:p>
            <w:pPr>
              <w:pStyle w:val="TableContents"/>
              <w:spacing w:before="0" w:after="283"/>
              <w:jc w:val="right"/>
              <w:rPr>
                <w:b/>
              </w:rPr>
            </w:pPr>
            <w:r>
              <w:rPr>
                <w:b/>
              </w:rPr>
              <w:t>213,689</w:t>
            </w:r>
          </w:p>
        </w:tc>
        <w:tc>
          <w:tcPr>
            <w:tcW w:w="60" w:type="dxa"/>
            <w:tcBorders/>
            <w:shd w:fill="E5E5E5" w:val="clear"/>
            <w:vAlign w:val="bottom"/>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Service-based Restricted Stock Units</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855"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c>
          <w:tcPr>
            <w:tcW w:w="75"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0"/>
              <w:rPr/>
            </w:pPr>
            <w:r>
              <w:rPr/>
              <w:t> </w:t>
            </w:r>
          </w:p>
        </w:tc>
        <w:tc>
          <w:tcPr>
            <w:tcW w:w="98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2,149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320,459</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1080" w:type="dxa"/>
            <w:gridSpan w:val="4"/>
            <w:tcBorders/>
            <w:shd w:fill="E5E5E5" w:val="clear"/>
            <w:vAlign w:val="center"/>
          </w:tcPr>
          <w:p>
            <w:pPr>
              <w:pStyle w:val="TableContents"/>
              <w:spacing w:before="0" w:after="283"/>
              <w:rPr>
                <w:sz w:val="4"/>
                <w:szCs w:val="4"/>
              </w:rPr>
            </w:pPr>
            <w:r>
              <w:rPr>
                <w:sz w:val="4"/>
                <w:szCs w:val="4"/>
              </w:rPr>
            </w:r>
          </w:p>
        </w:tc>
        <w:tc>
          <w:tcPr>
            <w:tcW w:w="1205"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Service-based Restricted Stock UnitsSpecial</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75" w:type="dxa"/>
            <w:tcBorders/>
            <w:shd w:fill="E5E5E5" w:val="clear"/>
            <w:vAlign w:val="center"/>
          </w:tcPr>
          <w:p>
            <w:pPr>
              <w:pStyle w:val="TableContents"/>
              <w:spacing w:before="0" w:after="0"/>
              <w:rPr/>
            </w:pPr>
            <w:r>
              <w:rPr/>
              <w:t> </w:t>
            </w:r>
          </w:p>
        </w:tc>
        <w:tc>
          <w:tcPr>
            <w:tcW w:w="75"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855" w:type="dxa"/>
            <w:tcBorders/>
            <w:shd w:fill="E5E5E5" w:val="clear"/>
            <w:vAlign w:val="center"/>
          </w:tcPr>
          <w:p>
            <w:pPr>
              <w:pStyle w:val="TableContents"/>
              <w:spacing w:before="0" w:after="0"/>
              <w:rPr/>
            </w:pPr>
            <w:r>
              <w:rPr/>
              <w:t> </w:t>
            </w:r>
          </w:p>
        </w:tc>
        <w:tc>
          <w:tcPr>
            <w:tcW w:w="75" w:type="dxa"/>
            <w:tcBorders/>
            <w:shd w:fill="E5E5E5" w:val="clear"/>
            <w:vAlign w:val="center"/>
          </w:tcPr>
          <w:p>
            <w:pPr>
              <w:pStyle w:val="TableContents"/>
              <w:spacing w:before="0" w:after="0"/>
              <w:rPr/>
            </w:pPr>
            <w:r>
              <w:rPr/>
              <w:t> </w:t>
            </w:r>
          </w:p>
        </w:tc>
        <w:tc>
          <w:tcPr>
            <w:tcW w:w="75"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0"/>
              <w:rPr/>
            </w:pPr>
            <w:r>
              <w:rPr/>
              <w:t> </w:t>
            </w:r>
          </w:p>
        </w:tc>
        <w:tc>
          <w:tcPr>
            <w:tcW w:w="98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283"/>
              <w:rPr/>
            </w:pPr>
            <w:r>
              <w:rPr/>
              <w:t> </w:t>
            </w:r>
          </w:p>
        </w:tc>
        <w:tc>
          <w:tcPr>
            <w:tcW w:w="560" w:type="dxa"/>
            <w:tcBorders/>
            <w:shd w:fill="E5E5E5" w:val="clear"/>
            <w:vAlign w:val="center"/>
          </w:tcPr>
          <w:p>
            <w:pPr>
              <w:pStyle w:val="TableContents"/>
              <w:spacing w:before="0" w:after="283"/>
              <w:jc w:val="right"/>
              <w:rPr/>
            </w:pPr>
            <w:r>
              <w:rPr/>
              <w:t>4,024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980" w:type="dxa"/>
            <w:tcBorders/>
            <w:shd w:fill="E5E5E5" w:val="clear"/>
            <w:vAlign w:val="center"/>
          </w:tcPr>
          <w:p>
            <w:pPr>
              <w:pStyle w:val="TableContents"/>
              <w:spacing w:before="0" w:after="283"/>
              <w:jc w:val="right"/>
              <w:rPr/>
            </w:pPr>
            <w:r>
              <w:rPr/>
              <w:t>600,059</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080"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bottom w:val="single" w:sz="8" w:space="0" w:color="001C71"/>
            </w:tcBorders>
            <w:shd w:fill="auto" w:val="clear"/>
            <w:tcMar>
              <w:bottom w:w="28" w:type="dxa"/>
            </w:tcMar>
          </w:tcPr>
          <w:p>
            <w:pPr>
              <w:pStyle w:val="TableContents"/>
              <w:spacing w:before="0" w:after="0"/>
              <w:rPr>
                <w:rFonts w:ascii="arial" w:hAnsi="arial"/>
                <w:sz w:val="15"/>
              </w:rPr>
            </w:pPr>
            <w:r>
              <w:rPr>
                <w:rFonts w:ascii="arial" w:hAnsi="arial"/>
                <w:sz w:val="15"/>
              </w:rPr>
              <w:t>Performance-Based Annual Bonus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2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1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3" w:type="dxa"/>
            <w:tcBorders>
              <w:bottom w:val="single" w:sz="8" w:space="0" w:color="001C71"/>
            </w:tcBorders>
            <w:shd w:fill="auto" w:val="clear"/>
            <w:tcMar>
              <w:bottom w:w="28" w:type="dxa"/>
            </w:tcMar>
            <w:vAlign w:val="center"/>
          </w:tcPr>
          <w:p>
            <w:pPr>
              <w:pStyle w:val="TableContents"/>
              <w:spacing w:before="0" w:after="283"/>
              <w:rPr/>
            </w:pPr>
            <w:r>
              <w:rPr/>
              <w:t> </w:t>
            </w:r>
          </w:p>
        </w:tc>
        <w:tc>
          <w:tcPr>
            <w:tcW w:w="967" w:type="dxa"/>
            <w:tcBorders>
              <w:bottom w:val="single" w:sz="8" w:space="0" w:color="001C71"/>
            </w:tcBorders>
            <w:shd w:fill="auto" w:val="clear"/>
            <w:tcMar>
              <w:bottom w:w="28" w:type="dxa"/>
            </w:tcMar>
            <w:vAlign w:val="center"/>
          </w:tcPr>
          <w:p>
            <w:pPr>
              <w:pStyle w:val="TableContents"/>
              <w:spacing w:before="0" w:after="283"/>
              <w:jc w:val="right"/>
              <w:rPr/>
            </w:pPr>
            <w:r>
              <w:rPr/>
              <w:t>      </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spacing w:before="0" w:after="283"/>
              <w:rPr/>
            </w:pPr>
            <w:r>
              <w:rPr/>
              <w:t>$</w:t>
            </w:r>
          </w:p>
        </w:tc>
        <w:tc>
          <w:tcPr>
            <w:tcW w:w="980" w:type="dxa"/>
            <w:tcBorders>
              <w:bottom w:val="single" w:sz="8" w:space="0" w:color="001C71"/>
            </w:tcBorders>
            <w:shd w:fill="auto" w:val="clear"/>
            <w:tcMar>
              <w:bottom w:w="28" w:type="dxa"/>
            </w:tcMar>
            <w:vAlign w:val="center"/>
          </w:tcPr>
          <w:p>
            <w:pPr>
              <w:pStyle w:val="TableContents"/>
              <w:spacing w:before="0" w:after="283"/>
              <w:jc w:val="right"/>
              <w:rPr/>
            </w:pPr>
            <w:r>
              <w:rPr/>
              <w:t>578,000</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spacing w:before="0" w:after="283"/>
              <w:rPr/>
            </w:pPr>
            <w:r>
              <w:rPr/>
              <w:t>$</w:t>
            </w:r>
          </w:p>
        </w:tc>
        <w:tc>
          <w:tcPr>
            <w:tcW w:w="980" w:type="dxa"/>
            <w:tcBorders>
              <w:bottom w:val="single" w:sz="8" w:space="0" w:color="001C71"/>
            </w:tcBorders>
            <w:shd w:fill="auto" w:val="clear"/>
            <w:tcMar>
              <w:bottom w:w="28" w:type="dxa"/>
            </w:tcMar>
            <w:vAlign w:val="center"/>
          </w:tcPr>
          <w:p>
            <w:pPr>
              <w:pStyle w:val="TableContents"/>
              <w:spacing w:before="0" w:after="283"/>
              <w:jc w:val="right"/>
              <w:rPr/>
            </w:pPr>
            <w:r>
              <w:rPr/>
              <w:t>1,156,000</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3"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67"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auto" w:val="clear"/>
            <w:tcMar>
              <w:bottom w:w="28" w:type="dxa"/>
            </w:tcMar>
            <w:vAlign w:val="bottom"/>
          </w:tcPr>
          <w:p>
            <w:pPr>
              <w:pStyle w:val="TableContents"/>
              <w:spacing w:before="0" w:after="283"/>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85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8" w:space="0" w:color="001C71"/>
            </w:tcBorders>
            <w:shd w:fill="auto" w:val="clear"/>
            <w:tcMar>
              <w:bottom w:w="28" w:type="dxa"/>
            </w:tcMar>
            <w:vAlign w:val="bottom"/>
          </w:tcPr>
          <w:p>
            <w:pPr>
              <w:pStyle w:val="TableContents"/>
              <w:spacing w:before="0" w:after="283"/>
              <w:rPr/>
            </w:pPr>
            <w:r>
              <w:rPr/>
              <w:t> </w:t>
            </w:r>
          </w:p>
        </w:tc>
        <w:tc>
          <w:tcPr>
            <w:tcW w:w="8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8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80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8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74</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13187" w:type="dxa"/>
        <w:jc w:val="center"/>
        <w:tblInd w:w="0" w:type="dxa"/>
        <w:tblCellMar>
          <w:top w:w="0" w:type="dxa"/>
          <w:left w:w="0" w:type="dxa"/>
          <w:bottom w:w="0" w:type="dxa"/>
          <w:right w:w="0" w:type="dxa"/>
        </w:tblCellMar>
      </w:tblPr>
      <w:tblGrid>
        <w:gridCol w:w="1400"/>
        <w:gridCol w:w="60"/>
        <w:gridCol w:w="60"/>
        <w:gridCol w:w="320"/>
        <w:gridCol w:w="60"/>
        <w:gridCol w:w="60"/>
        <w:gridCol w:w="120"/>
        <w:gridCol w:w="410"/>
        <w:gridCol w:w="60"/>
        <w:gridCol w:w="60"/>
        <w:gridCol w:w="103"/>
        <w:gridCol w:w="967"/>
        <w:gridCol w:w="60"/>
        <w:gridCol w:w="60"/>
        <w:gridCol w:w="140"/>
        <w:gridCol w:w="800"/>
        <w:gridCol w:w="60"/>
        <w:gridCol w:w="60"/>
        <w:gridCol w:w="140"/>
        <w:gridCol w:w="980"/>
        <w:gridCol w:w="60"/>
        <w:gridCol w:w="60"/>
        <w:gridCol w:w="102"/>
        <w:gridCol w:w="968"/>
        <w:gridCol w:w="79"/>
        <w:gridCol w:w="79"/>
        <w:gridCol w:w="79"/>
        <w:gridCol w:w="742"/>
        <w:gridCol w:w="79"/>
        <w:gridCol w:w="79"/>
        <w:gridCol w:w="85"/>
        <w:gridCol w:w="985"/>
        <w:gridCol w:w="60"/>
        <w:gridCol w:w="60"/>
        <w:gridCol w:w="75"/>
        <w:gridCol w:w="560"/>
        <w:gridCol w:w="60"/>
        <w:gridCol w:w="60"/>
        <w:gridCol w:w="70"/>
        <w:gridCol w:w="805"/>
        <w:gridCol w:w="60"/>
        <w:gridCol w:w="60"/>
        <w:gridCol w:w="140"/>
        <w:gridCol w:w="680"/>
        <w:gridCol w:w="60"/>
        <w:gridCol w:w="60"/>
        <w:gridCol w:w="140"/>
        <w:gridCol w:w="800"/>
        <w:gridCol w:w="60"/>
      </w:tblGrid>
      <w:tr>
        <w:trPr/>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auto" w:val="cle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380" w:type="dxa"/>
            <w:gridSpan w:val="2"/>
            <w:vMerge w:val="restart"/>
            <w:tcBorders>
              <w:bottom w:val="single" w:sz="12" w:space="0" w:color="001C71"/>
            </w:tcBorders>
            <w:shd w:fill="auto" w:val="clear"/>
            <w:tcMar>
              <w:bottom w:w="40" w:type="dxa"/>
            </w:tcMar>
            <w:vAlign w:val="bottom"/>
          </w:tcPr>
          <w:p>
            <w:pPr>
              <w:pStyle w:val="TableContents"/>
              <w:spacing w:before="0" w:after="0"/>
              <w:jc w:val="center"/>
              <w:rPr>
                <w:rFonts w:ascii="arial" w:hAnsi="arial"/>
                <w:b/>
                <w:color w:val="001C71"/>
                <w:sz w:val="13"/>
              </w:rPr>
            </w:pPr>
            <w:r>
              <w:rPr>
                <w:rFonts w:ascii="arial" w:hAnsi="arial"/>
                <w:b/>
                <w:color w:val="001C71"/>
                <w:sz w:val="13"/>
              </w:rPr>
              <w:t>Grant</w:t>
              <w:br/>
              <w:t>Date</w:t>
            </w:r>
          </w:p>
          <w:p>
            <w:pPr>
              <w:pStyle w:val="TableContents"/>
              <w:spacing w:before="0" w:after="20"/>
              <w:jc w:val="center"/>
              <w:rPr>
                <w:rFonts w:ascii="arial" w:hAnsi="arial"/>
                <w:b/>
                <w:color w:val="001C71"/>
                <w:sz w:val="13"/>
              </w:rPr>
            </w:pPr>
            <w:r>
              <w:rPr>
                <w:rFonts w:ascii="arial" w:hAnsi="arial"/>
                <w:b/>
                <w:color w:val="001C71"/>
                <w:sz w:val="13"/>
              </w:rPr>
              <w:t>(A)</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530" w:type="dxa"/>
            <w:gridSpan w:val="2"/>
            <w:vMerge w:val="restart"/>
            <w:tcBorders>
              <w:bottom w:val="single" w:sz="12" w:space="0" w:color="001C71"/>
            </w:tcBorders>
            <w:shd w:fill="auto" w:val="clear"/>
            <w:tcMar>
              <w:bottom w:w="40" w:type="dxa"/>
            </w:tcMar>
            <w:vAlign w:val="bottom"/>
          </w:tcPr>
          <w:p>
            <w:pPr>
              <w:pStyle w:val="TableContents"/>
              <w:spacing w:before="0" w:after="0"/>
              <w:jc w:val="center"/>
              <w:rPr>
                <w:rFonts w:ascii="arial" w:hAnsi="arial"/>
                <w:b/>
                <w:color w:val="001C71"/>
                <w:sz w:val="13"/>
              </w:rPr>
            </w:pPr>
            <w:r>
              <w:rPr>
                <w:rFonts w:ascii="arial" w:hAnsi="arial"/>
                <w:b/>
                <w:color w:val="001C71"/>
                <w:sz w:val="13"/>
              </w:rPr>
              <w:t>Authori-</w:t>
              <w:br/>
              <w:t>zation</w:t>
              <w:br/>
              <w:t>Date</w:t>
            </w:r>
          </w:p>
          <w:p>
            <w:pPr>
              <w:pStyle w:val="TableContents"/>
              <w:spacing w:before="0" w:after="20"/>
              <w:jc w:val="center"/>
              <w:rPr>
                <w:rFonts w:ascii="arial" w:hAnsi="arial"/>
                <w:b/>
                <w:color w:val="001C71"/>
                <w:sz w:val="13"/>
              </w:rPr>
            </w:pPr>
            <w:r>
              <w:rPr>
                <w:rFonts w:ascii="arial" w:hAnsi="arial"/>
                <w:b/>
                <w:color w:val="001C71"/>
                <w:sz w:val="13"/>
              </w:rPr>
              <w:t>(A)</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70" w:type="dxa"/>
            <w:gridSpan w:val="10"/>
            <w:tcBorders>
              <w:bottom w:val="single" w:sz="2" w:space="0" w:color="001C71"/>
            </w:tcBorders>
            <w:shd w:fill="auto" w:val="clear"/>
            <w:tcMar>
              <w:bottom w:w="40" w:type="dxa"/>
            </w:tcMar>
            <w:vAlign w:val="bottom"/>
          </w:tcPr>
          <w:p>
            <w:pPr>
              <w:pStyle w:val="TableContents"/>
              <w:spacing w:before="0" w:after="283"/>
              <w:jc w:val="center"/>
              <w:rPr>
                <w:b/>
                <w:color w:val="001C71"/>
              </w:rPr>
            </w:pPr>
            <w:r>
              <w:rPr>
                <w:b/>
                <w:color w:val="001C71"/>
              </w:rPr>
              <w:t>Estimated Possible Payouts Under</w:t>
              <w:br/>
              <w:t>Non-Equity Incentive Plan Awards</w:t>
              <w:br/>
              <w:t>(Performance-Based Annual Bonus)</w:t>
              <w:br/>
              <w:t>(B)</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77" w:type="dxa"/>
            <w:gridSpan w:val="10"/>
            <w:tcBorders>
              <w:bottom w:val="single" w:sz="2" w:space="0" w:color="001C71"/>
            </w:tcBorders>
            <w:shd w:fill="auto" w:val="clear"/>
            <w:tcMar>
              <w:bottom w:w="40" w:type="dxa"/>
            </w:tcMar>
            <w:vAlign w:val="bottom"/>
          </w:tcPr>
          <w:p>
            <w:pPr>
              <w:pStyle w:val="TableContents"/>
              <w:spacing w:before="0" w:after="283"/>
              <w:jc w:val="center"/>
              <w:rPr>
                <w:b/>
                <w:color w:val="001C71"/>
              </w:rPr>
            </w:pPr>
            <w:r>
              <w:rPr>
                <w:b/>
                <w:color w:val="001C71"/>
              </w:rPr>
              <w:t>Estimated Future Payouts</w:t>
              <w:br/>
              <w:t>Under Equity Incentive Plan</w:t>
              <w:br/>
              <w:t>Awards (Number of Shares)</w:t>
              <w:br/>
              <w:t>(C)(E)</w:t>
            </w:r>
          </w:p>
        </w:tc>
        <w:tc>
          <w:tcPr>
            <w:tcW w:w="60" w:type="dxa"/>
            <w:tcBorders/>
            <w:shd w:fill="auto" w:val="cle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35" w:type="dxa"/>
            <w:gridSpan w:val="2"/>
            <w:vMerge w:val="restart"/>
            <w:tcBorders>
              <w:bottom w:val="single" w:sz="12" w:space="0" w:color="001C71"/>
            </w:tcBorders>
            <w:shd w:fill="auto" w:val="clear"/>
            <w:tcMar>
              <w:bottom w:w="40" w:type="dxa"/>
            </w:tcMar>
            <w:vAlign w:val="bottom"/>
          </w:tcPr>
          <w:p>
            <w:pPr>
              <w:pStyle w:val="TableContents"/>
              <w:spacing w:before="0" w:after="0"/>
              <w:jc w:val="center"/>
              <w:rPr>
                <w:rFonts w:ascii="arial" w:hAnsi="arial"/>
                <w:b/>
                <w:color w:val="001C71"/>
                <w:sz w:val="13"/>
              </w:rPr>
            </w:pPr>
            <w:r>
              <w:rPr>
                <w:rFonts w:ascii="arial" w:hAnsi="arial"/>
                <w:b/>
                <w:color w:val="001C71"/>
                <w:sz w:val="13"/>
              </w:rPr>
              <w:t>All Other</w:t>
              <w:br/>
              <w:t>Stock</w:t>
              <w:br/>
              <w:t>Awards</w:t>
            </w:r>
          </w:p>
          <w:p>
            <w:pPr>
              <w:pStyle w:val="TableContents"/>
              <w:spacing w:before="0" w:after="20"/>
              <w:jc w:val="center"/>
              <w:rPr>
                <w:rFonts w:ascii="arial" w:hAnsi="arial"/>
                <w:b/>
                <w:color w:val="001C71"/>
                <w:sz w:val="13"/>
              </w:rPr>
            </w:pPr>
            <w:r>
              <w:rPr>
                <w:rFonts w:ascii="arial" w:hAnsi="arial"/>
                <w:b/>
                <w:color w:val="001C71"/>
                <w:sz w:val="13"/>
              </w:rPr>
              <w:t>Number</w:t>
              <w:br/>
              <w:t>of Shares</w:t>
              <w:br/>
              <w:t>(D)(E)</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5" w:type="dxa"/>
            <w:gridSpan w:val="6"/>
            <w:tcBorders>
              <w:bottom w:val="single" w:sz="2" w:space="0" w:color="001C71"/>
            </w:tcBorders>
            <w:shd w:fill="auto" w:val="clear"/>
            <w:tcMar>
              <w:bottom w:w="40" w:type="dxa"/>
            </w:tcMar>
            <w:vAlign w:val="bottom"/>
          </w:tcPr>
          <w:p>
            <w:pPr>
              <w:pStyle w:val="TableContents"/>
              <w:spacing w:before="0" w:after="283"/>
              <w:jc w:val="center"/>
              <w:rPr/>
            </w:pPr>
            <w:r>
              <w:rPr>
                <w:b/>
                <w:color w:val="001C71"/>
              </w:rPr>
              <w:t>Option Awards</w:t>
              <w:br/>
              <w:t>(Service-Based</w:t>
              <w:br/>
              <w:t>Stock Options)</w:t>
            </w:r>
            <w:r>
              <w:rPr/>
              <w:br/>
            </w:r>
            <w:r>
              <w:rPr>
                <w:b/>
                <w:color w:val="001C71"/>
              </w:rPr>
              <w:t>(F)</w:t>
            </w:r>
          </w:p>
        </w:tc>
        <w:tc>
          <w:tcPr>
            <w:tcW w:w="60" w:type="dxa"/>
            <w:tcBorders/>
            <w:shd w:fill="auto" w:val="cle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940" w:type="dxa"/>
            <w:gridSpan w:val="2"/>
            <w:vMerge w:val="restart"/>
            <w:tcBorders>
              <w:bottom w:val="single" w:sz="12" w:space="0" w:color="001C71"/>
            </w:tcBorders>
            <w:shd w:fill="auto" w:val="clear"/>
            <w:tcMar>
              <w:bottom w:w="40" w:type="dxa"/>
            </w:tcMar>
            <w:vAlign w:val="bottom"/>
          </w:tcPr>
          <w:p>
            <w:pPr>
              <w:pStyle w:val="TableContents"/>
              <w:spacing w:before="0" w:after="0"/>
              <w:jc w:val="center"/>
              <w:rPr>
                <w:rFonts w:ascii="arial" w:hAnsi="arial"/>
                <w:b/>
                <w:color w:val="001C71"/>
                <w:sz w:val="13"/>
              </w:rPr>
            </w:pPr>
            <w:r>
              <w:rPr>
                <w:rFonts w:ascii="arial" w:hAnsi="arial"/>
                <w:b/>
                <w:color w:val="001C71"/>
                <w:sz w:val="13"/>
              </w:rPr>
              <w:t>Grant Date</w:t>
              <w:br/>
              <w:t>Fair Value</w:t>
            </w:r>
          </w:p>
          <w:p>
            <w:pPr>
              <w:pStyle w:val="TableContents"/>
              <w:spacing w:before="0" w:after="0"/>
              <w:jc w:val="center"/>
              <w:rPr>
                <w:rFonts w:ascii="arial" w:hAnsi="arial"/>
                <w:b/>
                <w:color w:val="001C71"/>
                <w:sz w:val="13"/>
              </w:rPr>
            </w:pPr>
            <w:r>
              <w:rPr>
                <w:rFonts w:ascii="arial" w:hAnsi="arial"/>
                <w:b/>
                <w:color w:val="001C71"/>
                <w:sz w:val="13"/>
              </w:rPr>
              <w:t>of Stock</w:t>
              <w:br/>
              <w:t>and Option</w:t>
              <w:br/>
              <w:t>Awards</w:t>
            </w:r>
          </w:p>
          <w:p>
            <w:pPr>
              <w:pStyle w:val="TableContents"/>
              <w:spacing w:before="0" w:after="20"/>
              <w:jc w:val="center"/>
              <w:rPr>
                <w:rFonts w:ascii="arial" w:hAnsi="arial"/>
                <w:b/>
                <w:color w:val="001C71"/>
                <w:sz w:val="13"/>
              </w:rPr>
            </w:pPr>
            <w:r>
              <w:rPr>
                <w:rFonts w:ascii="arial" w:hAnsi="arial"/>
                <w:b/>
                <w:color w:val="001C71"/>
                <w:sz w:val="13"/>
              </w:rPr>
              <w:t>(G)</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r>
      <w:tr>
        <w:trPr/>
        <w:tc>
          <w:tcPr>
            <w:tcW w:w="1400" w:type="dxa"/>
            <w:tcBorders>
              <w:bottom w:val="single" w:sz="12" w:space="0" w:color="001C71"/>
            </w:tcBorders>
            <w:shd w:fill="auto" w:val="clear"/>
            <w:tcMar>
              <w:bottom w:w="28" w:type="dxa"/>
            </w:tcMar>
            <w:vAlign w:val="bottom"/>
          </w:tcPr>
          <w:p>
            <w:pPr>
              <w:pStyle w:val="TableContents"/>
              <w:rPr/>
            </w:pPr>
            <w:r>
              <w:rPr/>
              <w:t>  </w:t>
            </w:r>
          </w:p>
          <w:p>
            <w:pPr>
              <w:pStyle w:val="TableContents"/>
              <w:spacing w:before="0" w:after="0"/>
              <w:rPr/>
            </w:pPr>
            <w:r>
              <w:rPr/>
              <w:t> </w:t>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380" w:type="dxa"/>
            <w:gridSpan w:val="2"/>
            <w:vMerge w:val="continue"/>
            <w:tcBorders>
              <w:bottom w:val="single" w:sz="12" w:space="0" w:color="001C71"/>
            </w:tcBorders>
            <w:shd w:fill="auto" w:val="clear"/>
            <w:tcMar>
              <w:bottom w:w="40"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530" w:type="dxa"/>
            <w:gridSpan w:val="2"/>
            <w:vMerge w:val="continue"/>
            <w:tcBorders>
              <w:bottom w:val="single" w:sz="12" w:space="0" w:color="001C71"/>
            </w:tcBorders>
            <w:shd w:fill="auto" w:val="clear"/>
            <w:tcMar>
              <w:bottom w:w="40"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07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Threshold</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94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Target</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12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Maximum</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07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Threshold</w:t>
            </w:r>
          </w:p>
        </w:tc>
        <w:tc>
          <w:tcPr>
            <w:tcW w:w="79" w:type="dxa"/>
            <w:tcBorders>
              <w:bottom w:val="single" w:sz="12" w:space="0" w:color="001C71"/>
            </w:tcBorders>
            <w:shd w:fill="auto" w:val="clear"/>
            <w:tcMar>
              <w:bottom w:w="28" w:type="dxa"/>
            </w:tcMar>
            <w:vAlign w:val="bottom"/>
          </w:tcPr>
          <w:p>
            <w:pPr>
              <w:pStyle w:val="TableContents"/>
              <w:spacing w:before="0" w:after="283"/>
              <w:rPr/>
            </w:pPr>
            <w:r>
              <w:rPr/>
              <w:t> </w:t>
            </w:r>
          </w:p>
        </w:tc>
        <w:tc>
          <w:tcPr>
            <w:tcW w:w="79" w:type="dxa"/>
            <w:tcBorders>
              <w:bottom w:val="single" w:sz="12" w:space="0" w:color="001C71"/>
            </w:tcBorders>
            <w:shd w:fill="auto" w:val="clear"/>
            <w:tcMar>
              <w:bottom w:w="28" w:type="dxa"/>
            </w:tcMar>
            <w:vAlign w:val="bottom"/>
          </w:tcPr>
          <w:p>
            <w:pPr>
              <w:pStyle w:val="TableContents"/>
              <w:spacing w:before="0" w:after="283"/>
              <w:rPr/>
            </w:pPr>
            <w:r>
              <w:rPr/>
              <w:t> </w:t>
            </w:r>
          </w:p>
        </w:tc>
        <w:tc>
          <w:tcPr>
            <w:tcW w:w="821"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Target</w:t>
            </w:r>
          </w:p>
        </w:tc>
        <w:tc>
          <w:tcPr>
            <w:tcW w:w="79" w:type="dxa"/>
            <w:tcBorders>
              <w:bottom w:val="single" w:sz="12" w:space="0" w:color="001C71"/>
            </w:tcBorders>
            <w:shd w:fill="auto" w:val="clear"/>
            <w:tcMar>
              <w:bottom w:w="28" w:type="dxa"/>
            </w:tcMar>
            <w:vAlign w:val="bottom"/>
          </w:tcPr>
          <w:p>
            <w:pPr>
              <w:pStyle w:val="TableContents"/>
              <w:spacing w:before="0" w:after="283"/>
              <w:rPr/>
            </w:pPr>
            <w:r>
              <w:rPr/>
              <w:t> </w:t>
            </w:r>
          </w:p>
        </w:tc>
        <w:tc>
          <w:tcPr>
            <w:tcW w:w="79" w:type="dxa"/>
            <w:tcBorders>
              <w:bottom w:val="single" w:sz="12" w:space="0" w:color="001C71"/>
            </w:tcBorders>
            <w:shd w:fill="auto" w:val="clear"/>
            <w:tcMar>
              <w:bottom w:w="28" w:type="dxa"/>
            </w:tcMar>
            <w:vAlign w:val="bottom"/>
          </w:tcPr>
          <w:p>
            <w:pPr>
              <w:pStyle w:val="TableContents"/>
              <w:spacing w:before="0" w:after="283"/>
              <w:rPr/>
            </w:pPr>
            <w:r>
              <w:rPr/>
              <w:t> </w:t>
            </w:r>
          </w:p>
        </w:tc>
        <w:tc>
          <w:tcPr>
            <w:tcW w:w="1070"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Maximum</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635" w:type="dxa"/>
            <w:gridSpan w:val="2"/>
            <w:vMerge w:val="continue"/>
            <w:tcBorders>
              <w:bottom w:val="single" w:sz="12" w:space="0" w:color="001C71"/>
            </w:tcBorders>
            <w:shd w:fill="auto" w:val="clear"/>
            <w:tcMar>
              <w:bottom w:w="40"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875" w:type="dxa"/>
            <w:gridSpan w:val="2"/>
            <w:tcBorders>
              <w:bottom w:val="single" w:sz="12" w:space="0" w:color="001C71"/>
            </w:tcBorders>
            <w:shd w:fill="auto" w:val="clear"/>
            <w:tcMar>
              <w:bottom w:w="40" w:type="dxa"/>
            </w:tcMar>
            <w:vAlign w:val="bottom"/>
          </w:tcPr>
          <w:p>
            <w:pPr>
              <w:pStyle w:val="TableContents"/>
              <w:spacing w:before="0" w:after="283"/>
              <w:jc w:val="center"/>
              <w:rPr>
                <w:b/>
                <w:color w:val="001C71"/>
              </w:rPr>
            </w:pPr>
            <w:r>
              <w:rPr>
                <w:b/>
                <w:color w:val="001C71"/>
              </w:rPr>
              <w:t>Number</w:t>
              <w:br/>
              <w:t>of</w:t>
              <w:br/>
              <w:t>Shares</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820" w:type="dxa"/>
            <w:gridSpan w:val="2"/>
            <w:tcBorders>
              <w:bottom w:val="single" w:sz="12" w:space="0" w:color="001C71"/>
            </w:tcBorders>
            <w:shd w:fill="auto" w:val="clear"/>
            <w:tcMar>
              <w:bottom w:w="40" w:type="dxa"/>
            </w:tcMar>
            <w:vAlign w:val="bottom"/>
          </w:tcPr>
          <w:p>
            <w:pPr>
              <w:pStyle w:val="TableContents"/>
              <w:spacing w:before="0" w:after="0"/>
              <w:rPr/>
            </w:pPr>
            <w:r>
              <w:rPr/>
              <w:t> </w:t>
            </w:r>
          </w:p>
          <w:p>
            <w:pPr>
              <w:pStyle w:val="TableContents"/>
              <w:spacing w:before="0" w:after="20"/>
              <w:jc w:val="center"/>
              <w:rPr>
                <w:rFonts w:ascii="arial" w:hAnsi="arial"/>
                <w:b/>
                <w:color w:val="001C71"/>
                <w:sz w:val="13"/>
              </w:rPr>
            </w:pPr>
            <w:r>
              <w:rPr>
                <w:rFonts w:ascii="arial" w:hAnsi="arial"/>
                <w:b/>
                <w:color w:val="001C71"/>
                <w:sz w:val="13"/>
              </w:rPr>
              <w:t>Exercise</w:t>
              <w:br/>
              <w:t>Price</w:t>
              <w:br/>
              <w:t>per</w:t>
              <w:br/>
              <w:t>Share</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940" w:type="dxa"/>
            <w:gridSpan w:val="2"/>
            <w:vMerge w:val="continue"/>
            <w:tcBorders>
              <w:bottom w:val="single" w:sz="12" w:space="0" w:color="001C71"/>
            </w:tcBorders>
            <w:shd w:fill="auto" w:val="clear"/>
            <w:tcMar>
              <w:bottom w:w="40"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b/>
                <w:sz w:val="15"/>
              </w:rPr>
            </w:pPr>
            <w:r>
              <w:rPr>
                <w:rFonts w:ascii="arial" w:hAnsi="arial"/>
                <w:b/>
                <w:sz w:val="15"/>
              </w:rPr>
              <w:t>Peter R. Wall</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tc>
        <w:tc>
          <w:tcPr>
            <w:tcW w:w="32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0"/>
              <w:rPr/>
            </w:pPr>
            <w:r>
              <w:rPr/>
              <w:t> </w:t>
            </w:r>
          </w:p>
        </w:tc>
        <w:tc>
          <w:tcPr>
            <w:tcW w:w="41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bottom"/>
          </w:tcPr>
          <w:p>
            <w:pPr>
              <w:pStyle w:val="TableContents"/>
              <w:spacing w:before="0" w:after="0"/>
              <w:rPr/>
            </w:pPr>
            <w:r>
              <w:rPr/>
              <w:t> </w:t>
            </w:r>
          </w:p>
        </w:tc>
        <w:tc>
          <w:tcPr>
            <w:tcW w:w="968" w:type="dxa"/>
            <w:tcBorders/>
            <w:shd w:fill="E5E5E5" w:val="clear"/>
            <w:vAlign w:val="bottom"/>
          </w:tcPr>
          <w:p>
            <w:pPr>
              <w:pStyle w:val="TableContents"/>
              <w:spacing w:before="0" w:after="0"/>
              <w:rPr/>
            </w:pPr>
            <w:r>
              <w:rPr/>
              <w:t> </w:t>
            </w:r>
          </w:p>
        </w:tc>
        <w:tc>
          <w:tcPr>
            <w:tcW w:w="79" w:type="dxa"/>
            <w:tcBorders/>
            <w:shd w:fill="E5E5E5" w:val="clear"/>
            <w:vAlign w:val="bottom"/>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0"/>
              <w:rPr/>
            </w:pPr>
            <w:r>
              <w:rPr/>
              <w:t> </w:t>
            </w:r>
          </w:p>
        </w:tc>
        <w:tc>
          <w:tcPr>
            <w:tcW w:w="742" w:type="dxa"/>
            <w:tcBorders/>
            <w:shd w:fill="E5E5E5" w:val="clear"/>
            <w:vAlign w:val="bottom"/>
          </w:tcPr>
          <w:p>
            <w:pPr>
              <w:pStyle w:val="TableContents"/>
              <w:spacing w:before="0" w:after="0"/>
              <w:rPr/>
            </w:pPr>
            <w:r>
              <w:rPr/>
              <w:t> </w:t>
            </w:r>
          </w:p>
        </w:tc>
        <w:tc>
          <w:tcPr>
            <w:tcW w:w="79" w:type="dxa"/>
            <w:tcBorders/>
            <w:shd w:fill="E5E5E5" w:val="clear"/>
            <w:vAlign w:val="bottom"/>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0"/>
              <w:rPr/>
            </w:pPr>
            <w:r>
              <w:rPr/>
              <w:t> </w:t>
            </w:r>
          </w:p>
        </w:tc>
        <w:tc>
          <w:tcPr>
            <w:tcW w:w="985"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5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0"/>
              <w:rPr/>
            </w:pPr>
            <w:r>
              <w:rPr/>
              <w:t> </w:t>
            </w:r>
          </w:p>
        </w:tc>
        <w:tc>
          <w:tcPr>
            <w:tcW w:w="805"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6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80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TSR vs. S&amp;P 500 Utilities Index</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742" w:type="dxa"/>
            <w:tcBorders/>
            <w:shd w:fill="auto" w:val="clear"/>
            <w:vAlign w:val="center"/>
          </w:tcPr>
          <w:p>
            <w:pPr>
              <w:pStyle w:val="TableContents"/>
              <w:spacing w:before="0" w:after="283"/>
              <w:jc w:val="right"/>
              <w:rPr/>
            </w:pPr>
            <w:r>
              <w:rPr/>
              <w:t>705</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jc w:val="right"/>
              <w:rPr/>
            </w:pPr>
            <w:r>
              <w:rPr/>
              <w:t>1,410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center"/>
          </w:tcPr>
          <w:p>
            <w:pPr>
              <w:pStyle w:val="TableContents"/>
              <w:spacing w:before="0" w:after="0"/>
              <w:rPr/>
            </w:pPr>
            <w:r>
              <w:rPr/>
              <w:t> </w:t>
            </w:r>
          </w:p>
        </w:tc>
        <w:tc>
          <w:tcPr>
            <w:tcW w:w="80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109,735</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PBRSU based on TSR vs. S&amp;P 500 Index</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center"/>
          </w:tcPr>
          <w:p>
            <w:pPr>
              <w:pStyle w:val="TableContents"/>
              <w:spacing w:before="0" w:after="283"/>
              <w:rPr/>
            </w:pPr>
            <w:r>
              <w:rPr/>
              <w:t> </w:t>
            </w:r>
          </w:p>
        </w:tc>
        <w:tc>
          <w:tcPr>
            <w:tcW w:w="968" w:type="dxa"/>
            <w:tcBorders/>
            <w:shd w:fill="E5E5E5" w:val="clear"/>
            <w:vAlign w:val="center"/>
          </w:tcPr>
          <w:p>
            <w:pPr>
              <w:pStyle w:val="TableContents"/>
              <w:spacing w:before="0" w:after="283"/>
              <w:jc w:val="right"/>
              <w:rPr/>
            </w:pPr>
            <w:r>
              <w:rPr/>
              <w:t>      </w:t>
            </w:r>
          </w:p>
        </w:tc>
        <w:tc>
          <w:tcPr>
            <w:tcW w:w="79" w:type="dxa"/>
            <w:tcBorders/>
            <w:shd w:fill="E5E5E5" w:val="clear"/>
            <w:vAlign w:val="center"/>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center"/>
          </w:tcPr>
          <w:p>
            <w:pPr>
              <w:pStyle w:val="TableContents"/>
              <w:spacing w:before="0" w:after="283"/>
              <w:rPr/>
            </w:pPr>
            <w:r>
              <w:rPr/>
              <w:t> </w:t>
            </w:r>
          </w:p>
        </w:tc>
        <w:tc>
          <w:tcPr>
            <w:tcW w:w="742" w:type="dxa"/>
            <w:tcBorders/>
            <w:shd w:fill="E5E5E5" w:val="clear"/>
            <w:vAlign w:val="center"/>
          </w:tcPr>
          <w:p>
            <w:pPr>
              <w:pStyle w:val="TableContents"/>
              <w:spacing w:before="0" w:after="283"/>
              <w:jc w:val="right"/>
              <w:rPr/>
            </w:pPr>
            <w:r>
              <w:rPr/>
              <w:t>302</w:t>
            </w:r>
          </w:p>
        </w:tc>
        <w:tc>
          <w:tcPr>
            <w:tcW w:w="79" w:type="dxa"/>
            <w:tcBorders/>
            <w:shd w:fill="E5E5E5" w:val="clear"/>
            <w:vAlign w:val="center"/>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283"/>
              <w:rPr/>
            </w:pPr>
            <w:r>
              <w:rPr/>
              <w:t> </w:t>
            </w:r>
          </w:p>
        </w:tc>
        <w:tc>
          <w:tcPr>
            <w:tcW w:w="985" w:type="dxa"/>
            <w:tcBorders/>
            <w:shd w:fill="E5E5E5" w:val="clear"/>
            <w:vAlign w:val="center"/>
          </w:tcPr>
          <w:p>
            <w:pPr>
              <w:pStyle w:val="TableContents"/>
              <w:spacing w:before="0" w:after="283"/>
              <w:jc w:val="right"/>
              <w:rPr/>
            </w:pPr>
            <w:r>
              <w:rPr/>
              <w:t>604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56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center"/>
          </w:tcPr>
          <w:p>
            <w:pPr>
              <w:pStyle w:val="TableContents"/>
              <w:spacing w:before="0" w:after="0"/>
              <w:rPr/>
            </w:pPr>
            <w:r>
              <w:rPr/>
              <w:t> </w:t>
            </w:r>
          </w:p>
        </w:tc>
        <w:tc>
          <w:tcPr>
            <w:tcW w:w="80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800" w:type="dxa"/>
            <w:tcBorders/>
            <w:shd w:fill="E5E5E5" w:val="clear"/>
            <w:vAlign w:val="center"/>
          </w:tcPr>
          <w:p>
            <w:pPr>
              <w:pStyle w:val="TableContents"/>
              <w:spacing w:before="0" w:after="283"/>
              <w:jc w:val="right"/>
              <w:rPr/>
            </w:pPr>
            <w:r>
              <w:rPr/>
              <w:t>51,864</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EPS growth</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742" w:type="dxa"/>
            <w:tcBorders/>
            <w:shd w:fill="auto" w:val="clear"/>
            <w:vAlign w:val="center"/>
          </w:tcPr>
          <w:p>
            <w:pPr>
              <w:pStyle w:val="TableContents"/>
              <w:spacing w:before="0" w:after="283"/>
              <w:jc w:val="right"/>
              <w:rPr/>
            </w:pPr>
            <w:r>
              <w:rPr/>
              <w:t>403</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jc w:val="right"/>
              <w:rPr/>
            </w:pPr>
            <w:r>
              <w:rPr/>
              <w:t>806</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center"/>
          </w:tcPr>
          <w:p>
            <w:pPr>
              <w:pStyle w:val="TableContents"/>
              <w:spacing w:before="0" w:after="0"/>
              <w:rPr/>
            </w:pPr>
            <w:r>
              <w:rPr/>
              <w:t> </w:t>
            </w:r>
          </w:p>
        </w:tc>
        <w:tc>
          <w:tcPr>
            <w:tcW w:w="80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60,095</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Service-based Restricted Stock Units</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center"/>
          </w:tcPr>
          <w:p>
            <w:pPr>
              <w:pStyle w:val="TableContents"/>
              <w:spacing w:before="0" w:after="0"/>
              <w:rPr/>
            </w:pPr>
            <w:r>
              <w:rPr/>
              <w:t> </w:t>
            </w:r>
          </w:p>
        </w:tc>
        <w:tc>
          <w:tcPr>
            <w:tcW w:w="968" w:type="dxa"/>
            <w:tcBorders/>
            <w:shd w:fill="E5E5E5" w:val="clear"/>
            <w:vAlign w:val="center"/>
          </w:tcPr>
          <w:p>
            <w:pPr>
              <w:pStyle w:val="TableContents"/>
              <w:spacing w:before="0" w:after="0"/>
              <w:rPr/>
            </w:pPr>
            <w:r>
              <w:rPr/>
              <w:t> </w:t>
            </w:r>
          </w:p>
        </w:tc>
        <w:tc>
          <w:tcPr>
            <w:tcW w:w="79" w:type="dxa"/>
            <w:tcBorders/>
            <w:shd w:fill="E5E5E5" w:val="clear"/>
            <w:vAlign w:val="center"/>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center"/>
          </w:tcPr>
          <w:p>
            <w:pPr>
              <w:pStyle w:val="TableContents"/>
              <w:spacing w:before="0" w:after="0"/>
              <w:rPr/>
            </w:pPr>
            <w:r>
              <w:rPr/>
              <w:t> </w:t>
            </w:r>
          </w:p>
        </w:tc>
        <w:tc>
          <w:tcPr>
            <w:tcW w:w="742" w:type="dxa"/>
            <w:tcBorders/>
            <w:shd w:fill="E5E5E5" w:val="clear"/>
            <w:vAlign w:val="center"/>
          </w:tcPr>
          <w:p>
            <w:pPr>
              <w:pStyle w:val="TableContents"/>
              <w:spacing w:before="0" w:after="0"/>
              <w:rPr/>
            </w:pPr>
            <w:r>
              <w:rPr/>
              <w:t> </w:t>
            </w:r>
          </w:p>
        </w:tc>
        <w:tc>
          <w:tcPr>
            <w:tcW w:w="79" w:type="dxa"/>
            <w:tcBorders/>
            <w:shd w:fill="E5E5E5" w:val="clear"/>
            <w:vAlign w:val="center"/>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0"/>
              <w:rPr/>
            </w:pPr>
            <w:r>
              <w:rPr/>
              <w:t> </w:t>
            </w:r>
          </w:p>
        </w:tc>
        <w:tc>
          <w:tcPr>
            <w:tcW w:w="98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283"/>
              <w:rPr/>
            </w:pPr>
            <w:r>
              <w:rPr/>
              <w:t> </w:t>
            </w:r>
          </w:p>
        </w:tc>
        <w:tc>
          <w:tcPr>
            <w:tcW w:w="560" w:type="dxa"/>
            <w:tcBorders/>
            <w:shd w:fill="E5E5E5" w:val="clear"/>
            <w:vAlign w:val="center"/>
          </w:tcPr>
          <w:p>
            <w:pPr>
              <w:pStyle w:val="TableContents"/>
              <w:spacing w:before="0" w:after="283"/>
              <w:jc w:val="right"/>
              <w:rPr/>
            </w:pPr>
            <w:r>
              <w:rPr/>
              <w:t>604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center"/>
          </w:tcPr>
          <w:p>
            <w:pPr>
              <w:pStyle w:val="TableContents"/>
              <w:spacing w:before="0" w:after="0"/>
              <w:rPr/>
            </w:pPr>
            <w:r>
              <w:rPr/>
              <w:t> </w:t>
            </w:r>
          </w:p>
        </w:tc>
        <w:tc>
          <w:tcPr>
            <w:tcW w:w="80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800" w:type="dxa"/>
            <w:tcBorders/>
            <w:shd w:fill="E5E5E5" w:val="clear"/>
            <w:vAlign w:val="center"/>
          </w:tcPr>
          <w:p>
            <w:pPr>
              <w:pStyle w:val="TableContents"/>
              <w:spacing w:before="0" w:after="283"/>
              <w:jc w:val="right"/>
              <w:rPr/>
            </w:pPr>
            <w:r>
              <w:rPr/>
              <w:t>90,068</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TSR vs. S&amp;P 500 Utilities Index</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4/01/20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3/10/20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742" w:type="dxa"/>
            <w:tcBorders/>
            <w:shd w:fill="auto" w:val="clear"/>
            <w:vAlign w:val="center"/>
          </w:tcPr>
          <w:p>
            <w:pPr>
              <w:pStyle w:val="TableContents"/>
              <w:spacing w:before="0" w:after="283"/>
              <w:jc w:val="right"/>
              <w:rPr/>
            </w:pPr>
            <w:r>
              <w:rPr/>
              <w:t>338</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jc w:val="right"/>
              <w:rPr/>
            </w:pPr>
            <w:r>
              <w:rPr/>
              <w:t>676</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center"/>
          </w:tcPr>
          <w:p>
            <w:pPr>
              <w:pStyle w:val="TableContents"/>
              <w:spacing w:before="0" w:after="0"/>
              <w:rPr/>
            </w:pPr>
            <w:r>
              <w:rPr/>
              <w:t> </w:t>
            </w:r>
          </w:p>
        </w:tc>
        <w:tc>
          <w:tcPr>
            <w:tcW w:w="80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24,771</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PBRSU based on TSR vs. S&amp;P 500 Index</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4/01/20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3/10/20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center"/>
          </w:tcPr>
          <w:p>
            <w:pPr>
              <w:pStyle w:val="TableContents"/>
              <w:spacing w:before="0" w:after="283"/>
              <w:rPr/>
            </w:pPr>
            <w:r>
              <w:rPr/>
              <w:t> </w:t>
            </w:r>
          </w:p>
        </w:tc>
        <w:tc>
          <w:tcPr>
            <w:tcW w:w="968" w:type="dxa"/>
            <w:tcBorders/>
            <w:shd w:fill="E5E5E5" w:val="clear"/>
            <w:vAlign w:val="center"/>
          </w:tcPr>
          <w:p>
            <w:pPr>
              <w:pStyle w:val="TableContents"/>
              <w:spacing w:before="0" w:after="283"/>
              <w:jc w:val="right"/>
              <w:rPr/>
            </w:pPr>
            <w:r>
              <w:rPr/>
              <w:t>      </w:t>
            </w:r>
          </w:p>
        </w:tc>
        <w:tc>
          <w:tcPr>
            <w:tcW w:w="79" w:type="dxa"/>
            <w:tcBorders/>
            <w:shd w:fill="E5E5E5" w:val="clear"/>
            <w:vAlign w:val="center"/>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center"/>
          </w:tcPr>
          <w:p>
            <w:pPr>
              <w:pStyle w:val="TableContents"/>
              <w:spacing w:before="0" w:after="283"/>
              <w:rPr/>
            </w:pPr>
            <w:r>
              <w:rPr/>
              <w:t> </w:t>
            </w:r>
          </w:p>
        </w:tc>
        <w:tc>
          <w:tcPr>
            <w:tcW w:w="742" w:type="dxa"/>
            <w:tcBorders/>
            <w:shd w:fill="E5E5E5" w:val="clear"/>
            <w:vAlign w:val="center"/>
          </w:tcPr>
          <w:p>
            <w:pPr>
              <w:pStyle w:val="TableContents"/>
              <w:spacing w:before="0" w:after="283"/>
              <w:jc w:val="right"/>
              <w:rPr/>
            </w:pPr>
            <w:r>
              <w:rPr/>
              <w:t>145</w:t>
            </w:r>
          </w:p>
        </w:tc>
        <w:tc>
          <w:tcPr>
            <w:tcW w:w="79" w:type="dxa"/>
            <w:tcBorders/>
            <w:shd w:fill="E5E5E5" w:val="clear"/>
            <w:vAlign w:val="center"/>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283"/>
              <w:rPr/>
            </w:pPr>
            <w:r>
              <w:rPr/>
              <w:t> </w:t>
            </w:r>
          </w:p>
        </w:tc>
        <w:tc>
          <w:tcPr>
            <w:tcW w:w="985" w:type="dxa"/>
            <w:tcBorders/>
            <w:shd w:fill="E5E5E5" w:val="clear"/>
            <w:vAlign w:val="center"/>
          </w:tcPr>
          <w:p>
            <w:pPr>
              <w:pStyle w:val="TableContents"/>
              <w:spacing w:before="0" w:after="283"/>
              <w:jc w:val="right"/>
              <w:rPr/>
            </w:pPr>
            <w:r>
              <w:rPr/>
              <w:t>290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56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center"/>
          </w:tcPr>
          <w:p>
            <w:pPr>
              <w:pStyle w:val="TableContents"/>
              <w:spacing w:before="0" w:after="0"/>
              <w:rPr/>
            </w:pPr>
            <w:r>
              <w:rPr/>
              <w:t> </w:t>
            </w:r>
          </w:p>
        </w:tc>
        <w:tc>
          <w:tcPr>
            <w:tcW w:w="80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800" w:type="dxa"/>
            <w:tcBorders/>
            <w:shd w:fill="E5E5E5" w:val="clear"/>
            <w:vAlign w:val="center"/>
          </w:tcPr>
          <w:p>
            <w:pPr>
              <w:pStyle w:val="TableContents"/>
              <w:spacing w:before="0" w:after="283"/>
              <w:jc w:val="right"/>
              <w:rPr/>
            </w:pPr>
            <w:r>
              <w:rPr/>
              <w:t>17,826</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EPS growth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4/01/20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pPr>
            <w:r>
              <w:rPr/>
              <w:t>3/10/20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0"/>
              <w:rPr/>
            </w:pPr>
            <w:r>
              <w:rPr/>
              <w:t> </w:t>
            </w:r>
          </w:p>
        </w:tc>
        <w:tc>
          <w:tcPr>
            <w:tcW w:w="967"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8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pPr>
            <w:r>
              <w:rPr/>
              <w:t>193</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386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5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0"/>
              <w:rPr/>
            </w:pPr>
            <w:r>
              <w:rPr/>
              <w:t> </w:t>
            </w:r>
          </w:p>
        </w:tc>
        <w:tc>
          <w:tcPr>
            <w:tcW w:w="80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6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20,016</w:t>
            </w:r>
          </w:p>
        </w:tc>
        <w:tc>
          <w:tcPr>
            <w:tcW w:w="60" w:type="dxa"/>
            <w:tcBorders/>
            <w:shd w:fill="auto" w:val="clear"/>
            <w:vAlign w:val="bottom"/>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Service-based Restricted Stock Units</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4/01/20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3/10/20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center"/>
          </w:tcPr>
          <w:p>
            <w:pPr>
              <w:pStyle w:val="TableContents"/>
              <w:spacing w:before="0" w:after="0"/>
              <w:rPr/>
            </w:pPr>
            <w:r>
              <w:rPr/>
              <w:t> </w:t>
            </w:r>
          </w:p>
        </w:tc>
        <w:tc>
          <w:tcPr>
            <w:tcW w:w="968" w:type="dxa"/>
            <w:tcBorders/>
            <w:shd w:fill="E5E5E5" w:val="clear"/>
            <w:vAlign w:val="center"/>
          </w:tcPr>
          <w:p>
            <w:pPr>
              <w:pStyle w:val="TableContents"/>
              <w:spacing w:before="0" w:after="0"/>
              <w:rPr/>
            </w:pPr>
            <w:r>
              <w:rPr/>
              <w:t> </w:t>
            </w:r>
          </w:p>
        </w:tc>
        <w:tc>
          <w:tcPr>
            <w:tcW w:w="79" w:type="dxa"/>
            <w:tcBorders/>
            <w:shd w:fill="E5E5E5" w:val="clear"/>
            <w:vAlign w:val="center"/>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center"/>
          </w:tcPr>
          <w:p>
            <w:pPr>
              <w:pStyle w:val="TableContents"/>
              <w:spacing w:before="0" w:after="0"/>
              <w:rPr/>
            </w:pPr>
            <w:r>
              <w:rPr/>
              <w:t> </w:t>
            </w:r>
          </w:p>
        </w:tc>
        <w:tc>
          <w:tcPr>
            <w:tcW w:w="742" w:type="dxa"/>
            <w:tcBorders/>
            <w:shd w:fill="E5E5E5" w:val="clear"/>
            <w:vAlign w:val="center"/>
          </w:tcPr>
          <w:p>
            <w:pPr>
              <w:pStyle w:val="TableContents"/>
              <w:spacing w:before="0" w:after="0"/>
              <w:rPr/>
            </w:pPr>
            <w:r>
              <w:rPr/>
              <w:t> </w:t>
            </w:r>
          </w:p>
        </w:tc>
        <w:tc>
          <w:tcPr>
            <w:tcW w:w="79" w:type="dxa"/>
            <w:tcBorders/>
            <w:shd w:fill="E5E5E5" w:val="clear"/>
            <w:vAlign w:val="center"/>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0"/>
              <w:rPr/>
            </w:pPr>
            <w:r>
              <w:rPr/>
              <w:t> </w:t>
            </w:r>
          </w:p>
        </w:tc>
        <w:tc>
          <w:tcPr>
            <w:tcW w:w="98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283"/>
              <w:rPr/>
            </w:pPr>
            <w:r>
              <w:rPr/>
              <w:t> </w:t>
            </w:r>
          </w:p>
        </w:tc>
        <w:tc>
          <w:tcPr>
            <w:tcW w:w="560" w:type="dxa"/>
            <w:tcBorders/>
            <w:shd w:fill="E5E5E5" w:val="clear"/>
            <w:vAlign w:val="center"/>
          </w:tcPr>
          <w:p>
            <w:pPr>
              <w:pStyle w:val="TableContents"/>
              <w:spacing w:before="0" w:after="283"/>
              <w:jc w:val="right"/>
              <w:rPr/>
            </w:pPr>
            <w:r>
              <w:rPr/>
              <w:t>290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center"/>
          </w:tcPr>
          <w:p>
            <w:pPr>
              <w:pStyle w:val="TableContents"/>
              <w:spacing w:before="0" w:after="0"/>
              <w:rPr/>
            </w:pPr>
            <w:r>
              <w:rPr/>
              <w:t> </w:t>
            </w:r>
          </w:p>
        </w:tc>
        <w:tc>
          <w:tcPr>
            <w:tcW w:w="80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800" w:type="dxa"/>
            <w:tcBorders/>
            <w:shd w:fill="E5E5E5" w:val="clear"/>
            <w:vAlign w:val="center"/>
          </w:tcPr>
          <w:p>
            <w:pPr>
              <w:pStyle w:val="TableContents"/>
              <w:spacing w:before="0" w:after="283"/>
              <w:jc w:val="right"/>
              <w:rPr/>
            </w:pPr>
            <w:r>
              <w:rPr/>
              <w:t>30,076</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bottom w:val="single" w:sz="8" w:space="0" w:color="001C71"/>
            </w:tcBorders>
            <w:shd w:fill="auto" w:val="clear"/>
            <w:tcMar>
              <w:bottom w:w="28" w:type="dxa"/>
            </w:tcMar>
          </w:tcPr>
          <w:p>
            <w:pPr>
              <w:pStyle w:val="TableContents"/>
              <w:spacing w:before="0" w:after="0"/>
              <w:rPr>
                <w:rFonts w:ascii="arial" w:hAnsi="arial"/>
                <w:sz w:val="15"/>
              </w:rPr>
            </w:pPr>
            <w:r>
              <w:rPr>
                <w:rFonts w:ascii="arial" w:hAnsi="arial"/>
                <w:sz w:val="15"/>
              </w:rPr>
              <w:t>Performance-Based Annual Bonus</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32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41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3" w:type="dxa"/>
            <w:tcBorders>
              <w:bottom w:val="single" w:sz="8" w:space="0" w:color="001C71"/>
            </w:tcBorders>
            <w:shd w:fill="auto" w:val="clear"/>
            <w:tcMar>
              <w:bottom w:w="28" w:type="dxa"/>
            </w:tcMar>
            <w:vAlign w:val="center"/>
          </w:tcPr>
          <w:p>
            <w:pPr>
              <w:pStyle w:val="TableContents"/>
              <w:spacing w:before="0" w:after="283"/>
              <w:rPr/>
            </w:pPr>
            <w:r>
              <w:rPr/>
              <w:t> </w:t>
            </w:r>
          </w:p>
        </w:tc>
        <w:tc>
          <w:tcPr>
            <w:tcW w:w="967" w:type="dxa"/>
            <w:tcBorders>
              <w:bottom w:val="single" w:sz="8" w:space="0" w:color="001C71"/>
            </w:tcBorders>
            <w:shd w:fill="auto" w:val="clear"/>
            <w:tcMar>
              <w:bottom w:w="28" w:type="dxa"/>
            </w:tcMar>
            <w:vAlign w:val="center"/>
          </w:tcPr>
          <w:p>
            <w:pPr>
              <w:pStyle w:val="TableContents"/>
              <w:spacing w:before="0" w:after="283"/>
              <w:jc w:val="right"/>
              <w:rPr/>
            </w:pPr>
            <w:r>
              <w:rPr/>
              <w:t>      </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spacing w:before="0" w:after="283"/>
              <w:rPr/>
            </w:pPr>
            <w:r>
              <w:rPr/>
              <w:t>$</w:t>
            </w:r>
          </w:p>
        </w:tc>
        <w:tc>
          <w:tcPr>
            <w:tcW w:w="800" w:type="dxa"/>
            <w:tcBorders>
              <w:bottom w:val="single" w:sz="8" w:space="0" w:color="001C71"/>
            </w:tcBorders>
            <w:shd w:fill="auto" w:val="clear"/>
            <w:tcMar>
              <w:bottom w:w="28" w:type="dxa"/>
            </w:tcMar>
            <w:vAlign w:val="center"/>
          </w:tcPr>
          <w:p>
            <w:pPr>
              <w:pStyle w:val="TableContents"/>
              <w:spacing w:before="0" w:after="283"/>
              <w:jc w:val="right"/>
              <w:rPr/>
            </w:pPr>
            <w:r>
              <w:rPr/>
              <w:t>187,500</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spacing w:before="0" w:after="283"/>
              <w:rPr/>
            </w:pPr>
            <w:r>
              <w:rPr/>
              <w:t>$</w:t>
            </w:r>
          </w:p>
        </w:tc>
        <w:tc>
          <w:tcPr>
            <w:tcW w:w="980" w:type="dxa"/>
            <w:tcBorders>
              <w:bottom w:val="single" w:sz="8" w:space="0" w:color="001C71"/>
            </w:tcBorders>
            <w:shd w:fill="auto" w:val="clear"/>
            <w:tcMar>
              <w:bottom w:w="28" w:type="dxa"/>
            </w:tcMar>
            <w:vAlign w:val="center"/>
          </w:tcPr>
          <w:p>
            <w:pPr>
              <w:pStyle w:val="TableContents"/>
              <w:spacing w:before="0" w:after="283"/>
              <w:jc w:val="right"/>
              <w:rPr/>
            </w:pPr>
            <w:r>
              <w:rPr/>
              <w:t>375,000</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2"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968"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auto" w:val="clear"/>
            <w:tcMar>
              <w:bottom w:w="28" w:type="dxa"/>
            </w:tcMar>
            <w:vAlign w:val="bottom"/>
          </w:tcPr>
          <w:p>
            <w:pPr>
              <w:pStyle w:val="TableContents"/>
              <w:spacing w:before="0" w:after="283"/>
              <w:rPr/>
            </w:pPr>
            <w:r>
              <w:rPr/>
              <w:t> </w:t>
            </w:r>
          </w:p>
        </w:tc>
        <w:tc>
          <w:tcPr>
            <w:tcW w:w="79"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742"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auto" w:val="clear"/>
            <w:tcMar>
              <w:bottom w:w="28" w:type="dxa"/>
            </w:tcMar>
            <w:vAlign w:val="bottom"/>
          </w:tcPr>
          <w:p>
            <w:pPr>
              <w:pStyle w:val="TableContents"/>
              <w:spacing w:before="0" w:after="283"/>
              <w:rPr/>
            </w:pPr>
            <w:r>
              <w:rPr/>
              <w:t> </w:t>
            </w:r>
          </w:p>
        </w:tc>
        <w:tc>
          <w:tcPr>
            <w:tcW w:w="85"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985"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5"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56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805"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8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80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rPr/>
            </w:pPr>
            <w:r>
              <w:rPr/>
              <w:t xml:space="preserve">  </w:t>
            </w:r>
          </w:p>
          <w:p>
            <w:pPr>
              <w:pStyle w:val="TableContents"/>
              <w:spacing w:before="0" w:after="0"/>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b/>
                <w:sz w:val="15"/>
              </w:rPr>
            </w:pPr>
            <w:r>
              <w:rPr>
                <w:rFonts w:ascii="arial" w:hAnsi="arial"/>
                <w:b/>
                <w:sz w:val="15"/>
              </w:rPr>
              <w:t>Dennis V. Arriola</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0"/>
              <w:rPr/>
            </w:pPr>
            <w:r>
              <w:rPr/>
              <w:t> </w:t>
            </w:r>
          </w:p>
        </w:tc>
        <w:tc>
          <w:tcPr>
            <w:tcW w:w="32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0"/>
              <w:rPr/>
            </w:pPr>
            <w:r>
              <w:rPr/>
              <w:t> </w:t>
            </w:r>
          </w:p>
        </w:tc>
        <w:tc>
          <w:tcPr>
            <w:tcW w:w="41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center"/>
          </w:tcPr>
          <w:p>
            <w:pPr>
              <w:pStyle w:val="TableContents"/>
              <w:spacing w:before="0" w:after="0"/>
              <w:rPr/>
            </w:pPr>
            <w:r>
              <w:rPr/>
              <w:t> </w:t>
            </w:r>
          </w:p>
        </w:tc>
        <w:tc>
          <w:tcPr>
            <w:tcW w:w="968" w:type="dxa"/>
            <w:tcBorders/>
            <w:shd w:fill="E5E5E5" w:val="clear"/>
            <w:vAlign w:val="center"/>
          </w:tcPr>
          <w:p>
            <w:pPr>
              <w:pStyle w:val="TableContents"/>
              <w:spacing w:before="0" w:after="0"/>
              <w:rPr/>
            </w:pPr>
            <w:r>
              <w:rPr/>
              <w:t> </w:t>
            </w:r>
          </w:p>
        </w:tc>
        <w:tc>
          <w:tcPr>
            <w:tcW w:w="79" w:type="dxa"/>
            <w:tcBorders/>
            <w:shd w:fill="E5E5E5" w:val="clear"/>
            <w:vAlign w:val="center"/>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center"/>
          </w:tcPr>
          <w:p>
            <w:pPr>
              <w:pStyle w:val="TableContents"/>
              <w:spacing w:before="0" w:after="0"/>
              <w:rPr/>
            </w:pPr>
            <w:r>
              <w:rPr/>
              <w:t> </w:t>
            </w:r>
          </w:p>
        </w:tc>
        <w:tc>
          <w:tcPr>
            <w:tcW w:w="742" w:type="dxa"/>
            <w:tcBorders/>
            <w:shd w:fill="E5E5E5" w:val="clear"/>
            <w:vAlign w:val="center"/>
          </w:tcPr>
          <w:p>
            <w:pPr>
              <w:pStyle w:val="TableContents"/>
              <w:spacing w:before="0" w:after="0"/>
              <w:rPr/>
            </w:pPr>
            <w:r>
              <w:rPr/>
              <w:t> </w:t>
            </w:r>
          </w:p>
        </w:tc>
        <w:tc>
          <w:tcPr>
            <w:tcW w:w="79" w:type="dxa"/>
            <w:tcBorders/>
            <w:shd w:fill="E5E5E5" w:val="clear"/>
            <w:vAlign w:val="center"/>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0"/>
              <w:rPr/>
            </w:pPr>
            <w:r>
              <w:rPr/>
              <w:t> </w:t>
            </w:r>
          </w:p>
        </w:tc>
        <w:tc>
          <w:tcPr>
            <w:tcW w:w="98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56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center"/>
          </w:tcPr>
          <w:p>
            <w:pPr>
              <w:pStyle w:val="TableContents"/>
              <w:spacing w:before="0" w:after="0"/>
              <w:rPr/>
            </w:pPr>
            <w:r>
              <w:rPr/>
              <w:t> </w:t>
            </w:r>
          </w:p>
        </w:tc>
        <w:tc>
          <w:tcPr>
            <w:tcW w:w="80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TSR vs. S&amp;P 500 Utilities Index</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742" w:type="dxa"/>
            <w:tcBorders/>
            <w:shd w:fill="auto" w:val="clear"/>
            <w:vAlign w:val="center"/>
          </w:tcPr>
          <w:p>
            <w:pPr>
              <w:pStyle w:val="TableContents"/>
              <w:spacing w:before="0" w:after="283"/>
              <w:jc w:val="right"/>
              <w:rPr/>
            </w:pPr>
            <w:r>
              <w:rPr/>
              <w:t>4,225</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jc w:val="right"/>
              <w:rPr/>
            </w:pPr>
            <w:r>
              <w:rPr/>
              <w:t>8,450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center"/>
          </w:tcPr>
          <w:p>
            <w:pPr>
              <w:pStyle w:val="TableContents"/>
              <w:spacing w:before="0" w:after="0"/>
              <w:rPr/>
            </w:pPr>
            <w:r>
              <w:rPr/>
              <w:t> </w:t>
            </w:r>
          </w:p>
        </w:tc>
        <w:tc>
          <w:tcPr>
            <w:tcW w:w="80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657,630</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PBRSU based on TSR vs. S&amp;P 500 Index</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center"/>
          </w:tcPr>
          <w:p>
            <w:pPr>
              <w:pStyle w:val="TableContents"/>
              <w:spacing w:before="0" w:after="283"/>
              <w:rPr/>
            </w:pPr>
            <w:r>
              <w:rPr/>
              <w:t> </w:t>
            </w:r>
          </w:p>
        </w:tc>
        <w:tc>
          <w:tcPr>
            <w:tcW w:w="968" w:type="dxa"/>
            <w:tcBorders/>
            <w:shd w:fill="E5E5E5" w:val="clear"/>
            <w:vAlign w:val="center"/>
          </w:tcPr>
          <w:p>
            <w:pPr>
              <w:pStyle w:val="TableContents"/>
              <w:spacing w:before="0" w:after="283"/>
              <w:jc w:val="right"/>
              <w:rPr/>
            </w:pPr>
            <w:r>
              <w:rPr/>
              <w:t>      </w:t>
            </w:r>
          </w:p>
        </w:tc>
        <w:tc>
          <w:tcPr>
            <w:tcW w:w="79" w:type="dxa"/>
            <w:tcBorders/>
            <w:shd w:fill="E5E5E5" w:val="clear"/>
            <w:vAlign w:val="center"/>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center"/>
          </w:tcPr>
          <w:p>
            <w:pPr>
              <w:pStyle w:val="TableContents"/>
              <w:spacing w:before="0" w:after="283"/>
              <w:rPr/>
            </w:pPr>
            <w:r>
              <w:rPr/>
              <w:t> </w:t>
            </w:r>
          </w:p>
        </w:tc>
        <w:tc>
          <w:tcPr>
            <w:tcW w:w="742" w:type="dxa"/>
            <w:tcBorders/>
            <w:shd w:fill="E5E5E5" w:val="clear"/>
            <w:vAlign w:val="center"/>
          </w:tcPr>
          <w:p>
            <w:pPr>
              <w:pStyle w:val="TableContents"/>
              <w:spacing w:before="0" w:after="283"/>
              <w:jc w:val="right"/>
              <w:rPr/>
            </w:pPr>
            <w:r>
              <w:rPr/>
              <w:t>1,811</w:t>
            </w:r>
          </w:p>
        </w:tc>
        <w:tc>
          <w:tcPr>
            <w:tcW w:w="79" w:type="dxa"/>
            <w:tcBorders/>
            <w:shd w:fill="E5E5E5" w:val="clear"/>
            <w:vAlign w:val="center"/>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283"/>
              <w:rPr/>
            </w:pPr>
            <w:r>
              <w:rPr/>
              <w:t> </w:t>
            </w:r>
          </w:p>
        </w:tc>
        <w:tc>
          <w:tcPr>
            <w:tcW w:w="985" w:type="dxa"/>
            <w:tcBorders/>
            <w:shd w:fill="E5E5E5" w:val="clear"/>
            <w:vAlign w:val="center"/>
          </w:tcPr>
          <w:p>
            <w:pPr>
              <w:pStyle w:val="TableContents"/>
              <w:spacing w:before="0" w:after="283"/>
              <w:jc w:val="right"/>
              <w:rPr/>
            </w:pPr>
            <w:r>
              <w:rPr/>
              <w:t>3,622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56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center"/>
          </w:tcPr>
          <w:p>
            <w:pPr>
              <w:pStyle w:val="TableContents"/>
              <w:spacing w:before="0" w:after="0"/>
              <w:rPr/>
            </w:pPr>
            <w:r>
              <w:rPr/>
              <w:t> </w:t>
            </w:r>
          </w:p>
        </w:tc>
        <w:tc>
          <w:tcPr>
            <w:tcW w:w="80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800" w:type="dxa"/>
            <w:tcBorders/>
            <w:shd w:fill="E5E5E5" w:val="clear"/>
            <w:vAlign w:val="center"/>
          </w:tcPr>
          <w:p>
            <w:pPr>
              <w:pStyle w:val="TableContents"/>
              <w:spacing w:before="0" w:after="283"/>
              <w:jc w:val="right"/>
              <w:rPr/>
            </w:pPr>
            <w:r>
              <w:rPr/>
              <w:t>311,012</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EPS growth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1/02/20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pPr>
            <w:r>
              <w:rPr/>
              <w:t>12/16/19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0"/>
              <w:rPr/>
            </w:pPr>
            <w:r>
              <w:rPr/>
              <w:t> </w:t>
            </w:r>
          </w:p>
        </w:tc>
        <w:tc>
          <w:tcPr>
            <w:tcW w:w="967"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8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pPr>
            <w:r>
              <w:rPr/>
              <w:t>2,415</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4,830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5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0"/>
              <w:rPr/>
            </w:pPr>
            <w:r>
              <w:rPr/>
              <w:t> </w:t>
            </w:r>
          </w:p>
        </w:tc>
        <w:tc>
          <w:tcPr>
            <w:tcW w:w="80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6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360,125</w:t>
            </w:r>
          </w:p>
        </w:tc>
        <w:tc>
          <w:tcPr>
            <w:tcW w:w="60" w:type="dxa"/>
            <w:tcBorders/>
            <w:shd w:fill="auto" w:val="clear"/>
            <w:vAlign w:val="bottom"/>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Service-based Restricted Stock Units</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center"/>
          </w:tcPr>
          <w:p>
            <w:pPr>
              <w:pStyle w:val="TableContents"/>
              <w:spacing w:before="0" w:after="0"/>
              <w:rPr/>
            </w:pPr>
            <w:r>
              <w:rPr/>
              <w:t> </w:t>
            </w:r>
          </w:p>
        </w:tc>
        <w:tc>
          <w:tcPr>
            <w:tcW w:w="968" w:type="dxa"/>
            <w:tcBorders/>
            <w:shd w:fill="E5E5E5" w:val="clear"/>
            <w:vAlign w:val="center"/>
          </w:tcPr>
          <w:p>
            <w:pPr>
              <w:pStyle w:val="TableContents"/>
              <w:spacing w:before="0" w:after="0"/>
              <w:rPr/>
            </w:pPr>
            <w:r>
              <w:rPr/>
              <w:t> </w:t>
            </w:r>
          </w:p>
        </w:tc>
        <w:tc>
          <w:tcPr>
            <w:tcW w:w="79" w:type="dxa"/>
            <w:tcBorders/>
            <w:shd w:fill="E5E5E5" w:val="clear"/>
            <w:vAlign w:val="center"/>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center"/>
          </w:tcPr>
          <w:p>
            <w:pPr>
              <w:pStyle w:val="TableContents"/>
              <w:spacing w:before="0" w:after="0"/>
              <w:rPr/>
            </w:pPr>
            <w:r>
              <w:rPr/>
              <w:t> </w:t>
            </w:r>
          </w:p>
        </w:tc>
        <w:tc>
          <w:tcPr>
            <w:tcW w:w="742" w:type="dxa"/>
            <w:tcBorders/>
            <w:shd w:fill="E5E5E5" w:val="clear"/>
            <w:vAlign w:val="center"/>
          </w:tcPr>
          <w:p>
            <w:pPr>
              <w:pStyle w:val="TableContents"/>
              <w:spacing w:before="0" w:after="0"/>
              <w:rPr/>
            </w:pPr>
            <w:r>
              <w:rPr/>
              <w:t> </w:t>
            </w:r>
          </w:p>
        </w:tc>
        <w:tc>
          <w:tcPr>
            <w:tcW w:w="79" w:type="dxa"/>
            <w:tcBorders/>
            <w:shd w:fill="E5E5E5" w:val="clear"/>
            <w:vAlign w:val="center"/>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0"/>
              <w:rPr/>
            </w:pPr>
            <w:r>
              <w:rPr/>
              <w:t> </w:t>
            </w:r>
          </w:p>
        </w:tc>
        <w:tc>
          <w:tcPr>
            <w:tcW w:w="98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283"/>
              <w:rPr/>
            </w:pPr>
            <w:r>
              <w:rPr/>
              <w:t> </w:t>
            </w:r>
          </w:p>
        </w:tc>
        <w:tc>
          <w:tcPr>
            <w:tcW w:w="560" w:type="dxa"/>
            <w:tcBorders/>
            <w:shd w:fill="E5E5E5" w:val="clear"/>
            <w:vAlign w:val="center"/>
          </w:tcPr>
          <w:p>
            <w:pPr>
              <w:pStyle w:val="TableContents"/>
              <w:spacing w:before="0" w:after="283"/>
              <w:jc w:val="right"/>
              <w:rPr/>
            </w:pPr>
            <w:r>
              <w:rPr/>
              <w:t>1,811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center"/>
          </w:tcPr>
          <w:p>
            <w:pPr>
              <w:pStyle w:val="TableContents"/>
              <w:spacing w:before="0" w:after="0"/>
              <w:rPr/>
            </w:pPr>
            <w:r>
              <w:rPr/>
              <w:t> </w:t>
            </w:r>
          </w:p>
        </w:tc>
        <w:tc>
          <w:tcPr>
            <w:tcW w:w="80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800" w:type="dxa"/>
            <w:tcBorders/>
            <w:shd w:fill="E5E5E5" w:val="clear"/>
            <w:vAlign w:val="center"/>
          </w:tcPr>
          <w:p>
            <w:pPr>
              <w:pStyle w:val="TableContents"/>
              <w:spacing w:before="0" w:after="283"/>
              <w:jc w:val="right"/>
              <w:rPr/>
            </w:pPr>
            <w:r>
              <w:rPr/>
              <w:t>270,056</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Nonqualified Stock Options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1/02/20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pPr>
            <w:r>
              <w:rPr/>
              <w:t>12/16/19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0"/>
              <w:rPr/>
            </w:pPr>
            <w:r>
              <w:rPr/>
              <w:t> </w:t>
            </w:r>
          </w:p>
        </w:tc>
        <w:tc>
          <w:tcPr>
            <w:tcW w:w="967"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8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0"/>
              <w:rPr/>
            </w:pPr>
            <w:r>
              <w:rPr/>
              <w:t> </w:t>
            </w:r>
          </w:p>
        </w:tc>
        <w:tc>
          <w:tcPr>
            <w:tcW w:w="968" w:type="dxa"/>
            <w:tcBorders/>
            <w:shd w:fill="auto" w:val="clear"/>
            <w:vAlign w:val="bottom"/>
          </w:tcPr>
          <w:p>
            <w:pPr>
              <w:pStyle w:val="TableContents"/>
              <w:spacing w:before="0" w:after="0"/>
              <w:rPr/>
            </w:pPr>
            <w:r>
              <w:rPr/>
              <w:t> </w:t>
            </w:r>
          </w:p>
        </w:tc>
        <w:tc>
          <w:tcPr>
            <w:tcW w:w="79" w:type="dxa"/>
            <w:tcBorders/>
            <w:shd w:fill="auto" w:val="clear"/>
            <w:vAlign w:val="bottom"/>
          </w:tcPr>
          <w:p>
            <w:pPr>
              <w:pStyle w:val="TableContents"/>
              <w:spacing w:before="0" w:after="0"/>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0"/>
              <w:rPr/>
            </w:pPr>
            <w:r>
              <w:rPr/>
              <w:t> </w:t>
            </w:r>
          </w:p>
        </w:tc>
        <w:tc>
          <w:tcPr>
            <w:tcW w:w="742" w:type="dxa"/>
            <w:tcBorders/>
            <w:shd w:fill="auto" w:val="clear"/>
            <w:vAlign w:val="bottom"/>
          </w:tcPr>
          <w:p>
            <w:pPr>
              <w:pStyle w:val="TableContents"/>
              <w:spacing w:before="0" w:after="0"/>
              <w:rPr/>
            </w:pPr>
            <w:r>
              <w:rPr/>
              <w:t> </w:t>
            </w:r>
          </w:p>
        </w:tc>
        <w:tc>
          <w:tcPr>
            <w:tcW w:w="79" w:type="dxa"/>
            <w:tcBorders/>
            <w:shd w:fill="auto" w:val="clear"/>
            <w:vAlign w:val="bottom"/>
          </w:tcPr>
          <w:p>
            <w:pPr>
              <w:pStyle w:val="TableContents"/>
              <w:spacing w:before="0" w:after="0"/>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0"/>
              <w:rPr/>
            </w:pPr>
            <w:r>
              <w:rPr/>
              <w:t> </w:t>
            </w:r>
          </w:p>
        </w:tc>
        <w:tc>
          <w:tcPr>
            <w:tcW w:w="98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5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13,664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0" w:type="dxa"/>
            <w:tcBorders/>
            <w:shd w:fill="auto" w:val="clear"/>
            <w:vAlign w:val="bottom"/>
          </w:tcPr>
          <w:p>
            <w:pPr>
              <w:pStyle w:val="TableContents"/>
              <w:spacing w:before="0" w:after="283"/>
              <w:jc w:val="right"/>
              <w:rPr/>
            </w:pPr>
            <w:r>
              <w:rPr/>
              <w:t>149.12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270,001</w:t>
            </w:r>
          </w:p>
        </w:tc>
        <w:tc>
          <w:tcPr>
            <w:tcW w:w="60" w:type="dxa"/>
            <w:tcBorders/>
            <w:shd w:fill="auto" w:val="clear"/>
            <w:vAlign w:val="bottom"/>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bottom w:val="single" w:sz="8" w:space="0" w:color="001C71"/>
            </w:tcBorders>
            <w:shd w:fill="E5E5E5" w:val="clear"/>
            <w:tcMar>
              <w:bottom w:w="28" w:type="dxa"/>
            </w:tcMar>
          </w:tcPr>
          <w:p>
            <w:pPr>
              <w:pStyle w:val="TableContents"/>
              <w:spacing w:before="0" w:after="0"/>
              <w:rPr>
                <w:rFonts w:ascii="arial" w:hAnsi="arial"/>
                <w:sz w:val="15"/>
              </w:rPr>
            </w:pPr>
            <w:r>
              <w:rPr>
                <w:rFonts w:ascii="arial" w:hAnsi="arial"/>
                <w:sz w:val="15"/>
              </w:rPr>
              <w:t>Performance-Based Annual Bonus</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32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41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3" w:type="dxa"/>
            <w:tcBorders>
              <w:bottom w:val="single" w:sz="8" w:space="0" w:color="001C71"/>
            </w:tcBorders>
            <w:shd w:fill="E5E5E5" w:val="clear"/>
            <w:tcMar>
              <w:bottom w:w="28" w:type="dxa"/>
            </w:tcMar>
            <w:vAlign w:val="center"/>
          </w:tcPr>
          <w:p>
            <w:pPr>
              <w:pStyle w:val="TableContents"/>
              <w:spacing w:before="0" w:after="283"/>
              <w:rPr/>
            </w:pPr>
            <w:r>
              <w:rPr/>
              <w:t> </w:t>
            </w:r>
          </w:p>
        </w:tc>
        <w:tc>
          <w:tcPr>
            <w:tcW w:w="967" w:type="dxa"/>
            <w:tcBorders>
              <w:bottom w:val="single" w:sz="8" w:space="0" w:color="001C71"/>
            </w:tcBorders>
            <w:shd w:fill="E5E5E5" w:val="clear"/>
            <w:tcMar>
              <w:bottom w:w="28" w:type="dxa"/>
            </w:tcMar>
            <w:vAlign w:val="center"/>
          </w:tcPr>
          <w:p>
            <w:pPr>
              <w:pStyle w:val="TableContents"/>
              <w:spacing w:before="0" w:after="283"/>
              <w:jc w:val="right"/>
              <w:rPr/>
            </w:pPr>
            <w:r>
              <w:rPr/>
              <w:t>      </w:t>
            </w:r>
          </w:p>
        </w:tc>
        <w:tc>
          <w:tcPr>
            <w:tcW w:w="60" w:type="dxa"/>
            <w:tcBorders>
              <w:bottom w:val="single" w:sz="8" w:space="0" w:color="001C71"/>
            </w:tcBorders>
            <w:shd w:fill="E5E5E5" w:val="clear"/>
            <w:tcMar>
              <w:bottom w:w="28" w:type="dxa"/>
            </w:tcMar>
            <w:vAlign w:val="center"/>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center"/>
          </w:tcPr>
          <w:p>
            <w:pPr>
              <w:pStyle w:val="TableContents"/>
              <w:spacing w:before="0" w:after="283"/>
              <w:rPr/>
            </w:pPr>
            <w:r>
              <w:rPr/>
              <w:t>$</w:t>
            </w:r>
          </w:p>
        </w:tc>
        <w:tc>
          <w:tcPr>
            <w:tcW w:w="800" w:type="dxa"/>
            <w:tcBorders>
              <w:bottom w:val="single" w:sz="8" w:space="0" w:color="001C71"/>
            </w:tcBorders>
            <w:shd w:fill="E5E5E5" w:val="clear"/>
            <w:tcMar>
              <w:bottom w:w="28" w:type="dxa"/>
            </w:tcMar>
            <w:vAlign w:val="center"/>
          </w:tcPr>
          <w:p>
            <w:pPr>
              <w:pStyle w:val="TableContents"/>
              <w:spacing w:before="0" w:after="283"/>
              <w:jc w:val="right"/>
              <w:rPr/>
            </w:pPr>
            <w:r>
              <w:rPr/>
              <w:t>544,000</w:t>
            </w:r>
          </w:p>
        </w:tc>
        <w:tc>
          <w:tcPr>
            <w:tcW w:w="60" w:type="dxa"/>
            <w:tcBorders>
              <w:bottom w:val="single" w:sz="8" w:space="0" w:color="001C71"/>
            </w:tcBorders>
            <w:shd w:fill="E5E5E5" w:val="clear"/>
            <w:tcMar>
              <w:bottom w:w="28" w:type="dxa"/>
            </w:tcMar>
            <w:vAlign w:val="center"/>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center"/>
          </w:tcPr>
          <w:p>
            <w:pPr>
              <w:pStyle w:val="TableContents"/>
              <w:spacing w:before="0" w:after="283"/>
              <w:rPr/>
            </w:pPr>
            <w:r>
              <w:rPr/>
              <w:t>$</w:t>
            </w:r>
          </w:p>
        </w:tc>
        <w:tc>
          <w:tcPr>
            <w:tcW w:w="980" w:type="dxa"/>
            <w:tcBorders>
              <w:bottom w:val="single" w:sz="8" w:space="0" w:color="001C71"/>
            </w:tcBorders>
            <w:shd w:fill="E5E5E5" w:val="clear"/>
            <w:tcMar>
              <w:bottom w:w="28" w:type="dxa"/>
            </w:tcMar>
            <w:vAlign w:val="center"/>
          </w:tcPr>
          <w:p>
            <w:pPr>
              <w:pStyle w:val="TableContents"/>
              <w:spacing w:before="0" w:after="283"/>
              <w:jc w:val="right"/>
              <w:rPr/>
            </w:pPr>
            <w:r>
              <w:rPr/>
              <w:t>1,088,000</w:t>
            </w:r>
          </w:p>
        </w:tc>
        <w:tc>
          <w:tcPr>
            <w:tcW w:w="60" w:type="dxa"/>
            <w:tcBorders>
              <w:bottom w:val="single" w:sz="8" w:space="0" w:color="001C71"/>
            </w:tcBorders>
            <w:shd w:fill="E5E5E5" w:val="clear"/>
            <w:tcMar>
              <w:bottom w:w="28" w:type="dxa"/>
            </w:tcMar>
            <w:vAlign w:val="center"/>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2"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968"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E5E5E5" w:val="clear"/>
            <w:tcMar>
              <w:bottom w:w="28" w:type="dxa"/>
            </w:tcMar>
            <w:vAlign w:val="bottom"/>
          </w:tcPr>
          <w:p>
            <w:pPr>
              <w:pStyle w:val="TableContents"/>
              <w:spacing w:before="0" w:after="283"/>
              <w:rPr/>
            </w:pPr>
            <w:r>
              <w:rPr/>
              <w:t> </w:t>
            </w:r>
          </w:p>
        </w:tc>
        <w:tc>
          <w:tcPr>
            <w:tcW w:w="79"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742"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E5E5E5" w:val="clear"/>
            <w:tcMar>
              <w:bottom w:w="28" w:type="dxa"/>
            </w:tcMar>
            <w:vAlign w:val="bottom"/>
          </w:tcPr>
          <w:p>
            <w:pPr>
              <w:pStyle w:val="TableContents"/>
              <w:spacing w:before="0" w:after="283"/>
              <w:rPr/>
            </w:pPr>
            <w:r>
              <w:rPr/>
              <w:t> </w:t>
            </w:r>
          </w:p>
        </w:tc>
        <w:tc>
          <w:tcPr>
            <w:tcW w:w="85"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985"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5"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56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7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805"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8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80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E5E5E5" w:val="clear"/>
            <w:tcMar>
              <w:bottom w:w="28" w:type="dxa"/>
            </w:tcMar>
            <w:vAlign w:val="center"/>
          </w:tcPr>
          <w:p>
            <w:pPr>
              <w:pStyle w:val="TableContents"/>
              <w:rPr/>
            </w:pPr>
            <w:r>
              <w:rPr/>
              <w:t xml:space="preserve">  </w:t>
            </w:r>
          </w:p>
          <w:p>
            <w:pPr>
              <w:pStyle w:val="TableContents"/>
              <w:spacing w:before="0" w:after="0"/>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b/>
                <w:sz w:val="15"/>
              </w:rPr>
            </w:pPr>
            <w:r>
              <w:rPr>
                <w:rFonts w:ascii="arial" w:hAnsi="arial"/>
                <w:b/>
                <w:sz w:val="15"/>
              </w:rPr>
              <w:t>George W. Bilicic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0"/>
              <w:rPr/>
            </w:pPr>
            <w:r>
              <w:rPr/>
              <w:t> </w:t>
            </w:r>
          </w:p>
        </w:tc>
        <w:tc>
          <w:tcPr>
            <w:tcW w:w="32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0"/>
              <w:rPr/>
            </w:pPr>
            <w:r>
              <w:rPr/>
              <w:t> </w:t>
            </w:r>
          </w:p>
        </w:tc>
        <w:tc>
          <w:tcPr>
            <w:tcW w:w="41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0"/>
              <w:rPr/>
            </w:pPr>
            <w:r>
              <w:rPr/>
              <w:t> </w:t>
            </w:r>
          </w:p>
        </w:tc>
        <w:tc>
          <w:tcPr>
            <w:tcW w:w="967"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8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9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0"/>
              <w:rPr/>
            </w:pPr>
            <w:r>
              <w:rPr/>
              <w:t> </w:t>
            </w:r>
          </w:p>
        </w:tc>
        <w:tc>
          <w:tcPr>
            <w:tcW w:w="968" w:type="dxa"/>
            <w:tcBorders/>
            <w:shd w:fill="auto" w:val="clear"/>
            <w:vAlign w:val="bottom"/>
          </w:tcPr>
          <w:p>
            <w:pPr>
              <w:pStyle w:val="TableContents"/>
              <w:spacing w:before="0" w:after="0"/>
              <w:rPr/>
            </w:pPr>
            <w:r>
              <w:rPr/>
              <w:t> </w:t>
            </w:r>
          </w:p>
        </w:tc>
        <w:tc>
          <w:tcPr>
            <w:tcW w:w="79" w:type="dxa"/>
            <w:tcBorders/>
            <w:shd w:fill="auto" w:val="clear"/>
            <w:vAlign w:val="bottom"/>
          </w:tcPr>
          <w:p>
            <w:pPr>
              <w:pStyle w:val="TableContents"/>
              <w:spacing w:before="0" w:after="0"/>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0"/>
              <w:rPr/>
            </w:pPr>
            <w:r>
              <w:rPr/>
              <w:t> </w:t>
            </w:r>
          </w:p>
        </w:tc>
        <w:tc>
          <w:tcPr>
            <w:tcW w:w="742" w:type="dxa"/>
            <w:tcBorders/>
            <w:shd w:fill="auto" w:val="clear"/>
            <w:vAlign w:val="bottom"/>
          </w:tcPr>
          <w:p>
            <w:pPr>
              <w:pStyle w:val="TableContents"/>
              <w:spacing w:before="0" w:after="0"/>
              <w:rPr/>
            </w:pPr>
            <w:r>
              <w:rPr/>
              <w:t> </w:t>
            </w:r>
          </w:p>
        </w:tc>
        <w:tc>
          <w:tcPr>
            <w:tcW w:w="79" w:type="dxa"/>
            <w:tcBorders/>
            <w:shd w:fill="auto" w:val="clear"/>
            <w:vAlign w:val="bottom"/>
          </w:tcPr>
          <w:p>
            <w:pPr>
              <w:pStyle w:val="TableContents"/>
              <w:spacing w:before="0" w:after="0"/>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0"/>
              <w:rPr/>
            </w:pPr>
            <w:r>
              <w:rPr/>
              <w:t> </w:t>
            </w:r>
          </w:p>
        </w:tc>
        <w:tc>
          <w:tcPr>
            <w:tcW w:w="98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0"/>
              <w:rPr/>
            </w:pPr>
            <w:r>
              <w:rPr/>
              <w:t> </w:t>
            </w:r>
          </w:p>
        </w:tc>
        <w:tc>
          <w:tcPr>
            <w:tcW w:w="5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0"/>
              <w:rPr/>
            </w:pPr>
            <w:r>
              <w:rPr/>
              <w:t> </w:t>
            </w:r>
          </w:p>
        </w:tc>
        <w:tc>
          <w:tcPr>
            <w:tcW w:w="80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6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 </w:t>
            </w:r>
          </w:p>
        </w:tc>
        <w:tc>
          <w:tcPr>
            <w:tcW w:w="8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PBRSU based on TSR vs. S&amp;P 500 Utilities Index</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320" w:type="dxa"/>
            <w:tcBorders/>
            <w:shd w:fill="E5E5E5" w:val="clear"/>
            <w:vAlign w:val="center"/>
          </w:tcPr>
          <w:p>
            <w:pPr>
              <w:pStyle w:val="TableContents"/>
              <w:spacing w:before="0" w:after="283"/>
              <w:jc w:val="right"/>
              <w:rPr/>
            </w:pPr>
            <w:r>
              <w:rPr/>
              <w:t>1/02/20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410" w:type="dxa"/>
            <w:tcBorders/>
            <w:shd w:fill="E5E5E5" w:val="clear"/>
            <w:vAlign w:val="center"/>
          </w:tcPr>
          <w:p>
            <w:pPr>
              <w:pStyle w:val="TableContents"/>
              <w:spacing w:before="0" w:after="283"/>
              <w:jc w:val="right"/>
              <w:rPr/>
            </w:pPr>
            <w:r>
              <w:rPr/>
              <w:t>12/16/19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center"/>
          </w:tcPr>
          <w:p>
            <w:pPr>
              <w:pStyle w:val="TableContents"/>
              <w:spacing w:before="0" w:after="0"/>
              <w:rPr/>
            </w:pPr>
            <w:r>
              <w:rPr/>
              <w:t> </w:t>
            </w:r>
          </w:p>
        </w:tc>
        <w:tc>
          <w:tcPr>
            <w:tcW w:w="967"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80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9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center"/>
          </w:tcPr>
          <w:p>
            <w:pPr>
              <w:pStyle w:val="TableContents"/>
              <w:spacing w:before="0" w:after="283"/>
              <w:rPr/>
            </w:pPr>
            <w:r>
              <w:rPr/>
              <w:t> </w:t>
            </w:r>
          </w:p>
        </w:tc>
        <w:tc>
          <w:tcPr>
            <w:tcW w:w="968" w:type="dxa"/>
            <w:tcBorders/>
            <w:shd w:fill="E5E5E5" w:val="clear"/>
            <w:vAlign w:val="center"/>
          </w:tcPr>
          <w:p>
            <w:pPr>
              <w:pStyle w:val="TableContents"/>
              <w:spacing w:before="0" w:after="283"/>
              <w:jc w:val="right"/>
              <w:rPr/>
            </w:pPr>
            <w:r>
              <w:rPr/>
              <w:t>      </w:t>
            </w:r>
          </w:p>
        </w:tc>
        <w:tc>
          <w:tcPr>
            <w:tcW w:w="79" w:type="dxa"/>
            <w:tcBorders/>
            <w:shd w:fill="E5E5E5" w:val="clear"/>
            <w:vAlign w:val="center"/>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center"/>
          </w:tcPr>
          <w:p>
            <w:pPr>
              <w:pStyle w:val="TableContents"/>
              <w:spacing w:before="0" w:after="283"/>
              <w:rPr/>
            </w:pPr>
            <w:r>
              <w:rPr/>
              <w:t> </w:t>
            </w:r>
          </w:p>
        </w:tc>
        <w:tc>
          <w:tcPr>
            <w:tcW w:w="742" w:type="dxa"/>
            <w:tcBorders/>
            <w:shd w:fill="E5E5E5" w:val="clear"/>
            <w:vAlign w:val="center"/>
          </w:tcPr>
          <w:p>
            <w:pPr>
              <w:pStyle w:val="TableContents"/>
              <w:spacing w:before="0" w:after="283"/>
              <w:jc w:val="right"/>
              <w:rPr/>
            </w:pPr>
            <w:r>
              <w:rPr/>
              <w:t>5,868</w:t>
            </w:r>
          </w:p>
        </w:tc>
        <w:tc>
          <w:tcPr>
            <w:tcW w:w="79" w:type="dxa"/>
            <w:tcBorders/>
            <w:shd w:fill="E5E5E5" w:val="clear"/>
            <w:vAlign w:val="center"/>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center"/>
          </w:tcPr>
          <w:p>
            <w:pPr>
              <w:pStyle w:val="TableContents"/>
              <w:spacing w:before="0" w:after="283"/>
              <w:rPr/>
            </w:pPr>
            <w:r>
              <w:rPr/>
              <w:t> </w:t>
            </w:r>
          </w:p>
        </w:tc>
        <w:tc>
          <w:tcPr>
            <w:tcW w:w="985" w:type="dxa"/>
            <w:tcBorders/>
            <w:shd w:fill="E5E5E5" w:val="clear"/>
            <w:vAlign w:val="center"/>
          </w:tcPr>
          <w:p>
            <w:pPr>
              <w:pStyle w:val="TableContents"/>
              <w:spacing w:before="0" w:after="283"/>
              <w:jc w:val="right"/>
              <w:rPr/>
            </w:pPr>
            <w:r>
              <w:rPr/>
              <w:t>11,736</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center"/>
          </w:tcPr>
          <w:p>
            <w:pPr>
              <w:pStyle w:val="TableContents"/>
              <w:spacing w:before="0" w:after="0"/>
              <w:rPr/>
            </w:pPr>
            <w:r>
              <w:rPr/>
              <w:t> </w:t>
            </w:r>
          </w:p>
        </w:tc>
        <w:tc>
          <w:tcPr>
            <w:tcW w:w="56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center"/>
          </w:tcPr>
          <w:p>
            <w:pPr>
              <w:pStyle w:val="TableContents"/>
              <w:spacing w:before="0" w:after="0"/>
              <w:rPr/>
            </w:pPr>
            <w:r>
              <w:rPr/>
              <w:t> </w:t>
            </w:r>
          </w:p>
        </w:tc>
        <w:tc>
          <w:tcPr>
            <w:tcW w:w="805"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0"/>
              <w:rPr/>
            </w:pPr>
            <w:r>
              <w:rPr/>
              <w:t> </w:t>
            </w:r>
          </w:p>
        </w:tc>
        <w:tc>
          <w:tcPr>
            <w:tcW w:w="680" w:type="dxa"/>
            <w:tcBorders/>
            <w:shd w:fill="E5E5E5" w:val="clear"/>
            <w:vAlign w:val="center"/>
          </w:tcPr>
          <w:p>
            <w:pPr>
              <w:pStyle w:val="TableContents"/>
              <w:spacing w:before="0" w:after="0"/>
              <w:rPr/>
            </w:pPr>
            <w:r>
              <w:rPr/>
              <w:t> </w:t>
            </w:r>
          </w:p>
        </w:tc>
        <w:tc>
          <w:tcPr>
            <w:tcW w:w="60" w:type="dxa"/>
            <w:tcBorders/>
            <w:shd w:fill="E5E5E5" w:val="clear"/>
            <w:vAlign w:val="center"/>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800" w:type="dxa"/>
            <w:tcBorders/>
            <w:shd w:fill="E5E5E5" w:val="clear"/>
            <w:vAlign w:val="center"/>
          </w:tcPr>
          <w:p>
            <w:pPr>
              <w:pStyle w:val="TableContents"/>
              <w:spacing w:before="0" w:after="283"/>
              <w:jc w:val="right"/>
              <w:rPr/>
            </w:pPr>
            <w:r>
              <w:rPr/>
              <w:t>913,366</w:t>
            </w:r>
          </w:p>
        </w:tc>
        <w:tc>
          <w:tcPr>
            <w:tcW w:w="60" w:type="dxa"/>
            <w:tcBorders/>
            <w:shd w:fill="E5E5E5" w:val="clear"/>
            <w:vAlign w:val="center"/>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PBRSU based on TSR vs. S&amp;P 500 Index</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742" w:type="dxa"/>
            <w:tcBorders/>
            <w:shd w:fill="auto" w:val="clear"/>
            <w:vAlign w:val="center"/>
          </w:tcPr>
          <w:p>
            <w:pPr>
              <w:pStyle w:val="TableContents"/>
              <w:spacing w:before="0" w:after="283"/>
              <w:jc w:val="right"/>
              <w:rPr/>
            </w:pPr>
            <w:r>
              <w:rPr/>
              <w:t>2,515</w:t>
            </w:r>
          </w:p>
        </w:tc>
        <w:tc>
          <w:tcPr>
            <w:tcW w:w="79"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jc w:val="right"/>
              <w:rPr/>
            </w:pPr>
            <w:r>
              <w:rPr/>
              <w:t>5,030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0"/>
              <w:rPr/>
            </w:pPr>
            <w:r>
              <w:rPr/>
              <w:t> </w:t>
            </w:r>
          </w:p>
        </w:tc>
        <w:tc>
          <w:tcPr>
            <w:tcW w:w="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center"/>
          </w:tcPr>
          <w:p>
            <w:pPr>
              <w:pStyle w:val="TableContents"/>
              <w:spacing w:before="0" w:after="0"/>
              <w:rPr/>
            </w:pPr>
            <w:r>
              <w:rPr/>
              <w:t> </w:t>
            </w:r>
          </w:p>
        </w:tc>
        <w:tc>
          <w:tcPr>
            <w:tcW w:w="80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431,914</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PBRSU based on EPS growth</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320" w:type="dxa"/>
            <w:tcBorders/>
            <w:shd w:fill="E5E5E5" w:val="clear"/>
            <w:vAlign w:val="bottom"/>
          </w:tcPr>
          <w:p>
            <w:pPr>
              <w:pStyle w:val="TableContents"/>
              <w:spacing w:before="0" w:after="283"/>
              <w:jc w:val="right"/>
              <w:rPr/>
            </w:pPr>
            <w:r>
              <w:rPr/>
              <w:t>1/02/20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410" w:type="dxa"/>
            <w:tcBorders/>
            <w:shd w:fill="E5E5E5" w:val="clear"/>
            <w:vAlign w:val="bottom"/>
          </w:tcPr>
          <w:p>
            <w:pPr>
              <w:pStyle w:val="TableContents"/>
              <w:spacing w:before="0" w:after="283"/>
              <w:jc w:val="right"/>
              <w:rPr/>
            </w:pPr>
            <w:r>
              <w:rPr/>
              <w:t>12/16/19</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bottom"/>
          </w:tcPr>
          <w:p>
            <w:pPr>
              <w:pStyle w:val="TableContents"/>
              <w:spacing w:before="0" w:after="0"/>
              <w:rPr/>
            </w:pPr>
            <w:r>
              <w:rPr/>
              <w:t> </w:t>
            </w:r>
          </w:p>
        </w:tc>
        <w:tc>
          <w:tcPr>
            <w:tcW w:w="967"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80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9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bottom"/>
          </w:tcPr>
          <w:p>
            <w:pPr>
              <w:pStyle w:val="TableContents"/>
              <w:spacing w:before="0" w:after="283"/>
              <w:rPr/>
            </w:pPr>
            <w:r>
              <w:rPr/>
              <w:t> </w:t>
            </w:r>
          </w:p>
        </w:tc>
        <w:tc>
          <w:tcPr>
            <w:tcW w:w="968" w:type="dxa"/>
            <w:tcBorders/>
            <w:shd w:fill="E5E5E5" w:val="clear"/>
            <w:vAlign w:val="bottom"/>
          </w:tcPr>
          <w:p>
            <w:pPr>
              <w:pStyle w:val="TableContents"/>
              <w:spacing w:before="0" w:after="283"/>
              <w:jc w:val="right"/>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42" w:type="dxa"/>
            <w:tcBorders/>
            <w:shd w:fill="E5E5E5" w:val="clear"/>
            <w:vAlign w:val="bottom"/>
          </w:tcPr>
          <w:p>
            <w:pPr>
              <w:pStyle w:val="TableContents"/>
              <w:spacing w:before="0" w:after="283"/>
              <w:jc w:val="right"/>
              <w:rPr/>
            </w:pPr>
            <w:r>
              <w:rPr/>
              <w:t>3,354</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85" w:type="dxa"/>
            <w:tcBorders/>
            <w:shd w:fill="E5E5E5" w:val="clear"/>
            <w:vAlign w:val="bottom"/>
          </w:tcPr>
          <w:p>
            <w:pPr>
              <w:pStyle w:val="TableContents"/>
              <w:spacing w:before="0" w:after="283"/>
              <w:jc w:val="right"/>
              <w:rPr/>
            </w:pPr>
            <w:r>
              <w:rPr/>
              <w:t>6,708</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5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0"/>
              <w:rPr/>
            </w:pPr>
            <w:r>
              <w:rPr/>
              <w:t> </w:t>
            </w:r>
          </w:p>
        </w:tc>
        <w:tc>
          <w:tcPr>
            <w:tcW w:w="805"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6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0" w:type="dxa"/>
            <w:tcBorders/>
            <w:shd w:fill="E5E5E5" w:val="clear"/>
            <w:vAlign w:val="bottom"/>
          </w:tcPr>
          <w:p>
            <w:pPr>
              <w:pStyle w:val="TableContents"/>
              <w:spacing w:before="0" w:after="283"/>
              <w:jc w:val="right"/>
              <w:rPr/>
            </w:pPr>
            <w:r>
              <w:rPr/>
              <w:t>500,148</w:t>
            </w:r>
          </w:p>
        </w:tc>
        <w:tc>
          <w:tcPr>
            <w:tcW w:w="60" w:type="dxa"/>
            <w:tcBorders/>
            <w:shd w:fill="E5E5E5" w:val="clear"/>
            <w:vAlign w:val="bottom"/>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rFonts w:ascii="arial" w:hAnsi="arial"/>
                <w:sz w:val="15"/>
              </w:rPr>
            </w:pPr>
            <w:r>
              <w:rPr>
                <w:rFonts w:ascii="arial" w:hAnsi="arial"/>
                <w:sz w:val="15"/>
              </w:rPr>
              <w:t>Service-based Restricted Stock Units</w:t>
            </w:r>
          </w:p>
        </w:tc>
        <w:tc>
          <w:tcPr>
            <w:tcW w:w="60"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pPr>
            <w:r>
              <w:rPr/>
              <w:t>1/02/20</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right"/>
              <w:rPr/>
            </w:pPr>
            <w:r>
              <w:rPr/>
              <w:t>12/16/19</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center"/>
          </w:tcPr>
          <w:p>
            <w:pPr>
              <w:pStyle w:val="TableContents"/>
              <w:spacing w:before="0" w:after="0"/>
              <w:rPr/>
            </w:pPr>
            <w:r>
              <w:rPr/>
              <w:t> </w:t>
            </w:r>
          </w:p>
        </w:tc>
        <w:tc>
          <w:tcPr>
            <w:tcW w:w="968" w:type="dxa"/>
            <w:tcBorders/>
            <w:shd w:fill="auto" w:val="clear"/>
            <w:vAlign w:val="center"/>
          </w:tcPr>
          <w:p>
            <w:pPr>
              <w:pStyle w:val="TableContents"/>
              <w:spacing w:before="0" w:after="0"/>
              <w:rPr/>
            </w:pPr>
            <w:r>
              <w:rPr/>
              <w:t> </w:t>
            </w:r>
          </w:p>
        </w:tc>
        <w:tc>
          <w:tcPr>
            <w:tcW w:w="79" w:type="dxa"/>
            <w:tcBorders/>
            <w:shd w:fill="auto" w:val="clear"/>
            <w:vAlign w:val="center"/>
          </w:tcPr>
          <w:p>
            <w:pPr>
              <w:pStyle w:val="TableContents"/>
              <w:spacing w:before="0" w:after="0"/>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center"/>
          </w:tcPr>
          <w:p>
            <w:pPr>
              <w:pStyle w:val="TableContents"/>
              <w:spacing w:before="0" w:after="0"/>
              <w:rPr/>
            </w:pPr>
            <w:r>
              <w:rPr/>
              <w:t> </w:t>
            </w:r>
          </w:p>
        </w:tc>
        <w:tc>
          <w:tcPr>
            <w:tcW w:w="742" w:type="dxa"/>
            <w:tcBorders/>
            <w:shd w:fill="auto" w:val="clear"/>
            <w:vAlign w:val="center"/>
          </w:tcPr>
          <w:p>
            <w:pPr>
              <w:pStyle w:val="TableContents"/>
              <w:spacing w:before="0" w:after="0"/>
              <w:rPr/>
            </w:pPr>
            <w:r>
              <w:rPr/>
              <w:t> </w:t>
            </w:r>
          </w:p>
        </w:tc>
        <w:tc>
          <w:tcPr>
            <w:tcW w:w="79" w:type="dxa"/>
            <w:tcBorders/>
            <w:shd w:fill="auto" w:val="clear"/>
            <w:vAlign w:val="center"/>
          </w:tcPr>
          <w:p>
            <w:pPr>
              <w:pStyle w:val="TableContents"/>
              <w:spacing w:before="0" w:after="0"/>
              <w:rPr/>
            </w:pPr>
            <w:r>
              <w:rPr/>
              <w:t> </w:t>
            </w:r>
          </w:p>
        </w:tc>
        <w:tc>
          <w:tcPr>
            <w:tcW w:w="79" w:type="dxa"/>
            <w:tcBorders/>
            <w:shd w:fill="auto" w:val="clear"/>
            <w:vAlign w:val="bottom"/>
          </w:tcPr>
          <w:p>
            <w:pPr>
              <w:pStyle w:val="TableContents"/>
              <w:spacing w:before="0" w:after="283"/>
              <w:rPr/>
            </w:pPr>
            <w:r>
              <w:rPr/>
              <w:t> </w:t>
            </w:r>
          </w:p>
        </w:tc>
        <w:tc>
          <w:tcPr>
            <w:tcW w:w="85" w:type="dxa"/>
            <w:tcBorders/>
            <w:shd w:fill="auto" w:val="clear"/>
            <w:vAlign w:val="center"/>
          </w:tcPr>
          <w:p>
            <w:pPr>
              <w:pStyle w:val="TableContents"/>
              <w:spacing w:before="0" w:after="0"/>
              <w:rPr/>
            </w:pPr>
            <w:r>
              <w:rPr/>
              <w:t> </w:t>
            </w:r>
          </w:p>
        </w:tc>
        <w:tc>
          <w:tcPr>
            <w:tcW w:w="98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2,515</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center"/>
          </w:tcPr>
          <w:p>
            <w:pPr>
              <w:pStyle w:val="TableContents"/>
              <w:spacing w:before="0" w:after="0"/>
              <w:rPr/>
            </w:pPr>
            <w:r>
              <w:rPr/>
              <w:t> </w:t>
            </w:r>
          </w:p>
        </w:tc>
        <w:tc>
          <w:tcPr>
            <w:tcW w:w="80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0"/>
              <w:rPr/>
            </w:pPr>
            <w:r>
              <w:rPr/>
              <w:t> </w:t>
            </w:r>
          </w:p>
        </w:tc>
        <w:tc>
          <w:tcPr>
            <w:tcW w:w="6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375,037</w:t>
            </w:r>
          </w:p>
        </w:tc>
        <w:tc>
          <w:tcPr>
            <w:tcW w:w="60" w:type="dxa"/>
            <w:tcBorders/>
            <w:shd w:fill="auto" w:val="clear"/>
            <w:vAlign w:val="center"/>
          </w:tcPr>
          <w:p>
            <w:pPr>
              <w:pStyle w:val="TableContents"/>
              <w:spacing w:before="0" w:after="283"/>
              <w:rPr/>
            </w:pPr>
            <w:r>
              <w:rPr/>
              <w:t> </w:t>
            </w:r>
          </w:p>
        </w:tc>
      </w:tr>
      <w:tr>
        <w:trPr>
          <w:trHeight w:val="30" w:hRule="atLeast"/>
        </w:trPr>
        <w:tc>
          <w:tcPr>
            <w:tcW w:w="1400" w:type="dxa"/>
            <w:tcBorders/>
            <w:shd w:fill="E5E5E5" w:val="clear"/>
            <w:vAlign w:val="center"/>
          </w:tcPr>
          <w:p>
            <w:pPr>
              <w:pStyle w:val="TableContents"/>
              <w:spacing w:before="0" w:after="283"/>
              <w:rPr>
                <w:sz w:val="4"/>
                <w:szCs w:val="4"/>
              </w:rPr>
            </w:pPr>
            <w:r>
              <w:rPr>
                <w:sz w:val="4"/>
                <w:szCs w:val="4"/>
              </w:rPr>
            </w:r>
          </w:p>
        </w:tc>
        <w:tc>
          <w:tcPr>
            <w:tcW w:w="500" w:type="dxa"/>
            <w:gridSpan w:val="4"/>
            <w:tcBorders/>
            <w:shd w:fill="E5E5E5" w:val="clear"/>
            <w:vAlign w:val="center"/>
          </w:tcPr>
          <w:p>
            <w:pPr>
              <w:pStyle w:val="TableContents"/>
              <w:spacing w:before="0" w:after="283"/>
              <w:rPr>
                <w:sz w:val="4"/>
                <w:szCs w:val="4"/>
              </w:rPr>
            </w:pPr>
            <w:r>
              <w:rPr>
                <w:sz w:val="4"/>
                <w:szCs w:val="4"/>
              </w:rPr>
            </w:r>
          </w:p>
        </w:tc>
        <w:tc>
          <w:tcPr>
            <w:tcW w:w="650" w:type="dxa"/>
            <w:gridSpan w:val="4"/>
            <w:tcBorders/>
            <w:shd w:fill="E5E5E5" w:val="clear"/>
            <w:vAlign w:val="center"/>
          </w:tcPr>
          <w:p>
            <w:pPr>
              <w:pStyle w:val="TableContents"/>
              <w:spacing w:before="0" w:after="283"/>
              <w:rPr>
                <w:sz w:val="4"/>
                <w:szCs w:val="4"/>
              </w:rPr>
            </w:pPr>
            <w:r>
              <w:rPr>
                <w:sz w:val="4"/>
                <w:szCs w:val="4"/>
              </w:rPr>
            </w:r>
          </w:p>
        </w:tc>
        <w:tc>
          <w:tcPr>
            <w:tcW w:w="119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c>
          <w:tcPr>
            <w:tcW w:w="1240"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979" w:type="dxa"/>
            <w:gridSpan w:val="4"/>
            <w:tcBorders/>
            <w:shd w:fill="E5E5E5" w:val="clear"/>
            <w:vAlign w:val="center"/>
          </w:tcPr>
          <w:p>
            <w:pPr>
              <w:pStyle w:val="TableContents"/>
              <w:spacing w:before="0" w:after="283"/>
              <w:rPr>
                <w:sz w:val="4"/>
                <w:szCs w:val="4"/>
              </w:rPr>
            </w:pPr>
            <w:r>
              <w:rPr>
                <w:sz w:val="4"/>
                <w:szCs w:val="4"/>
              </w:rPr>
            </w:r>
          </w:p>
        </w:tc>
        <w:tc>
          <w:tcPr>
            <w:tcW w:w="1209" w:type="dxa"/>
            <w:gridSpan w:val="4"/>
            <w:tcBorders/>
            <w:shd w:fill="E5E5E5" w:val="clear"/>
            <w:vAlign w:val="center"/>
          </w:tcPr>
          <w:p>
            <w:pPr>
              <w:pStyle w:val="TableContents"/>
              <w:spacing w:before="0" w:after="283"/>
              <w:rPr>
                <w:sz w:val="4"/>
                <w:szCs w:val="4"/>
              </w:rPr>
            </w:pPr>
            <w:r>
              <w:rPr>
                <w:sz w:val="4"/>
                <w:szCs w:val="4"/>
              </w:rPr>
            </w:r>
          </w:p>
        </w:tc>
        <w:tc>
          <w:tcPr>
            <w:tcW w:w="755" w:type="dxa"/>
            <w:gridSpan w:val="4"/>
            <w:tcBorders/>
            <w:shd w:fill="E5E5E5" w:val="clear"/>
            <w:vAlign w:val="center"/>
          </w:tcPr>
          <w:p>
            <w:pPr>
              <w:pStyle w:val="TableContents"/>
              <w:spacing w:before="0" w:after="283"/>
              <w:rPr>
                <w:sz w:val="4"/>
                <w:szCs w:val="4"/>
              </w:rPr>
            </w:pPr>
            <w:r>
              <w:rPr>
                <w:sz w:val="4"/>
                <w:szCs w:val="4"/>
              </w:rPr>
            </w:r>
          </w:p>
        </w:tc>
        <w:tc>
          <w:tcPr>
            <w:tcW w:w="995" w:type="dxa"/>
            <w:gridSpan w:val="4"/>
            <w:tcBorders/>
            <w:shd w:fill="E5E5E5" w:val="clear"/>
            <w:vAlign w:val="center"/>
          </w:tcPr>
          <w:p>
            <w:pPr>
              <w:pStyle w:val="TableContents"/>
              <w:spacing w:before="0" w:after="283"/>
              <w:rPr>
                <w:sz w:val="4"/>
                <w:szCs w:val="4"/>
              </w:rPr>
            </w:pPr>
            <w:r>
              <w:rPr>
                <w:sz w:val="4"/>
                <w:szCs w:val="4"/>
              </w:rPr>
            </w:r>
          </w:p>
        </w:tc>
        <w:tc>
          <w:tcPr>
            <w:tcW w:w="940" w:type="dxa"/>
            <w:gridSpan w:val="4"/>
            <w:tcBorders/>
            <w:shd w:fill="E5E5E5" w:val="clear"/>
            <w:vAlign w:val="center"/>
          </w:tcPr>
          <w:p>
            <w:pPr>
              <w:pStyle w:val="TableContents"/>
              <w:spacing w:before="0" w:after="283"/>
              <w:rPr>
                <w:sz w:val="4"/>
                <w:szCs w:val="4"/>
              </w:rPr>
            </w:pPr>
            <w:r>
              <w:rPr>
                <w:sz w:val="4"/>
                <w:szCs w:val="4"/>
              </w:rPr>
            </w:r>
          </w:p>
        </w:tc>
        <w:tc>
          <w:tcPr>
            <w:tcW w:w="1060" w:type="dxa"/>
            <w:gridSpan w:val="4"/>
            <w:tcBorders/>
            <w:shd w:fill="E5E5E5" w:val="clear"/>
            <w:vAlign w:val="center"/>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rFonts w:ascii="arial" w:hAnsi="arial"/>
                <w:sz w:val="15"/>
              </w:rPr>
            </w:pPr>
            <w:r>
              <w:rPr>
                <w:rFonts w:ascii="arial" w:hAnsi="arial"/>
                <w:sz w:val="15"/>
              </w:rPr>
              <w:t>Nonqualified Stock Options</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320" w:type="dxa"/>
            <w:tcBorders/>
            <w:shd w:fill="E5E5E5" w:val="clear"/>
            <w:vAlign w:val="bottom"/>
          </w:tcPr>
          <w:p>
            <w:pPr>
              <w:pStyle w:val="TableContents"/>
              <w:spacing w:before="0" w:after="283"/>
              <w:jc w:val="right"/>
              <w:rPr/>
            </w:pPr>
            <w:r>
              <w:rPr/>
              <w:t>1/02/20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410" w:type="dxa"/>
            <w:tcBorders/>
            <w:shd w:fill="E5E5E5" w:val="clear"/>
            <w:vAlign w:val="bottom"/>
          </w:tcPr>
          <w:p>
            <w:pPr>
              <w:pStyle w:val="TableContents"/>
              <w:spacing w:before="0" w:after="283"/>
              <w:jc w:val="right"/>
              <w:rPr/>
            </w:pPr>
            <w:r>
              <w:rPr/>
              <w:t>12/16/19</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3" w:type="dxa"/>
            <w:tcBorders/>
            <w:shd w:fill="E5E5E5" w:val="clear"/>
            <w:vAlign w:val="bottom"/>
          </w:tcPr>
          <w:p>
            <w:pPr>
              <w:pStyle w:val="TableContents"/>
              <w:spacing w:before="0" w:after="0"/>
              <w:rPr/>
            </w:pPr>
            <w:r>
              <w:rPr/>
              <w:t> </w:t>
            </w:r>
          </w:p>
        </w:tc>
        <w:tc>
          <w:tcPr>
            <w:tcW w:w="967"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80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0"/>
              <w:rPr/>
            </w:pPr>
            <w:r>
              <w:rPr/>
              <w:t> </w:t>
            </w:r>
          </w:p>
        </w:tc>
        <w:tc>
          <w:tcPr>
            <w:tcW w:w="98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102" w:type="dxa"/>
            <w:tcBorders/>
            <w:shd w:fill="E5E5E5" w:val="clear"/>
            <w:vAlign w:val="bottom"/>
          </w:tcPr>
          <w:p>
            <w:pPr>
              <w:pStyle w:val="TableContents"/>
              <w:spacing w:before="0" w:after="0"/>
              <w:rPr/>
            </w:pPr>
            <w:r>
              <w:rPr/>
              <w:t> </w:t>
            </w:r>
          </w:p>
        </w:tc>
        <w:tc>
          <w:tcPr>
            <w:tcW w:w="968" w:type="dxa"/>
            <w:tcBorders/>
            <w:shd w:fill="E5E5E5" w:val="clear"/>
            <w:vAlign w:val="bottom"/>
          </w:tcPr>
          <w:p>
            <w:pPr>
              <w:pStyle w:val="TableContents"/>
              <w:spacing w:before="0" w:after="0"/>
              <w:rPr/>
            </w:pPr>
            <w:r>
              <w:rPr/>
              <w:t> </w:t>
            </w:r>
          </w:p>
        </w:tc>
        <w:tc>
          <w:tcPr>
            <w:tcW w:w="79" w:type="dxa"/>
            <w:tcBorders/>
            <w:shd w:fill="E5E5E5" w:val="clear"/>
            <w:vAlign w:val="bottom"/>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0"/>
              <w:rPr/>
            </w:pPr>
            <w:r>
              <w:rPr/>
              <w:t> </w:t>
            </w:r>
          </w:p>
        </w:tc>
        <w:tc>
          <w:tcPr>
            <w:tcW w:w="742" w:type="dxa"/>
            <w:tcBorders/>
            <w:shd w:fill="E5E5E5" w:val="clear"/>
            <w:vAlign w:val="bottom"/>
          </w:tcPr>
          <w:p>
            <w:pPr>
              <w:pStyle w:val="TableContents"/>
              <w:spacing w:before="0" w:after="0"/>
              <w:rPr/>
            </w:pPr>
            <w:r>
              <w:rPr/>
              <w:t> </w:t>
            </w:r>
          </w:p>
        </w:tc>
        <w:tc>
          <w:tcPr>
            <w:tcW w:w="79" w:type="dxa"/>
            <w:tcBorders/>
            <w:shd w:fill="E5E5E5" w:val="clear"/>
            <w:vAlign w:val="bottom"/>
          </w:tcPr>
          <w:p>
            <w:pPr>
              <w:pStyle w:val="TableContents"/>
              <w:spacing w:before="0" w:after="0"/>
              <w:rPr/>
            </w:pPr>
            <w:r>
              <w:rPr/>
              <w:t> </w:t>
            </w:r>
          </w:p>
        </w:tc>
        <w:tc>
          <w:tcPr>
            <w:tcW w:w="79"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0"/>
              <w:rPr/>
            </w:pPr>
            <w:r>
              <w:rPr/>
              <w:t> </w:t>
            </w:r>
          </w:p>
        </w:tc>
        <w:tc>
          <w:tcPr>
            <w:tcW w:w="985"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5" w:type="dxa"/>
            <w:tcBorders/>
            <w:shd w:fill="E5E5E5" w:val="clear"/>
            <w:vAlign w:val="bottom"/>
          </w:tcPr>
          <w:p>
            <w:pPr>
              <w:pStyle w:val="TableContents"/>
              <w:spacing w:before="0" w:after="0"/>
              <w:rPr/>
            </w:pPr>
            <w:r>
              <w:rPr/>
              <w:t> </w:t>
            </w:r>
          </w:p>
        </w:tc>
        <w:tc>
          <w:tcPr>
            <w:tcW w:w="5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0"/>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18,978</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80" w:type="dxa"/>
            <w:tcBorders/>
            <w:shd w:fill="E5E5E5" w:val="clear"/>
            <w:vAlign w:val="bottom"/>
          </w:tcPr>
          <w:p>
            <w:pPr>
              <w:pStyle w:val="TableContents"/>
              <w:spacing w:before="0" w:after="283"/>
              <w:jc w:val="right"/>
              <w:rPr/>
            </w:pPr>
            <w:r>
              <w:rPr/>
              <w:t>149.12</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00" w:type="dxa"/>
            <w:tcBorders/>
            <w:shd w:fill="E5E5E5" w:val="clear"/>
            <w:vAlign w:val="bottom"/>
          </w:tcPr>
          <w:p>
            <w:pPr>
              <w:pStyle w:val="TableContents"/>
              <w:spacing w:before="0" w:after="283"/>
              <w:jc w:val="right"/>
              <w:rPr/>
            </w:pPr>
            <w:r>
              <w:rPr/>
              <w:t>375,005</w:t>
            </w:r>
          </w:p>
        </w:tc>
        <w:tc>
          <w:tcPr>
            <w:tcW w:w="60" w:type="dxa"/>
            <w:tcBorders/>
            <w:shd w:fill="E5E5E5" w:val="clear"/>
            <w:vAlign w:val="bottom"/>
          </w:tcPr>
          <w:p>
            <w:pPr>
              <w:pStyle w:val="TableContents"/>
              <w:spacing w:before="0" w:after="283"/>
              <w:rPr/>
            </w:pPr>
            <w:r>
              <w:rPr/>
              <w:t> </w:t>
            </w:r>
          </w:p>
        </w:tc>
      </w:tr>
      <w:tr>
        <w:trPr>
          <w:trHeight w:val="30" w:hRule="atLeast"/>
        </w:trPr>
        <w:tc>
          <w:tcPr>
            <w:tcW w:w="1400" w:type="dxa"/>
            <w:tcBorders/>
            <w:shd w:fill="auto" w:val="clear"/>
            <w:vAlign w:val="center"/>
          </w:tcPr>
          <w:p>
            <w:pPr>
              <w:pStyle w:val="TableContents"/>
              <w:spacing w:before="0" w:after="283"/>
              <w:rPr>
                <w:sz w:val="4"/>
                <w:szCs w:val="4"/>
              </w:rPr>
            </w:pPr>
            <w:r>
              <w:rPr>
                <w:sz w:val="4"/>
                <w:szCs w:val="4"/>
              </w:rPr>
            </w:r>
          </w:p>
        </w:tc>
        <w:tc>
          <w:tcPr>
            <w:tcW w:w="500" w:type="dxa"/>
            <w:gridSpan w:val="4"/>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1400" w:type="dxa"/>
            <w:tcBorders>
              <w:bottom w:val="single" w:sz="8" w:space="0" w:color="001C71"/>
            </w:tcBorders>
            <w:shd w:fill="auto" w:val="clear"/>
            <w:tcMar>
              <w:bottom w:w="28" w:type="dxa"/>
            </w:tcMar>
          </w:tcPr>
          <w:p>
            <w:pPr>
              <w:pStyle w:val="TableContents"/>
              <w:spacing w:before="0" w:after="0"/>
              <w:rPr>
                <w:rFonts w:ascii="arial" w:hAnsi="arial"/>
                <w:sz w:val="15"/>
              </w:rPr>
            </w:pPr>
            <w:r>
              <w:rPr>
                <w:rFonts w:ascii="arial" w:hAnsi="arial"/>
                <w:sz w:val="15"/>
              </w:rPr>
              <w:t>Performance-Based Annual Bonus</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2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41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3" w:type="dxa"/>
            <w:tcBorders>
              <w:bottom w:val="single" w:sz="8" w:space="0" w:color="001C71"/>
            </w:tcBorders>
            <w:shd w:fill="auto" w:val="clear"/>
            <w:tcMar>
              <w:bottom w:w="28" w:type="dxa"/>
            </w:tcMar>
            <w:vAlign w:val="center"/>
          </w:tcPr>
          <w:p>
            <w:pPr>
              <w:pStyle w:val="TableContents"/>
              <w:spacing w:before="0" w:after="283"/>
              <w:rPr/>
            </w:pPr>
            <w:r>
              <w:rPr/>
              <w:t> </w:t>
            </w:r>
          </w:p>
        </w:tc>
        <w:tc>
          <w:tcPr>
            <w:tcW w:w="967" w:type="dxa"/>
            <w:tcBorders>
              <w:bottom w:val="single" w:sz="8" w:space="0" w:color="001C71"/>
            </w:tcBorders>
            <w:shd w:fill="auto" w:val="clear"/>
            <w:tcMar>
              <w:bottom w:w="28" w:type="dxa"/>
            </w:tcMar>
            <w:vAlign w:val="center"/>
          </w:tcPr>
          <w:p>
            <w:pPr>
              <w:pStyle w:val="TableContents"/>
              <w:spacing w:before="0" w:after="283"/>
              <w:jc w:val="right"/>
              <w:rPr/>
            </w:pPr>
            <w:r>
              <w:rPr/>
              <w:t>      </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spacing w:before="0" w:after="283"/>
              <w:rPr/>
            </w:pPr>
            <w:r>
              <w:rPr/>
              <w:t>$</w:t>
            </w:r>
          </w:p>
        </w:tc>
        <w:tc>
          <w:tcPr>
            <w:tcW w:w="800" w:type="dxa"/>
            <w:tcBorders>
              <w:bottom w:val="single" w:sz="8" w:space="0" w:color="001C71"/>
            </w:tcBorders>
            <w:shd w:fill="auto" w:val="clear"/>
            <w:tcMar>
              <w:bottom w:w="28" w:type="dxa"/>
            </w:tcMar>
            <w:vAlign w:val="center"/>
          </w:tcPr>
          <w:p>
            <w:pPr>
              <w:pStyle w:val="TableContents"/>
              <w:spacing w:before="0" w:after="283"/>
              <w:jc w:val="right"/>
              <w:rPr/>
            </w:pPr>
            <w:r>
              <w:rPr/>
              <w:t>782,800</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spacing w:before="0" w:after="283"/>
              <w:rPr/>
            </w:pPr>
            <w:r>
              <w:rPr/>
              <w:t>$</w:t>
            </w:r>
          </w:p>
        </w:tc>
        <w:tc>
          <w:tcPr>
            <w:tcW w:w="980" w:type="dxa"/>
            <w:tcBorders>
              <w:bottom w:val="single" w:sz="8" w:space="0" w:color="001C71"/>
            </w:tcBorders>
            <w:shd w:fill="auto" w:val="clear"/>
            <w:tcMar>
              <w:bottom w:w="28" w:type="dxa"/>
            </w:tcMar>
            <w:vAlign w:val="center"/>
          </w:tcPr>
          <w:p>
            <w:pPr>
              <w:pStyle w:val="TableContents"/>
              <w:spacing w:before="0" w:after="283"/>
              <w:jc w:val="right"/>
              <w:rPr/>
            </w:pPr>
            <w:r>
              <w:rPr/>
              <w:t>1,565,600</w:t>
            </w:r>
          </w:p>
        </w:tc>
        <w:tc>
          <w:tcPr>
            <w:tcW w:w="60"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2"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68"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auto" w:val="clear"/>
            <w:tcMar>
              <w:bottom w:w="28" w:type="dxa"/>
            </w:tcMar>
            <w:vAlign w:val="bottom"/>
          </w:tcPr>
          <w:p>
            <w:pPr>
              <w:pStyle w:val="TableContents"/>
              <w:spacing w:before="0" w:after="283"/>
              <w:rPr/>
            </w:pPr>
            <w:r>
              <w:rPr/>
              <w:t> </w:t>
            </w:r>
          </w:p>
        </w:tc>
        <w:tc>
          <w:tcPr>
            <w:tcW w:w="79"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42"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9" w:type="dxa"/>
            <w:tcBorders>
              <w:bottom w:val="single" w:sz="8" w:space="0" w:color="001C71"/>
            </w:tcBorders>
            <w:shd w:fill="auto" w:val="clear"/>
            <w:tcMar>
              <w:bottom w:w="28" w:type="dxa"/>
            </w:tcMar>
            <w:vAlign w:val="bottom"/>
          </w:tcPr>
          <w:p>
            <w:pPr>
              <w:pStyle w:val="TableContents"/>
              <w:spacing w:before="0" w:after="283"/>
              <w:rPr/>
            </w:pPr>
            <w:r>
              <w:rPr/>
              <w:t> </w:t>
            </w:r>
          </w:p>
        </w:tc>
        <w:tc>
          <w:tcPr>
            <w:tcW w:w="8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8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805"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8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80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001C71"/>
            </w:tcBorders>
            <w:shd w:fill="auto" w:val="clear"/>
            <w:tcMar>
              <w:bottom w:w="28" w:type="dxa"/>
            </w:tcMar>
            <w:vAlign w:val="center"/>
          </w:tcPr>
          <w:p>
            <w:pPr>
              <w:pStyle w:val="TableContents"/>
              <w:rPr/>
            </w:pPr>
            <w:r>
              <w:rPr/>
              <w:t xml:space="preserve">  </w:t>
            </w:r>
          </w:p>
          <w:p>
            <w:pPr>
              <w:pStyle w:val="TableContents"/>
              <w:spacing w:before="0" w:after="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Grant and authorization dates are applicable to equity incentive awards, which consist of performance-based and service-based restricted stock units and nonqualified stock options. The Compensation and Talent Development Committee authorizes these awards as part of annual compensation planning that is typically completed in December with salary adjustments becoming effective on January 1 and awards granted on the first trading day of January. The Compensation and Talent Development Committee approves a dollar value and the other terms for the awards to be granted to each named executive officer. Special equity awards also may be granted at other times, including upon the hiring or promotion of executive officers, for outstanding performance, or to promote retention. In accordance with the terms approved by the Compensation and Talent Development Committee, on the grant date, the precise number of shares to be granted to each named executive officer was calculated using the closing price for shares of our common stock on that date (or, for the nonqualified stock options, a Black-Scholes valuation).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75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Non-equity incentive plan awards consisted of performance-based annual bonuses payable under our annual bonus plan. Amounts reported in the table represent estimates at the beginning of 2020 of bonuses expected to be paid under financial and operational performance measures established by the Compensation and Talent Development Committee. Outstanding corporate or individual performance may result in the payment of bonuses that exceed the target amounts. In no event will actual payouts exceed the maximum bonuses established under the plan for each executive.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before="0" w:after="283"/>
              <w:jc w:val="left"/>
              <w:rPr/>
            </w:pPr>
            <w:r>
              <w:rPr/>
              <w:t> </w:t>
            </w:r>
          </w:p>
        </w:tc>
        <w:tc>
          <w:tcPr>
            <w:tcW w:w="9902" w:type="dxa"/>
            <w:tcBorders/>
            <w:shd w:fill="auto" w:val="clear"/>
          </w:tcPr>
          <w:p>
            <w:pPr>
              <w:pStyle w:val="TableContents"/>
              <w:spacing w:before="0" w:after="0"/>
              <w:jc w:val="left"/>
              <w:rPr>
                <w:rFonts w:ascii="arial" w:hAnsi="arial"/>
                <w:i/>
                <w:sz w:val="14"/>
              </w:rPr>
            </w:pPr>
            <w:r>
              <w:rPr>
                <w:rFonts w:ascii="arial" w:hAnsi="arial"/>
                <w:i/>
                <w:sz w:val="14"/>
              </w:rPr>
              <w:t xml:space="preserve">Performance measures for 2020 were based on an ABP Earnings target of $2,032 million and Safety and Stakeholder Measures. For information about the predefined adjustments to earnings for annual bonus plan purposes, please refer to Appendix D to this proxy statement. No bonuses were payable for ABP Earnings of less than $1,951 million and maximum bonuses were payable for ABP Earnings of $2,113 million or more. Target bonuses were set at levels ranging from 145% of base salary for Mr. Martin to 50% of base salary for Mr. Wall, with maximum bonuses ranging from 290% to 100% of base salary, respectively. Mr. Arriolas bonus was prorated based on his retirement date and Mr. Bilicic was not eligible to receive a bonus pursuant to the terms of his separation from service and due to the length of his service with the company. ABP Earnings for 2020 were $2,339 million and performance for the Safety and Stakeholder Measures exceeded target performance as set forth in Appendix D to this proxy statement. Accordingly, in February 2021, the Compensation and Talent Development Committee authorized the payment of bonuses to the named executive officers in the amounts reported in the 2020 Summary Compensation Table as non-equity incentive plan compensation earned in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(C)</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Equity incentive plan awards consisted of performance-based restricted stock units. Shares subject to the performance-based restricted stock units generally will vest, in whole or in part, or be forfeited in early 2023 based on our total shareholder return compared to market and peer group indices and EPS growth (as adjusted for LTIP purposes) for 2020-2022. For information about the treatment of performance-based restricted stock units in the event of a termination of employment before the end of the performance period or in the event of a change in control, see Severance and Change in Control Benefits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 </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For the two components of performance-based restricted stock units with a total shareholder return performance measure, the target number of shares will vest if we have achieved a cumulative three-year total shareholder return that places us among the top 50% of the companies in the S&amp;P 500 Utilities Index or S&amp;P 500 Index, as applicable, with additional shares vesting ratably for performance above the 50th percentile of the applicable index to the maximum number (200% of the target number) for performance at or above the 90th percentile of that index. If our performance does not place us among the top 50%, but is above the 25th percentile of the companies in the applicable index, the number of shares that will vest declines from the target number of shares at the 50th percentile to zero shares at the 25th percentile.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 </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For the performance-based restricted stock units with an EPS growth performance measure, the target number of shares will vest, subject to the Compensation and Talent Development Committees discretion (to make adjustments to earnings), if we have achieved a three-year CAGR of 5.9%. If performance is at 6.5%, 150% of the target number of shares will vest, and if performance is at 7.3% or higher, the maximum number (200% of the target number) of shares will vest. If our three-year EPS CAGR is less than 5.9%, the number of shares that will vest declines from the target number of shares at 5.9% to zero shares at 4.2%.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(D)</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Generally, the awards granted on January 2, 2020 represent service-based restricted stock units that vest ratably over three years. The vesting schedule for Mr. Walls April 1, 2020 promotional award conforms to the same vesting schedule as his January 2, 2020 service-based restricted stock unit award. The special award granted to Mr. Sagara on January 2, 2020 vests ratably over two years. For information about the treatment of service-based restricted stock units in the event of a termination of employment before the end of the service period or in the event of a change in control, see Severance and Change in Control Benefits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(E)</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During the performance or service periods, dividends paid or that would have been paid on the shares subject to the award are deemed reinvested to purchase additional shares, at their fair market value, which become subject to the same forfeiture and vesting conditions (including performance criteria, if applicable) as the shares to which the dividends relate. Due to the inability to forecast stock prices at which future dividends would be reinvested, the amounts shown in the table do not include such dividends.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 </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Unless the named executive officer instructs otherwise, the company will withhold a sufficient number of shares to which the participant would otherwise be entitled to pay the minimum amount of withholding taxes that become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(F)</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Stock options are nonqualified, service-based options to purchase shares of common stock granted under our 2019 Long-Term Incentive Plan. They were granted at an exercise price equal to the grant date closing stock price of our common stock and have a ten-year term, subject to earlier expiration following termination of employment. They generally vest and become exercisable ratably over three years. For information about the treatment of stock options in the event of a termination of employment before the end of the vesting period or in the event of a change in control, see Severance and Change in Control Benefits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(G)</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These amounts reflect our grant date estimate of the aggregate compensation expense that we will recognize over the service period of the award. They are calculated in accordance with GAAP based on the assumptions described in Note 10 of the Notes to Consolidated Financial Statements included in our Annual Report to Shareholders but disregarding estimates of forfeitures related to service-based vesting conditions. The value actually realized by executives from stock and option awards will depend on the extent to which performance and service-based vesting conditions are satisfied and the market value of the shares subject to the award upon vesting and sale.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76</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Outstanding Equity Awards at Year-End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We summarize below our grants of equity awards that were outstanding at December 31, 2020, for our executive officers named in the 2020 Summary Compensation Table. These awards consist of nonqualified stock options and performance-based and service-based restricted stock units. </w:t>
      </w:r>
    </w:p>
    <w:p>
      <w:pPr>
        <w:pStyle w:val="TextBody"/>
        <w:spacing w:before="160" w:after="0"/>
        <w:jc w:val="left"/>
        <w:rPr>
          <w:rFonts w:ascii="arial" w:hAnsi="arial"/>
          <w:color w:val="001C71"/>
          <w:sz w:val="16"/>
        </w:rPr>
      </w:pPr>
      <w:r>
        <w:rPr>
          <w:rFonts w:ascii="arial" w:hAnsi="arial"/>
          <w:color w:val="001C71"/>
          <w:sz w:val="16"/>
        </w:rPr>
        <w:t xml:space="preserve">2020 OUTSTANDING EQUITY AWARDS AT YEAR-END </w:t>
      </w:r>
    </w:p>
    <w:p>
      <w:pPr>
        <w:pStyle w:val="TextBody"/>
        <w:spacing w:before="0" w:after="0"/>
        <w:jc w:val="left"/>
        <w:rPr/>
      </w:pPr>
      <w:r>
        <w:rPr/>
        <w:t> </w:t>
      </w:r>
    </w:p>
    <w:tbl>
      <w:tblPr>
        <w:tblW w:w="10213" w:type="dxa"/>
        <w:jc w:val="center"/>
        <w:tblInd w:w="0" w:type="dxa"/>
        <w:tblCellMar>
          <w:top w:w="0" w:type="dxa"/>
          <w:left w:w="0" w:type="dxa"/>
          <w:bottom w:w="0" w:type="dxa"/>
          <w:right w:w="0" w:type="dxa"/>
        </w:tblCellMar>
      </w:tblPr>
      <w:tblGrid>
        <w:gridCol w:w="575"/>
        <w:gridCol w:w="60"/>
        <w:gridCol w:w="60"/>
        <w:gridCol w:w="365"/>
        <w:gridCol w:w="60"/>
        <w:gridCol w:w="60"/>
        <w:gridCol w:w="94"/>
        <w:gridCol w:w="811"/>
        <w:gridCol w:w="60"/>
        <w:gridCol w:w="60"/>
        <w:gridCol w:w="97"/>
        <w:gridCol w:w="988"/>
        <w:gridCol w:w="60"/>
        <w:gridCol w:w="60"/>
        <w:gridCol w:w="119"/>
        <w:gridCol w:w="561"/>
        <w:gridCol w:w="290"/>
        <w:gridCol w:w="60"/>
        <w:gridCol w:w="73"/>
        <w:gridCol w:w="697"/>
        <w:gridCol w:w="60"/>
        <w:gridCol w:w="60"/>
        <w:gridCol w:w="80"/>
        <w:gridCol w:w="690"/>
        <w:gridCol w:w="66"/>
        <w:gridCol w:w="66"/>
        <w:gridCol w:w="121"/>
        <w:gridCol w:w="815"/>
        <w:gridCol w:w="320"/>
        <w:gridCol w:w="60"/>
        <w:gridCol w:w="107"/>
        <w:gridCol w:w="759"/>
        <w:gridCol w:w="107"/>
        <w:gridCol w:w="107"/>
        <w:gridCol w:w="196"/>
        <w:gridCol w:w="1084"/>
        <w:gridCol w:w="305"/>
      </w:tblGrid>
      <w:tr>
        <w:trPr/>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4030" w:type="dxa"/>
            <w:gridSpan w:val="14"/>
            <w:vMerge w:val="restart"/>
            <w:tcBorders>
              <w:bottom w:val="single" w:sz="2" w:space="0" w:color="001C71"/>
            </w:tcBorders>
            <w:shd w:fill="auto" w:val="clear"/>
            <w:tcMar>
              <w:bottom w:w="28" w:type="dxa"/>
            </w:tcMar>
            <w:vAlign w:val="bottom"/>
          </w:tcPr>
          <w:p>
            <w:pPr>
              <w:pStyle w:val="TableContents"/>
              <w:jc w:val="center"/>
              <w:rPr/>
            </w:pPr>
            <w:r>
              <w:rPr>
                <w:b/>
                <w:color w:val="001C71"/>
              </w:rPr>
              <w:t>Option Awards</w:t>
            </w:r>
            <w:r>
              <w:rPr/>
              <w:br/>
            </w:r>
            <w:r>
              <w:rPr>
                <w:b/>
                <w:color w:val="001C71"/>
              </w:rPr>
              <w:t>(Service-Based Stock Options)</w:t>
              <w:br/>
              <w:t>(A)</w:t>
            </w:r>
            <w:r>
              <w:rPr/>
              <w:t xml:space="preserve"> </w:t>
            </w:r>
          </w:p>
          <w:p>
            <w:pPr>
              <w:pStyle w:val="TableContents"/>
              <w:spacing w:before="0" w:after="20"/>
              <w:jc w:val="left"/>
              <w:rPr/>
            </w:pPr>
            <w:r>
              <w:rPr/>
              <w:t> </w:t>
            </w:r>
          </w:p>
        </w:tc>
        <w:tc>
          <w:tcPr>
            <w:tcW w:w="6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78" w:type="dxa"/>
            <w:gridSpan w:val="14"/>
            <w:tcBorders>
              <w:bottom w:val="single" w:sz="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Stock Awards</w:t>
            </w:r>
          </w:p>
          <w:p>
            <w:pPr>
              <w:pStyle w:val="TableContents"/>
              <w:spacing w:before="0" w:after="20"/>
              <w:jc w:val="left"/>
              <w:rPr/>
            </w:pPr>
            <w:r>
              <w:rPr/>
              <w:t> </w:t>
            </w:r>
          </w:p>
        </w:tc>
        <w:tc>
          <w:tcPr>
            <w:tcW w:w="305" w:type="dxa"/>
            <w:tcBorders/>
            <w:shd w:fill="auto" w:val="clear"/>
            <w:vAlign w:val="bottom"/>
          </w:tcPr>
          <w:p>
            <w:pPr>
              <w:pStyle w:val="TableContents"/>
              <w:spacing w:before="0" w:after="283"/>
              <w:rPr/>
            </w:pPr>
            <w:r>
              <w:rPr/>
              <w:t> </w:t>
            </w:r>
          </w:p>
        </w:tc>
      </w:tr>
      <w:tr>
        <w:trPr/>
        <w:tc>
          <w:tcPr>
            <w:tcW w:w="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4030" w:type="dxa"/>
            <w:gridSpan w:val="14"/>
            <w:vMerge w:val="continue"/>
            <w:tcBorders>
              <w:bottom w:val="single" w:sz="2" w:space="0" w:color="001C71"/>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838" w:type="dxa"/>
            <w:gridSpan w:val="6"/>
            <w:tcBorders>
              <w:bottom w:val="single" w:sz="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Equity Incentive</w:t>
              <w:br/>
              <w:t>Plan Awards</w:t>
              <w:br/>
              <w:t>(PerformanceBased</w:t>
              <w:br/>
              <w:t>Restricted Stock Units)</w:t>
              <w:br/>
              <w:t>(B)</w:t>
            </w:r>
          </w:p>
          <w:p>
            <w:pPr>
              <w:pStyle w:val="TableContents"/>
              <w:spacing w:before="0" w:after="20"/>
              <w:jc w:val="left"/>
              <w:rPr/>
            </w:pPr>
            <w:r>
              <w:rPr/>
              <w:t> </w:t>
            </w:r>
          </w:p>
        </w:tc>
        <w:tc>
          <w:tcPr>
            <w:tcW w:w="3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60" w:type="dxa"/>
            <w:gridSpan w:val="6"/>
            <w:tcBorders>
              <w:bottom w:val="single" w:sz="2" w:space="0" w:color="001C71"/>
            </w:tcBorders>
            <w:shd w:fill="auto" w:val="clear"/>
            <w:tcMar>
              <w:bottom w:w="28" w:type="dxa"/>
            </w:tcMar>
            <w:vAlign w:val="bottom"/>
          </w:tcPr>
          <w:p>
            <w:pPr>
              <w:pStyle w:val="TableContents"/>
              <w:jc w:val="center"/>
              <w:rPr/>
            </w:pPr>
            <w:r>
              <w:rPr>
                <w:b/>
                <w:color w:val="001C71"/>
              </w:rPr>
              <w:t>Other Stock Awards</w:t>
              <w:br/>
              <w:t>(ServiceBased</w:t>
              <w:br/>
              <w:t>Restricted Stock Units)</w:t>
              <w:br/>
              <w:t>(C)</w:t>
            </w:r>
            <w:r>
              <w:rPr/>
              <w:t xml:space="preserve"> </w:t>
            </w:r>
          </w:p>
          <w:p>
            <w:pPr>
              <w:pStyle w:val="TableContents"/>
              <w:spacing w:before="0" w:after="20"/>
              <w:jc w:val="left"/>
              <w:rPr/>
            </w:pPr>
            <w:r>
              <w:rPr/>
              <w:t> </w:t>
            </w:r>
          </w:p>
        </w:tc>
        <w:tc>
          <w:tcPr>
            <w:tcW w:w="305" w:type="dxa"/>
            <w:tcBorders/>
            <w:shd w:fill="auto" w:val="clear"/>
            <w:vAlign w:val="bottom"/>
          </w:tcPr>
          <w:p>
            <w:pPr>
              <w:pStyle w:val="TableContents"/>
              <w:spacing w:before="0" w:after="283"/>
              <w:rPr/>
            </w:pPr>
            <w:r>
              <w:rPr/>
              <w:t> </w:t>
            </w:r>
          </w:p>
        </w:tc>
      </w:tr>
      <w:tr>
        <w:trPr>
          <w:trHeight w:val="120" w:hRule="atLeast"/>
        </w:trPr>
        <w:tc>
          <w:tcPr>
            <w:tcW w:w="57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c>
          <w:tcPr>
            <w:tcW w:w="2230" w:type="dxa"/>
            <w:gridSpan w:val="8"/>
            <w:tcBorders/>
            <w:shd w:fill="auto" w:val="clear"/>
            <w:vAlign w:val="center"/>
          </w:tcPr>
          <w:p>
            <w:pPr>
              <w:pStyle w:val="TableContents"/>
              <w:spacing w:before="0" w:after="283"/>
              <w:rPr>
                <w:sz w:val="4"/>
                <w:szCs w:val="4"/>
              </w:rPr>
            </w:pPr>
            <w:r>
              <w:rPr>
                <w:sz w:val="4"/>
                <w:szCs w:val="4"/>
              </w:rPr>
            </w:r>
          </w:p>
        </w:tc>
        <w:tc>
          <w:tcPr>
            <w:tcW w:w="1030" w:type="dxa"/>
            <w:gridSpan w:val="4"/>
            <w:tcBorders/>
            <w:shd w:fill="auto" w:val="clear"/>
            <w:vAlign w:val="center"/>
          </w:tcPr>
          <w:p>
            <w:pPr>
              <w:pStyle w:val="TableContents"/>
              <w:spacing w:before="0" w:after="283"/>
              <w:rPr>
                <w:sz w:val="4"/>
                <w:szCs w:val="4"/>
              </w:rPr>
            </w:pPr>
            <w:r>
              <w:rPr>
                <w:sz w:val="4"/>
                <w:szCs w:val="4"/>
              </w:rPr>
            </w:r>
          </w:p>
        </w:tc>
        <w:tc>
          <w:tcPr>
            <w:tcW w:w="890" w:type="dxa"/>
            <w:gridSpan w:val="4"/>
            <w:tcBorders/>
            <w:shd w:fill="auto" w:val="clear"/>
            <w:vAlign w:val="center"/>
          </w:tcPr>
          <w:p>
            <w:pPr>
              <w:pStyle w:val="TableContents"/>
              <w:spacing w:before="0" w:after="283"/>
              <w:rPr>
                <w:sz w:val="4"/>
                <w:szCs w:val="4"/>
              </w:rPr>
            </w:pPr>
            <w:r>
              <w:rPr>
                <w:sz w:val="4"/>
                <w:szCs w:val="4"/>
              </w:rPr>
            </w:r>
          </w:p>
        </w:tc>
        <w:tc>
          <w:tcPr>
            <w:tcW w:w="896" w:type="dxa"/>
            <w:gridSpan w:val="4"/>
            <w:tcBorders/>
            <w:shd w:fill="auto" w:val="clear"/>
            <w:vAlign w:val="center"/>
          </w:tcPr>
          <w:p>
            <w:pPr>
              <w:pStyle w:val="TableContents"/>
              <w:spacing w:before="0" w:after="283"/>
              <w:rPr>
                <w:sz w:val="4"/>
                <w:szCs w:val="4"/>
              </w:rPr>
            </w:pPr>
            <w:r>
              <w:rPr>
                <w:sz w:val="4"/>
                <w:szCs w:val="4"/>
              </w:rPr>
            </w:r>
          </w:p>
        </w:tc>
        <w:tc>
          <w:tcPr>
            <w:tcW w:w="1322" w:type="dxa"/>
            <w:gridSpan w:val="4"/>
            <w:tcBorders/>
            <w:shd w:fill="auto" w:val="clear"/>
            <w:vAlign w:val="center"/>
          </w:tcPr>
          <w:p>
            <w:pPr>
              <w:pStyle w:val="TableContents"/>
              <w:spacing w:before="0" w:after="283"/>
              <w:rPr>
                <w:sz w:val="4"/>
                <w:szCs w:val="4"/>
              </w:rPr>
            </w:pPr>
            <w:r>
              <w:rPr>
                <w:sz w:val="4"/>
                <w:szCs w:val="4"/>
              </w:rPr>
            </w:r>
          </w:p>
        </w:tc>
        <w:tc>
          <w:tcPr>
            <w:tcW w:w="1033" w:type="dxa"/>
            <w:gridSpan w:val="4"/>
            <w:tcBorders/>
            <w:shd w:fill="auto" w:val="clear"/>
            <w:vAlign w:val="center"/>
          </w:tcPr>
          <w:p>
            <w:pPr>
              <w:pStyle w:val="TableContents"/>
              <w:spacing w:before="0" w:after="283"/>
              <w:rPr>
                <w:sz w:val="4"/>
                <w:szCs w:val="4"/>
              </w:rPr>
            </w:pPr>
            <w:r>
              <w:rPr>
                <w:sz w:val="4"/>
                <w:szCs w:val="4"/>
              </w:rPr>
            </w:r>
          </w:p>
        </w:tc>
        <w:tc>
          <w:tcPr>
            <w:tcW w:w="1692" w:type="dxa"/>
            <w:gridSpan w:val="4"/>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0" w:type="dxa"/>
            <w:gridSpan w:val="6"/>
            <w:tcBorders>
              <w:bottom w:val="single" w:sz="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Number of Shares</w:t>
              <w:br/>
              <w:t>Underlying</w:t>
            </w:r>
          </w:p>
          <w:p>
            <w:pPr>
              <w:pStyle w:val="TableContents"/>
              <w:spacing w:before="0" w:after="0"/>
              <w:jc w:val="center"/>
              <w:rPr>
                <w:rFonts w:ascii="arial" w:hAnsi="arial"/>
                <w:b/>
                <w:color w:val="001C71"/>
                <w:sz w:val="15"/>
              </w:rPr>
            </w:pPr>
            <w:r>
              <w:rPr>
                <w:rFonts w:ascii="arial" w:hAnsi="arial"/>
                <w:b/>
                <w:color w:val="001C71"/>
                <w:sz w:val="15"/>
              </w:rPr>
              <w:t>Unexercised Options</w:t>
            </w:r>
          </w:p>
          <w:p>
            <w:pPr>
              <w:pStyle w:val="TableContents"/>
              <w:spacing w:before="0" w:after="20"/>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770" w:type="dxa"/>
            <w:gridSpan w:val="2"/>
            <w:vMerge w:val="restart"/>
            <w:tcBorders>
              <w:bottom w:val="single" w:sz="1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Number of</w:t>
              <w:br/>
              <w:t>Unearned/</w:t>
              <w:br/>
              <w:t>Unvested</w:t>
              <w:br/>
              <w:t>Shares</w:t>
              <w:br/>
              <w:t>(D)</w:t>
            </w:r>
          </w:p>
          <w:p>
            <w:pPr>
              <w:pStyle w:val="TableContents"/>
              <w:spacing w:before="0" w:after="20"/>
              <w:jc w:val="left"/>
              <w:rPr/>
            </w:pPr>
            <w:r>
              <w:rPr/>
              <w:t> </w:t>
            </w:r>
          </w:p>
        </w:tc>
        <w:tc>
          <w:tcPr>
            <w:tcW w:w="66"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6"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936" w:type="dxa"/>
            <w:gridSpan w:val="2"/>
            <w:vMerge w:val="restart"/>
            <w:tcBorders>
              <w:bottom w:val="single" w:sz="1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Market</w:t>
              <w:br/>
              <w:t>Value of</w:t>
              <w:br/>
              <w:t>Unearned/</w:t>
              <w:br/>
              <w:t>Unvested</w:t>
              <w:br/>
              <w:t>Shares</w:t>
            </w:r>
          </w:p>
          <w:p>
            <w:pPr>
              <w:pStyle w:val="TableContents"/>
              <w:spacing w:before="0" w:after="20"/>
              <w:jc w:val="left"/>
              <w:rPr/>
            </w:pPr>
            <w:r>
              <w:rPr/>
              <w:t> </w:t>
            </w:r>
          </w:p>
        </w:tc>
        <w:tc>
          <w:tcPr>
            <w:tcW w:w="32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866" w:type="dxa"/>
            <w:gridSpan w:val="2"/>
            <w:vMerge w:val="restart"/>
            <w:tcBorders>
              <w:bottom w:val="single" w:sz="1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Number of</w:t>
              <w:br/>
              <w:t>Unearned/</w:t>
              <w:br/>
              <w:t>Unvested</w:t>
              <w:br/>
              <w:t>Shares</w:t>
              <w:br/>
              <w:t>(D)</w:t>
            </w:r>
          </w:p>
          <w:p>
            <w:pPr>
              <w:pStyle w:val="TableContents"/>
              <w:spacing w:before="0" w:after="20"/>
              <w:jc w:val="left"/>
              <w:rPr/>
            </w:pPr>
            <w:r>
              <w:rPr/>
              <w:t> </w:t>
            </w:r>
          </w:p>
        </w:tc>
        <w:tc>
          <w:tcPr>
            <w:tcW w:w="107"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107"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1280" w:type="dxa"/>
            <w:gridSpan w:val="2"/>
            <w:vMerge w:val="restart"/>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Market</w:t>
              <w:br/>
              <w:t>Value of</w:t>
              <w:br/>
              <w:t>Unearned/</w:t>
              <w:br/>
              <w:t>Unvested</w:t>
              <w:br/>
              <w:t>Shares</w:t>
            </w:r>
          </w:p>
          <w:p>
            <w:pPr>
              <w:pStyle w:val="TableContents"/>
              <w:spacing w:before="0" w:after="20"/>
              <w:jc w:val="left"/>
              <w:rPr/>
            </w:pPr>
            <w:r>
              <w:rPr/>
              <w:t> </w:t>
            </w:r>
          </w:p>
        </w:tc>
        <w:tc>
          <w:tcPr>
            <w:tcW w:w="305"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r>
      <w:tr>
        <w:trPr/>
        <w:tc>
          <w:tcPr>
            <w:tcW w:w="575"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425"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Grant</w:t>
              <w:br/>
              <w:t>Date</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905"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Exercisable</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1085"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Unexercisable</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80" w:type="dxa"/>
            <w:gridSpan w:val="2"/>
            <w:tcBorders>
              <w:bottom w:val="single" w:sz="12" w:space="0" w:color="001C71"/>
            </w:tcBorders>
            <w:shd w:fill="auto" w:val="clear"/>
            <w:tcMar>
              <w:bottom w:w="28" w:type="dxa"/>
            </w:tcMar>
            <w:vAlign w:val="bottom"/>
          </w:tcPr>
          <w:p>
            <w:pPr>
              <w:pStyle w:val="TableContents"/>
              <w:spacing w:before="0" w:after="0"/>
              <w:jc w:val="right"/>
              <w:rPr>
                <w:rFonts w:ascii="arial" w:hAnsi="arial"/>
                <w:b/>
                <w:color w:val="001C71"/>
                <w:sz w:val="15"/>
              </w:rPr>
            </w:pPr>
            <w:r>
              <w:rPr>
                <w:rFonts w:ascii="arial" w:hAnsi="arial"/>
                <w:b/>
                <w:color w:val="001C71"/>
                <w:sz w:val="15"/>
              </w:rPr>
              <w:t>Exercise</w:t>
            </w:r>
          </w:p>
          <w:p>
            <w:pPr>
              <w:pStyle w:val="TableContents"/>
              <w:spacing w:before="0" w:after="0"/>
              <w:jc w:val="center"/>
              <w:rPr>
                <w:rFonts w:ascii="arial" w:hAnsi="arial"/>
                <w:b/>
                <w:color w:val="001C71"/>
                <w:sz w:val="15"/>
              </w:rPr>
            </w:pPr>
            <w:r>
              <w:rPr>
                <w:rFonts w:ascii="arial" w:hAnsi="arial"/>
                <w:b/>
                <w:color w:val="001C71"/>
                <w:sz w:val="15"/>
              </w:rPr>
              <w:t>Price</w:t>
            </w:r>
          </w:p>
          <w:p>
            <w:pPr>
              <w:pStyle w:val="TableContents"/>
              <w:spacing w:before="0" w:after="20"/>
              <w:jc w:val="left"/>
              <w:rPr/>
            </w:pPr>
            <w:r>
              <w:rPr/>
              <w:t> </w:t>
            </w:r>
          </w:p>
        </w:tc>
        <w:tc>
          <w:tcPr>
            <w:tcW w:w="29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770"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Expiration</w:t>
              <w:br/>
              <w:t>Date</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770" w:type="dxa"/>
            <w:gridSpan w:val="2"/>
            <w:vMerge w:val="continue"/>
            <w:tcBorders>
              <w:bottom w:val="single" w:sz="12" w:space="0" w:color="001C71"/>
            </w:tcBorders>
            <w:shd w:fill="auto" w:val="clear"/>
            <w:tcMar>
              <w:bottom w:w="28" w:type="dxa"/>
            </w:tcMar>
            <w:vAlign w:val="bottom"/>
          </w:tcPr>
          <w:p>
            <w:pPr>
              <w:pStyle w:val="Normal"/>
              <w:rPr/>
            </w:pPr>
            <w:r>
              <w:rPr/>
            </w:r>
          </w:p>
        </w:tc>
        <w:tc>
          <w:tcPr>
            <w:tcW w:w="66" w:type="dxa"/>
            <w:vMerge w:val="continue"/>
            <w:tcBorders>
              <w:bottom w:val="single" w:sz="12" w:space="0" w:color="001C71"/>
            </w:tcBorders>
            <w:shd w:fill="auto" w:val="clear"/>
            <w:tcMar>
              <w:bottom w:w="28" w:type="dxa"/>
            </w:tcMar>
            <w:vAlign w:val="bottom"/>
          </w:tcPr>
          <w:p>
            <w:pPr>
              <w:pStyle w:val="Normal"/>
              <w:rPr/>
            </w:pPr>
            <w:r>
              <w:rPr/>
            </w:r>
          </w:p>
        </w:tc>
        <w:tc>
          <w:tcPr>
            <w:tcW w:w="66" w:type="dxa"/>
            <w:vMerge w:val="continue"/>
            <w:tcBorders>
              <w:bottom w:val="single" w:sz="12" w:space="0" w:color="001C71"/>
            </w:tcBorders>
            <w:shd w:fill="auto" w:val="clear"/>
            <w:tcMar>
              <w:bottom w:w="28" w:type="dxa"/>
            </w:tcMar>
            <w:vAlign w:val="bottom"/>
          </w:tcPr>
          <w:p>
            <w:pPr>
              <w:pStyle w:val="Normal"/>
              <w:rPr/>
            </w:pPr>
            <w:r>
              <w:rPr/>
            </w:r>
          </w:p>
        </w:tc>
        <w:tc>
          <w:tcPr>
            <w:tcW w:w="936" w:type="dxa"/>
            <w:gridSpan w:val="2"/>
            <w:vMerge w:val="continue"/>
            <w:tcBorders>
              <w:bottom w:val="single" w:sz="12" w:space="0" w:color="001C71"/>
            </w:tcBorders>
            <w:shd w:fill="auto" w:val="clear"/>
            <w:tcMar>
              <w:bottom w:w="28" w:type="dxa"/>
            </w:tcMar>
            <w:vAlign w:val="bottom"/>
          </w:tcPr>
          <w:p>
            <w:pPr>
              <w:pStyle w:val="Normal"/>
              <w:rPr/>
            </w:pPr>
            <w:r>
              <w:rPr/>
            </w:r>
          </w:p>
        </w:tc>
        <w:tc>
          <w:tcPr>
            <w:tcW w:w="320" w:type="dxa"/>
            <w:vMerge w:val="continue"/>
            <w:tcBorders>
              <w:bottom w:val="single" w:sz="12" w:space="0" w:color="001C71"/>
            </w:tcBorders>
            <w:shd w:fill="auto" w:val="clear"/>
            <w:tcMar>
              <w:bottom w:w="28"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866" w:type="dxa"/>
            <w:gridSpan w:val="2"/>
            <w:vMerge w:val="continue"/>
            <w:tcBorders>
              <w:bottom w:val="single" w:sz="12" w:space="0" w:color="001C71"/>
            </w:tcBorders>
            <w:shd w:fill="auto" w:val="clear"/>
            <w:tcMar>
              <w:bottom w:w="28" w:type="dxa"/>
            </w:tcMar>
            <w:vAlign w:val="bottom"/>
          </w:tcPr>
          <w:p>
            <w:pPr>
              <w:pStyle w:val="Normal"/>
              <w:rPr/>
            </w:pPr>
            <w:r>
              <w:rPr/>
            </w:r>
          </w:p>
        </w:tc>
        <w:tc>
          <w:tcPr>
            <w:tcW w:w="107" w:type="dxa"/>
            <w:vMerge w:val="continue"/>
            <w:tcBorders>
              <w:bottom w:val="single" w:sz="12" w:space="0" w:color="001C71"/>
            </w:tcBorders>
            <w:shd w:fill="auto" w:val="clear"/>
            <w:tcMar>
              <w:bottom w:w="28" w:type="dxa"/>
            </w:tcMar>
            <w:vAlign w:val="bottom"/>
          </w:tcPr>
          <w:p>
            <w:pPr>
              <w:pStyle w:val="Normal"/>
              <w:rPr/>
            </w:pPr>
            <w:r>
              <w:rPr/>
            </w:r>
          </w:p>
        </w:tc>
        <w:tc>
          <w:tcPr>
            <w:tcW w:w="107" w:type="dxa"/>
            <w:vMerge w:val="continue"/>
            <w:tcBorders>
              <w:bottom w:val="single" w:sz="12" w:space="0" w:color="001C71"/>
            </w:tcBorders>
            <w:shd w:fill="auto" w:val="clear"/>
            <w:tcMar>
              <w:bottom w:w="28" w:type="dxa"/>
            </w:tcMar>
            <w:vAlign w:val="bottom"/>
          </w:tcPr>
          <w:p>
            <w:pPr>
              <w:pStyle w:val="Normal"/>
              <w:rPr/>
            </w:pPr>
            <w:r>
              <w:rPr/>
            </w:r>
          </w:p>
        </w:tc>
        <w:tc>
          <w:tcPr>
            <w:tcW w:w="1280" w:type="dxa"/>
            <w:gridSpan w:val="2"/>
            <w:vMerge w:val="continue"/>
            <w:tcBorders>
              <w:bottom w:val="single" w:sz="12" w:space="0" w:color="001C71"/>
            </w:tcBorders>
            <w:shd w:fill="auto" w:val="clear"/>
            <w:tcMar>
              <w:bottom w:w="28" w:type="dxa"/>
            </w:tcMar>
            <w:vAlign w:val="bottom"/>
          </w:tcPr>
          <w:p>
            <w:pPr>
              <w:pStyle w:val="Normal"/>
              <w:rPr/>
            </w:pPr>
            <w:r>
              <w:rPr/>
            </w:r>
          </w:p>
        </w:tc>
        <w:tc>
          <w:tcPr>
            <w:tcW w:w="305" w:type="dxa"/>
            <w:vMerge w:val="continue"/>
            <w:tcBorders>
              <w:bottom w:val="single" w:sz="12" w:space="0" w:color="001C71"/>
            </w:tcBorders>
            <w:shd w:fill="auto" w:val="clear"/>
            <w:tcMar>
              <w:bottom w:w="28" w:type="dxa"/>
            </w:tcMar>
            <w:vAlign w:val="bottom"/>
          </w:tcPr>
          <w:p>
            <w:pPr>
              <w:pStyle w:val="Normal"/>
              <w:rPr/>
            </w:pPr>
            <w:r>
              <w:rPr/>
            </w:r>
          </w:p>
        </w:tc>
      </w:tr>
      <w:tr>
        <w:trPr/>
        <w:tc>
          <w:tcPr>
            <w:tcW w:w="575" w:type="dxa"/>
            <w:vMerge w:val="restart"/>
            <w:tcBorders/>
            <w:shd w:fill="auto" w:val="clear"/>
            <w:vAlign w:val="center"/>
          </w:tcPr>
          <w:p>
            <w:pPr>
              <w:pStyle w:val="TableContents"/>
              <w:spacing w:before="0" w:after="0"/>
              <w:rPr/>
            </w:pPr>
            <w:r>
              <w:rPr/>
              <w:t> </w:t>
            </w:r>
          </w:p>
          <w:p>
            <w:pPr>
              <w:pStyle w:val="TableContents"/>
              <w:spacing w:lineRule="atLeast" w:line="220" w:before="0" w:after="20"/>
              <w:rPr>
                <w:rFonts w:ascii="arial" w:hAnsi="arial"/>
                <w:b/>
                <w:sz w:val="16"/>
              </w:rPr>
            </w:pPr>
            <w:r>
              <w:rPr>
                <w:rFonts w:ascii="arial" w:hAnsi="arial"/>
                <w:b/>
                <w:sz w:val="16"/>
              </w:rPr>
              <w:t>Jeffrey W. Martin</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lineRule="atLeast" w:line="240" w:before="0" w:after="0"/>
              <w:rPr/>
            </w:pPr>
            <w:r>
              <w:rPr/>
              <w:t> </w:t>
            </w:r>
          </w:p>
        </w:tc>
        <w:tc>
          <w:tcPr>
            <w:tcW w:w="811"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lineRule="atLeast" w:line="240" w:before="0" w:after="0"/>
              <w:rPr/>
            </w:pPr>
            <w:r>
              <w:rPr/>
              <w:t> </w:t>
            </w:r>
          </w:p>
        </w:tc>
        <w:tc>
          <w:tcPr>
            <w:tcW w:w="98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106,276</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561"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149.12</w:t>
            </w:r>
          </w:p>
        </w:tc>
        <w:tc>
          <w:tcPr>
            <w:tcW w:w="29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lineRule="atLeast" w:line="240" w:before="0" w:after="0"/>
              <w:rPr/>
            </w:pPr>
            <w:r>
              <w:rPr/>
              <w:t> </w:t>
            </w:r>
          </w:p>
        </w:tc>
        <w:tc>
          <w:tcPr>
            <w:tcW w:w="697"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01/01/30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4,043</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515,099</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9,626</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1,226,483</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lineRule="atLeast" w:line="240" w:before="0" w:after="0"/>
              <w:rPr/>
            </w:pPr>
            <w:r>
              <w:rPr/>
              <w:t> </w:t>
            </w:r>
          </w:p>
        </w:tc>
        <w:tc>
          <w:tcPr>
            <w:tcW w:w="811"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45,455</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lineRule="atLeast" w:line="240" w:before="0" w:after="0"/>
              <w:rPr/>
            </w:pPr>
            <w:r>
              <w:rPr/>
              <w:t> </w:t>
            </w:r>
          </w:p>
        </w:tc>
        <w:tc>
          <w:tcPr>
            <w:tcW w:w="98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90,909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561"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106.76</w:t>
            </w:r>
          </w:p>
        </w:tc>
        <w:tc>
          <w:tcPr>
            <w:tcW w:w="29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lineRule="atLeast" w:line="240" w:before="0" w:after="0"/>
              <w:rPr/>
            </w:pPr>
            <w:r>
              <w:rPr/>
              <w:t> </w:t>
            </w:r>
          </w:p>
        </w:tc>
        <w:tc>
          <w:tcPr>
            <w:tcW w:w="697"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01/01/29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lineRule="atLeast" w:line="240" w:before="0" w:after="0"/>
              <w:rPr/>
            </w:pPr>
            <w:r>
              <w:rPr/>
              <w:t> </w:t>
            </w:r>
          </w:p>
        </w:tc>
        <w:tc>
          <w:tcPr>
            <w:tcW w:w="759"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107" w:type="dxa"/>
            <w:tcBorders/>
            <w:shd w:fill="E5E5E5" w:val="clear"/>
            <w:vAlign w:val="bottom"/>
          </w:tcPr>
          <w:p>
            <w:pPr>
              <w:pStyle w:val="TableContents"/>
              <w:spacing w:lineRule="atLeast" w:line="240" w:before="0" w:after="0"/>
              <w:rPr/>
            </w:pPr>
            <w:r>
              <w:rPr/>
              <w:t> </w:t>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29,224</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3,723,480</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lineRule="atLeast" w:line="240" w:before="0" w:after="0"/>
              <w:rPr/>
            </w:pPr>
            <w:r>
              <w:rPr/>
              <w:t> </w:t>
            </w:r>
          </w:p>
        </w:tc>
        <w:tc>
          <w:tcPr>
            <w:tcW w:w="759"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107" w:type="dxa"/>
            <w:tcBorders/>
            <w:shd w:fill="auto" w:val="clear"/>
            <w:vAlign w:val="bottom"/>
          </w:tcPr>
          <w:p>
            <w:pPr>
              <w:pStyle w:val="TableContents"/>
              <w:spacing w:lineRule="atLeast" w:line="240" w:before="0" w:after="0"/>
              <w:rPr/>
            </w:pPr>
            <w:r>
              <w:rPr/>
              <w:t> </w:t>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6,245</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795,679</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11,844</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1,509,067</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7,319</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932,492</w:t>
            </w:r>
          </w:p>
        </w:tc>
        <w:tc>
          <w:tcPr>
            <w:tcW w:w="320" w:type="dxa"/>
            <w:tcBorders/>
            <w:shd w:fill="E5E5E5"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lineRule="atLeast" w:line="240" w:before="0" w:after="0"/>
              <w:rPr/>
            </w:pPr>
            <w:r>
              <w:rPr/>
              <w:t> </w:t>
            </w:r>
          </w:p>
        </w:tc>
        <w:tc>
          <w:tcPr>
            <w:tcW w:w="759"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107" w:type="dxa"/>
            <w:tcBorders/>
            <w:shd w:fill="E5E5E5" w:val="clear"/>
            <w:vAlign w:val="bottom"/>
          </w:tcPr>
          <w:p>
            <w:pPr>
              <w:pStyle w:val="TableContents"/>
              <w:spacing w:lineRule="atLeast" w:line="240" w:before="0" w:after="0"/>
              <w:rPr/>
            </w:pPr>
            <w:r>
              <w:rPr/>
              <w:t> </w:t>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2,862</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364,630</w:t>
            </w:r>
          </w:p>
        </w:tc>
        <w:tc>
          <w:tcPr>
            <w:tcW w:w="320" w:type="dxa"/>
            <w:tcBorders/>
            <w:shd w:fill="auto"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7,226</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920,613</w:t>
            </w:r>
          </w:p>
        </w:tc>
        <w:tc>
          <w:tcPr>
            <w:tcW w:w="320" w:type="dxa"/>
            <w:tcBorders/>
            <w:shd w:fill="E5E5E5" w:val="clear"/>
            <w:vAlign w:val="bottom"/>
          </w:tcPr>
          <w:p>
            <w:pPr>
              <w:pStyle w:val="TableContents"/>
              <w:spacing w:lineRule="atLeast" w:line="180" w:before="0" w:after="0"/>
              <w:rPr>
                <w:rFonts w:ascii="arial" w:hAnsi="arial"/>
                <w:sz w:val="16"/>
              </w:rPr>
            </w:pPr>
            <w:r>
              <w:rPr>
                <w:rFonts w:ascii="arial" w:hAnsi="arial"/>
                <w:sz w:val="16"/>
              </w:rPr>
              <w:t>(G)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lineRule="atLeast" w:line="240" w:before="0" w:after="0"/>
              <w:rPr/>
            </w:pPr>
            <w:r>
              <w:rPr/>
              <w:t> </w:t>
            </w:r>
          </w:p>
        </w:tc>
        <w:tc>
          <w:tcPr>
            <w:tcW w:w="759"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5,419</w:t>
            </w:r>
          </w:p>
        </w:tc>
        <w:tc>
          <w:tcPr>
            <w:tcW w:w="107" w:type="dxa"/>
            <w:tcBorders/>
            <w:shd w:fill="auto" w:val="clear"/>
            <w:vAlign w:val="bottom"/>
          </w:tcPr>
          <w:p>
            <w:pPr>
              <w:pStyle w:val="TableContents"/>
              <w:spacing w:lineRule="atLeast" w:line="240" w:before="0" w:after="0"/>
              <w:rPr/>
            </w:pPr>
            <w:r>
              <w:rPr/>
              <w:t> </w:t>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1084"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690,391</w:t>
            </w:r>
          </w:p>
        </w:tc>
        <w:tc>
          <w:tcPr>
            <w:tcW w:w="305" w:type="dxa"/>
            <w:tcBorders/>
            <w:shd w:fill="auto" w:val="clear"/>
            <w:vAlign w:val="bottom"/>
          </w:tcPr>
          <w:p>
            <w:pPr>
              <w:pStyle w:val="TableContents"/>
              <w:spacing w:lineRule="atLeast" w:line="180" w:before="0" w:after="0"/>
              <w:rPr>
                <w:rFonts w:ascii="arial" w:hAnsi="arial"/>
                <w:sz w:val="16"/>
              </w:rPr>
            </w:pPr>
            <w:r>
              <w:rPr>
                <w:rFonts w:ascii="arial" w:hAnsi="arial"/>
                <w:sz w:val="16"/>
              </w:rPr>
              <w:t>(H) </w:t>
            </w:r>
          </w:p>
        </w:tc>
      </w:tr>
      <w:tr>
        <w:trPr/>
        <w:tc>
          <w:tcPr>
            <w:tcW w:w="575" w:type="dxa"/>
            <w:vMerge w:val="continue"/>
            <w:tcBorders/>
            <w:shd w:fill="FFFFFF" w:val="clear"/>
            <w:vAlign w:val="center"/>
          </w:tcPr>
          <w:p>
            <w:pPr>
              <w:pStyle w:val="Normal"/>
              <w:rPr/>
            </w:pPr>
            <w:r>
              <w:rPr/>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sz w:val="4"/>
                <w:szCs w:val="4"/>
              </w:rPr>
            </w:pPr>
            <w:r>
              <w:rPr>
                <w:sz w:val="4"/>
                <w:szCs w:val="4"/>
              </w:rPr>
            </w:r>
          </w:p>
        </w:tc>
        <w:tc>
          <w:tcPr>
            <w:tcW w:w="365" w:type="dxa"/>
            <w:tcBorders/>
            <w:shd w:fill="FFFFFF" w:val="clear"/>
            <w:vAlign w:val="bottom"/>
          </w:tcPr>
          <w:p>
            <w:pPr>
              <w:pStyle w:val="TableContents"/>
              <w:spacing w:before="0" w:after="283"/>
              <w:rPr>
                <w:sz w:val="4"/>
                <w:szCs w:val="4"/>
              </w:rPr>
            </w:pPr>
            <w:r>
              <w:rPr>
                <w:sz w:val="4"/>
                <w:szCs w:val="4"/>
              </w:rPr>
            </w:r>
          </w:p>
        </w:tc>
        <w:tc>
          <w:tcPr>
            <w:tcW w:w="60" w:type="dxa"/>
            <w:tcBorders/>
            <w:shd w:fill="FFFFFF" w:val="clear"/>
            <w:vAlign w:val="bottom"/>
          </w:tcPr>
          <w:p>
            <w:pPr>
              <w:pStyle w:val="TableContents"/>
              <w:spacing w:before="0" w:after="283"/>
              <w:rPr>
                <w:sz w:val="4"/>
                <w:szCs w:val="4"/>
              </w:rPr>
            </w:pPr>
            <w:r>
              <w:rPr>
                <w:sz w:val="4"/>
                <w:szCs w:val="4"/>
              </w:rPr>
            </w:r>
          </w:p>
        </w:tc>
        <w:tc>
          <w:tcPr>
            <w:tcW w:w="60" w:type="dxa"/>
            <w:tcBorders/>
            <w:shd w:fill="FFFFFF" w:val="clear"/>
            <w:vAlign w:val="bottom"/>
          </w:tcPr>
          <w:p>
            <w:pPr>
              <w:pStyle w:val="TableContents"/>
              <w:spacing w:before="0" w:after="283"/>
              <w:rPr/>
            </w:pPr>
            <w:r>
              <w:rPr/>
              <w:t> </w:t>
            </w:r>
          </w:p>
        </w:tc>
        <w:tc>
          <w:tcPr>
            <w:tcW w:w="94" w:type="dxa"/>
            <w:tcBorders/>
            <w:shd w:fill="FFFFFF" w:val="clear"/>
            <w:vAlign w:val="bottom"/>
          </w:tcPr>
          <w:p>
            <w:pPr>
              <w:pStyle w:val="TableContents"/>
              <w:pBdr>
                <w:top w:val="single" w:sz="2" w:space="1" w:color="000000"/>
              </w:pBdr>
              <w:spacing w:before="0" w:after="0"/>
              <w:rPr/>
            </w:pPr>
            <w:r>
              <w:rPr/>
              <w:t> </w:t>
            </w:r>
          </w:p>
        </w:tc>
        <w:tc>
          <w:tcPr>
            <w:tcW w:w="811" w:type="dxa"/>
            <w:tcBorders/>
            <w:shd w:fill="FFFFFF" w:val="clear"/>
            <w:vAlign w:val="bottom"/>
          </w:tcPr>
          <w:p>
            <w:pPr>
              <w:pStyle w:val="TableContents"/>
              <w:pBdr>
                <w:top w:val="single" w:sz="2" w:space="1" w:color="000000"/>
              </w:pBdr>
              <w:spacing w:before="0" w:after="0"/>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97" w:type="dxa"/>
            <w:tcBorders/>
            <w:shd w:fill="FFFFFF" w:val="clear"/>
            <w:vAlign w:val="bottom"/>
          </w:tcPr>
          <w:p>
            <w:pPr>
              <w:pStyle w:val="TableContents"/>
              <w:pBdr>
                <w:top w:val="single" w:sz="2" w:space="1" w:color="000000"/>
              </w:pBdr>
              <w:spacing w:before="0" w:after="0"/>
              <w:rPr/>
            </w:pPr>
            <w:r>
              <w:rPr/>
              <w:t> </w:t>
            </w:r>
          </w:p>
        </w:tc>
        <w:tc>
          <w:tcPr>
            <w:tcW w:w="988" w:type="dxa"/>
            <w:tcBorders/>
            <w:shd w:fill="FFFFFF" w:val="clear"/>
            <w:vAlign w:val="bottom"/>
          </w:tcPr>
          <w:p>
            <w:pPr>
              <w:pStyle w:val="TableContents"/>
              <w:pBdr>
                <w:top w:val="single" w:sz="2" w:space="1" w:color="000000"/>
              </w:pBdr>
              <w:spacing w:before="0" w:after="0"/>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pBdr>
                <w:top w:val="single" w:sz="2" w:space="1" w:color="000000"/>
              </w:pBdr>
              <w:spacing w:before="0" w:after="0"/>
              <w:rPr/>
            </w:pPr>
            <w:r>
              <w:rPr/>
              <w:t> </w:t>
            </w:r>
          </w:p>
        </w:tc>
        <w:tc>
          <w:tcPr>
            <w:tcW w:w="561" w:type="dxa"/>
            <w:tcBorders/>
            <w:shd w:fill="FFFFFF" w:val="clear"/>
            <w:vAlign w:val="bottom"/>
          </w:tcPr>
          <w:p>
            <w:pPr>
              <w:pStyle w:val="TableContents"/>
              <w:pBdr>
                <w:top w:val="single" w:sz="2" w:space="1" w:color="000000"/>
              </w:pBdr>
              <w:spacing w:before="0" w:after="0"/>
              <w:rPr/>
            </w:pPr>
            <w:r>
              <w:rPr/>
              <w:t> </w:t>
            </w:r>
          </w:p>
        </w:tc>
        <w:tc>
          <w:tcPr>
            <w:tcW w:w="290" w:type="dxa"/>
            <w:tcBorders/>
            <w:shd w:fill="FFFFFF" w:val="clear"/>
            <w:vAlign w:val="center"/>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3" w:type="dxa"/>
            <w:tcBorders/>
            <w:shd w:fill="FFFFFF" w:val="clear"/>
            <w:vAlign w:val="bottom"/>
          </w:tcPr>
          <w:p>
            <w:pPr>
              <w:pStyle w:val="TableContents"/>
              <w:spacing w:before="0" w:after="283"/>
              <w:rPr>
                <w:sz w:val="4"/>
                <w:szCs w:val="4"/>
              </w:rPr>
            </w:pPr>
            <w:r>
              <w:rPr>
                <w:sz w:val="4"/>
                <w:szCs w:val="4"/>
              </w:rPr>
            </w:r>
          </w:p>
        </w:tc>
        <w:tc>
          <w:tcPr>
            <w:tcW w:w="697" w:type="dxa"/>
            <w:tcBorders/>
            <w:shd w:fill="FFFFFF" w:val="clear"/>
            <w:vAlign w:val="bottom"/>
          </w:tcPr>
          <w:p>
            <w:pPr>
              <w:pStyle w:val="TableContents"/>
              <w:spacing w:before="0" w:after="283"/>
              <w:rPr>
                <w:sz w:val="4"/>
                <w:szCs w:val="4"/>
              </w:rPr>
            </w:pPr>
            <w:r>
              <w:rPr>
                <w:sz w:val="4"/>
                <w:szCs w:val="4"/>
              </w:rPr>
            </w:r>
          </w:p>
        </w:tc>
        <w:tc>
          <w:tcPr>
            <w:tcW w:w="60" w:type="dxa"/>
            <w:tcBorders/>
            <w:shd w:fill="FFFFFF" w:val="clear"/>
            <w:vAlign w:val="bottom"/>
          </w:tcPr>
          <w:p>
            <w:pPr>
              <w:pStyle w:val="TableContents"/>
              <w:spacing w:before="0" w:after="283"/>
              <w:rPr>
                <w:sz w:val="4"/>
                <w:szCs w:val="4"/>
              </w:rPr>
            </w:pPr>
            <w:r>
              <w:rPr>
                <w:sz w:val="4"/>
                <w:szCs w:val="4"/>
              </w:rPr>
            </w:r>
          </w:p>
        </w:tc>
        <w:tc>
          <w:tcPr>
            <w:tcW w:w="60"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pBdr>
                <w:top w:val="single" w:sz="2" w:space="1" w:color="000000"/>
              </w:pBdr>
              <w:spacing w:before="0" w:after="0"/>
              <w:rPr/>
            </w:pPr>
            <w:r>
              <w:rPr/>
              <w:t> </w:t>
            </w:r>
          </w:p>
        </w:tc>
        <w:tc>
          <w:tcPr>
            <w:tcW w:w="690" w:type="dxa"/>
            <w:tcBorders/>
            <w:shd w:fill="FFFFFF" w:val="clear"/>
            <w:vAlign w:val="bottom"/>
          </w:tcPr>
          <w:p>
            <w:pPr>
              <w:pStyle w:val="TableContents"/>
              <w:pBdr>
                <w:top w:val="single" w:sz="2" w:space="1" w:color="000000"/>
              </w:pBdr>
              <w:spacing w:before="0" w:after="0"/>
              <w:rPr/>
            </w:pPr>
            <w:r>
              <w:rPr/>
              <w:t> </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pBdr>
                <w:top w:val="single" w:sz="2" w:space="1" w:color="000000"/>
              </w:pBdr>
              <w:spacing w:before="0" w:after="0"/>
              <w:rPr/>
            </w:pPr>
            <w:r>
              <w:rPr/>
              <w:t> </w:t>
            </w:r>
          </w:p>
        </w:tc>
        <w:tc>
          <w:tcPr>
            <w:tcW w:w="815" w:type="dxa"/>
            <w:tcBorders/>
            <w:shd w:fill="FFFFFF" w:val="clear"/>
            <w:vAlign w:val="bottom"/>
          </w:tcPr>
          <w:p>
            <w:pPr>
              <w:pStyle w:val="TableContents"/>
              <w:pBdr>
                <w:top w:val="single" w:sz="2" w:space="1" w:color="000000"/>
              </w:pBdr>
              <w:spacing w:before="0" w:after="0"/>
              <w:rPr/>
            </w:pPr>
            <w:r>
              <w:rPr/>
              <w:t> </w:t>
            </w:r>
          </w:p>
        </w:tc>
        <w:tc>
          <w:tcPr>
            <w:tcW w:w="320" w:type="dxa"/>
            <w:tcBorders/>
            <w:shd w:fill="FFFFFF" w:val="clear"/>
            <w:vAlign w:val="center"/>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pBdr>
                <w:top w:val="single" w:sz="2" w:space="1" w:color="000000"/>
              </w:pBdr>
              <w:spacing w:before="0" w:after="0"/>
              <w:rPr/>
            </w:pPr>
            <w:r>
              <w:rPr/>
              <w:t> </w:t>
            </w:r>
          </w:p>
        </w:tc>
        <w:tc>
          <w:tcPr>
            <w:tcW w:w="759" w:type="dxa"/>
            <w:tcBorders/>
            <w:shd w:fill="FFFFFF" w:val="clear"/>
            <w:vAlign w:val="bottom"/>
          </w:tcPr>
          <w:p>
            <w:pPr>
              <w:pStyle w:val="TableContents"/>
              <w:pBdr>
                <w:top w:val="single" w:sz="2" w:space="1" w:color="000000"/>
              </w:pBdr>
              <w:spacing w:before="0" w:after="0"/>
              <w:rPr/>
            </w:pPr>
            <w:r>
              <w:rPr/>
              <w:t> </w:t>
            </w:r>
          </w:p>
        </w:tc>
        <w:tc>
          <w:tcPr>
            <w:tcW w:w="107" w:type="dxa"/>
            <w:tcBorders/>
            <w:shd w:fill="FFFFFF" w:val="clear"/>
            <w:vAlign w:val="center"/>
          </w:tcPr>
          <w:p>
            <w:pPr>
              <w:pStyle w:val="TableContents"/>
              <w:spacing w:before="0" w:after="283"/>
              <w:rPr/>
            </w:pPr>
            <w:r>
              <w:rPr/>
              <w:t> </w:t>
            </w:r>
          </w:p>
        </w:tc>
        <w:tc>
          <w:tcPr>
            <w:tcW w:w="107"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pBdr>
                <w:top w:val="single" w:sz="2" w:space="1" w:color="000000"/>
              </w:pBdr>
              <w:spacing w:before="0" w:after="0"/>
              <w:rPr/>
            </w:pPr>
            <w:r>
              <w:rPr/>
              <w:t> </w:t>
            </w:r>
          </w:p>
        </w:tc>
        <w:tc>
          <w:tcPr>
            <w:tcW w:w="1084" w:type="dxa"/>
            <w:tcBorders/>
            <w:shd w:fill="FFFFFF" w:val="clear"/>
            <w:vAlign w:val="bottom"/>
          </w:tcPr>
          <w:p>
            <w:pPr>
              <w:pStyle w:val="TableContents"/>
              <w:pBdr>
                <w:top w:val="single" w:sz="2" w:space="1" w:color="000000"/>
              </w:pBdr>
              <w:spacing w:before="0" w:after="0"/>
              <w:rPr/>
            </w:pPr>
            <w:r>
              <w:rPr/>
              <w:t> </w:t>
            </w:r>
          </w:p>
        </w:tc>
        <w:tc>
          <w:tcPr>
            <w:tcW w:w="305" w:type="dxa"/>
            <w:tcBorders/>
            <w:shd w:fill="FFFFFF" w:val="clear"/>
            <w:vAlign w:val="center"/>
          </w:tcPr>
          <w:p>
            <w:pPr>
              <w:pStyle w:val="TableContents"/>
              <w:spacing w:before="0" w:after="283"/>
              <w:rPr/>
            </w:pPr>
            <w:r>
              <w:rPr/>
              <w:t> </w:t>
            </w:r>
          </w:p>
        </w:tc>
      </w:tr>
      <w:tr>
        <w:trPr/>
        <w:tc>
          <w:tcPr>
            <w:tcW w:w="575"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365"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4"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811"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45,455</w:t>
            </w:r>
          </w:p>
        </w:tc>
        <w:tc>
          <w:tcPr>
            <w:tcW w:w="6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7"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988"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197,185</w:t>
            </w:r>
          </w:p>
        </w:tc>
        <w:tc>
          <w:tcPr>
            <w:tcW w:w="6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9"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561"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125.31</w:t>
            </w:r>
          </w:p>
        </w:tc>
        <w:tc>
          <w:tcPr>
            <w:tcW w:w="290" w:type="dxa"/>
            <w:tcBorders>
              <w:bottom w:val="single" w:sz="8" w:space="0" w:color="001C71"/>
            </w:tcBorders>
            <w:shd w:fill="auto" w:val="clear"/>
            <w:tcMar>
              <w:bottom w:w="28" w:type="dxa"/>
            </w:tcMar>
            <w:vAlign w:val="bottom"/>
          </w:tcPr>
          <w:p>
            <w:pPr>
              <w:pStyle w:val="TableContents"/>
              <w:spacing w:lineRule="atLeast" w:line="180" w:before="0" w:after="0"/>
              <w:rPr>
                <w:rFonts w:ascii="arial" w:hAnsi="arial"/>
                <w:sz w:val="16"/>
              </w:rPr>
            </w:pPr>
            <w:r>
              <w:rPr>
                <w:rFonts w:ascii="arial" w:hAnsi="arial"/>
                <w:sz w:val="16"/>
              </w:rPr>
              <w:t>(E)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3" w:type="dxa"/>
            <w:tcBorders>
              <w:bottom w:val="single" w:sz="8" w:space="0" w:color="001C71"/>
            </w:tcBorders>
            <w:shd w:fill="auto" w:val="clear"/>
            <w:tcMar>
              <w:bottom w:w="28" w:type="dxa"/>
            </w:tcMar>
            <w:vAlign w:val="bottom"/>
          </w:tcPr>
          <w:p>
            <w:pPr>
              <w:pStyle w:val="TableContents"/>
              <w:spacing w:before="0" w:after="283"/>
              <w:rPr/>
            </w:pPr>
            <w:r>
              <w:rPr/>
              <w:t> </w:t>
            </w:r>
          </w:p>
        </w:tc>
        <w:tc>
          <w:tcPr>
            <w:tcW w:w="697"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8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90"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78,389</w:t>
            </w:r>
          </w:p>
        </w:tc>
        <w:tc>
          <w:tcPr>
            <w:tcW w:w="66"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6" w:type="dxa"/>
            <w:tcBorders>
              <w:bottom w:val="single" w:sz="8" w:space="0" w:color="001C71"/>
            </w:tcBorders>
            <w:shd w:fill="auto" w:val="clear"/>
            <w:tcMar>
              <w:bottom w:w="28" w:type="dxa"/>
            </w:tcMar>
            <w:vAlign w:val="bottom"/>
          </w:tcPr>
          <w:p>
            <w:pPr>
              <w:pStyle w:val="TableContents"/>
              <w:spacing w:before="0" w:after="283"/>
              <w:rPr/>
            </w:pPr>
            <w:r>
              <w:rPr/>
              <w:t> </w:t>
            </w:r>
          </w:p>
        </w:tc>
        <w:tc>
          <w:tcPr>
            <w:tcW w:w="121"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815"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9,987,543</w:t>
            </w:r>
          </w:p>
        </w:tc>
        <w:tc>
          <w:tcPr>
            <w:tcW w:w="32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7"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59"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5,419</w:t>
            </w:r>
          </w:p>
        </w:tc>
        <w:tc>
          <w:tcPr>
            <w:tcW w:w="107"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107" w:type="dxa"/>
            <w:tcBorders>
              <w:bottom w:val="single" w:sz="8" w:space="0" w:color="001C71"/>
            </w:tcBorders>
            <w:shd w:fill="FFFFFF" w:val="clear"/>
            <w:tcMar>
              <w:bottom w:w="28" w:type="dxa"/>
            </w:tcMar>
            <w:vAlign w:val="bottom"/>
          </w:tcPr>
          <w:p>
            <w:pPr>
              <w:pStyle w:val="TableContents"/>
              <w:spacing w:before="0" w:after="283"/>
              <w:rPr/>
            </w:pPr>
            <w:r>
              <w:rPr/>
              <w:t> </w:t>
            </w:r>
          </w:p>
        </w:tc>
        <w:tc>
          <w:tcPr>
            <w:tcW w:w="196" w:type="dxa"/>
            <w:tcBorders>
              <w:bottom w:val="single" w:sz="8" w:space="0" w:color="001C71"/>
            </w:tcBorders>
            <w:shd w:fill="FFFFFF"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1084" w:type="dxa"/>
            <w:tcBorders>
              <w:bottom w:val="single" w:sz="8" w:space="0" w:color="001C71"/>
            </w:tcBorders>
            <w:shd w:fill="FFFFFF"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690,391</w:t>
            </w:r>
          </w:p>
        </w:tc>
        <w:tc>
          <w:tcPr>
            <w:tcW w:w="305" w:type="dxa"/>
            <w:tcBorders>
              <w:bottom w:val="single" w:sz="8" w:space="0" w:color="001C71"/>
            </w:tcBorders>
            <w:shd w:fill="FFFFFF" w:val="clear"/>
            <w:tcMar>
              <w:bottom w:w="28" w:type="dxa"/>
            </w:tcMar>
            <w:vAlign w:val="bottom"/>
          </w:tcPr>
          <w:p>
            <w:pPr>
              <w:pStyle w:val="TableContents"/>
              <w:spacing w:lineRule="atLeast" w:line="240" w:before="0" w:after="0"/>
              <w:rPr/>
            </w:pPr>
            <w:r>
              <w:rPr/>
              <w:t> </w:t>
            </w:r>
          </w:p>
        </w:tc>
      </w:tr>
      <w:tr>
        <w:trPr/>
        <w:tc>
          <w:tcPr>
            <w:tcW w:w="575" w:type="dxa"/>
            <w:vMerge w:val="restart"/>
            <w:tcBorders/>
            <w:shd w:fill="auto" w:val="clear"/>
            <w:vAlign w:val="center"/>
          </w:tcPr>
          <w:p>
            <w:pPr>
              <w:pStyle w:val="TableContents"/>
              <w:spacing w:before="0" w:after="0"/>
              <w:rPr/>
            </w:pPr>
            <w:r>
              <w:rPr/>
              <w:t> </w:t>
            </w:r>
          </w:p>
          <w:p>
            <w:pPr>
              <w:pStyle w:val="TableContents"/>
              <w:spacing w:lineRule="atLeast" w:line="220" w:before="0" w:after="20"/>
              <w:rPr>
                <w:rFonts w:ascii="arial" w:hAnsi="arial"/>
                <w:b/>
                <w:sz w:val="16"/>
              </w:rPr>
            </w:pPr>
            <w:r>
              <w:rPr>
                <w:rFonts w:ascii="arial" w:hAnsi="arial"/>
                <w:b/>
                <w:sz w:val="16"/>
              </w:rPr>
              <w:t>Trevor I. Mihalik</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lineRule="atLeast" w:line="240" w:before="0" w:after="0"/>
              <w:rPr/>
            </w:pPr>
            <w:r>
              <w:rPr/>
              <w:t> </w:t>
            </w:r>
          </w:p>
        </w:tc>
        <w:tc>
          <w:tcPr>
            <w:tcW w:w="811"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lineRule="atLeast" w:line="240" w:before="0" w:after="0"/>
              <w:rPr/>
            </w:pPr>
            <w:r>
              <w:rPr/>
              <w:t> </w:t>
            </w:r>
          </w:p>
        </w:tc>
        <w:tc>
          <w:tcPr>
            <w:tcW w:w="98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15,942</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561"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149.12</w:t>
            </w:r>
          </w:p>
        </w:tc>
        <w:tc>
          <w:tcPr>
            <w:tcW w:w="29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lineRule="atLeast" w:line="240" w:before="0" w:after="0"/>
              <w:rPr/>
            </w:pPr>
            <w:r>
              <w:rPr/>
              <w:t> </w:t>
            </w:r>
          </w:p>
        </w:tc>
        <w:tc>
          <w:tcPr>
            <w:tcW w:w="697"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01/01/30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1,213</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154,530</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2,888</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367,984</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lineRule="atLeast" w:line="240" w:before="0" w:after="0"/>
              <w:rPr/>
            </w:pPr>
            <w:r>
              <w:rPr/>
              <w:t> </w:t>
            </w:r>
          </w:p>
        </w:tc>
        <w:tc>
          <w:tcPr>
            <w:tcW w:w="759"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2,166</w:t>
            </w:r>
          </w:p>
        </w:tc>
        <w:tc>
          <w:tcPr>
            <w:tcW w:w="107" w:type="dxa"/>
            <w:tcBorders/>
            <w:shd w:fill="E5E5E5" w:val="clear"/>
            <w:vAlign w:val="bottom"/>
          </w:tcPr>
          <w:p>
            <w:pPr>
              <w:pStyle w:val="TableContents"/>
              <w:spacing w:lineRule="atLeast" w:line="240" w:before="0" w:after="0"/>
              <w:rPr/>
            </w:pPr>
            <w:r>
              <w:rPr/>
              <w:t> </w:t>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08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276,021</w:t>
            </w:r>
          </w:p>
        </w:tc>
        <w:tc>
          <w:tcPr>
            <w:tcW w:w="305" w:type="dxa"/>
            <w:tcBorders/>
            <w:shd w:fill="E5E5E5" w:val="clear"/>
            <w:vAlign w:val="bottom"/>
          </w:tcPr>
          <w:p>
            <w:pPr>
              <w:pStyle w:val="TableContents"/>
              <w:spacing w:lineRule="atLeast" w:line="180" w:before="0" w:after="0"/>
              <w:rPr>
                <w:rFonts w:ascii="arial" w:hAnsi="arial"/>
                <w:sz w:val="16"/>
              </w:rPr>
            </w:pPr>
            <w:r>
              <w:rPr>
                <w:rFonts w:ascii="arial" w:hAnsi="arial"/>
                <w:sz w:val="16"/>
              </w:rPr>
              <w:t>(J) </w:t>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lineRule="atLeast" w:line="240" w:before="0" w:after="0"/>
              <w:rPr/>
            </w:pPr>
            <w:r>
              <w:rPr/>
              <w:t> </w:t>
            </w:r>
          </w:p>
        </w:tc>
        <w:tc>
          <w:tcPr>
            <w:tcW w:w="811"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5,171</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lineRule="atLeast" w:line="240" w:before="0" w:after="0"/>
              <w:rPr/>
            </w:pPr>
            <w:r>
              <w:rPr/>
              <w:t> </w:t>
            </w:r>
          </w:p>
        </w:tc>
        <w:tc>
          <w:tcPr>
            <w:tcW w:w="988"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10,341</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561"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106.76</w:t>
            </w:r>
          </w:p>
        </w:tc>
        <w:tc>
          <w:tcPr>
            <w:tcW w:w="29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lineRule="atLeast" w:line="240" w:before="0" w:after="0"/>
              <w:rPr/>
            </w:pPr>
            <w:r>
              <w:rPr/>
              <w:t> </w:t>
            </w:r>
          </w:p>
        </w:tc>
        <w:tc>
          <w:tcPr>
            <w:tcW w:w="697"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01/01/29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6,648</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847,063</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1,421</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181,012</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2,695</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343,403</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lineRule="atLeast" w:line="240" w:before="0" w:after="0"/>
              <w:rPr/>
            </w:pPr>
            <w:r>
              <w:rPr/>
              <w:t> </w:t>
            </w:r>
          </w:p>
        </w:tc>
        <w:tc>
          <w:tcPr>
            <w:tcW w:w="759"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1,347</w:t>
            </w:r>
          </w:p>
        </w:tc>
        <w:tc>
          <w:tcPr>
            <w:tcW w:w="107" w:type="dxa"/>
            <w:tcBorders/>
            <w:shd w:fill="auto" w:val="clear"/>
            <w:vAlign w:val="bottom"/>
          </w:tcPr>
          <w:p>
            <w:pPr>
              <w:pStyle w:val="TableContents"/>
              <w:spacing w:lineRule="atLeast" w:line="240" w:before="0" w:after="0"/>
              <w:rPr/>
            </w:pPr>
            <w:r>
              <w:rPr/>
              <w:t> </w:t>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lineRule="atLeast" w:line="240" w:before="0" w:after="0"/>
              <w:rPr/>
            </w:pPr>
            <w:r>
              <w:rPr/>
              <w:t> </w:t>
            </w:r>
          </w:p>
        </w:tc>
        <w:tc>
          <w:tcPr>
            <w:tcW w:w="1084"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171,567</w:t>
            </w:r>
          </w:p>
        </w:tc>
        <w:tc>
          <w:tcPr>
            <w:tcW w:w="305" w:type="dxa"/>
            <w:tcBorders/>
            <w:shd w:fill="auto" w:val="clear"/>
            <w:vAlign w:val="bottom"/>
          </w:tcPr>
          <w:p>
            <w:pPr>
              <w:pStyle w:val="TableContents"/>
              <w:spacing w:lineRule="atLeast" w:line="180" w:before="0" w:after="0"/>
              <w:rPr>
                <w:rFonts w:ascii="arial" w:hAnsi="arial"/>
                <w:sz w:val="16"/>
              </w:rPr>
            </w:pPr>
            <w:r>
              <w:rPr>
                <w:rFonts w:ascii="arial" w:hAnsi="arial"/>
                <w:sz w:val="16"/>
              </w:rPr>
              <w:t>(I) </w:t>
            </w:r>
          </w:p>
        </w:tc>
      </w:tr>
      <w:tr>
        <w:trPr/>
        <w:tc>
          <w:tcPr>
            <w:tcW w:w="57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2,678</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341,163</w:t>
            </w:r>
          </w:p>
        </w:tc>
        <w:tc>
          <w:tcPr>
            <w:tcW w:w="320" w:type="dxa"/>
            <w:tcBorders/>
            <w:shd w:fill="E5E5E5"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1,047</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133,401</w:t>
            </w:r>
          </w:p>
        </w:tc>
        <w:tc>
          <w:tcPr>
            <w:tcW w:w="320" w:type="dxa"/>
            <w:tcBorders/>
            <w:shd w:fill="auto"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7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575" w:type="dxa"/>
            <w:tcBorders/>
            <w:shd w:fill="auto"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2,642</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336,607</w:t>
            </w:r>
          </w:p>
        </w:tc>
        <w:tc>
          <w:tcPr>
            <w:tcW w:w="320" w:type="dxa"/>
            <w:tcBorders/>
            <w:shd w:fill="E5E5E5" w:val="clear"/>
            <w:vAlign w:val="bottom"/>
          </w:tcPr>
          <w:p>
            <w:pPr>
              <w:pStyle w:val="TableContents"/>
              <w:spacing w:lineRule="atLeast" w:line="180" w:before="0" w:after="0"/>
              <w:rPr>
                <w:rFonts w:ascii="arial" w:hAnsi="arial"/>
                <w:sz w:val="16"/>
              </w:rPr>
            </w:pPr>
            <w:r>
              <w:rPr>
                <w:rFonts w:ascii="arial" w:hAnsi="arial"/>
                <w:sz w:val="16"/>
              </w:rPr>
              <w:t>(G)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before="0" w:after="283"/>
              <w:rPr>
                <w:sz w:val="4"/>
                <w:szCs w:val="4"/>
              </w:rPr>
            </w:pPr>
            <w:r>
              <w:rPr>
                <w:sz w:val="4"/>
                <w:szCs w:val="4"/>
              </w:rPr>
            </w:r>
          </w:p>
        </w:tc>
        <w:tc>
          <w:tcPr>
            <w:tcW w:w="759"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sz w:val="4"/>
                <w:szCs w:val="4"/>
              </w:rPr>
            </w:pPr>
            <w:r>
              <w:rPr>
                <w:sz w:val="4"/>
                <w:szCs w:val="4"/>
              </w:rPr>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084"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5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lineRule="atLeast" w:line="240" w:before="0" w:after="0"/>
              <w:rPr/>
            </w:pPr>
            <w:r>
              <w:rPr/>
              <w:t> </w:t>
            </w:r>
          </w:p>
        </w:tc>
        <w:tc>
          <w:tcPr>
            <w:tcW w:w="759"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1,982</w:t>
            </w:r>
          </w:p>
        </w:tc>
        <w:tc>
          <w:tcPr>
            <w:tcW w:w="107" w:type="dxa"/>
            <w:tcBorders/>
            <w:shd w:fill="auto" w:val="clear"/>
            <w:vAlign w:val="bottom"/>
          </w:tcPr>
          <w:p>
            <w:pPr>
              <w:pStyle w:val="TableContents"/>
              <w:spacing w:lineRule="atLeast" w:line="240" w:before="0" w:after="0"/>
              <w:rPr/>
            </w:pPr>
            <w:r>
              <w:rPr/>
              <w:t> </w:t>
            </w:r>
          </w:p>
        </w:tc>
        <w:tc>
          <w:tcPr>
            <w:tcW w:w="10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lineRule="atLeast" w:line="240" w:before="0" w:after="0"/>
              <w:rPr/>
            </w:pPr>
            <w:r>
              <w:rPr/>
              <w:t> </w:t>
            </w:r>
          </w:p>
        </w:tc>
        <w:tc>
          <w:tcPr>
            <w:tcW w:w="1084"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252,524</w:t>
            </w:r>
          </w:p>
        </w:tc>
        <w:tc>
          <w:tcPr>
            <w:tcW w:w="305" w:type="dxa"/>
            <w:tcBorders/>
            <w:shd w:fill="auto" w:val="clear"/>
            <w:vAlign w:val="bottom"/>
          </w:tcPr>
          <w:p>
            <w:pPr>
              <w:pStyle w:val="TableContents"/>
              <w:spacing w:lineRule="atLeast" w:line="180" w:before="0" w:after="0"/>
              <w:rPr>
                <w:rFonts w:ascii="arial" w:hAnsi="arial"/>
                <w:sz w:val="16"/>
              </w:rPr>
            </w:pPr>
            <w:r>
              <w:rPr>
                <w:rFonts w:ascii="arial" w:hAnsi="arial"/>
                <w:sz w:val="16"/>
              </w:rPr>
              <w:t>(H) </w:t>
            </w:r>
          </w:p>
        </w:tc>
      </w:tr>
      <w:tr>
        <w:trPr/>
        <w:tc>
          <w:tcPr>
            <w:tcW w:w="575" w:type="dxa"/>
            <w:tcBorders/>
            <w:shd w:fill="auto"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81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spacing w:before="0" w:after="283"/>
              <w:rPr>
                <w:sz w:val="4"/>
                <w:szCs w:val="4"/>
              </w:rPr>
            </w:pPr>
            <w:r>
              <w:rPr>
                <w:sz w:val="4"/>
                <w:szCs w:val="4"/>
              </w:rPr>
            </w:r>
          </w:p>
        </w:tc>
        <w:tc>
          <w:tcPr>
            <w:tcW w:w="98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spacing w:before="0" w:after="283"/>
              <w:rPr>
                <w:sz w:val="4"/>
                <w:szCs w:val="4"/>
              </w:rPr>
            </w:pPr>
            <w:r>
              <w:rPr>
                <w:sz w:val="4"/>
                <w:szCs w:val="4"/>
              </w:rPr>
            </w:r>
          </w:p>
        </w:tc>
        <w:tc>
          <w:tcPr>
            <w:tcW w:w="561" w:type="dxa"/>
            <w:tcBorders/>
            <w:shd w:fill="E5E5E5" w:val="clear"/>
            <w:vAlign w:val="bottom"/>
          </w:tcPr>
          <w:p>
            <w:pPr>
              <w:pStyle w:val="TableContents"/>
              <w:spacing w:before="0" w:after="283"/>
              <w:rPr>
                <w:sz w:val="4"/>
                <w:szCs w:val="4"/>
              </w:rPr>
            </w:pPr>
            <w:r>
              <w:rPr>
                <w:sz w:val="4"/>
                <w:szCs w:val="4"/>
              </w:rPr>
            </w:r>
          </w:p>
        </w:tc>
        <w:tc>
          <w:tcPr>
            <w:tcW w:w="29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spacing w:lineRule="atLeast" w:line="240" w:before="0" w:after="0"/>
              <w:rPr/>
            </w:pPr>
            <w:r>
              <w:rPr/>
              <w:t> </w:t>
            </w:r>
          </w:p>
        </w:tc>
        <w:tc>
          <w:tcPr>
            <w:tcW w:w="759"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1,289</w:t>
            </w:r>
          </w:p>
        </w:tc>
        <w:tc>
          <w:tcPr>
            <w:tcW w:w="107" w:type="dxa"/>
            <w:tcBorders/>
            <w:shd w:fill="E5E5E5" w:val="clear"/>
            <w:vAlign w:val="bottom"/>
          </w:tcPr>
          <w:p>
            <w:pPr>
              <w:pStyle w:val="TableContents"/>
              <w:spacing w:lineRule="atLeast" w:line="240" w:before="0" w:after="0"/>
              <w:rPr/>
            </w:pPr>
            <w:r>
              <w:rPr/>
              <w:t> </w:t>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lineRule="atLeast" w:line="240" w:before="0" w:after="0"/>
              <w:rPr/>
            </w:pPr>
            <w:r>
              <w:rPr/>
              <w:t> </w:t>
            </w:r>
          </w:p>
        </w:tc>
        <w:tc>
          <w:tcPr>
            <w:tcW w:w="108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164,286</w:t>
            </w:r>
          </w:p>
        </w:tc>
        <w:tc>
          <w:tcPr>
            <w:tcW w:w="305" w:type="dxa"/>
            <w:tcBorders/>
            <w:shd w:fill="E5E5E5" w:val="clear"/>
            <w:vAlign w:val="bottom"/>
          </w:tcPr>
          <w:p>
            <w:pPr>
              <w:pStyle w:val="TableContents"/>
              <w:spacing w:lineRule="atLeast" w:line="180" w:before="0" w:after="0"/>
              <w:rPr>
                <w:rFonts w:ascii="arial" w:hAnsi="arial"/>
                <w:sz w:val="16"/>
              </w:rPr>
            </w:pPr>
            <w:r>
              <w:rPr>
                <w:rFonts w:ascii="arial" w:hAnsi="arial"/>
                <w:sz w:val="16"/>
              </w:rPr>
              <w:t>(K) </w:t>
            </w:r>
          </w:p>
        </w:tc>
      </w:tr>
      <w:tr>
        <w:trPr/>
        <w:tc>
          <w:tcPr>
            <w:tcW w:w="575" w:type="dxa"/>
            <w:tcBorders/>
            <w:shd w:fill="FFFFFF"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36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pBdr>
                <w:top w:val="single" w:sz="2" w:space="1" w:color="000000"/>
              </w:pBdr>
              <w:spacing w:before="0" w:after="0"/>
              <w:rPr/>
            </w:pPr>
            <w:r>
              <w:rPr/>
              <w:t> </w:t>
            </w:r>
          </w:p>
        </w:tc>
        <w:tc>
          <w:tcPr>
            <w:tcW w:w="811" w:type="dxa"/>
            <w:tcBorders/>
            <w:shd w:fill="E5E5E5" w:val="clear"/>
            <w:vAlign w:val="bottom"/>
          </w:tcPr>
          <w:p>
            <w:pPr>
              <w:pStyle w:val="TableContents"/>
              <w:pBdr>
                <w:top w:val="single" w:sz="2" w:space="1" w:color="000000"/>
              </w:pBdr>
              <w:spacing w:before="0" w:after="0"/>
              <w:rPr/>
            </w:pPr>
            <w:r>
              <w:rPr/>
              <w:t> </w:t>
            </w:r>
          </w:p>
        </w:tc>
        <w:tc>
          <w:tcPr>
            <w:tcW w:w="60" w:type="dxa"/>
            <w:tcBorders/>
            <w:shd w:fill="FFFFFF"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7" w:type="dxa"/>
            <w:tcBorders/>
            <w:shd w:fill="E5E5E5" w:val="clear"/>
            <w:vAlign w:val="bottom"/>
          </w:tcPr>
          <w:p>
            <w:pPr>
              <w:pStyle w:val="TableContents"/>
              <w:pBdr>
                <w:top w:val="single" w:sz="2" w:space="1" w:color="000000"/>
              </w:pBdr>
              <w:spacing w:before="0" w:after="0"/>
              <w:rPr/>
            </w:pPr>
            <w:r>
              <w:rPr/>
              <w:t> </w:t>
            </w:r>
          </w:p>
        </w:tc>
        <w:tc>
          <w:tcPr>
            <w:tcW w:w="988" w:type="dxa"/>
            <w:tcBorders/>
            <w:shd w:fill="E5E5E5" w:val="clear"/>
            <w:vAlign w:val="bottom"/>
          </w:tcPr>
          <w:p>
            <w:pPr>
              <w:pStyle w:val="TableContents"/>
              <w:pBdr>
                <w:top w:val="single" w:sz="2" w:space="1" w:color="000000"/>
              </w:pBdr>
              <w:spacing w:before="0" w:after="0"/>
              <w:rPr/>
            </w:pPr>
            <w:r>
              <w:rPr/>
              <w:t> </w:t>
            </w:r>
          </w:p>
        </w:tc>
        <w:tc>
          <w:tcPr>
            <w:tcW w:w="60" w:type="dxa"/>
            <w:tcBorders/>
            <w:shd w:fill="FFFFFF"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9" w:type="dxa"/>
            <w:tcBorders/>
            <w:shd w:fill="E5E5E5" w:val="clear"/>
            <w:vAlign w:val="bottom"/>
          </w:tcPr>
          <w:p>
            <w:pPr>
              <w:pStyle w:val="TableContents"/>
              <w:pBdr>
                <w:top w:val="single" w:sz="2" w:space="1" w:color="000000"/>
              </w:pBdr>
              <w:spacing w:before="0" w:after="0"/>
              <w:rPr/>
            </w:pPr>
            <w:r>
              <w:rPr/>
              <w:t> </w:t>
            </w:r>
          </w:p>
        </w:tc>
        <w:tc>
          <w:tcPr>
            <w:tcW w:w="561" w:type="dxa"/>
            <w:tcBorders/>
            <w:shd w:fill="E5E5E5" w:val="clear"/>
            <w:vAlign w:val="bottom"/>
          </w:tcPr>
          <w:p>
            <w:pPr>
              <w:pStyle w:val="TableContents"/>
              <w:pBdr>
                <w:top w:val="single" w:sz="2" w:space="1" w:color="000000"/>
              </w:pBdr>
              <w:spacing w:before="0" w:after="0"/>
              <w:rPr/>
            </w:pPr>
            <w:r>
              <w:rPr/>
              <w:t> </w:t>
            </w:r>
          </w:p>
        </w:tc>
        <w:tc>
          <w:tcPr>
            <w:tcW w:w="290" w:type="dxa"/>
            <w:tcBorders/>
            <w:shd w:fill="FFFFFF"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sz w:val="4"/>
                <w:szCs w:val="4"/>
              </w:rPr>
            </w:pPr>
            <w:r>
              <w:rPr>
                <w:sz w:val="4"/>
                <w:szCs w:val="4"/>
              </w:rPr>
            </w:r>
          </w:p>
        </w:tc>
        <w:tc>
          <w:tcPr>
            <w:tcW w:w="69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pBdr>
                <w:top w:val="single" w:sz="2" w:space="1" w:color="000000"/>
              </w:pBdr>
              <w:spacing w:before="0" w:after="0"/>
              <w:rPr/>
            </w:pPr>
            <w:r>
              <w:rPr/>
              <w:t> </w:t>
            </w:r>
          </w:p>
        </w:tc>
        <w:tc>
          <w:tcPr>
            <w:tcW w:w="690" w:type="dxa"/>
            <w:tcBorders/>
            <w:shd w:fill="E5E5E5" w:val="clear"/>
            <w:vAlign w:val="bottom"/>
          </w:tcPr>
          <w:p>
            <w:pPr>
              <w:pStyle w:val="TableContents"/>
              <w:pBdr>
                <w:top w:val="single" w:sz="2" w:space="1" w:color="000000"/>
              </w:pBdr>
              <w:spacing w:before="0" w:after="0"/>
              <w:rPr/>
            </w:pPr>
            <w:r>
              <w:rPr/>
              <w:t> </w:t>
            </w:r>
          </w:p>
        </w:tc>
        <w:tc>
          <w:tcPr>
            <w:tcW w:w="66" w:type="dxa"/>
            <w:tcBorders/>
            <w:shd w:fill="FFFFFF" w:val="clear"/>
            <w:vAlign w:val="center"/>
          </w:tcPr>
          <w:p>
            <w:pPr>
              <w:pStyle w:val="TableContents"/>
              <w:spacing w:before="0" w:after="283"/>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pBdr>
                <w:top w:val="single" w:sz="2" w:space="1" w:color="000000"/>
              </w:pBdr>
              <w:spacing w:before="0" w:after="0"/>
              <w:rPr/>
            </w:pPr>
            <w:r>
              <w:rPr/>
              <w:t> </w:t>
            </w:r>
          </w:p>
        </w:tc>
        <w:tc>
          <w:tcPr>
            <w:tcW w:w="815" w:type="dxa"/>
            <w:tcBorders/>
            <w:shd w:fill="E5E5E5" w:val="clear"/>
            <w:vAlign w:val="bottom"/>
          </w:tcPr>
          <w:p>
            <w:pPr>
              <w:pStyle w:val="TableContents"/>
              <w:pBdr>
                <w:top w:val="single" w:sz="2" w:space="1" w:color="000000"/>
              </w:pBdr>
              <w:spacing w:before="0" w:after="0"/>
              <w:rPr/>
            </w:pPr>
            <w:r>
              <w:rPr/>
              <w:t> </w:t>
            </w:r>
          </w:p>
        </w:tc>
        <w:tc>
          <w:tcPr>
            <w:tcW w:w="320" w:type="dxa"/>
            <w:tcBorders/>
            <w:shd w:fill="FFFFFF"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7" w:type="dxa"/>
            <w:tcBorders/>
            <w:shd w:fill="E5E5E5" w:val="clear"/>
            <w:vAlign w:val="bottom"/>
          </w:tcPr>
          <w:p>
            <w:pPr>
              <w:pStyle w:val="TableContents"/>
              <w:pBdr>
                <w:top w:val="single" w:sz="2" w:space="1" w:color="000000"/>
              </w:pBdr>
              <w:spacing w:before="0" w:after="0"/>
              <w:rPr/>
            </w:pPr>
            <w:r>
              <w:rPr/>
              <w:t> </w:t>
            </w:r>
          </w:p>
        </w:tc>
        <w:tc>
          <w:tcPr>
            <w:tcW w:w="759" w:type="dxa"/>
            <w:tcBorders/>
            <w:shd w:fill="E5E5E5" w:val="clear"/>
            <w:vAlign w:val="bottom"/>
          </w:tcPr>
          <w:p>
            <w:pPr>
              <w:pStyle w:val="TableContents"/>
              <w:pBdr>
                <w:top w:val="single" w:sz="2" w:space="1" w:color="000000"/>
              </w:pBdr>
              <w:spacing w:before="0" w:after="0"/>
              <w:rPr/>
            </w:pPr>
            <w:r>
              <w:rPr/>
              <w:t> </w:t>
            </w:r>
          </w:p>
        </w:tc>
        <w:tc>
          <w:tcPr>
            <w:tcW w:w="107" w:type="dxa"/>
            <w:tcBorders/>
            <w:shd w:fill="FFFFFF" w:val="clear"/>
            <w:vAlign w:val="center"/>
          </w:tcPr>
          <w:p>
            <w:pPr>
              <w:pStyle w:val="TableContents"/>
              <w:spacing w:before="0" w:after="283"/>
              <w:rPr/>
            </w:pPr>
            <w:r>
              <w:rPr/>
              <w:t> </w:t>
            </w:r>
          </w:p>
        </w:tc>
        <w:tc>
          <w:tcPr>
            <w:tcW w:w="107"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pBdr>
                <w:top w:val="single" w:sz="2" w:space="1" w:color="000000"/>
              </w:pBdr>
              <w:spacing w:before="0" w:after="0"/>
              <w:rPr/>
            </w:pPr>
            <w:r>
              <w:rPr/>
              <w:t> </w:t>
            </w:r>
          </w:p>
        </w:tc>
        <w:tc>
          <w:tcPr>
            <w:tcW w:w="1084" w:type="dxa"/>
            <w:tcBorders/>
            <w:shd w:fill="E5E5E5" w:val="clear"/>
            <w:vAlign w:val="bottom"/>
          </w:tcPr>
          <w:p>
            <w:pPr>
              <w:pStyle w:val="TableContents"/>
              <w:pBdr>
                <w:top w:val="single" w:sz="2" w:space="1" w:color="000000"/>
              </w:pBdr>
              <w:spacing w:before="0" w:after="0"/>
              <w:rPr/>
            </w:pPr>
            <w:r>
              <w:rPr/>
              <w:t> </w:t>
            </w:r>
          </w:p>
        </w:tc>
        <w:tc>
          <w:tcPr>
            <w:tcW w:w="305" w:type="dxa"/>
            <w:tcBorders/>
            <w:shd w:fill="FFFFFF" w:val="clear"/>
            <w:vAlign w:val="center"/>
          </w:tcPr>
          <w:p>
            <w:pPr>
              <w:pStyle w:val="TableContents"/>
              <w:spacing w:before="0" w:after="283"/>
              <w:rPr/>
            </w:pPr>
            <w:r>
              <w:rPr/>
              <w:t> </w:t>
            </w:r>
          </w:p>
        </w:tc>
      </w:tr>
      <w:tr>
        <w:trPr/>
        <w:tc>
          <w:tcPr>
            <w:tcW w:w="575"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365"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4"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811"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5,171</w:t>
            </w:r>
          </w:p>
        </w:tc>
        <w:tc>
          <w:tcPr>
            <w:tcW w:w="6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7"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988"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26,283</w:t>
            </w:r>
          </w:p>
        </w:tc>
        <w:tc>
          <w:tcPr>
            <w:tcW w:w="6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9"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561"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128.23</w:t>
            </w:r>
          </w:p>
        </w:tc>
        <w:tc>
          <w:tcPr>
            <w:tcW w:w="290" w:type="dxa"/>
            <w:tcBorders>
              <w:bottom w:val="single" w:sz="8" w:space="0" w:color="001C71"/>
            </w:tcBorders>
            <w:shd w:fill="auto" w:val="clear"/>
            <w:tcMar>
              <w:bottom w:w="28" w:type="dxa"/>
            </w:tcMar>
            <w:vAlign w:val="bottom"/>
          </w:tcPr>
          <w:p>
            <w:pPr>
              <w:pStyle w:val="TableContents"/>
              <w:spacing w:lineRule="atLeast" w:line="180" w:before="0" w:after="0"/>
              <w:rPr>
                <w:rFonts w:ascii="arial" w:hAnsi="arial"/>
                <w:sz w:val="16"/>
              </w:rPr>
            </w:pPr>
            <w:r>
              <w:rPr>
                <w:rFonts w:ascii="arial" w:hAnsi="arial"/>
                <w:sz w:val="16"/>
              </w:rPr>
              <w:t>(E)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73" w:type="dxa"/>
            <w:tcBorders>
              <w:bottom w:val="single" w:sz="8" w:space="0" w:color="001C71"/>
            </w:tcBorders>
            <w:shd w:fill="auto" w:val="clear"/>
            <w:tcMar>
              <w:bottom w:w="28" w:type="dxa"/>
            </w:tcMar>
            <w:vAlign w:val="bottom"/>
          </w:tcPr>
          <w:p>
            <w:pPr>
              <w:pStyle w:val="TableContents"/>
              <w:spacing w:before="0" w:after="283"/>
              <w:rPr/>
            </w:pPr>
            <w:r>
              <w:rPr/>
              <w:t> </w:t>
            </w:r>
          </w:p>
        </w:tc>
        <w:tc>
          <w:tcPr>
            <w:tcW w:w="697"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8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90"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21,232</w:t>
            </w:r>
          </w:p>
        </w:tc>
        <w:tc>
          <w:tcPr>
            <w:tcW w:w="66"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6" w:type="dxa"/>
            <w:tcBorders>
              <w:bottom w:val="single" w:sz="8" w:space="0" w:color="001C71"/>
            </w:tcBorders>
            <w:shd w:fill="auto" w:val="clear"/>
            <w:tcMar>
              <w:bottom w:w="28" w:type="dxa"/>
            </w:tcMar>
            <w:vAlign w:val="bottom"/>
          </w:tcPr>
          <w:p>
            <w:pPr>
              <w:pStyle w:val="TableContents"/>
              <w:spacing w:before="0" w:after="283"/>
              <w:rPr/>
            </w:pPr>
            <w:r>
              <w:rPr/>
              <w:t> </w:t>
            </w:r>
          </w:p>
        </w:tc>
        <w:tc>
          <w:tcPr>
            <w:tcW w:w="121"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815"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2,705,163</w:t>
            </w:r>
          </w:p>
        </w:tc>
        <w:tc>
          <w:tcPr>
            <w:tcW w:w="32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7"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59"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6,784</w:t>
            </w:r>
          </w:p>
        </w:tc>
        <w:tc>
          <w:tcPr>
            <w:tcW w:w="107"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107" w:type="dxa"/>
            <w:tcBorders>
              <w:bottom w:val="single" w:sz="8" w:space="0" w:color="001C71"/>
            </w:tcBorders>
            <w:shd w:fill="FFFFFF" w:val="clear"/>
            <w:tcMar>
              <w:bottom w:w="28" w:type="dxa"/>
            </w:tcMar>
            <w:vAlign w:val="bottom"/>
          </w:tcPr>
          <w:p>
            <w:pPr>
              <w:pStyle w:val="TableContents"/>
              <w:spacing w:before="0" w:after="283"/>
              <w:rPr/>
            </w:pPr>
            <w:r>
              <w:rPr/>
              <w:t> </w:t>
            </w:r>
          </w:p>
        </w:tc>
        <w:tc>
          <w:tcPr>
            <w:tcW w:w="196" w:type="dxa"/>
            <w:tcBorders>
              <w:bottom w:val="single" w:sz="8" w:space="0" w:color="001C71"/>
            </w:tcBorders>
            <w:shd w:fill="FFFFFF"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1084" w:type="dxa"/>
            <w:tcBorders>
              <w:bottom w:val="single" w:sz="8" w:space="0" w:color="001C71"/>
            </w:tcBorders>
            <w:shd w:fill="FFFFFF"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864,398</w:t>
            </w:r>
          </w:p>
        </w:tc>
        <w:tc>
          <w:tcPr>
            <w:tcW w:w="305" w:type="dxa"/>
            <w:tcBorders>
              <w:bottom w:val="single" w:sz="8" w:space="0" w:color="001C71"/>
            </w:tcBorders>
            <w:shd w:fill="FFFFFF" w:val="clear"/>
            <w:tcMar>
              <w:bottom w:w="28" w:type="dxa"/>
            </w:tcMar>
            <w:vAlign w:val="bottom"/>
          </w:tcPr>
          <w:p>
            <w:pPr>
              <w:pStyle w:val="TableContents"/>
              <w:spacing w:lineRule="atLeast" w:line="240" w:before="0" w:after="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77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10419" w:type="dxa"/>
        <w:jc w:val="center"/>
        <w:tblInd w:w="0" w:type="dxa"/>
        <w:tblCellMar>
          <w:top w:w="0" w:type="dxa"/>
          <w:left w:w="0" w:type="dxa"/>
          <w:bottom w:w="0" w:type="dxa"/>
          <w:right w:w="0" w:type="dxa"/>
        </w:tblCellMar>
      </w:tblPr>
      <w:tblGrid>
        <w:gridCol w:w="605"/>
        <w:gridCol w:w="60"/>
        <w:gridCol w:w="60"/>
        <w:gridCol w:w="365"/>
        <w:gridCol w:w="60"/>
        <w:gridCol w:w="60"/>
        <w:gridCol w:w="111"/>
        <w:gridCol w:w="794"/>
        <w:gridCol w:w="71"/>
        <w:gridCol w:w="71"/>
        <w:gridCol w:w="112"/>
        <w:gridCol w:w="973"/>
        <w:gridCol w:w="71"/>
        <w:gridCol w:w="71"/>
        <w:gridCol w:w="131"/>
        <w:gridCol w:w="614"/>
        <w:gridCol w:w="346"/>
        <w:gridCol w:w="71"/>
        <w:gridCol w:w="147"/>
        <w:gridCol w:w="623"/>
        <w:gridCol w:w="60"/>
        <w:gridCol w:w="60"/>
        <w:gridCol w:w="80"/>
        <w:gridCol w:w="690"/>
        <w:gridCol w:w="66"/>
        <w:gridCol w:w="66"/>
        <w:gridCol w:w="121"/>
        <w:gridCol w:w="815"/>
        <w:gridCol w:w="320"/>
        <w:gridCol w:w="60"/>
        <w:gridCol w:w="91"/>
        <w:gridCol w:w="786"/>
        <w:gridCol w:w="91"/>
        <w:gridCol w:w="91"/>
        <w:gridCol w:w="168"/>
        <w:gridCol w:w="1133"/>
        <w:gridCol w:w="305"/>
      </w:tblGrid>
      <w:tr>
        <w:trPr/>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4206" w:type="dxa"/>
            <w:gridSpan w:val="14"/>
            <w:vMerge w:val="restart"/>
            <w:tcBorders>
              <w:bottom w:val="single" w:sz="2" w:space="0" w:color="001C71"/>
            </w:tcBorders>
            <w:shd w:fill="auto" w:val="clear"/>
            <w:tcMar>
              <w:bottom w:w="28" w:type="dxa"/>
            </w:tcMar>
            <w:vAlign w:val="bottom"/>
          </w:tcPr>
          <w:p>
            <w:pPr>
              <w:pStyle w:val="TableContents"/>
              <w:jc w:val="center"/>
              <w:rPr/>
            </w:pPr>
            <w:r>
              <w:rPr>
                <w:b/>
                <w:color w:val="001C71"/>
              </w:rPr>
              <w:t>Option Awards</w:t>
            </w:r>
            <w:r>
              <w:rPr/>
              <w:br/>
            </w:r>
            <w:r>
              <w:rPr>
                <w:b/>
                <w:color w:val="001C71"/>
              </w:rPr>
              <w:t>(Service-Based Stock Options)</w:t>
              <w:br/>
              <w:t>(A)</w:t>
            </w:r>
            <w:r>
              <w:rPr/>
              <w:t xml:space="preserve"> </w:t>
            </w:r>
          </w:p>
          <w:p>
            <w:pPr>
              <w:pStyle w:val="TableContents"/>
              <w:spacing w:before="0" w:after="20"/>
              <w:jc w:val="left"/>
              <w:rPr/>
            </w:pPr>
            <w:r>
              <w:rPr/>
              <w:t> </w:t>
            </w:r>
          </w:p>
        </w:tc>
        <w:tc>
          <w:tcPr>
            <w:tcW w:w="6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78" w:type="dxa"/>
            <w:gridSpan w:val="14"/>
            <w:tcBorders>
              <w:bottom w:val="single" w:sz="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Stock Awards</w:t>
            </w:r>
          </w:p>
          <w:p>
            <w:pPr>
              <w:pStyle w:val="TableContents"/>
              <w:spacing w:before="0" w:after="20"/>
              <w:jc w:val="left"/>
              <w:rPr/>
            </w:pPr>
            <w:r>
              <w:rPr/>
              <w:t> </w:t>
            </w:r>
          </w:p>
        </w:tc>
        <w:tc>
          <w:tcPr>
            <w:tcW w:w="305" w:type="dxa"/>
            <w:tcBorders/>
            <w:shd w:fill="auto" w:val="clear"/>
            <w:vAlign w:val="bottom"/>
          </w:tcPr>
          <w:p>
            <w:pPr>
              <w:pStyle w:val="TableContents"/>
              <w:spacing w:before="0" w:after="283"/>
              <w:rPr/>
            </w:pPr>
            <w:r>
              <w:rPr/>
              <w:t> </w:t>
            </w:r>
          </w:p>
        </w:tc>
      </w:tr>
      <w:tr>
        <w:trPr/>
        <w:tc>
          <w:tcPr>
            <w:tcW w:w="6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4206" w:type="dxa"/>
            <w:gridSpan w:val="14"/>
            <w:vMerge w:val="continue"/>
            <w:tcBorders>
              <w:bottom w:val="single" w:sz="2" w:space="0" w:color="001C71"/>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838" w:type="dxa"/>
            <w:gridSpan w:val="6"/>
            <w:tcBorders>
              <w:bottom w:val="single" w:sz="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Equity Incentive</w:t>
              <w:br/>
              <w:t>Plan Awards</w:t>
              <w:br/>
              <w:t>(PerformanceBased</w:t>
              <w:br/>
              <w:t>Restricted Stock Units)</w:t>
              <w:br/>
              <w:t>(B)</w:t>
            </w:r>
          </w:p>
          <w:p>
            <w:pPr>
              <w:pStyle w:val="TableContents"/>
              <w:spacing w:before="0" w:after="20"/>
              <w:jc w:val="left"/>
              <w:rPr/>
            </w:pPr>
            <w:r>
              <w:rPr/>
              <w:t> </w:t>
            </w:r>
          </w:p>
        </w:tc>
        <w:tc>
          <w:tcPr>
            <w:tcW w:w="3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60" w:type="dxa"/>
            <w:gridSpan w:val="6"/>
            <w:tcBorders>
              <w:bottom w:val="single" w:sz="2" w:space="0" w:color="001C71"/>
            </w:tcBorders>
            <w:shd w:fill="auto" w:val="clear"/>
            <w:tcMar>
              <w:bottom w:w="28" w:type="dxa"/>
            </w:tcMar>
            <w:vAlign w:val="bottom"/>
          </w:tcPr>
          <w:p>
            <w:pPr>
              <w:pStyle w:val="TableContents"/>
              <w:jc w:val="center"/>
              <w:rPr/>
            </w:pPr>
            <w:r>
              <w:rPr>
                <w:b/>
                <w:color w:val="001C71"/>
              </w:rPr>
              <w:t>Other Stock Awards</w:t>
              <w:br/>
              <w:t>(ServiceBased</w:t>
              <w:br/>
              <w:t>Restricted Stock Units)</w:t>
              <w:br/>
              <w:t>(C)</w:t>
            </w:r>
            <w:r>
              <w:rPr/>
              <w:t xml:space="preserve"> </w:t>
            </w:r>
          </w:p>
          <w:p>
            <w:pPr>
              <w:pStyle w:val="TableContents"/>
              <w:spacing w:before="0" w:after="20"/>
              <w:jc w:val="left"/>
              <w:rPr/>
            </w:pPr>
            <w:r>
              <w:rPr/>
              <w:t> </w:t>
            </w:r>
          </w:p>
        </w:tc>
        <w:tc>
          <w:tcPr>
            <w:tcW w:w="305" w:type="dxa"/>
            <w:tcBorders/>
            <w:shd w:fill="auto" w:val="clear"/>
            <w:vAlign w:val="bottom"/>
          </w:tcPr>
          <w:p>
            <w:pPr>
              <w:pStyle w:val="TableContents"/>
              <w:spacing w:before="0" w:after="283"/>
              <w:rPr/>
            </w:pPr>
            <w:r>
              <w:rPr/>
              <w:t> </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c>
          <w:tcPr>
            <w:tcW w:w="2263" w:type="dxa"/>
            <w:gridSpan w:val="8"/>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c>
          <w:tcPr>
            <w:tcW w:w="901" w:type="dxa"/>
            <w:gridSpan w:val="4"/>
            <w:tcBorders/>
            <w:shd w:fill="auto" w:val="clear"/>
            <w:vAlign w:val="center"/>
          </w:tcPr>
          <w:p>
            <w:pPr>
              <w:pStyle w:val="TableContents"/>
              <w:spacing w:before="0" w:after="283"/>
              <w:rPr>
                <w:sz w:val="4"/>
                <w:szCs w:val="4"/>
              </w:rPr>
            </w:pPr>
            <w:r>
              <w:rPr>
                <w:sz w:val="4"/>
                <w:szCs w:val="4"/>
              </w:rPr>
            </w:r>
          </w:p>
        </w:tc>
        <w:tc>
          <w:tcPr>
            <w:tcW w:w="896" w:type="dxa"/>
            <w:gridSpan w:val="4"/>
            <w:tcBorders/>
            <w:shd w:fill="auto" w:val="clear"/>
            <w:vAlign w:val="center"/>
          </w:tcPr>
          <w:p>
            <w:pPr>
              <w:pStyle w:val="TableContents"/>
              <w:spacing w:before="0" w:after="283"/>
              <w:rPr>
                <w:sz w:val="4"/>
                <w:szCs w:val="4"/>
              </w:rPr>
            </w:pPr>
            <w:r>
              <w:rPr>
                <w:sz w:val="4"/>
                <w:szCs w:val="4"/>
              </w:rPr>
            </w:r>
          </w:p>
        </w:tc>
        <w:tc>
          <w:tcPr>
            <w:tcW w:w="1322" w:type="dxa"/>
            <w:gridSpan w:val="4"/>
            <w:tcBorders/>
            <w:shd w:fill="auto" w:val="clear"/>
            <w:vAlign w:val="center"/>
          </w:tcPr>
          <w:p>
            <w:pPr>
              <w:pStyle w:val="TableContents"/>
              <w:spacing w:before="0" w:after="283"/>
              <w:rPr>
                <w:sz w:val="4"/>
                <w:szCs w:val="4"/>
              </w:rPr>
            </w:pPr>
            <w:r>
              <w:rPr>
                <w:sz w:val="4"/>
                <w:szCs w:val="4"/>
              </w:rPr>
            </w:r>
          </w:p>
        </w:tc>
        <w:tc>
          <w:tcPr>
            <w:tcW w:w="1028" w:type="dxa"/>
            <w:gridSpan w:val="4"/>
            <w:tcBorders/>
            <w:shd w:fill="auto" w:val="clear"/>
            <w:vAlign w:val="center"/>
          </w:tcPr>
          <w:p>
            <w:pPr>
              <w:pStyle w:val="TableContents"/>
              <w:spacing w:before="0" w:after="283"/>
              <w:rPr>
                <w:sz w:val="4"/>
                <w:szCs w:val="4"/>
              </w:rPr>
            </w:pPr>
            <w:r>
              <w:rPr>
                <w:sz w:val="4"/>
                <w:szCs w:val="4"/>
              </w:rPr>
            </w:r>
          </w:p>
        </w:tc>
        <w:tc>
          <w:tcPr>
            <w:tcW w:w="1697"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32" w:type="dxa"/>
            <w:gridSpan w:val="6"/>
            <w:tcBorders>
              <w:bottom w:val="single" w:sz="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Number of Shares</w:t>
              <w:br/>
              <w:t>Underlying</w:t>
            </w:r>
          </w:p>
          <w:p>
            <w:pPr>
              <w:pStyle w:val="TableContents"/>
              <w:spacing w:before="0" w:after="0"/>
              <w:jc w:val="center"/>
              <w:rPr>
                <w:rFonts w:ascii="arial" w:hAnsi="arial"/>
                <w:b/>
                <w:color w:val="001C71"/>
                <w:sz w:val="15"/>
              </w:rPr>
            </w:pPr>
            <w:r>
              <w:rPr>
                <w:rFonts w:ascii="arial" w:hAnsi="arial"/>
                <w:b/>
                <w:color w:val="001C71"/>
                <w:sz w:val="15"/>
              </w:rPr>
              <w:t>Unexercised Options</w:t>
            </w:r>
          </w:p>
          <w:p>
            <w:pPr>
              <w:pStyle w:val="TableContents"/>
              <w:spacing w:before="0" w:after="20"/>
              <w:jc w:val="left"/>
              <w:rPr/>
            </w:pPr>
            <w:r>
              <w:rPr/>
              <w:t> </w:t>
            </w:r>
          </w:p>
        </w:tc>
        <w:tc>
          <w:tcPr>
            <w:tcW w:w="7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5" w:type="dxa"/>
            <w:gridSpan w:val="2"/>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770" w:type="dxa"/>
            <w:gridSpan w:val="2"/>
            <w:vMerge w:val="restart"/>
            <w:tcBorders>
              <w:bottom w:val="single" w:sz="1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Number of</w:t>
              <w:br/>
              <w:t>Unearned/</w:t>
              <w:br/>
              <w:t>Unvested</w:t>
              <w:br/>
              <w:t>Shares</w:t>
              <w:br/>
              <w:t>(D)</w:t>
            </w:r>
          </w:p>
          <w:p>
            <w:pPr>
              <w:pStyle w:val="TableContents"/>
              <w:spacing w:before="0" w:after="20"/>
              <w:jc w:val="left"/>
              <w:rPr/>
            </w:pPr>
            <w:r>
              <w:rPr/>
              <w:t> </w:t>
            </w:r>
          </w:p>
        </w:tc>
        <w:tc>
          <w:tcPr>
            <w:tcW w:w="66"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6"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936" w:type="dxa"/>
            <w:gridSpan w:val="2"/>
            <w:vMerge w:val="restart"/>
            <w:tcBorders>
              <w:bottom w:val="single" w:sz="1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Market</w:t>
              <w:br/>
              <w:t>Value of</w:t>
              <w:br/>
              <w:t>Unearned/</w:t>
              <w:br/>
              <w:t>Unvested</w:t>
              <w:br/>
              <w:t>Shares</w:t>
            </w:r>
          </w:p>
          <w:p>
            <w:pPr>
              <w:pStyle w:val="TableContents"/>
              <w:spacing w:before="0" w:after="20"/>
              <w:jc w:val="left"/>
              <w:rPr/>
            </w:pPr>
            <w:r>
              <w:rPr/>
              <w:t> </w:t>
            </w:r>
          </w:p>
        </w:tc>
        <w:tc>
          <w:tcPr>
            <w:tcW w:w="32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877" w:type="dxa"/>
            <w:gridSpan w:val="2"/>
            <w:vMerge w:val="restart"/>
            <w:tcBorders>
              <w:bottom w:val="single" w:sz="12" w:space="0" w:color="001C71"/>
            </w:tcBorders>
            <w:shd w:fill="auto" w:val="clear"/>
            <w:tcMar>
              <w:bottom w:w="28" w:type="dxa"/>
            </w:tcMar>
            <w:vAlign w:val="bottom"/>
          </w:tcPr>
          <w:p>
            <w:pPr>
              <w:pStyle w:val="TableContents"/>
              <w:spacing w:before="0" w:after="0"/>
              <w:rPr/>
            </w:pPr>
            <w:r>
              <w:rPr/>
              <w:t> </w:t>
            </w:r>
          </w:p>
          <w:p>
            <w:pPr>
              <w:pStyle w:val="TableContents"/>
              <w:spacing w:before="0" w:after="0"/>
              <w:jc w:val="center"/>
              <w:rPr>
                <w:rFonts w:ascii="arial" w:hAnsi="arial"/>
                <w:b/>
                <w:color w:val="001C71"/>
                <w:sz w:val="15"/>
              </w:rPr>
            </w:pPr>
            <w:r>
              <w:rPr>
                <w:rFonts w:ascii="arial" w:hAnsi="arial"/>
                <w:b/>
                <w:color w:val="001C71"/>
                <w:sz w:val="15"/>
              </w:rPr>
              <w:t>Number of</w:t>
              <w:br/>
              <w:t>Unearned/</w:t>
              <w:br/>
              <w:t>Unvested</w:t>
              <w:br/>
              <w:t>Shares</w:t>
              <w:br/>
              <w:t>(D)</w:t>
            </w:r>
          </w:p>
          <w:p>
            <w:pPr>
              <w:pStyle w:val="TableContents"/>
              <w:spacing w:before="0" w:after="20"/>
              <w:jc w:val="left"/>
              <w:rPr/>
            </w:pPr>
            <w:r>
              <w:rPr/>
              <w:t> </w:t>
            </w:r>
          </w:p>
        </w:tc>
        <w:tc>
          <w:tcPr>
            <w:tcW w:w="91"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91"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1301" w:type="dxa"/>
            <w:gridSpan w:val="2"/>
            <w:vMerge w:val="restart"/>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Market</w:t>
              <w:br/>
              <w:t>Value of</w:t>
              <w:br/>
              <w:t>Unearned/</w:t>
              <w:br/>
              <w:t>Unvested</w:t>
              <w:br/>
              <w:t>Shares</w:t>
            </w:r>
          </w:p>
          <w:p>
            <w:pPr>
              <w:pStyle w:val="TableContents"/>
              <w:spacing w:before="0" w:after="20"/>
              <w:jc w:val="left"/>
              <w:rPr/>
            </w:pPr>
            <w:r>
              <w:rPr/>
              <w:t> </w:t>
            </w:r>
          </w:p>
        </w:tc>
        <w:tc>
          <w:tcPr>
            <w:tcW w:w="305"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r>
      <w:tr>
        <w:trPr/>
        <w:tc>
          <w:tcPr>
            <w:tcW w:w="605"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425"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Grant</w:t>
              <w:br/>
              <w:t>Date</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905"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Exercisable</w:t>
            </w:r>
          </w:p>
          <w:p>
            <w:pPr>
              <w:pStyle w:val="TableContents"/>
              <w:spacing w:before="0" w:after="20"/>
              <w:jc w:val="left"/>
              <w:rPr/>
            </w:pPr>
            <w:r>
              <w:rPr/>
              <w:t> </w:t>
            </w:r>
          </w:p>
        </w:tc>
        <w:tc>
          <w:tcPr>
            <w:tcW w:w="71" w:type="dxa"/>
            <w:tcBorders>
              <w:bottom w:val="single" w:sz="12" w:space="0" w:color="001C71"/>
            </w:tcBorders>
            <w:shd w:fill="auto" w:val="clear"/>
            <w:tcMar>
              <w:bottom w:w="28" w:type="dxa"/>
            </w:tcMar>
            <w:vAlign w:val="bottom"/>
          </w:tcPr>
          <w:p>
            <w:pPr>
              <w:pStyle w:val="TableContents"/>
              <w:spacing w:before="0" w:after="283"/>
              <w:rPr/>
            </w:pPr>
            <w:r>
              <w:rPr/>
              <w:t> </w:t>
            </w:r>
          </w:p>
        </w:tc>
        <w:tc>
          <w:tcPr>
            <w:tcW w:w="71" w:type="dxa"/>
            <w:tcBorders>
              <w:bottom w:val="single" w:sz="12" w:space="0" w:color="001C71"/>
            </w:tcBorders>
            <w:shd w:fill="auto" w:val="clear"/>
            <w:tcMar>
              <w:bottom w:w="28" w:type="dxa"/>
            </w:tcMar>
            <w:vAlign w:val="bottom"/>
          </w:tcPr>
          <w:p>
            <w:pPr>
              <w:pStyle w:val="TableContents"/>
              <w:spacing w:before="0" w:after="283"/>
              <w:rPr/>
            </w:pPr>
            <w:r>
              <w:rPr/>
              <w:t> </w:t>
            </w:r>
          </w:p>
        </w:tc>
        <w:tc>
          <w:tcPr>
            <w:tcW w:w="1085"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Unexercisable</w:t>
            </w:r>
          </w:p>
          <w:p>
            <w:pPr>
              <w:pStyle w:val="TableContents"/>
              <w:spacing w:before="0" w:after="20"/>
              <w:jc w:val="left"/>
              <w:rPr/>
            </w:pPr>
            <w:r>
              <w:rPr/>
              <w:t> </w:t>
            </w:r>
          </w:p>
        </w:tc>
        <w:tc>
          <w:tcPr>
            <w:tcW w:w="71" w:type="dxa"/>
            <w:tcBorders>
              <w:bottom w:val="single" w:sz="12" w:space="0" w:color="001C71"/>
            </w:tcBorders>
            <w:shd w:fill="auto" w:val="clear"/>
            <w:tcMar>
              <w:bottom w:w="28" w:type="dxa"/>
            </w:tcMar>
            <w:vAlign w:val="bottom"/>
          </w:tcPr>
          <w:p>
            <w:pPr>
              <w:pStyle w:val="TableContents"/>
              <w:spacing w:before="0" w:after="283"/>
              <w:rPr/>
            </w:pPr>
            <w:r>
              <w:rPr/>
              <w:t> </w:t>
            </w:r>
          </w:p>
        </w:tc>
        <w:tc>
          <w:tcPr>
            <w:tcW w:w="71" w:type="dxa"/>
            <w:tcBorders>
              <w:bottom w:val="single" w:sz="12" w:space="0" w:color="001C71"/>
            </w:tcBorders>
            <w:shd w:fill="auto" w:val="clear"/>
            <w:tcMar>
              <w:bottom w:w="28" w:type="dxa"/>
            </w:tcMar>
            <w:vAlign w:val="bottom"/>
          </w:tcPr>
          <w:p>
            <w:pPr>
              <w:pStyle w:val="TableContents"/>
              <w:spacing w:before="0" w:after="283"/>
              <w:rPr/>
            </w:pPr>
            <w:r>
              <w:rPr/>
              <w:t> </w:t>
            </w:r>
          </w:p>
        </w:tc>
        <w:tc>
          <w:tcPr>
            <w:tcW w:w="745" w:type="dxa"/>
            <w:gridSpan w:val="2"/>
            <w:tcBorders>
              <w:bottom w:val="single" w:sz="12" w:space="0" w:color="001C71"/>
            </w:tcBorders>
            <w:shd w:fill="auto" w:val="clear"/>
            <w:tcMar>
              <w:bottom w:w="28" w:type="dxa"/>
            </w:tcMar>
            <w:vAlign w:val="bottom"/>
          </w:tcPr>
          <w:p>
            <w:pPr>
              <w:pStyle w:val="TableContents"/>
              <w:spacing w:before="0" w:after="0"/>
              <w:jc w:val="right"/>
              <w:rPr>
                <w:rFonts w:ascii="arial" w:hAnsi="arial"/>
                <w:b/>
                <w:color w:val="001C71"/>
                <w:sz w:val="15"/>
              </w:rPr>
            </w:pPr>
            <w:r>
              <w:rPr>
                <w:rFonts w:ascii="arial" w:hAnsi="arial"/>
                <w:b/>
                <w:color w:val="001C71"/>
                <w:sz w:val="15"/>
              </w:rPr>
              <w:t>Exercise</w:t>
            </w:r>
          </w:p>
          <w:p>
            <w:pPr>
              <w:pStyle w:val="TableContents"/>
              <w:spacing w:before="0" w:after="0"/>
              <w:jc w:val="center"/>
              <w:rPr>
                <w:rFonts w:ascii="arial" w:hAnsi="arial"/>
                <w:b/>
                <w:color w:val="001C71"/>
                <w:sz w:val="15"/>
              </w:rPr>
            </w:pPr>
            <w:r>
              <w:rPr>
                <w:rFonts w:ascii="arial" w:hAnsi="arial"/>
                <w:b/>
                <w:color w:val="001C71"/>
                <w:sz w:val="15"/>
              </w:rPr>
              <w:t>Price</w:t>
            </w:r>
          </w:p>
          <w:p>
            <w:pPr>
              <w:pStyle w:val="TableContents"/>
              <w:spacing w:before="0" w:after="20"/>
              <w:jc w:val="left"/>
              <w:rPr/>
            </w:pPr>
            <w:r>
              <w:rPr/>
              <w:t> </w:t>
            </w:r>
          </w:p>
        </w:tc>
        <w:tc>
          <w:tcPr>
            <w:tcW w:w="346" w:type="dxa"/>
            <w:tcBorders>
              <w:bottom w:val="single" w:sz="12" w:space="0" w:color="001C71"/>
            </w:tcBorders>
            <w:shd w:fill="auto" w:val="clear"/>
            <w:tcMar>
              <w:bottom w:w="28" w:type="dxa"/>
            </w:tcMar>
            <w:vAlign w:val="bottom"/>
          </w:tcPr>
          <w:p>
            <w:pPr>
              <w:pStyle w:val="TableContents"/>
              <w:spacing w:before="0" w:after="283"/>
              <w:rPr/>
            </w:pPr>
            <w:r>
              <w:rPr/>
              <w:t> </w:t>
            </w:r>
          </w:p>
        </w:tc>
        <w:tc>
          <w:tcPr>
            <w:tcW w:w="71" w:type="dxa"/>
            <w:tcBorders>
              <w:bottom w:val="single" w:sz="12" w:space="0" w:color="001C71"/>
            </w:tcBorders>
            <w:shd w:fill="auto" w:val="clear"/>
            <w:tcMar>
              <w:bottom w:w="28" w:type="dxa"/>
            </w:tcMar>
            <w:vAlign w:val="bottom"/>
          </w:tcPr>
          <w:p>
            <w:pPr>
              <w:pStyle w:val="TableContents"/>
              <w:spacing w:before="0" w:after="283"/>
              <w:rPr/>
            </w:pPr>
            <w:r>
              <w:rPr/>
              <w:t> </w:t>
            </w:r>
          </w:p>
        </w:tc>
        <w:tc>
          <w:tcPr>
            <w:tcW w:w="770"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Expiration</w:t>
              <w:br/>
              <w:t>Date</w:t>
            </w:r>
          </w:p>
          <w:p>
            <w:pPr>
              <w:pStyle w:val="TableContents"/>
              <w:spacing w:before="0" w:after="20"/>
              <w:jc w:val="left"/>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770" w:type="dxa"/>
            <w:gridSpan w:val="2"/>
            <w:vMerge w:val="continue"/>
            <w:tcBorders>
              <w:bottom w:val="single" w:sz="12" w:space="0" w:color="001C71"/>
            </w:tcBorders>
            <w:shd w:fill="auto" w:val="clear"/>
            <w:tcMar>
              <w:bottom w:w="28" w:type="dxa"/>
            </w:tcMar>
            <w:vAlign w:val="bottom"/>
          </w:tcPr>
          <w:p>
            <w:pPr>
              <w:pStyle w:val="Normal"/>
              <w:rPr/>
            </w:pPr>
            <w:r>
              <w:rPr/>
            </w:r>
          </w:p>
        </w:tc>
        <w:tc>
          <w:tcPr>
            <w:tcW w:w="66" w:type="dxa"/>
            <w:vMerge w:val="continue"/>
            <w:tcBorders>
              <w:bottom w:val="single" w:sz="12" w:space="0" w:color="001C71"/>
            </w:tcBorders>
            <w:shd w:fill="auto" w:val="clear"/>
            <w:tcMar>
              <w:bottom w:w="28" w:type="dxa"/>
            </w:tcMar>
            <w:vAlign w:val="bottom"/>
          </w:tcPr>
          <w:p>
            <w:pPr>
              <w:pStyle w:val="Normal"/>
              <w:rPr/>
            </w:pPr>
            <w:r>
              <w:rPr/>
            </w:r>
          </w:p>
        </w:tc>
        <w:tc>
          <w:tcPr>
            <w:tcW w:w="66" w:type="dxa"/>
            <w:vMerge w:val="continue"/>
            <w:tcBorders>
              <w:bottom w:val="single" w:sz="12" w:space="0" w:color="001C71"/>
            </w:tcBorders>
            <w:shd w:fill="auto" w:val="clear"/>
            <w:tcMar>
              <w:bottom w:w="28" w:type="dxa"/>
            </w:tcMar>
            <w:vAlign w:val="bottom"/>
          </w:tcPr>
          <w:p>
            <w:pPr>
              <w:pStyle w:val="Normal"/>
              <w:rPr/>
            </w:pPr>
            <w:r>
              <w:rPr/>
            </w:r>
          </w:p>
        </w:tc>
        <w:tc>
          <w:tcPr>
            <w:tcW w:w="936" w:type="dxa"/>
            <w:gridSpan w:val="2"/>
            <w:vMerge w:val="continue"/>
            <w:tcBorders>
              <w:bottom w:val="single" w:sz="12" w:space="0" w:color="001C71"/>
            </w:tcBorders>
            <w:shd w:fill="auto" w:val="clear"/>
            <w:tcMar>
              <w:bottom w:w="28" w:type="dxa"/>
            </w:tcMar>
            <w:vAlign w:val="bottom"/>
          </w:tcPr>
          <w:p>
            <w:pPr>
              <w:pStyle w:val="Normal"/>
              <w:rPr/>
            </w:pPr>
            <w:r>
              <w:rPr/>
            </w:r>
          </w:p>
        </w:tc>
        <w:tc>
          <w:tcPr>
            <w:tcW w:w="320" w:type="dxa"/>
            <w:vMerge w:val="continue"/>
            <w:tcBorders>
              <w:bottom w:val="single" w:sz="12" w:space="0" w:color="001C71"/>
            </w:tcBorders>
            <w:shd w:fill="auto" w:val="clear"/>
            <w:tcMar>
              <w:bottom w:w="28" w:type="dxa"/>
            </w:tcMar>
            <w:vAlign w:val="bottom"/>
          </w:tcPr>
          <w:p>
            <w:pPr>
              <w:pStyle w:val="Normal"/>
              <w:rPr/>
            </w:pPr>
            <w:r>
              <w:rPr/>
            </w:r>
          </w:p>
        </w:tc>
        <w:tc>
          <w:tcPr>
            <w:tcW w:w="60" w:type="dxa"/>
            <w:vMerge w:val="continue"/>
            <w:tcBorders>
              <w:bottom w:val="single" w:sz="12" w:space="0" w:color="001C71"/>
            </w:tcBorders>
            <w:shd w:fill="auto" w:val="clear"/>
            <w:tcMar>
              <w:bottom w:w="28" w:type="dxa"/>
            </w:tcMar>
            <w:vAlign w:val="bottom"/>
          </w:tcPr>
          <w:p>
            <w:pPr>
              <w:pStyle w:val="Normal"/>
              <w:rPr/>
            </w:pPr>
            <w:r>
              <w:rPr/>
            </w:r>
          </w:p>
        </w:tc>
        <w:tc>
          <w:tcPr>
            <w:tcW w:w="877" w:type="dxa"/>
            <w:gridSpan w:val="2"/>
            <w:vMerge w:val="continue"/>
            <w:tcBorders>
              <w:bottom w:val="single" w:sz="12" w:space="0" w:color="001C71"/>
            </w:tcBorders>
            <w:shd w:fill="auto" w:val="clear"/>
            <w:tcMar>
              <w:bottom w:w="28" w:type="dxa"/>
            </w:tcMar>
            <w:vAlign w:val="bottom"/>
          </w:tcPr>
          <w:p>
            <w:pPr>
              <w:pStyle w:val="Normal"/>
              <w:rPr/>
            </w:pPr>
            <w:r>
              <w:rPr/>
            </w:r>
          </w:p>
        </w:tc>
        <w:tc>
          <w:tcPr>
            <w:tcW w:w="91" w:type="dxa"/>
            <w:vMerge w:val="continue"/>
            <w:tcBorders>
              <w:bottom w:val="single" w:sz="12" w:space="0" w:color="001C71"/>
            </w:tcBorders>
            <w:shd w:fill="auto" w:val="clear"/>
            <w:tcMar>
              <w:bottom w:w="28" w:type="dxa"/>
            </w:tcMar>
            <w:vAlign w:val="bottom"/>
          </w:tcPr>
          <w:p>
            <w:pPr>
              <w:pStyle w:val="Normal"/>
              <w:rPr/>
            </w:pPr>
            <w:r>
              <w:rPr/>
            </w:r>
          </w:p>
        </w:tc>
        <w:tc>
          <w:tcPr>
            <w:tcW w:w="91" w:type="dxa"/>
            <w:vMerge w:val="continue"/>
            <w:tcBorders>
              <w:bottom w:val="single" w:sz="12" w:space="0" w:color="001C71"/>
            </w:tcBorders>
            <w:shd w:fill="auto" w:val="clear"/>
            <w:tcMar>
              <w:bottom w:w="28" w:type="dxa"/>
            </w:tcMar>
            <w:vAlign w:val="bottom"/>
          </w:tcPr>
          <w:p>
            <w:pPr>
              <w:pStyle w:val="Normal"/>
              <w:rPr/>
            </w:pPr>
            <w:r>
              <w:rPr/>
            </w:r>
          </w:p>
        </w:tc>
        <w:tc>
          <w:tcPr>
            <w:tcW w:w="1301" w:type="dxa"/>
            <w:gridSpan w:val="2"/>
            <w:vMerge w:val="continue"/>
            <w:tcBorders>
              <w:bottom w:val="single" w:sz="12" w:space="0" w:color="001C71"/>
            </w:tcBorders>
            <w:shd w:fill="auto" w:val="clear"/>
            <w:tcMar>
              <w:bottom w:w="28" w:type="dxa"/>
            </w:tcMar>
            <w:vAlign w:val="bottom"/>
          </w:tcPr>
          <w:p>
            <w:pPr>
              <w:pStyle w:val="Normal"/>
              <w:rPr/>
            </w:pPr>
            <w:r>
              <w:rPr/>
            </w:r>
          </w:p>
        </w:tc>
        <w:tc>
          <w:tcPr>
            <w:tcW w:w="305" w:type="dxa"/>
            <w:vMerge w:val="continue"/>
            <w:tcBorders>
              <w:bottom w:val="single" w:sz="12" w:space="0" w:color="001C71"/>
            </w:tcBorders>
            <w:shd w:fill="auto" w:val="clear"/>
            <w:tcMar>
              <w:bottom w:w="28" w:type="dxa"/>
            </w:tcMar>
            <w:vAlign w:val="bottom"/>
          </w:tcPr>
          <w:p>
            <w:pPr>
              <w:pStyle w:val="Normal"/>
              <w:rPr/>
            </w:pPr>
            <w:r>
              <w:rPr/>
            </w:r>
          </w:p>
        </w:tc>
      </w:tr>
      <w:tr>
        <w:trPr/>
        <w:tc>
          <w:tcPr>
            <w:tcW w:w="605" w:type="dxa"/>
            <w:vMerge w:val="restart"/>
            <w:tcBorders>
              <w:bottom w:val="single" w:sz="8" w:space="0" w:color="001C71"/>
            </w:tcBorders>
            <w:shd w:fill="auto" w:val="clear"/>
            <w:tcMar>
              <w:bottom w:w="28" w:type="dxa"/>
            </w:tcMar>
            <w:vAlign w:val="center"/>
          </w:tcPr>
          <w:p>
            <w:pPr>
              <w:pStyle w:val="TableContents"/>
              <w:spacing w:before="0" w:after="0"/>
              <w:rPr/>
            </w:pPr>
            <w:r>
              <w:rPr/>
              <w:t> </w:t>
            </w:r>
          </w:p>
          <w:p>
            <w:pPr>
              <w:pStyle w:val="TableContents"/>
              <w:spacing w:lineRule="atLeast" w:line="220" w:before="0" w:after="20"/>
              <w:rPr>
                <w:rFonts w:ascii="arial" w:hAnsi="arial"/>
                <w:b/>
                <w:sz w:val="16"/>
              </w:rPr>
            </w:pPr>
            <w:r>
              <w:rPr>
                <w:rFonts w:ascii="arial" w:hAnsi="arial"/>
                <w:b/>
                <w:sz w:val="16"/>
              </w:rPr>
              <w:t>Kevin C. Sagara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617</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78,597</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1,469</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187,192</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lineRule="atLeast" w:line="240" w:before="0" w:after="0"/>
              <w:rPr/>
            </w:pPr>
            <w:r>
              <w:rPr/>
              <w:t> </w:t>
            </w:r>
          </w:p>
        </w:tc>
        <w:tc>
          <w:tcPr>
            <w:tcW w:w="78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2,203</w:t>
            </w:r>
          </w:p>
        </w:tc>
        <w:tc>
          <w:tcPr>
            <w:tcW w:w="91" w:type="dxa"/>
            <w:tcBorders/>
            <w:shd w:fill="E5E5E5" w:val="clear"/>
            <w:vAlign w:val="bottom"/>
          </w:tcPr>
          <w:p>
            <w:pPr>
              <w:pStyle w:val="TableContents"/>
              <w:spacing w:lineRule="atLeast" w:line="240" w:before="0" w:after="0"/>
              <w:rPr/>
            </w:pPr>
            <w:r>
              <w:rPr/>
              <w:t> </w:t>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133"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280,723</w:t>
            </w:r>
          </w:p>
        </w:tc>
        <w:tc>
          <w:tcPr>
            <w:tcW w:w="305" w:type="dxa"/>
            <w:tcBorders/>
            <w:shd w:fill="E5E5E5" w:val="clear"/>
            <w:vAlign w:val="bottom"/>
          </w:tcPr>
          <w:p>
            <w:pPr>
              <w:pStyle w:val="TableContents"/>
              <w:spacing w:lineRule="atLeast" w:line="180" w:before="0" w:after="0"/>
              <w:rPr>
                <w:rFonts w:ascii="arial" w:hAnsi="arial"/>
                <w:sz w:val="16"/>
              </w:rPr>
            </w:pPr>
            <w:r>
              <w:rPr>
                <w:rFonts w:ascii="arial" w:hAnsi="arial"/>
                <w:sz w:val="16"/>
              </w:rPr>
              <w:t>(J) </w:t>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240" w:before="0" w:after="0"/>
              <w:rPr/>
            </w:pPr>
            <w:r>
              <w:rPr/>
              <w:t> </w:t>
            </w:r>
          </w:p>
        </w:tc>
        <w:tc>
          <w:tcPr>
            <w:tcW w:w="786"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4,126</w:t>
            </w:r>
          </w:p>
        </w:tc>
        <w:tc>
          <w:tcPr>
            <w:tcW w:w="91" w:type="dxa"/>
            <w:tcBorders/>
            <w:shd w:fill="auto" w:val="clear"/>
            <w:vAlign w:val="bottom"/>
          </w:tcPr>
          <w:p>
            <w:pPr>
              <w:pStyle w:val="TableContents"/>
              <w:spacing w:lineRule="atLeast" w:line="240" w:before="0" w:after="0"/>
              <w:rPr/>
            </w:pPr>
            <w:r>
              <w:rPr/>
              <w:t> </w:t>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lineRule="atLeast" w:line="240" w:before="0" w:after="0"/>
              <w:rPr/>
            </w:pPr>
            <w:r>
              <w:rPr/>
              <w:t> </w:t>
            </w:r>
          </w:p>
        </w:tc>
        <w:tc>
          <w:tcPr>
            <w:tcW w:w="1133"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525,654</w:t>
            </w:r>
          </w:p>
        </w:tc>
        <w:tc>
          <w:tcPr>
            <w:tcW w:w="305" w:type="dxa"/>
            <w:tcBorders/>
            <w:shd w:fill="auto" w:val="clear"/>
            <w:vAlign w:val="bottom"/>
          </w:tcPr>
          <w:p>
            <w:pPr>
              <w:pStyle w:val="TableContents"/>
              <w:spacing w:lineRule="atLeast" w:line="180" w:before="0" w:after="0"/>
              <w:rPr>
                <w:rFonts w:ascii="arial" w:hAnsi="arial"/>
                <w:sz w:val="16"/>
              </w:rPr>
            </w:pPr>
            <w:r>
              <w:rPr>
                <w:rFonts w:ascii="arial" w:hAnsi="arial"/>
                <w:sz w:val="16"/>
              </w:rPr>
              <w:t>(K) </w:t>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5,001</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637,143</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1,069</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136,184</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2,027</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258,291</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240" w:before="0" w:after="0"/>
              <w:rPr/>
            </w:pPr>
            <w:r>
              <w:rPr/>
              <w:t> </w:t>
            </w:r>
          </w:p>
        </w:tc>
        <w:tc>
          <w:tcPr>
            <w:tcW w:w="786"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2,026</w:t>
            </w:r>
          </w:p>
        </w:tc>
        <w:tc>
          <w:tcPr>
            <w:tcW w:w="91" w:type="dxa"/>
            <w:tcBorders/>
            <w:shd w:fill="auto" w:val="clear"/>
            <w:vAlign w:val="bottom"/>
          </w:tcPr>
          <w:p>
            <w:pPr>
              <w:pStyle w:val="TableContents"/>
              <w:spacing w:lineRule="atLeast" w:line="240" w:before="0" w:after="0"/>
              <w:rPr/>
            </w:pPr>
            <w:r>
              <w:rPr/>
              <w:t> </w:t>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lineRule="atLeast" w:line="240" w:before="0" w:after="0"/>
              <w:rPr/>
            </w:pPr>
            <w:r>
              <w:rPr/>
              <w:t> </w:t>
            </w:r>
          </w:p>
        </w:tc>
        <w:tc>
          <w:tcPr>
            <w:tcW w:w="1133"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258,156</w:t>
            </w:r>
          </w:p>
        </w:tc>
        <w:tc>
          <w:tcPr>
            <w:tcW w:w="305" w:type="dxa"/>
            <w:tcBorders/>
            <w:shd w:fill="auto" w:val="clear"/>
            <w:vAlign w:val="bottom"/>
          </w:tcPr>
          <w:p>
            <w:pPr>
              <w:pStyle w:val="TableContents"/>
              <w:spacing w:lineRule="atLeast" w:line="180" w:before="0" w:after="0"/>
              <w:rPr>
                <w:rFonts w:ascii="arial" w:hAnsi="arial"/>
                <w:sz w:val="16"/>
              </w:rPr>
            </w:pPr>
            <w:r>
              <w:rPr>
                <w:rFonts w:ascii="arial" w:hAnsi="arial"/>
                <w:sz w:val="16"/>
              </w:rPr>
              <w:t>(I) </w:t>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2,605</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331,904</w:t>
            </w:r>
          </w:p>
        </w:tc>
        <w:tc>
          <w:tcPr>
            <w:tcW w:w="320" w:type="dxa"/>
            <w:tcBorders/>
            <w:shd w:fill="E5E5E5"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1,020</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129,902</w:t>
            </w:r>
          </w:p>
        </w:tc>
        <w:tc>
          <w:tcPr>
            <w:tcW w:w="320" w:type="dxa"/>
            <w:tcBorders/>
            <w:shd w:fill="auto"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2,572</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327,742</w:t>
            </w:r>
          </w:p>
        </w:tc>
        <w:tc>
          <w:tcPr>
            <w:tcW w:w="320" w:type="dxa"/>
            <w:tcBorders/>
            <w:shd w:fill="E5E5E5" w:val="clear"/>
            <w:vAlign w:val="bottom"/>
          </w:tcPr>
          <w:p>
            <w:pPr>
              <w:pStyle w:val="TableContents"/>
              <w:spacing w:lineRule="atLeast" w:line="180" w:before="0" w:after="0"/>
              <w:rPr>
                <w:rFonts w:ascii="arial" w:hAnsi="arial"/>
                <w:sz w:val="16"/>
              </w:rPr>
            </w:pPr>
            <w:r>
              <w:rPr>
                <w:rFonts w:ascii="arial" w:hAnsi="arial"/>
                <w:sz w:val="16"/>
              </w:rPr>
              <w:t>(G)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240" w:before="0" w:after="0"/>
              <w:rPr/>
            </w:pPr>
            <w:r>
              <w:rPr/>
              <w:t> </w:t>
            </w:r>
          </w:p>
        </w:tc>
        <w:tc>
          <w:tcPr>
            <w:tcW w:w="786"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1,929</w:t>
            </w:r>
          </w:p>
        </w:tc>
        <w:tc>
          <w:tcPr>
            <w:tcW w:w="91" w:type="dxa"/>
            <w:tcBorders/>
            <w:shd w:fill="auto" w:val="clear"/>
            <w:vAlign w:val="bottom"/>
          </w:tcPr>
          <w:p>
            <w:pPr>
              <w:pStyle w:val="TableContents"/>
              <w:spacing w:lineRule="atLeast" w:line="240" w:before="0" w:after="0"/>
              <w:rPr/>
            </w:pPr>
            <w:r>
              <w:rPr/>
              <w:t> </w:t>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lineRule="atLeast" w:line="240" w:before="0" w:after="0"/>
              <w:rPr/>
            </w:pPr>
            <w:r>
              <w:rPr/>
              <w:t> </w:t>
            </w:r>
          </w:p>
        </w:tc>
        <w:tc>
          <w:tcPr>
            <w:tcW w:w="1133"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245,737</w:t>
            </w:r>
          </w:p>
        </w:tc>
        <w:tc>
          <w:tcPr>
            <w:tcW w:w="305" w:type="dxa"/>
            <w:tcBorders/>
            <w:shd w:fill="auto" w:val="clear"/>
            <w:vAlign w:val="bottom"/>
          </w:tcPr>
          <w:p>
            <w:pPr>
              <w:pStyle w:val="TableContents"/>
              <w:spacing w:lineRule="atLeast" w:line="180" w:before="0" w:after="0"/>
              <w:rPr>
                <w:rFonts w:ascii="arial" w:hAnsi="arial"/>
                <w:sz w:val="16"/>
              </w:rPr>
            </w:pPr>
            <w:r>
              <w:rPr>
                <w:rFonts w:ascii="arial" w:hAnsi="arial"/>
                <w:sz w:val="16"/>
              </w:rPr>
              <w:t>(H) </w:t>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pBdr>
                <w:top w:val="single" w:sz="2" w:space="1" w:color="000000"/>
              </w:pBdr>
              <w:spacing w:before="0" w:after="0"/>
              <w:rPr/>
            </w:pPr>
            <w:r>
              <w:rPr/>
              <w:t> </w:t>
            </w:r>
          </w:p>
        </w:tc>
        <w:tc>
          <w:tcPr>
            <w:tcW w:w="794"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pBdr>
                <w:top w:val="single" w:sz="2" w:space="1" w:color="000000"/>
              </w:pBdr>
              <w:spacing w:before="0" w:after="0"/>
              <w:rPr/>
            </w:pPr>
            <w:r>
              <w:rPr/>
              <w:t> </w:t>
            </w:r>
          </w:p>
        </w:tc>
        <w:tc>
          <w:tcPr>
            <w:tcW w:w="973"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0"/>
              <w:rPr/>
            </w:pPr>
            <w:r>
              <w:rPr/>
              <w:t> </w:t>
            </w:r>
          </w:p>
        </w:tc>
        <w:tc>
          <w:tcPr>
            <w:tcW w:w="614"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690"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single" w:sz="2" w:space="1" w:color="000000"/>
              </w:pBdr>
              <w:spacing w:before="0" w:after="0"/>
              <w:rPr/>
            </w:pPr>
            <w:r>
              <w:rPr/>
              <w:t> </w:t>
            </w:r>
          </w:p>
        </w:tc>
        <w:tc>
          <w:tcPr>
            <w:tcW w:w="815"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single" w:sz="2" w:space="1" w:color="000000"/>
              </w:pBdr>
              <w:spacing w:before="0" w:after="0"/>
              <w:rPr/>
            </w:pPr>
            <w:r>
              <w:rPr/>
              <w:t> </w:t>
            </w:r>
          </w:p>
        </w:tc>
        <w:tc>
          <w:tcPr>
            <w:tcW w:w="786" w:type="dxa"/>
            <w:tcBorders/>
            <w:shd w:fill="auto" w:val="clear"/>
            <w:vAlign w:val="bottom"/>
          </w:tcPr>
          <w:p>
            <w:pPr>
              <w:pStyle w:val="TableContents"/>
              <w:pBdr>
                <w:top w:val="single" w:sz="2" w:space="1" w:color="000000"/>
              </w:pBdr>
              <w:spacing w:before="0" w:after="0"/>
              <w:rPr/>
            </w:pPr>
            <w:r>
              <w:rPr/>
              <w:t> </w:t>
            </w:r>
          </w:p>
        </w:tc>
        <w:tc>
          <w:tcPr>
            <w:tcW w:w="91"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pBdr>
                <w:top w:val="single" w:sz="2" w:space="1" w:color="000000"/>
              </w:pBdr>
              <w:spacing w:before="0" w:after="0"/>
              <w:rPr/>
            </w:pPr>
            <w:r>
              <w:rPr/>
              <w:t> </w:t>
            </w:r>
          </w:p>
        </w:tc>
        <w:tc>
          <w:tcPr>
            <w:tcW w:w="1133" w:type="dxa"/>
            <w:tcBorders/>
            <w:shd w:fill="auto" w:val="clear"/>
            <w:vAlign w:val="bottom"/>
          </w:tcPr>
          <w:p>
            <w:pPr>
              <w:pStyle w:val="TableContents"/>
              <w:pBdr>
                <w:top w:val="single" w:sz="2" w:space="1" w:color="000000"/>
              </w:pBdr>
              <w:spacing w:before="0" w:after="0"/>
              <w:rPr/>
            </w:pPr>
            <w:r>
              <w:rPr/>
              <w:t> </w:t>
            </w:r>
          </w:p>
        </w:tc>
        <w:tc>
          <w:tcPr>
            <w:tcW w:w="305" w:type="dxa"/>
            <w:tcBorders/>
            <w:shd w:fill="auto" w:val="clear"/>
            <w:vAlign w:val="center"/>
          </w:tcPr>
          <w:p>
            <w:pPr>
              <w:pStyle w:val="TableContents"/>
              <w:spacing w:before="0" w:after="283"/>
              <w:rPr/>
            </w:pPr>
            <w:r>
              <w:rPr/>
              <w:t> </w:t>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365"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94"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7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1" w:type="dxa"/>
            <w:tcBorders>
              <w:bottom w:val="single" w:sz="8" w:space="0" w:color="001C71"/>
            </w:tcBorders>
            <w:shd w:fill="auto" w:val="clear"/>
            <w:tcMar>
              <w:bottom w:w="28" w:type="dxa"/>
            </w:tcMar>
            <w:vAlign w:val="bottom"/>
          </w:tcPr>
          <w:p>
            <w:pPr>
              <w:pStyle w:val="TableContents"/>
              <w:spacing w:before="0" w:after="283"/>
              <w:rPr/>
            </w:pPr>
            <w:r>
              <w:rPr/>
              <w:t> </w:t>
            </w:r>
          </w:p>
        </w:tc>
        <w:tc>
          <w:tcPr>
            <w:tcW w:w="112"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973"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7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1" w:type="dxa"/>
            <w:tcBorders>
              <w:bottom w:val="single" w:sz="8" w:space="0" w:color="001C71"/>
            </w:tcBorders>
            <w:shd w:fill="auto" w:val="clear"/>
            <w:tcMar>
              <w:bottom w:w="28" w:type="dxa"/>
            </w:tcMar>
            <w:vAlign w:val="bottom"/>
          </w:tcPr>
          <w:p>
            <w:pPr>
              <w:pStyle w:val="TableContents"/>
              <w:spacing w:before="0" w:after="283"/>
              <w:rPr/>
            </w:pPr>
            <w:r>
              <w:rPr/>
              <w:t> </w:t>
            </w:r>
          </w:p>
        </w:tc>
        <w:tc>
          <w:tcPr>
            <w:tcW w:w="13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14"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346" w:type="dxa"/>
            <w:tcBorders>
              <w:bottom w:val="single" w:sz="8" w:space="0" w:color="001C71"/>
            </w:tcBorders>
            <w:shd w:fill="auto" w:val="clear"/>
            <w:tcMar>
              <w:bottom w:w="28" w:type="dxa"/>
            </w:tcMar>
            <w:vAlign w:val="bottom"/>
          </w:tcPr>
          <w:p>
            <w:pPr>
              <w:pStyle w:val="TableContents"/>
              <w:spacing w:lineRule="atLeast" w:line="180" w:before="0" w:after="0"/>
              <w:rPr>
                <w:rFonts w:ascii="arial" w:hAnsi="arial"/>
                <w:sz w:val="16"/>
              </w:rPr>
            </w:pPr>
            <w:r>
              <w:rPr>
                <w:rFonts w:ascii="arial" w:hAnsi="arial"/>
                <w:sz w:val="16"/>
              </w:rPr>
              <w:t>(E) </w:t>
            </w:r>
          </w:p>
        </w:tc>
        <w:tc>
          <w:tcPr>
            <w:tcW w:w="71" w:type="dxa"/>
            <w:tcBorders>
              <w:bottom w:val="single" w:sz="8" w:space="0" w:color="001C71"/>
            </w:tcBorders>
            <w:shd w:fill="auto" w:val="clear"/>
            <w:tcMar>
              <w:bottom w:w="28" w:type="dxa"/>
            </w:tcMar>
            <w:vAlign w:val="bottom"/>
          </w:tcPr>
          <w:p>
            <w:pPr>
              <w:pStyle w:val="TableContents"/>
              <w:spacing w:before="0" w:after="283"/>
              <w:rPr/>
            </w:pPr>
            <w:r>
              <w:rPr/>
              <w:t> </w:t>
            </w:r>
          </w:p>
        </w:tc>
        <w:tc>
          <w:tcPr>
            <w:tcW w:w="147" w:type="dxa"/>
            <w:tcBorders>
              <w:bottom w:val="single" w:sz="8" w:space="0" w:color="001C71"/>
            </w:tcBorders>
            <w:shd w:fill="auto" w:val="clear"/>
            <w:tcMar>
              <w:bottom w:w="28" w:type="dxa"/>
            </w:tcMar>
            <w:vAlign w:val="bottom"/>
          </w:tcPr>
          <w:p>
            <w:pPr>
              <w:pStyle w:val="TableContents"/>
              <w:spacing w:before="0" w:after="283"/>
              <w:rPr/>
            </w:pPr>
            <w:r>
              <w:rPr/>
              <w:t> </w:t>
            </w:r>
          </w:p>
        </w:tc>
        <w:tc>
          <w:tcPr>
            <w:tcW w:w="62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8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90"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16,380</w:t>
            </w:r>
          </w:p>
        </w:tc>
        <w:tc>
          <w:tcPr>
            <w:tcW w:w="66"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6" w:type="dxa"/>
            <w:tcBorders>
              <w:bottom w:val="single" w:sz="8" w:space="0" w:color="001C71"/>
            </w:tcBorders>
            <w:shd w:fill="auto" w:val="clear"/>
            <w:tcMar>
              <w:bottom w:w="28" w:type="dxa"/>
            </w:tcMar>
            <w:vAlign w:val="bottom"/>
          </w:tcPr>
          <w:p>
            <w:pPr>
              <w:pStyle w:val="TableContents"/>
              <w:spacing w:before="0" w:after="283"/>
              <w:rPr/>
            </w:pPr>
            <w:r>
              <w:rPr/>
              <w:t> </w:t>
            </w:r>
          </w:p>
        </w:tc>
        <w:tc>
          <w:tcPr>
            <w:tcW w:w="121"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815"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2,086,955</w:t>
            </w:r>
          </w:p>
        </w:tc>
        <w:tc>
          <w:tcPr>
            <w:tcW w:w="32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86"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10,284</w:t>
            </w:r>
          </w:p>
        </w:tc>
        <w:tc>
          <w:tcPr>
            <w:tcW w:w="9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91" w:type="dxa"/>
            <w:tcBorders>
              <w:bottom w:val="single" w:sz="8" w:space="0" w:color="001C71"/>
            </w:tcBorders>
            <w:shd w:fill="auto" w:val="clear"/>
            <w:tcMar>
              <w:bottom w:w="28"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1133"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1,310,270</w:t>
            </w:r>
          </w:p>
        </w:tc>
        <w:tc>
          <w:tcPr>
            <w:tcW w:w="305"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r>
      <w:tr>
        <w:trPr/>
        <w:tc>
          <w:tcPr>
            <w:tcW w:w="605" w:type="dxa"/>
            <w:vMerge w:val="restart"/>
            <w:tcBorders/>
            <w:shd w:fill="auto" w:val="clear"/>
            <w:vAlign w:val="center"/>
          </w:tcPr>
          <w:p>
            <w:pPr>
              <w:pStyle w:val="TableContents"/>
              <w:spacing w:before="0" w:after="0"/>
              <w:rPr/>
            </w:pPr>
            <w:r>
              <w:rPr/>
              <w:t> </w:t>
            </w:r>
          </w:p>
          <w:p>
            <w:pPr>
              <w:pStyle w:val="TableContents"/>
              <w:spacing w:lineRule="atLeast" w:line="220" w:before="0" w:after="20"/>
              <w:rPr>
                <w:rFonts w:ascii="arial" w:hAnsi="arial"/>
                <w:b/>
                <w:sz w:val="16"/>
              </w:rPr>
            </w:pPr>
            <w:r>
              <w:rPr>
                <w:rFonts w:ascii="arial" w:hAnsi="arial"/>
                <w:b/>
                <w:sz w:val="16"/>
              </w:rPr>
              <w:t>Peter R. Wall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04/01/20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82</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10,507</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04/01/20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04/01/20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196</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24,999</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04/01/20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lineRule="atLeast" w:line="240" w:before="0" w:after="0"/>
              <w:rPr/>
            </w:pPr>
            <w:r>
              <w:rPr/>
              <w:t> </w:t>
            </w:r>
          </w:p>
        </w:tc>
        <w:tc>
          <w:tcPr>
            <w:tcW w:w="78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295</w:t>
            </w:r>
          </w:p>
        </w:tc>
        <w:tc>
          <w:tcPr>
            <w:tcW w:w="91" w:type="dxa"/>
            <w:tcBorders/>
            <w:shd w:fill="E5E5E5" w:val="clear"/>
            <w:vAlign w:val="bottom"/>
          </w:tcPr>
          <w:p>
            <w:pPr>
              <w:pStyle w:val="TableContents"/>
              <w:spacing w:lineRule="atLeast" w:line="240" w:before="0" w:after="0"/>
              <w:rPr/>
            </w:pPr>
            <w:r>
              <w:rPr/>
              <w:t> </w:t>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133"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37,563</w:t>
            </w:r>
          </w:p>
        </w:tc>
        <w:tc>
          <w:tcPr>
            <w:tcW w:w="305" w:type="dxa"/>
            <w:tcBorders/>
            <w:shd w:fill="E5E5E5" w:val="clear"/>
            <w:vAlign w:val="bottom"/>
          </w:tcPr>
          <w:p>
            <w:pPr>
              <w:pStyle w:val="TableContents"/>
              <w:spacing w:lineRule="atLeast" w:line="180" w:before="0" w:after="0"/>
              <w:rPr>
                <w:rFonts w:ascii="arial" w:hAnsi="arial"/>
                <w:sz w:val="16"/>
              </w:rPr>
            </w:pPr>
            <w:r>
              <w:rPr>
                <w:rFonts w:ascii="arial" w:hAnsi="arial"/>
                <w:sz w:val="16"/>
              </w:rPr>
              <w:t>(J) </w:t>
            </w:r>
          </w:p>
        </w:tc>
      </w:tr>
      <w:tr>
        <w:trPr/>
        <w:tc>
          <w:tcPr>
            <w:tcW w:w="60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173</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22,103</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413</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52,644</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01/02/20</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lineRule="atLeast" w:line="240" w:before="0" w:after="0"/>
              <w:rPr/>
            </w:pPr>
            <w:r>
              <w:rPr/>
              <w:t> </w:t>
            </w:r>
          </w:p>
        </w:tc>
        <w:tc>
          <w:tcPr>
            <w:tcW w:w="78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619</w:t>
            </w:r>
          </w:p>
        </w:tc>
        <w:tc>
          <w:tcPr>
            <w:tcW w:w="91" w:type="dxa"/>
            <w:tcBorders/>
            <w:shd w:fill="E5E5E5" w:val="clear"/>
            <w:vAlign w:val="bottom"/>
          </w:tcPr>
          <w:p>
            <w:pPr>
              <w:pStyle w:val="TableContents"/>
              <w:spacing w:lineRule="atLeast" w:line="240" w:before="0" w:after="0"/>
              <w:rPr/>
            </w:pPr>
            <w:r>
              <w:rPr/>
              <w:t> </w:t>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lineRule="atLeast" w:line="240" w:before="0" w:after="0"/>
              <w:rPr/>
            </w:pPr>
            <w:r>
              <w:rPr/>
              <w:t> </w:t>
            </w:r>
          </w:p>
        </w:tc>
        <w:tc>
          <w:tcPr>
            <w:tcW w:w="1133"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78,900</w:t>
            </w:r>
          </w:p>
        </w:tc>
        <w:tc>
          <w:tcPr>
            <w:tcW w:w="305" w:type="dxa"/>
            <w:tcBorders/>
            <w:shd w:fill="E5E5E5" w:val="clear"/>
            <w:vAlign w:val="bottom"/>
          </w:tcPr>
          <w:p>
            <w:pPr>
              <w:pStyle w:val="TableContents"/>
              <w:spacing w:lineRule="atLeast" w:line="180" w:before="0" w:after="0"/>
              <w:rPr>
                <w:rFonts w:ascii="arial" w:hAnsi="arial"/>
                <w:sz w:val="16"/>
              </w:rPr>
            </w:pPr>
            <w:r>
              <w:rPr>
                <w:rFonts w:ascii="arial" w:hAnsi="arial"/>
                <w:sz w:val="16"/>
              </w:rPr>
              <w:t>(J) </w:t>
            </w:r>
          </w:p>
        </w:tc>
      </w:tr>
      <w:tr>
        <w:trPr/>
        <w:tc>
          <w:tcPr>
            <w:tcW w:w="60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1,285</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163,734</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275</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35,013</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522</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66,452</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lineRule="atLeast" w:line="240" w:before="0" w:after="0"/>
              <w:rPr/>
            </w:pPr>
            <w:r>
              <w:rPr/>
              <w:t> </w:t>
            </w:r>
          </w:p>
        </w:tc>
        <w:tc>
          <w:tcPr>
            <w:tcW w:w="78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521</w:t>
            </w:r>
          </w:p>
        </w:tc>
        <w:tc>
          <w:tcPr>
            <w:tcW w:w="91" w:type="dxa"/>
            <w:tcBorders/>
            <w:shd w:fill="E5E5E5" w:val="clear"/>
            <w:vAlign w:val="bottom"/>
          </w:tcPr>
          <w:p>
            <w:pPr>
              <w:pStyle w:val="TableContents"/>
              <w:spacing w:lineRule="atLeast" w:line="240" w:before="0" w:after="0"/>
              <w:rPr/>
            </w:pPr>
            <w:r>
              <w:rPr/>
              <w:t> </w:t>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lineRule="atLeast" w:line="240" w:before="0" w:after="0"/>
              <w:rPr/>
            </w:pPr>
            <w:r>
              <w:rPr/>
              <w:t> </w:t>
            </w:r>
          </w:p>
        </w:tc>
        <w:tc>
          <w:tcPr>
            <w:tcW w:w="1133"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66,318</w:t>
            </w:r>
          </w:p>
        </w:tc>
        <w:tc>
          <w:tcPr>
            <w:tcW w:w="305" w:type="dxa"/>
            <w:tcBorders/>
            <w:shd w:fill="E5E5E5" w:val="clear"/>
            <w:vAlign w:val="bottom"/>
          </w:tcPr>
          <w:p>
            <w:pPr>
              <w:pStyle w:val="TableContents"/>
              <w:spacing w:lineRule="atLeast" w:line="180" w:before="0" w:after="0"/>
              <w:rPr>
                <w:rFonts w:ascii="arial" w:hAnsi="arial"/>
                <w:sz w:val="16"/>
              </w:rPr>
            </w:pPr>
            <w:r>
              <w:rPr>
                <w:rFonts w:ascii="arial" w:hAnsi="arial"/>
                <w:sz w:val="16"/>
              </w:rPr>
              <w:t>(I) </w:t>
            </w:r>
          </w:p>
        </w:tc>
      </w:tr>
      <w:tr>
        <w:trPr/>
        <w:tc>
          <w:tcPr>
            <w:tcW w:w="60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885</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112,710</w:t>
            </w:r>
          </w:p>
        </w:tc>
        <w:tc>
          <w:tcPr>
            <w:tcW w:w="320" w:type="dxa"/>
            <w:tcBorders/>
            <w:shd w:fill="auto"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347</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44,175</w:t>
            </w:r>
          </w:p>
        </w:tc>
        <w:tc>
          <w:tcPr>
            <w:tcW w:w="320" w:type="dxa"/>
            <w:tcBorders/>
            <w:shd w:fill="E5E5E5"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874</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111,371</w:t>
            </w:r>
          </w:p>
        </w:tc>
        <w:tc>
          <w:tcPr>
            <w:tcW w:w="320" w:type="dxa"/>
            <w:tcBorders/>
            <w:shd w:fill="auto" w:val="clear"/>
            <w:vAlign w:val="bottom"/>
          </w:tcPr>
          <w:p>
            <w:pPr>
              <w:pStyle w:val="TableContents"/>
              <w:spacing w:lineRule="atLeast" w:line="180" w:before="0" w:after="0"/>
              <w:rPr>
                <w:rFonts w:ascii="arial" w:hAnsi="arial"/>
                <w:sz w:val="16"/>
              </w:rPr>
            </w:pPr>
            <w:r>
              <w:rPr>
                <w:rFonts w:ascii="arial" w:hAnsi="arial"/>
                <w:sz w:val="16"/>
              </w:rPr>
              <w:t>(G)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lineRule="atLeast" w:line="240" w:before="0" w:after="0"/>
              <w:rPr/>
            </w:pPr>
            <w:r>
              <w:rPr/>
              <w:t> </w:t>
            </w:r>
          </w:p>
        </w:tc>
        <w:tc>
          <w:tcPr>
            <w:tcW w:w="78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655</w:t>
            </w:r>
          </w:p>
        </w:tc>
        <w:tc>
          <w:tcPr>
            <w:tcW w:w="91" w:type="dxa"/>
            <w:tcBorders/>
            <w:shd w:fill="E5E5E5" w:val="clear"/>
            <w:vAlign w:val="bottom"/>
          </w:tcPr>
          <w:p>
            <w:pPr>
              <w:pStyle w:val="TableContents"/>
              <w:spacing w:lineRule="atLeast" w:line="240" w:before="0" w:after="0"/>
              <w:rPr/>
            </w:pPr>
            <w:r>
              <w:rPr/>
              <w:t> </w:t>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lineRule="atLeast" w:line="240" w:before="0" w:after="0"/>
              <w:rPr/>
            </w:pPr>
            <w:r>
              <w:rPr/>
              <w:t> </w:t>
            </w:r>
          </w:p>
        </w:tc>
        <w:tc>
          <w:tcPr>
            <w:tcW w:w="1133"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83,390</w:t>
            </w:r>
          </w:p>
        </w:tc>
        <w:tc>
          <w:tcPr>
            <w:tcW w:w="305" w:type="dxa"/>
            <w:tcBorders/>
            <w:shd w:fill="E5E5E5" w:val="clear"/>
            <w:vAlign w:val="bottom"/>
          </w:tcPr>
          <w:p>
            <w:pPr>
              <w:pStyle w:val="TableContents"/>
              <w:spacing w:lineRule="atLeast" w:line="180" w:before="0" w:after="0"/>
              <w:rPr>
                <w:rFonts w:ascii="arial" w:hAnsi="arial"/>
                <w:sz w:val="16"/>
              </w:rPr>
            </w:pPr>
            <w:r>
              <w:rPr>
                <w:rFonts w:ascii="arial" w:hAnsi="arial"/>
                <w:sz w:val="16"/>
              </w:rPr>
              <w:t>(H) </w:t>
            </w:r>
          </w:p>
        </w:tc>
      </w:tr>
      <w:tr>
        <w:trPr/>
        <w:tc>
          <w:tcPr>
            <w:tcW w:w="605" w:type="dxa"/>
            <w:tcBorders/>
            <w:shd w:fill="auto"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36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pBdr>
                <w:top w:val="single" w:sz="2" w:space="1" w:color="000000"/>
              </w:pBdr>
              <w:spacing w:before="0" w:after="0"/>
              <w:rPr/>
            </w:pPr>
            <w:r>
              <w:rPr/>
              <w:t> </w:t>
            </w:r>
          </w:p>
        </w:tc>
        <w:tc>
          <w:tcPr>
            <w:tcW w:w="794" w:type="dxa"/>
            <w:tcBorders/>
            <w:shd w:fill="E5E5E5"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pBdr>
                <w:top w:val="single" w:sz="2" w:space="1" w:color="000000"/>
              </w:pBdr>
              <w:spacing w:before="0" w:after="0"/>
              <w:rPr/>
            </w:pPr>
            <w:r>
              <w:rPr/>
              <w:t> </w:t>
            </w:r>
          </w:p>
        </w:tc>
        <w:tc>
          <w:tcPr>
            <w:tcW w:w="973" w:type="dxa"/>
            <w:tcBorders/>
            <w:shd w:fill="E5E5E5"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pBdr>
                <w:top w:val="single" w:sz="2" w:space="1" w:color="000000"/>
              </w:pBdr>
              <w:spacing w:before="0" w:after="0"/>
              <w:rPr/>
            </w:pPr>
            <w:r>
              <w:rPr/>
              <w:t> </w:t>
            </w:r>
          </w:p>
        </w:tc>
        <w:tc>
          <w:tcPr>
            <w:tcW w:w="614" w:type="dxa"/>
            <w:tcBorders/>
            <w:shd w:fill="E5E5E5"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pBdr>
                <w:top w:val="single" w:sz="2" w:space="1" w:color="000000"/>
              </w:pBdr>
              <w:spacing w:before="0" w:after="0"/>
              <w:rPr/>
            </w:pPr>
            <w:r>
              <w:rPr/>
              <w:t> </w:t>
            </w:r>
          </w:p>
        </w:tc>
        <w:tc>
          <w:tcPr>
            <w:tcW w:w="690" w:type="dxa"/>
            <w:tcBorders/>
            <w:shd w:fill="E5E5E5"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pBdr>
                <w:top w:val="single" w:sz="2" w:space="1" w:color="000000"/>
              </w:pBdr>
              <w:spacing w:before="0" w:after="0"/>
              <w:rPr/>
            </w:pPr>
            <w:r>
              <w:rPr/>
              <w:t> </w:t>
            </w:r>
          </w:p>
        </w:tc>
        <w:tc>
          <w:tcPr>
            <w:tcW w:w="815" w:type="dxa"/>
            <w:tcBorders/>
            <w:shd w:fill="E5E5E5"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pBdr>
                <w:top w:val="single" w:sz="2" w:space="1" w:color="000000"/>
              </w:pBdr>
              <w:spacing w:before="0" w:after="0"/>
              <w:rPr/>
            </w:pPr>
            <w:r>
              <w:rPr/>
              <w:t> </w:t>
            </w:r>
          </w:p>
        </w:tc>
        <w:tc>
          <w:tcPr>
            <w:tcW w:w="786" w:type="dxa"/>
            <w:tcBorders/>
            <w:shd w:fill="E5E5E5" w:val="clear"/>
            <w:vAlign w:val="bottom"/>
          </w:tcPr>
          <w:p>
            <w:pPr>
              <w:pStyle w:val="TableContents"/>
              <w:pBdr>
                <w:top w:val="single" w:sz="2" w:space="1" w:color="000000"/>
              </w:pBdr>
              <w:spacing w:before="0" w:after="0"/>
              <w:rPr/>
            </w:pPr>
            <w:r>
              <w:rPr/>
              <w:t> </w:t>
            </w:r>
          </w:p>
        </w:tc>
        <w:tc>
          <w:tcPr>
            <w:tcW w:w="91" w:type="dxa"/>
            <w:tcBorders/>
            <w:shd w:fill="auto" w:val="clear"/>
            <w:vAlign w:val="center"/>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pBdr>
                <w:top w:val="single" w:sz="2" w:space="1" w:color="000000"/>
              </w:pBdr>
              <w:spacing w:before="0" w:after="0"/>
              <w:rPr/>
            </w:pPr>
            <w:r>
              <w:rPr/>
              <w:t> </w:t>
            </w:r>
          </w:p>
        </w:tc>
        <w:tc>
          <w:tcPr>
            <w:tcW w:w="1133" w:type="dxa"/>
            <w:tcBorders/>
            <w:shd w:fill="E5E5E5" w:val="clear"/>
            <w:vAlign w:val="bottom"/>
          </w:tcPr>
          <w:p>
            <w:pPr>
              <w:pStyle w:val="TableContents"/>
              <w:pBdr>
                <w:top w:val="single" w:sz="2" w:space="1" w:color="000000"/>
              </w:pBdr>
              <w:spacing w:before="0" w:after="0"/>
              <w:rPr/>
            </w:pPr>
            <w:r>
              <w:rPr/>
              <w:t> </w:t>
            </w:r>
          </w:p>
        </w:tc>
        <w:tc>
          <w:tcPr>
            <w:tcW w:w="305" w:type="dxa"/>
            <w:tcBorders/>
            <w:shd w:fill="auto" w:val="clear"/>
            <w:vAlign w:val="center"/>
          </w:tcPr>
          <w:p>
            <w:pPr>
              <w:pStyle w:val="TableContents"/>
              <w:spacing w:before="0" w:after="283"/>
              <w:rPr/>
            </w:pPr>
            <w:r>
              <w:rPr/>
              <w:t> </w:t>
            </w:r>
          </w:p>
        </w:tc>
      </w:tr>
      <w:tr>
        <w:trPr/>
        <w:tc>
          <w:tcPr>
            <w:tcW w:w="605" w:type="dxa"/>
            <w:tcBorders>
              <w:bottom w:val="single" w:sz="8" w:space="0" w:color="001C71"/>
            </w:tcBorders>
            <w:shd w:fill="auto" w:val="clear"/>
            <w:tcMar>
              <w:bottom w:w="28" w:type="dxa"/>
            </w:tcMar>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365"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94"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7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1" w:type="dxa"/>
            <w:tcBorders>
              <w:bottom w:val="single" w:sz="8" w:space="0" w:color="001C71"/>
            </w:tcBorders>
            <w:shd w:fill="auto" w:val="clear"/>
            <w:tcMar>
              <w:bottom w:w="28" w:type="dxa"/>
            </w:tcMar>
            <w:vAlign w:val="bottom"/>
          </w:tcPr>
          <w:p>
            <w:pPr>
              <w:pStyle w:val="TableContents"/>
              <w:spacing w:before="0" w:after="283"/>
              <w:rPr/>
            </w:pPr>
            <w:r>
              <w:rPr/>
              <w:t> </w:t>
            </w:r>
          </w:p>
        </w:tc>
        <w:tc>
          <w:tcPr>
            <w:tcW w:w="112"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973"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7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1" w:type="dxa"/>
            <w:tcBorders>
              <w:bottom w:val="single" w:sz="8" w:space="0" w:color="001C71"/>
            </w:tcBorders>
            <w:shd w:fill="auto" w:val="clear"/>
            <w:tcMar>
              <w:bottom w:w="28" w:type="dxa"/>
            </w:tcMar>
            <w:vAlign w:val="bottom"/>
          </w:tcPr>
          <w:p>
            <w:pPr>
              <w:pStyle w:val="TableContents"/>
              <w:spacing w:before="0" w:after="283"/>
              <w:rPr/>
            </w:pPr>
            <w:r>
              <w:rPr/>
              <w:t> </w:t>
            </w:r>
          </w:p>
        </w:tc>
        <w:tc>
          <w:tcPr>
            <w:tcW w:w="13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14"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346" w:type="dxa"/>
            <w:tcBorders>
              <w:bottom w:val="single" w:sz="8" w:space="0" w:color="001C71"/>
            </w:tcBorders>
            <w:shd w:fill="auto" w:val="clear"/>
            <w:tcMar>
              <w:bottom w:w="28" w:type="dxa"/>
            </w:tcMar>
            <w:vAlign w:val="bottom"/>
          </w:tcPr>
          <w:p>
            <w:pPr>
              <w:pStyle w:val="TableContents"/>
              <w:spacing w:lineRule="atLeast" w:line="180" w:before="0" w:after="0"/>
              <w:rPr>
                <w:rFonts w:ascii="arial" w:hAnsi="arial"/>
                <w:sz w:val="16"/>
              </w:rPr>
            </w:pPr>
            <w:r>
              <w:rPr>
                <w:rFonts w:ascii="arial" w:hAnsi="arial"/>
                <w:sz w:val="16"/>
              </w:rPr>
              <w:t>(E) </w:t>
            </w:r>
          </w:p>
        </w:tc>
        <w:tc>
          <w:tcPr>
            <w:tcW w:w="71" w:type="dxa"/>
            <w:tcBorders>
              <w:bottom w:val="single" w:sz="8" w:space="0" w:color="001C71"/>
            </w:tcBorders>
            <w:shd w:fill="auto" w:val="clear"/>
            <w:tcMar>
              <w:bottom w:w="28" w:type="dxa"/>
            </w:tcMar>
            <w:vAlign w:val="bottom"/>
          </w:tcPr>
          <w:p>
            <w:pPr>
              <w:pStyle w:val="TableContents"/>
              <w:spacing w:before="0" w:after="283"/>
              <w:rPr/>
            </w:pPr>
            <w:r>
              <w:rPr/>
              <w:t> </w:t>
            </w:r>
          </w:p>
        </w:tc>
        <w:tc>
          <w:tcPr>
            <w:tcW w:w="147" w:type="dxa"/>
            <w:tcBorders>
              <w:bottom w:val="single" w:sz="8" w:space="0" w:color="001C71"/>
            </w:tcBorders>
            <w:shd w:fill="auto" w:val="clear"/>
            <w:tcMar>
              <w:bottom w:w="28" w:type="dxa"/>
            </w:tcMar>
            <w:vAlign w:val="bottom"/>
          </w:tcPr>
          <w:p>
            <w:pPr>
              <w:pStyle w:val="TableContents"/>
              <w:spacing w:before="0" w:after="283"/>
              <w:rPr/>
            </w:pPr>
            <w:r>
              <w:rPr/>
              <w:t> </w:t>
            </w:r>
          </w:p>
        </w:tc>
        <w:tc>
          <w:tcPr>
            <w:tcW w:w="62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8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90"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5,052</w:t>
            </w:r>
          </w:p>
        </w:tc>
        <w:tc>
          <w:tcPr>
            <w:tcW w:w="66"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6" w:type="dxa"/>
            <w:tcBorders>
              <w:bottom w:val="single" w:sz="8" w:space="0" w:color="001C71"/>
            </w:tcBorders>
            <w:shd w:fill="auto" w:val="clear"/>
            <w:tcMar>
              <w:bottom w:w="28" w:type="dxa"/>
            </w:tcMar>
            <w:vAlign w:val="bottom"/>
          </w:tcPr>
          <w:p>
            <w:pPr>
              <w:pStyle w:val="TableContents"/>
              <w:spacing w:before="0" w:after="283"/>
              <w:rPr/>
            </w:pPr>
            <w:r>
              <w:rPr/>
              <w:t> </w:t>
            </w:r>
          </w:p>
        </w:tc>
        <w:tc>
          <w:tcPr>
            <w:tcW w:w="121"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815"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643,708</w:t>
            </w:r>
          </w:p>
        </w:tc>
        <w:tc>
          <w:tcPr>
            <w:tcW w:w="32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86"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2,090</w:t>
            </w:r>
          </w:p>
        </w:tc>
        <w:tc>
          <w:tcPr>
            <w:tcW w:w="91"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91" w:type="dxa"/>
            <w:tcBorders>
              <w:bottom w:val="single" w:sz="8" w:space="0" w:color="001C71"/>
            </w:tcBorders>
            <w:shd w:fill="auto" w:val="clear"/>
            <w:tcMar>
              <w:bottom w:w="28"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1133"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266,171</w:t>
            </w:r>
          </w:p>
        </w:tc>
        <w:tc>
          <w:tcPr>
            <w:tcW w:w="305"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r>
      <w:tr>
        <w:trPr/>
        <w:tc>
          <w:tcPr>
            <w:tcW w:w="605" w:type="dxa"/>
            <w:vMerge w:val="restart"/>
            <w:tcBorders>
              <w:bottom w:val="single" w:sz="8" w:space="0" w:color="001C71"/>
            </w:tcBorders>
            <w:shd w:fill="auto" w:val="clear"/>
            <w:tcMar>
              <w:bottom w:w="28" w:type="dxa"/>
            </w:tcMar>
            <w:vAlign w:val="center"/>
          </w:tcPr>
          <w:p>
            <w:pPr>
              <w:pStyle w:val="TableContents"/>
              <w:spacing w:before="0" w:after="0"/>
              <w:rPr/>
            </w:pPr>
            <w:r>
              <w:rPr/>
              <w:t> </w:t>
            </w:r>
          </w:p>
          <w:p>
            <w:pPr>
              <w:pStyle w:val="TableContents"/>
              <w:spacing w:lineRule="atLeast" w:line="220" w:before="0" w:after="20"/>
              <w:rPr>
                <w:rFonts w:ascii="arial" w:hAnsi="arial"/>
                <w:b/>
                <w:sz w:val="16"/>
              </w:rPr>
            </w:pPr>
            <w:r>
              <w:rPr>
                <w:rFonts w:ascii="arial" w:hAnsi="arial"/>
                <w:b/>
                <w:sz w:val="16"/>
              </w:rPr>
              <w:t>Dennis V. Arriola</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lineRule="atLeast" w:line="240" w:before="0" w:after="0"/>
              <w:rPr/>
            </w:pPr>
            <w:r>
              <w:rPr/>
              <w:t> </w:t>
            </w:r>
          </w:p>
        </w:tc>
        <w:tc>
          <w:tcPr>
            <w:tcW w:w="79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5,099</w:t>
            </w:r>
          </w:p>
        </w:tc>
        <w:tc>
          <w:tcPr>
            <w:tcW w:w="71" w:type="dxa"/>
            <w:tcBorders/>
            <w:shd w:fill="E5E5E5" w:val="clear"/>
            <w:vAlign w:val="bottom"/>
          </w:tcPr>
          <w:p>
            <w:pPr>
              <w:pStyle w:val="TableContents"/>
              <w:spacing w:lineRule="atLeast" w:line="240" w:before="0" w:after="0"/>
              <w:rPr/>
            </w:pPr>
            <w:r>
              <w:rPr/>
              <w:t> </w:t>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lineRule="atLeast" w:line="240" w:before="0" w:after="0"/>
              <w:rPr/>
            </w:pPr>
            <w:r>
              <w:rPr/>
              <w:t> </w:t>
            </w:r>
          </w:p>
        </w:tc>
        <w:tc>
          <w:tcPr>
            <w:tcW w:w="973"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10,196</w:t>
            </w:r>
          </w:p>
        </w:tc>
        <w:tc>
          <w:tcPr>
            <w:tcW w:w="71" w:type="dxa"/>
            <w:tcBorders/>
            <w:shd w:fill="E5E5E5" w:val="clear"/>
            <w:vAlign w:val="bottom"/>
          </w:tcPr>
          <w:p>
            <w:pPr>
              <w:pStyle w:val="TableContents"/>
              <w:spacing w:lineRule="atLeast" w:line="240" w:before="0" w:after="0"/>
              <w:rPr/>
            </w:pPr>
            <w:r>
              <w:rPr/>
              <w:t> </w:t>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61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106.76</w:t>
            </w:r>
          </w:p>
        </w:tc>
        <w:tc>
          <w:tcPr>
            <w:tcW w:w="346" w:type="dxa"/>
            <w:tcBorders/>
            <w:shd w:fill="E5E5E5" w:val="clear"/>
            <w:vAlign w:val="bottom"/>
          </w:tcPr>
          <w:p>
            <w:pPr>
              <w:pStyle w:val="TableContents"/>
              <w:spacing w:lineRule="atLeast" w:line="240" w:before="0" w:after="0"/>
              <w:rPr/>
            </w:pPr>
            <w:r>
              <w:rPr/>
              <w:t> </w:t>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lineRule="atLeast" w:line="240" w:before="0" w:after="0"/>
              <w:rPr/>
            </w:pPr>
            <w:r>
              <w:rPr/>
              <w:t> </w:t>
            </w:r>
          </w:p>
        </w:tc>
        <w:tc>
          <w:tcPr>
            <w:tcW w:w="623"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01/01/29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before="0" w:after="283"/>
              <w:rPr>
                <w:sz w:val="4"/>
                <w:szCs w:val="4"/>
              </w:rPr>
            </w:pPr>
            <w:r>
              <w:rPr>
                <w:sz w:val="4"/>
                <w:szCs w:val="4"/>
              </w:rPr>
            </w:r>
          </w:p>
        </w:tc>
        <w:tc>
          <w:tcPr>
            <w:tcW w:w="690"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sz w:val="4"/>
                <w:szCs w:val="4"/>
              </w:rPr>
            </w:pPr>
            <w:r>
              <w:rPr>
                <w:sz w:val="4"/>
                <w:szCs w:val="4"/>
              </w:rPr>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before="0" w:after="283"/>
              <w:rPr>
                <w:sz w:val="4"/>
                <w:szCs w:val="4"/>
              </w:rPr>
            </w:pPr>
            <w:r>
              <w:rPr>
                <w:sz w:val="4"/>
                <w:szCs w:val="4"/>
              </w:rPr>
            </w:r>
          </w:p>
        </w:tc>
        <w:tc>
          <w:tcPr>
            <w:tcW w:w="815" w:type="dxa"/>
            <w:tcBorders/>
            <w:shd w:fill="E5E5E5" w:val="clear"/>
            <w:vAlign w:val="bottom"/>
          </w:tcPr>
          <w:p>
            <w:pPr>
              <w:pStyle w:val="TableContents"/>
              <w:spacing w:before="0" w:after="283"/>
              <w:rPr>
                <w:sz w:val="4"/>
                <w:szCs w:val="4"/>
              </w:rPr>
            </w:pPr>
            <w:r>
              <w:rPr>
                <w:sz w:val="4"/>
                <w:szCs w:val="4"/>
              </w:rPr>
            </w:r>
          </w:p>
        </w:tc>
        <w:tc>
          <w:tcPr>
            <w:tcW w:w="32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6,556</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835,327</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1,401</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178,558</w:t>
            </w:r>
          </w:p>
        </w:tc>
        <w:tc>
          <w:tcPr>
            <w:tcW w:w="32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01/02/19</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2,657</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338,570</w:t>
            </w:r>
          </w:p>
        </w:tc>
        <w:tc>
          <w:tcPr>
            <w:tcW w:w="32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4,792</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610,486</w:t>
            </w:r>
          </w:p>
        </w:tc>
        <w:tc>
          <w:tcPr>
            <w:tcW w:w="320" w:type="dxa"/>
            <w:tcBorders/>
            <w:shd w:fill="E5E5E5"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lineRule="atLeast" w:line="240" w:before="0" w:after="0"/>
              <w:rPr/>
            </w:pPr>
            <w:r>
              <w:rPr/>
              <w:t> </w:t>
            </w:r>
          </w:p>
        </w:tc>
        <w:tc>
          <w:tcPr>
            <w:tcW w:w="36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auto" w:val="clear"/>
            <w:vAlign w:val="bottom"/>
          </w:tcPr>
          <w:p>
            <w:pPr>
              <w:pStyle w:val="TableContents"/>
              <w:spacing w:lineRule="atLeast" w:line="240" w:before="0" w:after="0"/>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lineRule="atLeast" w:line="240" w:before="0" w:after="0"/>
              <w:rPr/>
            </w:pPr>
            <w:r>
              <w:rPr/>
              <w:t> </w:t>
            </w:r>
          </w:p>
        </w:tc>
        <w:tc>
          <w:tcPr>
            <w:tcW w:w="690"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1,874</w:t>
            </w:r>
          </w:p>
        </w:tc>
        <w:tc>
          <w:tcPr>
            <w:tcW w:w="66" w:type="dxa"/>
            <w:tcBorders/>
            <w:shd w:fill="auto" w:val="clear"/>
            <w:vAlign w:val="bottom"/>
          </w:tcPr>
          <w:p>
            <w:pPr>
              <w:pStyle w:val="TableContents"/>
              <w:spacing w:lineRule="atLeast" w:line="240" w:before="0" w:after="0"/>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lineRule="atLeast" w:line="240" w:before="0" w:after="0"/>
              <w:rPr/>
            </w:pPr>
            <w:r>
              <w:rPr/>
              <w:t> </w:t>
            </w:r>
          </w:p>
        </w:tc>
        <w:tc>
          <w:tcPr>
            <w:tcW w:w="81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238,810</w:t>
            </w:r>
          </w:p>
        </w:tc>
        <w:tc>
          <w:tcPr>
            <w:tcW w:w="320" w:type="dxa"/>
            <w:tcBorders/>
            <w:shd w:fill="auto" w:val="clear"/>
            <w:vAlign w:val="bottom"/>
          </w:tcPr>
          <w:p>
            <w:pPr>
              <w:pStyle w:val="TableContents"/>
              <w:spacing w:lineRule="atLeast" w:line="180" w:before="0" w:after="0"/>
              <w:rPr>
                <w:rFonts w:ascii="arial" w:hAnsi="arial"/>
                <w:sz w:val="16"/>
              </w:rPr>
            </w:pPr>
            <w:r>
              <w:rPr>
                <w:rFonts w:ascii="arial" w:hAnsi="arial"/>
                <w:sz w:val="16"/>
              </w:rPr>
              <w:t>(F)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lineRule="atLeast" w:line="240" w:before="0" w:after="0"/>
              <w:rPr/>
            </w:pPr>
            <w:r>
              <w:rPr/>
              <w:t> </w:t>
            </w:r>
          </w:p>
        </w:tc>
        <w:tc>
          <w:tcPr>
            <w:tcW w:w="36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01/02/18</w:t>
            </w:r>
          </w:p>
        </w:tc>
        <w:tc>
          <w:tcPr>
            <w:tcW w:w="60" w:type="dxa"/>
            <w:tcBorders/>
            <w:shd w:fill="E5E5E5" w:val="clear"/>
            <w:vAlign w:val="bottom"/>
          </w:tcPr>
          <w:p>
            <w:pPr>
              <w:pStyle w:val="TableContents"/>
              <w:spacing w:lineRule="atLeast" w:line="240" w:before="0" w:after="0"/>
              <w:rPr/>
            </w:pPr>
            <w:r>
              <w:rPr/>
              <w:t> </w:t>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794"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spacing w:before="0" w:after="283"/>
              <w:rPr>
                <w:sz w:val="4"/>
                <w:szCs w:val="4"/>
              </w:rPr>
            </w:pPr>
            <w:r>
              <w:rPr>
                <w:sz w:val="4"/>
                <w:szCs w:val="4"/>
              </w:rPr>
            </w:r>
          </w:p>
        </w:tc>
        <w:tc>
          <w:tcPr>
            <w:tcW w:w="973"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spacing w:before="0" w:after="283"/>
              <w:rPr>
                <w:sz w:val="4"/>
                <w:szCs w:val="4"/>
              </w:rPr>
            </w:pPr>
            <w:r>
              <w:rPr>
                <w:sz w:val="4"/>
                <w:szCs w:val="4"/>
              </w:rPr>
            </w:r>
          </w:p>
        </w:tc>
        <w:tc>
          <w:tcPr>
            <w:tcW w:w="614" w:type="dxa"/>
            <w:tcBorders/>
            <w:shd w:fill="E5E5E5" w:val="clear"/>
            <w:vAlign w:val="bottom"/>
          </w:tcPr>
          <w:p>
            <w:pPr>
              <w:pStyle w:val="TableContents"/>
              <w:spacing w:before="0" w:after="283"/>
              <w:rPr>
                <w:sz w:val="4"/>
                <w:szCs w:val="4"/>
              </w:rPr>
            </w:pPr>
            <w:r>
              <w:rPr>
                <w:sz w:val="4"/>
                <w:szCs w:val="4"/>
              </w:rPr>
            </w:r>
          </w:p>
        </w:tc>
        <w:tc>
          <w:tcPr>
            <w:tcW w:w="346" w:type="dxa"/>
            <w:tcBorders/>
            <w:shd w:fill="E5E5E5" w:val="clear"/>
            <w:vAlign w:val="bottom"/>
          </w:tcPr>
          <w:p>
            <w:pPr>
              <w:pStyle w:val="TableContents"/>
              <w:spacing w:before="0" w:after="283"/>
              <w:rPr>
                <w:sz w:val="4"/>
                <w:szCs w:val="4"/>
              </w:rPr>
            </w:pPr>
            <w:r>
              <w:rPr>
                <w:sz w:val="4"/>
                <w:szCs w:val="4"/>
              </w:rPr>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spacing w:lineRule="atLeast" w:line="240" w:before="0" w:after="0"/>
              <w:rPr/>
            </w:pPr>
            <w:r>
              <w:rPr/>
              <w:t> </w:t>
            </w:r>
          </w:p>
        </w:tc>
        <w:tc>
          <w:tcPr>
            <w:tcW w:w="690"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4,729</w:t>
            </w:r>
          </w:p>
        </w:tc>
        <w:tc>
          <w:tcPr>
            <w:tcW w:w="66" w:type="dxa"/>
            <w:tcBorders/>
            <w:shd w:fill="E5E5E5" w:val="clear"/>
            <w:vAlign w:val="bottom"/>
          </w:tcPr>
          <w:p>
            <w:pPr>
              <w:pStyle w:val="TableContents"/>
              <w:spacing w:lineRule="atLeast" w:line="240" w:before="0" w:after="0"/>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spacing w:lineRule="atLeast" w:line="240" w:before="0" w:after="0"/>
              <w:rPr/>
            </w:pPr>
            <w:r>
              <w:rPr/>
              <w:t> </w:t>
            </w:r>
          </w:p>
        </w:tc>
        <w:tc>
          <w:tcPr>
            <w:tcW w:w="81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602,568</w:t>
            </w:r>
          </w:p>
        </w:tc>
        <w:tc>
          <w:tcPr>
            <w:tcW w:w="320" w:type="dxa"/>
            <w:tcBorders/>
            <w:shd w:fill="E5E5E5" w:val="clear"/>
            <w:vAlign w:val="bottom"/>
          </w:tcPr>
          <w:p>
            <w:pPr>
              <w:pStyle w:val="TableContents"/>
              <w:spacing w:lineRule="atLeast" w:line="180" w:before="0" w:after="0"/>
              <w:rPr>
                <w:rFonts w:ascii="arial" w:hAnsi="arial"/>
                <w:sz w:val="16"/>
              </w:rPr>
            </w:pPr>
            <w:r>
              <w:rPr>
                <w:rFonts w:ascii="arial" w:hAnsi="arial"/>
                <w:sz w:val="16"/>
              </w:rPr>
              <w:t>(G)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sz w:val="4"/>
                <w:szCs w:val="4"/>
              </w:rPr>
            </w:pPr>
            <w:r>
              <w:rPr>
                <w:sz w:val="4"/>
                <w:szCs w:val="4"/>
              </w:rPr>
            </w:r>
          </w:p>
        </w:tc>
        <w:tc>
          <w:tcPr>
            <w:tcW w:w="786"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sz w:val="4"/>
                <w:szCs w:val="4"/>
              </w:rPr>
            </w:pPr>
            <w:r>
              <w:rPr>
                <w:sz w:val="4"/>
                <w:szCs w:val="4"/>
              </w:rPr>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sz w:val="4"/>
                <w:szCs w:val="4"/>
              </w:rPr>
            </w:pPr>
            <w:r>
              <w:rPr>
                <w:sz w:val="4"/>
                <w:szCs w:val="4"/>
              </w:rPr>
            </w:r>
          </w:p>
        </w:tc>
        <w:tc>
          <w:tcPr>
            <w:tcW w:w="1133" w:type="dxa"/>
            <w:tcBorders/>
            <w:shd w:fill="E5E5E5" w:val="clear"/>
            <w:vAlign w:val="bottom"/>
          </w:tcPr>
          <w:p>
            <w:pPr>
              <w:pStyle w:val="TableContents"/>
              <w:spacing w:before="0" w:after="283"/>
              <w:rPr>
                <w:sz w:val="4"/>
                <w:szCs w:val="4"/>
              </w:rPr>
            </w:pPr>
            <w:r>
              <w:rPr>
                <w:sz w:val="4"/>
                <w:szCs w:val="4"/>
              </w:rPr>
            </w:r>
          </w:p>
        </w:tc>
        <w:tc>
          <w:tcPr>
            <w:tcW w:w="305" w:type="dxa"/>
            <w:tcBorders/>
            <w:shd w:fill="E5E5E5" w:val="clear"/>
            <w:vAlign w:val="bottom"/>
          </w:tcPr>
          <w:p>
            <w:pPr>
              <w:pStyle w:val="TableContents"/>
              <w:spacing w:before="0" w:after="283"/>
              <w:rPr>
                <w:sz w:val="4"/>
                <w:szCs w:val="4"/>
              </w:rPr>
            </w:pPr>
            <w:r>
              <w:rPr>
                <w:sz w:val="4"/>
                <w:szCs w:val="4"/>
              </w:rPr>
            </w:r>
          </w:p>
        </w:tc>
      </w:tr>
      <w:tr>
        <w:trPr/>
        <w:tc>
          <w:tcPr>
            <w:tcW w:w="605" w:type="dxa"/>
            <w:vMerge w:val="continue"/>
            <w:tcBorders>
              <w:bottom w:val="single" w:sz="8" w:space="0" w:color="001C71"/>
            </w:tcBorders>
            <w:shd w:fill="FFFFFF" w:val="clear"/>
            <w:tcMar>
              <w:bottom w:w="28" w:type="dxa"/>
            </w:tcMar>
            <w:vAlign w:val="center"/>
          </w:tcPr>
          <w:p>
            <w:pPr>
              <w:pStyle w:val="Normal"/>
              <w:rPr/>
            </w:pPr>
            <w:r>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36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pBdr>
                <w:top w:val="single" w:sz="2" w:space="1" w:color="000000"/>
              </w:pBdr>
              <w:spacing w:before="0" w:after="0"/>
              <w:rPr/>
            </w:pPr>
            <w:r>
              <w:rPr/>
              <w:t> </w:t>
            </w:r>
          </w:p>
        </w:tc>
        <w:tc>
          <w:tcPr>
            <w:tcW w:w="794" w:type="dxa"/>
            <w:tcBorders/>
            <w:shd w:fill="E5E5E5" w:val="clear"/>
            <w:vAlign w:val="bottom"/>
          </w:tcPr>
          <w:p>
            <w:pPr>
              <w:pStyle w:val="TableContents"/>
              <w:pBdr>
                <w:top w:val="single" w:sz="2" w:space="1" w:color="000000"/>
              </w:pBdr>
              <w:spacing w:before="0" w:after="0"/>
              <w:rPr/>
            </w:pPr>
            <w:r>
              <w:rPr/>
              <w:t> </w:t>
            </w:r>
          </w:p>
        </w:tc>
        <w:tc>
          <w:tcPr>
            <w:tcW w:w="71" w:type="dxa"/>
            <w:tcBorders/>
            <w:shd w:fill="FFFFFF" w:val="clear"/>
            <w:vAlign w:val="center"/>
          </w:tcPr>
          <w:p>
            <w:pPr>
              <w:pStyle w:val="TableContents"/>
              <w:spacing w:before="0" w:after="283"/>
              <w:rPr/>
            </w:pPr>
            <w:r>
              <w:rPr/>
              <w:t> </w:t>
            </w:r>
          </w:p>
        </w:tc>
        <w:tc>
          <w:tcPr>
            <w:tcW w:w="71" w:type="dxa"/>
            <w:tcBorders/>
            <w:shd w:fill="E5E5E5" w:val="clear"/>
            <w:vAlign w:val="bottom"/>
          </w:tcPr>
          <w:p>
            <w:pPr>
              <w:pStyle w:val="TableContents"/>
              <w:spacing w:before="0" w:after="283"/>
              <w:rPr/>
            </w:pPr>
            <w:r>
              <w:rPr/>
              <w:t> </w:t>
            </w:r>
          </w:p>
        </w:tc>
        <w:tc>
          <w:tcPr>
            <w:tcW w:w="112" w:type="dxa"/>
            <w:tcBorders/>
            <w:shd w:fill="E5E5E5" w:val="clear"/>
            <w:vAlign w:val="bottom"/>
          </w:tcPr>
          <w:p>
            <w:pPr>
              <w:pStyle w:val="TableContents"/>
              <w:pBdr>
                <w:top w:val="single" w:sz="2" w:space="1" w:color="000000"/>
              </w:pBdr>
              <w:spacing w:before="0" w:after="0"/>
              <w:rPr/>
            </w:pPr>
            <w:r>
              <w:rPr/>
              <w:t> </w:t>
            </w:r>
          </w:p>
        </w:tc>
        <w:tc>
          <w:tcPr>
            <w:tcW w:w="973" w:type="dxa"/>
            <w:tcBorders/>
            <w:shd w:fill="E5E5E5" w:val="clear"/>
            <w:vAlign w:val="bottom"/>
          </w:tcPr>
          <w:p>
            <w:pPr>
              <w:pStyle w:val="TableContents"/>
              <w:pBdr>
                <w:top w:val="single" w:sz="2" w:space="1" w:color="000000"/>
              </w:pBdr>
              <w:spacing w:before="0" w:after="0"/>
              <w:rPr/>
            </w:pPr>
            <w:r>
              <w:rPr/>
              <w:t> </w:t>
            </w:r>
          </w:p>
        </w:tc>
        <w:tc>
          <w:tcPr>
            <w:tcW w:w="71" w:type="dxa"/>
            <w:tcBorders/>
            <w:shd w:fill="FFFFFF" w:val="clear"/>
            <w:vAlign w:val="center"/>
          </w:tcPr>
          <w:p>
            <w:pPr>
              <w:pStyle w:val="TableContents"/>
              <w:spacing w:before="0" w:after="283"/>
              <w:rPr/>
            </w:pPr>
            <w:r>
              <w:rPr/>
              <w:t> </w:t>
            </w:r>
          </w:p>
        </w:tc>
        <w:tc>
          <w:tcPr>
            <w:tcW w:w="71" w:type="dxa"/>
            <w:tcBorders/>
            <w:shd w:fill="E5E5E5" w:val="clear"/>
            <w:vAlign w:val="bottom"/>
          </w:tcPr>
          <w:p>
            <w:pPr>
              <w:pStyle w:val="TableContents"/>
              <w:spacing w:before="0" w:after="283"/>
              <w:rPr/>
            </w:pPr>
            <w:r>
              <w:rPr/>
              <w:t> </w:t>
            </w:r>
          </w:p>
        </w:tc>
        <w:tc>
          <w:tcPr>
            <w:tcW w:w="131" w:type="dxa"/>
            <w:tcBorders/>
            <w:shd w:fill="E5E5E5" w:val="clear"/>
            <w:vAlign w:val="bottom"/>
          </w:tcPr>
          <w:p>
            <w:pPr>
              <w:pStyle w:val="TableContents"/>
              <w:pBdr>
                <w:top w:val="single" w:sz="2" w:space="1" w:color="000000"/>
              </w:pBdr>
              <w:spacing w:before="0" w:after="0"/>
              <w:rPr/>
            </w:pPr>
            <w:r>
              <w:rPr/>
              <w:t> </w:t>
            </w:r>
          </w:p>
        </w:tc>
        <w:tc>
          <w:tcPr>
            <w:tcW w:w="614" w:type="dxa"/>
            <w:tcBorders/>
            <w:shd w:fill="E5E5E5" w:val="clear"/>
            <w:vAlign w:val="bottom"/>
          </w:tcPr>
          <w:p>
            <w:pPr>
              <w:pStyle w:val="TableContents"/>
              <w:pBdr>
                <w:top w:val="single" w:sz="2" w:space="1" w:color="000000"/>
              </w:pBdr>
              <w:spacing w:before="0" w:after="0"/>
              <w:rPr/>
            </w:pPr>
            <w:r>
              <w:rPr/>
              <w:t> </w:t>
            </w:r>
          </w:p>
        </w:tc>
        <w:tc>
          <w:tcPr>
            <w:tcW w:w="346" w:type="dxa"/>
            <w:tcBorders/>
            <w:shd w:fill="FFFFFF" w:val="clear"/>
            <w:vAlign w:val="center"/>
          </w:tcPr>
          <w:p>
            <w:pPr>
              <w:pStyle w:val="TableContents"/>
              <w:spacing w:before="0" w:after="283"/>
              <w:rPr/>
            </w:pPr>
            <w:r>
              <w:rPr/>
              <w:t> </w:t>
            </w:r>
          </w:p>
        </w:tc>
        <w:tc>
          <w:tcPr>
            <w:tcW w:w="71" w:type="dxa"/>
            <w:tcBorders/>
            <w:shd w:fill="E5E5E5" w:val="clear"/>
            <w:vAlign w:val="bottom"/>
          </w:tcPr>
          <w:p>
            <w:pPr>
              <w:pStyle w:val="TableContents"/>
              <w:spacing w:before="0" w:after="283"/>
              <w:rPr/>
            </w:pPr>
            <w:r>
              <w:rPr/>
              <w:t> </w:t>
            </w:r>
          </w:p>
        </w:tc>
        <w:tc>
          <w:tcPr>
            <w:tcW w:w="147" w:type="dxa"/>
            <w:tcBorders/>
            <w:shd w:fill="E5E5E5" w:val="clear"/>
            <w:vAlign w:val="bottom"/>
          </w:tcPr>
          <w:p>
            <w:pPr>
              <w:pStyle w:val="TableContents"/>
              <w:spacing w:before="0" w:after="283"/>
              <w:rPr>
                <w:sz w:val="4"/>
                <w:szCs w:val="4"/>
              </w:rPr>
            </w:pPr>
            <w:r>
              <w:rPr>
                <w:sz w:val="4"/>
                <w:szCs w:val="4"/>
              </w:rPr>
            </w:r>
          </w:p>
        </w:tc>
        <w:tc>
          <w:tcPr>
            <w:tcW w:w="623"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0" w:type="dxa"/>
            <w:tcBorders/>
            <w:shd w:fill="E5E5E5" w:val="clear"/>
            <w:vAlign w:val="bottom"/>
          </w:tcPr>
          <w:p>
            <w:pPr>
              <w:pStyle w:val="TableContents"/>
              <w:pBdr>
                <w:top w:val="single" w:sz="2" w:space="1" w:color="000000"/>
              </w:pBdr>
              <w:spacing w:before="0" w:after="0"/>
              <w:rPr/>
            </w:pPr>
            <w:r>
              <w:rPr/>
              <w:t> </w:t>
            </w:r>
          </w:p>
        </w:tc>
        <w:tc>
          <w:tcPr>
            <w:tcW w:w="690" w:type="dxa"/>
            <w:tcBorders/>
            <w:shd w:fill="E5E5E5" w:val="clear"/>
            <w:vAlign w:val="bottom"/>
          </w:tcPr>
          <w:p>
            <w:pPr>
              <w:pStyle w:val="TableContents"/>
              <w:pBdr>
                <w:top w:val="single" w:sz="2" w:space="1" w:color="000000"/>
              </w:pBdr>
              <w:spacing w:before="0" w:after="0"/>
              <w:rPr/>
            </w:pPr>
            <w:r>
              <w:rPr/>
              <w:t> </w:t>
            </w:r>
          </w:p>
        </w:tc>
        <w:tc>
          <w:tcPr>
            <w:tcW w:w="66" w:type="dxa"/>
            <w:tcBorders/>
            <w:shd w:fill="FFFFFF" w:val="clear"/>
            <w:vAlign w:val="center"/>
          </w:tcPr>
          <w:p>
            <w:pPr>
              <w:pStyle w:val="TableContents"/>
              <w:spacing w:before="0" w:after="283"/>
              <w:rPr/>
            </w:pPr>
            <w:r>
              <w:rPr/>
              <w:t> </w:t>
            </w:r>
          </w:p>
        </w:tc>
        <w:tc>
          <w:tcPr>
            <w:tcW w:w="66" w:type="dxa"/>
            <w:tcBorders/>
            <w:shd w:fill="E5E5E5" w:val="clear"/>
            <w:vAlign w:val="bottom"/>
          </w:tcPr>
          <w:p>
            <w:pPr>
              <w:pStyle w:val="TableContents"/>
              <w:spacing w:before="0" w:after="283"/>
              <w:rPr/>
            </w:pPr>
            <w:r>
              <w:rPr/>
              <w:t> </w:t>
            </w:r>
          </w:p>
        </w:tc>
        <w:tc>
          <w:tcPr>
            <w:tcW w:w="121" w:type="dxa"/>
            <w:tcBorders/>
            <w:shd w:fill="E5E5E5" w:val="clear"/>
            <w:vAlign w:val="bottom"/>
          </w:tcPr>
          <w:p>
            <w:pPr>
              <w:pStyle w:val="TableContents"/>
              <w:pBdr>
                <w:top w:val="single" w:sz="2" w:space="1" w:color="000000"/>
              </w:pBdr>
              <w:spacing w:before="0" w:after="0"/>
              <w:rPr/>
            </w:pPr>
            <w:r>
              <w:rPr/>
              <w:t> </w:t>
            </w:r>
          </w:p>
        </w:tc>
        <w:tc>
          <w:tcPr>
            <w:tcW w:w="815" w:type="dxa"/>
            <w:tcBorders/>
            <w:shd w:fill="E5E5E5" w:val="clear"/>
            <w:vAlign w:val="bottom"/>
          </w:tcPr>
          <w:p>
            <w:pPr>
              <w:pStyle w:val="TableContents"/>
              <w:pBdr>
                <w:top w:val="single" w:sz="2" w:space="1" w:color="000000"/>
              </w:pBdr>
              <w:spacing w:before="0" w:after="0"/>
              <w:rPr/>
            </w:pPr>
            <w:r>
              <w:rPr/>
              <w:t> </w:t>
            </w:r>
          </w:p>
        </w:tc>
        <w:tc>
          <w:tcPr>
            <w:tcW w:w="320" w:type="dxa"/>
            <w:tcBorders/>
            <w:shd w:fill="FFFFFF" w:val="clear"/>
            <w:vAlign w:val="center"/>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pBdr>
                <w:top w:val="single" w:sz="2" w:space="1" w:color="000000"/>
              </w:pBdr>
              <w:spacing w:before="0" w:after="0"/>
              <w:rPr/>
            </w:pPr>
            <w:r>
              <w:rPr/>
              <w:t> </w:t>
            </w:r>
          </w:p>
        </w:tc>
        <w:tc>
          <w:tcPr>
            <w:tcW w:w="786" w:type="dxa"/>
            <w:tcBorders/>
            <w:shd w:fill="E5E5E5" w:val="clear"/>
            <w:vAlign w:val="bottom"/>
          </w:tcPr>
          <w:p>
            <w:pPr>
              <w:pStyle w:val="TableContents"/>
              <w:pBdr>
                <w:top w:val="single" w:sz="2" w:space="1" w:color="000000"/>
              </w:pBdr>
              <w:spacing w:before="0" w:after="0"/>
              <w:rPr/>
            </w:pPr>
            <w:r>
              <w:rPr/>
              <w:t> </w:t>
            </w:r>
          </w:p>
        </w:tc>
        <w:tc>
          <w:tcPr>
            <w:tcW w:w="91" w:type="dxa"/>
            <w:tcBorders/>
            <w:shd w:fill="FFFFFF" w:val="clear"/>
            <w:vAlign w:val="center"/>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pBdr>
                <w:top w:val="single" w:sz="2" w:space="1" w:color="000000"/>
              </w:pBdr>
              <w:spacing w:before="0" w:after="0"/>
              <w:rPr/>
            </w:pPr>
            <w:r>
              <w:rPr/>
              <w:t> </w:t>
            </w:r>
          </w:p>
        </w:tc>
        <w:tc>
          <w:tcPr>
            <w:tcW w:w="1133" w:type="dxa"/>
            <w:tcBorders/>
            <w:shd w:fill="E5E5E5" w:val="clear"/>
            <w:vAlign w:val="bottom"/>
          </w:tcPr>
          <w:p>
            <w:pPr>
              <w:pStyle w:val="TableContents"/>
              <w:pBdr>
                <w:top w:val="single" w:sz="2" w:space="1" w:color="000000"/>
              </w:pBdr>
              <w:spacing w:before="0" w:after="0"/>
              <w:rPr/>
            </w:pPr>
            <w:r>
              <w:rPr/>
              <w:t> </w:t>
            </w:r>
          </w:p>
        </w:tc>
        <w:tc>
          <w:tcPr>
            <w:tcW w:w="305" w:type="dxa"/>
            <w:tcBorders/>
            <w:shd w:fill="FFFFFF" w:val="clear"/>
            <w:vAlign w:val="center"/>
          </w:tcPr>
          <w:p>
            <w:pPr>
              <w:pStyle w:val="TableContents"/>
              <w:spacing w:before="0" w:after="283"/>
              <w:rPr/>
            </w:pPr>
            <w:r>
              <w:rPr/>
              <w:t> </w:t>
            </w:r>
          </w:p>
        </w:tc>
      </w:tr>
      <w:tr>
        <w:trPr/>
        <w:tc>
          <w:tcPr>
            <w:tcW w:w="605" w:type="dxa"/>
            <w:vMerge w:val="continue"/>
            <w:tcBorders>
              <w:bottom w:val="single" w:sz="8" w:space="0" w:color="001C71"/>
            </w:tcBorders>
            <w:shd w:fill="auto" w:val="clear"/>
            <w:tcMar>
              <w:bottom w:w="28" w:type="dxa"/>
            </w:tcMar>
            <w:vAlign w:val="center"/>
          </w:tcPr>
          <w:p>
            <w:pPr>
              <w:pStyle w:val="Normal"/>
              <w:rPr/>
            </w:pPr>
            <w:r>
              <w:rPr/>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365"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11" w:type="dxa"/>
            <w:tcBorders>
              <w:bottom w:val="single" w:sz="8" w:space="0" w:color="001C71"/>
            </w:tcBorders>
            <w:shd w:fill="auto" w:val="clear"/>
            <w:tcMar>
              <w:bottom w:w="28" w:type="dxa"/>
            </w:tcMar>
            <w:vAlign w:val="bottom"/>
          </w:tcPr>
          <w:p>
            <w:pPr>
              <w:pStyle w:val="TableContents"/>
              <w:spacing w:lineRule="atLeast" w:line="220" w:before="0" w:after="0"/>
              <w:rPr/>
            </w:pPr>
            <w:r>
              <w:rPr/>
              <w:t> </w:t>
            </w:r>
          </w:p>
        </w:tc>
        <w:tc>
          <w:tcPr>
            <w:tcW w:w="794" w:type="dxa"/>
            <w:tcBorders>
              <w:bottom w:val="single" w:sz="8" w:space="0" w:color="001C71"/>
            </w:tcBorders>
            <w:shd w:fill="auto" w:val="clear"/>
            <w:tcMar>
              <w:bottom w:w="28" w:type="dxa"/>
            </w:tcMar>
            <w:vAlign w:val="bottom"/>
          </w:tcPr>
          <w:p>
            <w:pPr>
              <w:pStyle w:val="TableContents"/>
              <w:spacing w:lineRule="atLeast" w:line="220" w:before="0" w:after="0"/>
              <w:jc w:val="right"/>
              <w:rPr>
                <w:rFonts w:ascii="arial" w:hAnsi="arial"/>
                <w:sz w:val="16"/>
              </w:rPr>
            </w:pPr>
            <w:r>
              <w:rPr>
                <w:rFonts w:ascii="arial" w:hAnsi="arial"/>
                <w:sz w:val="16"/>
              </w:rPr>
              <w:t>5,099</w:t>
            </w:r>
          </w:p>
        </w:tc>
        <w:tc>
          <w:tcPr>
            <w:tcW w:w="71" w:type="dxa"/>
            <w:tcBorders>
              <w:bottom w:val="single" w:sz="8" w:space="0" w:color="001C71"/>
            </w:tcBorders>
            <w:shd w:fill="auto" w:val="clear"/>
            <w:tcMar>
              <w:bottom w:w="28" w:type="dxa"/>
            </w:tcMar>
            <w:vAlign w:val="bottom"/>
          </w:tcPr>
          <w:p>
            <w:pPr>
              <w:pStyle w:val="TableContents"/>
              <w:spacing w:lineRule="atLeast" w:line="220" w:before="0" w:after="0"/>
              <w:rPr/>
            </w:pPr>
            <w:r>
              <w:rPr/>
              <w:t> </w:t>
            </w:r>
          </w:p>
        </w:tc>
        <w:tc>
          <w:tcPr>
            <w:tcW w:w="71" w:type="dxa"/>
            <w:tcBorders>
              <w:bottom w:val="single" w:sz="8" w:space="0" w:color="001C71"/>
            </w:tcBorders>
            <w:shd w:fill="auto" w:val="clear"/>
            <w:tcMar>
              <w:bottom w:w="28" w:type="dxa"/>
            </w:tcMar>
            <w:vAlign w:val="bottom"/>
          </w:tcPr>
          <w:p>
            <w:pPr>
              <w:pStyle w:val="TableContents"/>
              <w:spacing w:before="0" w:after="283"/>
              <w:rPr/>
            </w:pPr>
            <w:r>
              <w:rPr/>
              <w:t> </w:t>
            </w:r>
          </w:p>
        </w:tc>
        <w:tc>
          <w:tcPr>
            <w:tcW w:w="112" w:type="dxa"/>
            <w:tcBorders>
              <w:bottom w:val="single" w:sz="8" w:space="0" w:color="001C71"/>
            </w:tcBorders>
            <w:shd w:fill="auto" w:val="clear"/>
            <w:tcMar>
              <w:bottom w:w="28" w:type="dxa"/>
            </w:tcMar>
            <w:vAlign w:val="bottom"/>
          </w:tcPr>
          <w:p>
            <w:pPr>
              <w:pStyle w:val="TableContents"/>
              <w:spacing w:lineRule="atLeast" w:line="220" w:before="0" w:after="0"/>
              <w:rPr/>
            </w:pPr>
            <w:r>
              <w:rPr/>
              <w:t> </w:t>
            </w:r>
          </w:p>
        </w:tc>
        <w:tc>
          <w:tcPr>
            <w:tcW w:w="973" w:type="dxa"/>
            <w:tcBorders>
              <w:bottom w:val="single" w:sz="8" w:space="0" w:color="001C71"/>
            </w:tcBorders>
            <w:shd w:fill="auto" w:val="clear"/>
            <w:tcMar>
              <w:bottom w:w="28" w:type="dxa"/>
            </w:tcMar>
            <w:vAlign w:val="bottom"/>
          </w:tcPr>
          <w:p>
            <w:pPr>
              <w:pStyle w:val="TableContents"/>
              <w:spacing w:lineRule="atLeast" w:line="220" w:before="0" w:after="0"/>
              <w:jc w:val="right"/>
              <w:rPr>
                <w:rFonts w:ascii="arial" w:hAnsi="arial"/>
                <w:sz w:val="16"/>
              </w:rPr>
            </w:pPr>
            <w:r>
              <w:rPr>
                <w:rFonts w:ascii="arial" w:hAnsi="arial"/>
                <w:sz w:val="16"/>
              </w:rPr>
              <w:t>10,196</w:t>
            </w:r>
          </w:p>
        </w:tc>
        <w:tc>
          <w:tcPr>
            <w:tcW w:w="71" w:type="dxa"/>
            <w:tcBorders>
              <w:bottom w:val="single" w:sz="8" w:space="0" w:color="001C71"/>
            </w:tcBorders>
            <w:shd w:fill="auto" w:val="clear"/>
            <w:tcMar>
              <w:bottom w:w="28" w:type="dxa"/>
            </w:tcMar>
            <w:vAlign w:val="bottom"/>
          </w:tcPr>
          <w:p>
            <w:pPr>
              <w:pStyle w:val="TableContents"/>
              <w:spacing w:lineRule="atLeast" w:line="220" w:before="0" w:after="0"/>
              <w:rPr/>
            </w:pPr>
            <w:r>
              <w:rPr/>
              <w:t> </w:t>
            </w:r>
          </w:p>
        </w:tc>
        <w:tc>
          <w:tcPr>
            <w:tcW w:w="71" w:type="dxa"/>
            <w:tcBorders>
              <w:bottom w:val="single" w:sz="8" w:space="0" w:color="001C71"/>
            </w:tcBorders>
            <w:shd w:fill="auto" w:val="clear"/>
            <w:tcMar>
              <w:bottom w:w="28" w:type="dxa"/>
            </w:tcMar>
            <w:vAlign w:val="bottom"/>
          </w:tcPr>
          <w:p>
            <w:pPr>
              <w:pStyle w:val="TableContents"/>
              <w:spacing w:before="0" w:after="283"/>
              <w:rPr/>
            </w:pPr>
            <w:r>
              <w:rPr/>
              <w:t> </w:t>
            </w:r>
          </w:p>
        </w:tc>
        <w:tc>
          <w:tcPr>
            <w:tcW w:w="131" w:type="dxa"/>
            <w:tcBorders>
              <w:bottom w:val="single" w:sz="8" w:space="0" w:color="001C71"/>
            </w:tcBorders>
            <w:shd w:fill="auto" w:val="clear"/>
            <w:tcMar>
              <w:bottom w:w="28" w:type="dxa"/>
            </w:tcMar>
            <w:vAlign w:val="bottom"/>
          </w:tcPr>
          <w:p>
            <w:pPr>
              <w:pStyle w:val="TableContents"/>
              <w:spacing w:lineRule="atLeast" w:line="220" w:before="0" w:after="0"/>
              <w:rPr>
                <w:rFonts w:ascii="arial" w:hAnsi="arial"/>
                <w:sz w:val="16"/>
              </w:rPr>
            </w:pPr>
            <w:r>
              <w:rPr>
                <w:rFonts w:ascii="arial" w:hAnsi="arial"/>
                <w:sz w:val="16"/>
              </w:rPr>
              <w:t>$</w:t>
            </w:r>
          </w:p>
        </w:tc>
        <w:tc>
          <w:tcPr>
            <w:tcW w:w="614" w:type="dxa"/>
            <w:tcBorders>
              <w:bottom w:val="single" w:sz="8" w:space="0" w:color="001C71"/>
            </w:tcBorders>
            <w:shd w:fill="auto" w:val="clear"/>
            <w:tcMar>
              <w:bottom w:w="28" w:type="dxa"/>
            </w:tcMar>
            <w:vAlign w:val="bottom"/>
          </w:tcPr>
          <w:p>
            <w:pPr>
              <w:pStyle w:val="TableContents"/>
              <w:spacing w:lineRule="atLeast" w:line="220" w:before="0" w:after="0"/>
              <w:jc w:val="right"/>
              <w:rPr>
                <w:rFonts w:ascii="arial" w:hAnsi="arial"/>
                <w:sz w:val="16"/>
              </w:rPr>
            </w:pPr>
            <w:r>
              <w:rPr>
                <w:rFonts w:ascii="arial" w:hAnsi="arial"/>
                <w:sz w:val="16"/>
              </w:rPr>
              <w:t>106.76</w:t>
            </w:r>
          </w:p>
        </w:tc>
        <w:tc>
          <w:tcPr>
            <w:tcW w:w="346" w:type="dxa"/>
            <w:tcBorders>
              <w:bottom w:val="single" w:sz="8" w:space="0" w:color="001C71"/>
            </w:tcBorders>
            <w:shd w:fill="auto" w:val="clear"/>
            <w:tcMar>
              <w:bottom w:w="28" w:type="dxa"/>
            </w:tcMar>
            <w:vAlign w:val="bottom"/>
          </w:tcPr>
          <w:p>
            <w:pPr>
              <w:pStyle w:val="TableContents"/>
              <w:spacing w:lineRule="atLeast" w:line="160" w:before="0" w:after="0"/>
              <w:rPr>
                <w:rFonts w:ascii="arial" w:hAnsi="arial"/>
                <w:sz w:val="16"/>
              </w:rPr>
            </w:pPr>
            <w:r>
              <w:rPr>
                <w:rFonts w:ascii="arial" w:hAnsi="arial"/>
                <w:sz w:val="16"/>
              </w:rPr>
              <w:t>(E) </w:t>
            </w:r>
          </w:p>
        </w:tc>
        <w:tc>
          <w:tcPr>
            <w:tcW w:w="71" w:type="dxa"/>
            <w:tcBorders>
              <w:bottom w:val="single" w:sz="8" w:space="0" w:color="001C71"/>
            </w:tcBorders>
            <w:shd w:fill="auto" w:val="clear"/>
            <w:tcMar>
              <w:bottom w:w="28" w:type="dxa"/>
            </w:tcMar>
            <w:vAlign w:val="bottom"/>
          </w:tcPr>
          <w:p>
            <w:pPr>
              <w:pStyle w:val="TableContents"/>
              <w:spacing w:before="0" w:after="283"/>
              <w:rPr/>
            </w:pPr>
            <w:r>
              <w:rPr/>
              <w:t> </w:t>
            </w:r>
          </w:p>
        </w:tc>
        <w:tc>
          <w:tcPr>
            <w:tcW w:w="147" w:type="dxa"/>
            <w:tcBorders>
              <w:bottom w:val="single" w:sz="8" w:space="0" w:color="001C71"/>
            </w:tcBorders>
            <w:shd w:fill="auto" w:val="clear"/>
            <w:tcMar>
              <w:bottom w:w="28" w:type="dxa"/>
            </w:tcMar>
            <w:vAlign w:val="bottom"/>
          </w:tcPr>
          <w:p>
            <w:pPr>
              <w:pStyle w:val="TableContents"/>
              <w:spacing w:before="0" w:after="283"/>
              <w:rPr/>
            </w:pPr>
            <w:r>
              <w:rPr/>
              <w:t> </w:t>
            </w:r>
          </w:p>
        </w:tc>
        <w:tc>
          <w:tcPr>
            <w:tcW w:w="62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80" w:type="dxa"/>
            <w:tcBorders>
              <w:bottom w:val="single" w:sz="8" w:space="0" w:color="001C71"/>
            </w:tcBorders>
            <w:shd w:fill="auto" w:val="clear"/>
            <w:tcMar>
              <w:bottom w:w="28" w:type="dxa"/>
            </w:tcMar>
            <w:vAlign w:val="bottom"/>
          </w:tcPr>
          <w:p>
            <w:pPr>
              <w:pStyle w:val="TableContents"/>
              <w:spacing w:lineRule="atLeast" w:line="220" w:before="0" w:after="0"/>
              <w:rPr/>
            </w:pPr>
            <w:r>
              <w:rPr/>
              <w:t> </w:t>
            </w:r>
          </w:p>
        </w:tc>
        <w:tc>
          <w:tcPr>
            <w:tcW w:w="690" w:type="dxa"/>
            <w:tcBorders>
              <w:bottom w:val="single" w:sz="8" w:space="0" w:color="001C71"/>
            </w:tcBorders>
            <w:shd w:fill="auto" w:val="clear"/>
            <w:tcMar>
              <w:bottom w:w="28" w:type="dxa"/>
            </w:tcMar>
            <w:vAlign w:val="bottom"/>
          </w:tcPr>
          <w:p>
            <w:pPr>
              <w:pStyle w:val="TableContents"/>
              <w:spacing w:lineRule="atLeast" w:line="220" w:before="0" w:after="0"/>
              <w:jc w:val="right"/>
              <w:rPr>
                <w:rFonts w:ascii="arial" w:hAnsi="arial"/>
                <w:sz w:val="16"/>
              </w:rPr>
            </w:pPr>
            <w:r>
              <w:rPr>
                <w:rFonts w:ascii="arial" w:hAnsi="arial"/>
                <w:sz w:val="16"/>
              </w:rPr>
              <w:t>22,009</w:t>
            </w:r>
          </w:p>
        </w:tc>
        <w:tc>
          <w:tcPr>
            <w:tcW w:w="66" w:type="dxa"/>
            <w:tcBorders>
              <w:bottom w:val="single" w:sz="8" w:space="0" w:color="001C71"/>
            </w:tcBorders>
            <w:shd w:fill="auto" w:val="clear"/>
            <w:tcMar>
              <w:bottom w:w="28" w:type="dxa"/>
            </w:tcMar>
            <w:vAlign w:val="bottom"/>
          </w:tcPr>
          <w:p>
            <w:pPr>
              <w:pStyle w:val="TableContents"/>
              <w:spacing w:lineRule="atLeast" w:line="220" w:before="0" w:after="0"/>
              <w:rPr/>
            </w:pPr>
            <w:r>
              <w:rPr/>
              <w:t> </w:t>
            </w:r>
          </w:p>
        </w:tc>
        <w:tc>
          <w:tcPr>
            <w:tcW w:w="66" w:type="dxa"/>
            <w:tcBorders>
              <w:bottom w:val="single" w:sz="8" w:space="0" w:color="001C71"/>
            </w:tcBorders>
            <w:shd w:fill="auto" w:val="clear"/>
            <w:tcMar>
              <w:bottom w:w="28" w:type="dxa"/>
            </w:tcMar>
            <w:vAlign w:val="bottom"/>
          </w:tcPr>
          <w:p>
            <w:pPr>
              <w:pStyle w:val="TableContents"/>
              <w:spacing w:before="0" w:after="283"/>
              <w:rPr/>
            </w:pPr>
            <w:r>
              <w:rPr/>
              <w:t> </w:t>
            </w:r>
          </w:p>
        </w:tc>
        <w:tc>
          <w:tcPr>
            <w:tcW w:w="121" w:type="dxa"/>
            <w:tcBorders>
              <w:bottom w:val="single" w:sz="8" w:space="0" w:color="001C71"/>
            </w:tcBorders>
            <w:shd w:fill="auto" w:val="clear"/>
            <w:tcMar>
              <w:bottom w:w="28" w:type="dxa"/>
            </w:tcMar>
            <w:vAlign w:val="bottom"/>
          </w:tcPr>
          <w:p>
            <w:pPr>
              <w:pStyle w:val="TableContents"/>
              <w:spacing w:lineRule="atLeast" w:line="220" w:before="0" w:after="0"/>
              <w:rPr>
                <w:rFonts w:ascii="arial" w:hAnsi="arial"/>
                <w:sz w:val="16"/>
              </w:rPr>
            </w:pPr>
            <w:r>
              <w:rPr>
                <w:rFonts w:ascii="arial" w:hAnsi="arial"/>
                <w:sz w:val="16"/>
              </w:rPr>
              <w:t>$</w:t>
            </w:r>
          </w:p>
        </w:tc>
        <w:tc>
          <w:tcPr>
            <w:tcW w:w="815" w:type="dxa"/>
            <w:tcBorders>
              <w:bottom w:val="single" w:sz="8" w:space="0" w:color="001C71"/>
            </w:tcBorders>
            <w:shd w:fill="auto" w:val="clear"/>
            <w:tcMar>
              <w:bottom w:w="28" w:type="dxa"/>
            </w:tcMar>
            <w:vAlign w:val="bottom"/>
          </w:tcPr>
          <w:p>
            <w:pPr>
              <w:pStyle w:val="TableContents"/>
              <w:spacing w:lineRule="atLeast" w:line="220" w:before="0" w:after="0"/>
              <w:jc w:val="right"/>
              <w:rPr>
                <w:rFonts w:ascii="arial" w:hAnsi="arial"/>
                <w:sz w:val="16"/>
              </w:rPr>
            </w:pPr>
            <w:r>
              <w:rPr>
                <w:rFonts w:ascii="arial" w:hAnsi="arial"/>
                <w:sz w:val="16"/>
              </w:rPr>
              <w:t>2,804,319</w:t>
            </w:r>
          </w:p>
        </w:tc>
        <w:tc>
          <w:tcPr>
            <w:tcW w:w="320" w:type="dxa"/>
            <w:tcBorders>
              <w:bottom w:val="single" w:sz="8" w:space="0" w:color="001C71"/>
            </w:tcBorders>
            <w:shd w:fill="auto" w:val="clear"/>
            <w:tcMar>
              <w:bottom w:w="28" w:type="dxa"/>
            </w:tcMar>
            <w:vAlign w:val="bottom"/>
          </w:tcPr>
          <w:p>
            <w:pPr>
              <w:pStyle w:val="TableContents"/>
              <w:spacing w:lineRule="atLeast" w:line="220" w:before="0" w:after="0"/>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91" w:type="dxa"/>
            <w:tcBorders>
              <w:bottom w:val="single" w:sz="8" w:space="0" w:color="001C71"/>
            </w:tcBorders>
            <w:shd w:fill="auto" w:val="clear"/>
            <w:tcMar>
              <w:bottom w:w="28" w:type="dxa"/>
            </w:tcMar>
            <w:vAlign w:val="bottom"/>
          </w:tcPr>
          <w:p>
            <w:pPr>
              <w:pStyle w:val="TableContents"/>
              <w:spacing w:lineRule="atLeast" w:line="220" w:before="0" w:after="0"/>
              <w:rPr/>
            </w:pPr>
            <w:r>
              <w:rPr/>
              <w:t> </w:t>
            </w:r>
          </w:p>
        </w:tc>
        <w:tc>
          <w:tcPr>
            <w:tcW w:w="786" w:type="dxa"/>
            <w:tcBorders>
              <w:bottom w:val="single" w:sz="8" w:space="0" w:color="001C71"/>
            </w:tcBorders>
            <w:shd w:fill="auto" w:val="clear"/>
            <w:tcMar>
              <w:bottom w:w="28" w:type="dxa"/>
            </w:tcMar>
            <w:vAlign w:val="bottom"/>
          </w:tcPr>
          <w:p>
            <w:pPr>
              <w:pStyle w:val="TableContents"/>
              <w:spacing w:lineRule="atLeast" w:line="220" w:before="0" w:after="0"/>
              <w:jc w:val="right"/>
              <w:rPr>
                <w:rFonts w:ascii="arial" w:hAnsi="arial"/>
                <w:sz w:val="16"/>
              </w:rPr>
            </w:pPr>
            <w:r>
              <w:rPr>
                <w:rFonts w:ascii="arial" w:hAnsi="arial"/>
                <w:sz w:val="16"/>
              </w:rPr>
              <w:t></w:t>
            </w:r>
          </w:p>
        </w:tc>
        <w:tc>
          <w:tcPr>
            <w:tcW w:w="91" w:type="dxa"/>
            <w:tcBorders>
              <w:bottom w:val="single" w:sz="8" w:space="0" w:color="001C71"/>
            </w:tcBorders>
            <w:shd w:fill="auto" w:val="clear"/>
            <w:tcMar>
              <w:bottom w:w="28" w:type="dxa"/>
            </w:tcMar>
            <w:vAlign w:val="bottom"/>
          </w:tcPr>
          <w:p>
            <w:pPr>
              <w:pStyle w:val="TableContents"/>
              <w:spacing w:lineRule="atLeast" w:line="220" w:before="0" w:after="0"/>
              <w:rPr/>
            </w:pPr>
            <w:r>
              <w:rPr/>
              <w:t> </w:t>
            </w:r>
          </w:p>
        </w:tc>
        <w:tc>
          <w:tcPr>
            <w:tcW w:w="91" w:type="dxa"/>
            <w:tcBorders>
              <w:bottom w:val="single" w:sz="8" w:space="0" w:color="001C71"/>
            </w:tcBorders>
            <w:shd w:fill="FFFFFF" w:val="clear"/>
            <w:tcMar>
              <w:bottom w:w="28" w:type="dxa"/>
            </w:tcMar>
            <w:vAlign w:val="bottom"/>
          </w:tcPr>
          <w:p>
            <w:pPr>
              <w:pStyle w:val="TableContents"/>
              <w:spacing w:before="0" w:after="283"/>
              <w:rPr/>
            </w:pPr>
            <w:r>
              <w:rPr/>
              <w:t> </w:t>
            </w:r>
          </w:p>
        </w:tc>
        <w:tc>
          <w:tcPr>
            <w:tcW w:w="168" w:type="dxa"/>
            <w:tcBorders>
              <w:bottom w:val="single" w:sz="8" w:space="0" w:color="001C71"/>
            </w:tcBorders>
            <w:shd w:fill="FFFFFF" w:val="clear"/>
            <w:tcMar>
              <w:bottom w:w="28" w:type="dxa"/>
            </w:tcMar>
            <w:vAlign w:val="bottom"/>
          </w:tcPr>
          <w:p>
            <w:pPr>
              <w:pStyle w:val="TableContents"/>
              <w:spacing w:lineRule="atLeast" w:line="220" w:before="0" w:after="0"/>
              <w:rPr/>
            </w:pPr>
            <w:r>
              <w:rPr/>
              <w:t> </w:t>
            </w:r>
          </w:p>
        </w:tc>
        <w:tc>
          <w:tcPr>
            <w:tcW w:w="1133" w:type="dxa"/>
            <w:tcBorders>
              <w:bottom w:val="single" w:sz="8" w:space="0" w:color="001C71"/>
            </w:tcBorders>
            <w:shd w:fill="FFFFFF" w:val="clear"/>
            <w:tcMar>
              <w:bottom w:w="28" w:type="dxa"/>
            </w:tcMar>
            <w:vAlign w:val="bottom"/>
          </w:tcPr>
          <w:p>
            <w:pPr>
              <w:pStyle w:val="TableContents"/>
              <w:spacing w:lineRule="atLeast" w:line="220" w:before="0" w:after="0"/>
              <w:jc w:val="right"/>
              <w:rPr>
                <w:rFonts w:ascii="arial" w:hAnsi="arial"/>
                <w:sz w:val="16"/>
              </w:rPr>
            </w:pPr>
            <w:r>
              <w:rPr>
                <w:rFonts w:ascii="arial" w:hAnsi="arial"/>
                <w:sz w:val="16"/>
              </w:rPr>
              <w:t></w:t>
            </w:r>
          </w:p>
        </w:tc>
        <w:tc>
          <w:tcPr>
            <w:tcW w:w="305" w:type="dxa"/>
            <w:tcBorders>
              <w:bottom w:val="single" w:sz="8" w:space="0" w:color="001C71"/>
            </w:tcBorders>
            <w:shd w:fill="FFFFFF" w:val="clear"/>
            <w:tcMar>
              <w:bottom w:w="28" w:type="dxa"/>
            </w:tcMar>
            <w:vAlign w:val="bottom"/>
          </w:tcPr>
          <w:p>
            <w:pPr>
              <w:pStyle w:val="TableContents"/>
              <w:spacing w:lineRule="atLeast" w:line="220" w:before="0" w:after="0"/>
              <w:rPr/>
            </w:pPr>
            <w:r>
              <w:rPr/>
              <w:t> </w:t>
            </w:r>
          </w:p>
        </w:tc>
      </w:tr>
      <w:tr>
        <w:trPr/>
        <w:tc>
          <w:tcPr>
            <w:tcW w:w="605" w:type="dxa"/>
            <w:tcBorders/>
            <w:shd w:fill="auto" w:val="clear"/>
            <w:vAlign w:val="center"/>
          </w:tcPr>
          <w:p>
            <w:pPr>
              <w:pStyle w:val="TableContents"/>
              <w:spacing w:before="0" w:after="0"/>
              <w:rPr/>
            </w:pPr>
            <w:r>
              <w:rPr/>
              <w:t> </w:t>
            </w:r>
          </w:p>
          <w:p>
            <w:pPr>
              <w:pStyle w:val="TableContents"/>
              <w:spacing w:lineRule="atLeast" w:line="220" w:before="0" w:after="20"/>
              <w:rPr>
                <w:rFonts w:ascii="arial" w:hAnsi="arial"/>
                <w:b/>
                <w:sz w:val="16"/>
              </w:rPr>
            </w:pPr>
            <w:r>
              <w:rPr>
                <w:rFonts w:ascii="arial" w:hAnsi="arial"/>
                <w:b/>
                <w:sz w:val="16"/>
              </w:rPr>
              <w:t>George W. Bilicic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13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6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pBdr>
                <w:top w:val="single" w:sz="2" w:space="1" w:color="000000"/>
              </w:pBdr>
              <w:spacing w:before="0" w:after="0"/>
              <w:rPr/>
            </w:pPr>
            <w:r>
              <w:rPr/>
              <w:t> </w:t>
            </w:r>
          </w:p>
        </w:tc>
        <w:tc>
          <w:tcPr>
            <w:tcW w:w="794"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pBdr>
                <w:top w:val="single" w:sz="2" w:space="1" w:color="000000"/>
              </w:pBdr>
              <w:spacing w:before="0" w:after="0"/>
              <w:rPr/>
            </w:pPr>
            <w:r>
              <w:rPr/>
              <w:t> </w:t>
            </w:r>
          </w:p>
        </w:tc>
        <w:tc>
          <w:tcPr>
            <w:tcW w:w="973"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0"/>
              <w:rPr/>
            </w:pPr>
            <w:r>
              <w:rPr/>
              <w:t> </w:t>
            </w:r>
          </w:p>
        </w:tc>
        <w:tc>
          <w:tcPr>
            <w:tcW w:w="614"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690"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single" w:sz="2" w:space="1" w:color="000000"/>
              </w:pBdr>
              <w:spacing w:before="0" w:after="0"/>
              <w:rPr/>
            </w:pPr>
            <w:r>
              <w:rPr/>
              <w:t> </w:t>
            </w:r>
          </w:p>
        </w:tc>
        <w:tc>
          <w:tcPr>
            <w:tcW w:w="815"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single" w:sz="2" w:space="1" w:color="000000"/>
              </w:pBdr>
              <w:spacing w:before="0" w:after="0"/>
              <w:rPr/>
            </w:pPr>
            <w:r>
              <w:rPr/>
              <w:t> </w:t>
            </w:r>
          </w:p>
        </w:tc>
        <w:tc>
          <w:tcPr>
            <w:tcW w:w="786" w:type="dxa"/>
            <w:tcBorders/>
            <w:shd w:fill="auto" w:val="clear"/>
            <w:vAlign w:val="bottom"/>
          </w:tcPr>
          <w:p>
            <w:pPr>
              <w:pStyle w:val="TableContents"/>
              <w:pBdr>
                <w:top w:val="single" w:sz="2" w:space="1" w:color="000000"/>
              </w:pBdr>
              <w:spacing w:before="0" w:after="0"/>
              <w:rPr/>
            </w:pPr>
            <w:r>
              <w:rPr/>
              <w:t> </w:t>
            </w:r>
          </w:p>
        </w:tc>
        <w:tc>
          <w:tcPr>
            <w:tcW w:w="91"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pBdr>
                <w:top w:val="single" w:sz="2" w:space="1" w:color="000000"/>
              </w:pBdr>
              <w:spacing w:before="0" w:after="0"/>
              <w:rPr/>
            </w:pPr>
            <w:r>
              <w:rPr/>
              <w:t> </w:t>
            </w:r>
          </w:p>
        </w:tc>
        <w:tc>
          <w:tcPr>
            <w:tcW w:w="1133" w:type="dxa"/>
            <w:tcBorders/>
            <w:shd w:fill="auto" w:val="clear"/>
            <w:vAlign w:val="bottom"/>
          </w:tcPr>
          <w:p>
            <w:pPr>
              <w:pStyle w:val="TableContents"/>
              <w:pBdr>
                <w:top w:val="single" w:sz="2" w:space="1" w:color="000000"/>
              </w:pBdr>
              <w:spacing w:before="0" w:after="0"/>
              <w:rPr/>
            </w:pPr>
            <w:r>
              <w:rPr/>
              <w:t> </w:t>
            </w:r>
          </w:p>
        </w:tc>
        <w:tc>
          <w:tcPr>
            <w:tcW w:w="305" w:type="dxa"/>
            <w:tcBorders/>
            <w:shd w:fill="auto" w:val="clear"/>
            <w:vAlign w:val="center"/>
          </w:tcPr>
          <w:p>
            <w:pPr>
              <w:pStyle w:val="TableContents"/>
              <w:spacing w:before="0" w:after="283"/>
              <w:rPr/>
            </w:pPr>
            <w:r>
              <w:rPr/>
              <w:t> </w:t>
            </w:r>
          </w:p>
        </w:tc>
      </w:tr>
      <w:tr>
        <w:trPr/>
        <w:tc>
          <w:tcPr>
            <w:tcW w:w="605" w:type="dxa"/>
            <w:tcBorders>
              <w:bottom w:val="single" w:sz="8" w:space="0" w:color="001C71"/>
            </w:tcBorders>
            <w:shd w:fill="auto" w:val="clear"/>
            <w:tcMar>
              <w:bottom w:w="28" w:type="dxa"/>
            </w:tcMar>
            <w:vAlign w:val="center"/>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365"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794"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7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71" w:type="dxa"/>
            <w:tcBorders>
              <w:bottom w:val="single" w:sz="8" w:space="0" w:color="001C71"/>
            </w:tcBorders>
            <w:shd w:fill="E5E5E5" w:val="clear"/>
            <w:tcMar>
              <w:bottom w:w="28" w:type="dxa"/>
            </w:tcMar>
            <w:vAlign w:val="bottom"/>
          </w:tcPr>
          <w:p>
            <w:pPr>
              <w:pStyle w:val="TableContents"/>
              <w:spacing w:before="0" w:after="283"/>
              <w:rPr/>
            </w:pPr>
            <w:r>
              <w:rPr/>
              <w:t> </w:t>
            </w:r>
          </w:p>
        </w:tc>
        <w:tc>
          <w:tcPr>
            <w:tcW w:w="112"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973"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7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71"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614"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346"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71" w:type="dxa"/>
            <w:tcBorders>
              <w:bottom w:val="single" w:sz="8" w:space="0" w:color="001C71"/>
            </w:tcBorders>
            <w:shd w:fill="E5E5E5" w:val="clear"/>
            <w:tcMar>
              <w:bottom w:w="28" w:type="dxa"/>
            </w:tcMar>
            <w:vAlign w:val="bottom"/>
          </w:tcPr>
          <w:p>
            <w:pPr>
              <w:pStyle w:val="TableContents"/>
              <w:spacing w:before="0" w:after="283"/>
              <w:rPr/>
            </w:pPr>
            <w:r>
              <w:rPr/>
              <w:t> </w:t>
            </w:r>
          </w:p>
        </w:tc>
        <w:tc>
          <w:tcPr>
            <w:tcW w:w="147" w:type="dxa"/>
            <w:tcBorders>
              <w:bottom w:val="single" w:sz="8" w:space="0" w:color="001C71"/>
            </w:tcBorders>
            <w:shd w:fill="E5E5E5" w:val="clear"/>
            <w:tcMar>
              <w:bottom w:w="28" w:type="dxa"/>
            </w:tcMar>
            <w:vAlign w:val="bottom"/>
          </w:tcPr>
          <w:p>
            <w:pPr>
              <w:pStyle w:val="TableContents"/>
              <w:spacing w:before="0" w:after="283"/>
              <w:rPr/>
            </w:pPr>
            <w:r>
              <w:rPr/>
              <w:t> </w:t>
            </w:r>
          </w:p>
        </w:tc>
        <w:tc>
          <w:tcPr>
            <w:tcW w:w="62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80"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690"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66"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66"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815"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320"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9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786"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9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91" w:type="dxa"/>
            <w:tcBorders>
              <w:bottom w:val="single" w:sz="8" w:space="0" w:color="001C71"/>
            </w:tcBorders>
            <w:shd w:fill="E5E5E5" w:val="clear"/>
            <w:tcMar>
              <w:bottom w:w="28" w:type="dxa"/>
            </w:tcMar>
            <w:vAlign w:val="bottom"/>
          </w:tcPr>
          <w:p>
            <w:pPr>
              <w:pStyle w:val="TableContents"/>
              <w:spacing w:before="0" w:after="283"/>
              <w:rPr/>
            </w:pPr>
            <w:r>
              <w:rPr/>
              <w:t> </w:t>
            </w:r>
          </w:p>
        </w:tc>
        <w:tc>
          <w:tcPr>
            <w:tcW w:w="168"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c>
          <w:tcPr>
            <w:tcW w:w="1133"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305"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Stock options generally vest and become exercisable ratably over three years and they remain exercisable until they expire at the end of the ten-year term, subject to earlier expiration following termination of employment. For information about the treatment of stock options in the event of a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78</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rPr/>
            </w:pPr>
            <w:r>
              <w:rPr/>
              <w:t> </w:t>
            </w:r>
          </w:p>
        </w:tc>
        <w:tc>
          <w:tcPr>
            <w:tcW w:w="9903" w:type="dxa"/>
            <w:tcBorders/>
            <w:shd w:fill="auto" w:val="clear"/>
          </w:tcPr>
          <w:p>
            <w:pPr>
              <w:pStyle w:val="TableContents"/>
              <w:spacing w:before="0" w:after="283"/>
              <w:jc w:val="left"/>
              <w:rPr>
                <w:i/>
              </w:rPr>
            </w:pPr>
            <w:r>
              <w:rPr>
                <w:i/>
              </w:rPr>
              <w:t xml:space="preserve">termination of employment before the end of the vesting period or in the event of a change in control, see Severance and Change in Control Benefits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Performance-based restricted stock units generally will vest, in whole or in part, or be forfeited at the end of a three-year performance period based on our total shareholder return compared to market and peer group indices and our EPS growth (as adjusted for LTIP purposes). For information about the treatment of performance-based restricted stock units in the event of a termination of employment before the end of the performance period or in the event of a change in control, see Severance and Change in Control Benefits below. Because Mr. Arriola had met the retirement eligibility criteria at the time of his retirement, he remains eligible to vest in his 2018 and 2019 performance-based awards following his retirement. Vesting of the awards remains subject to achievement of the applicable company performance measures.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283"/>
              <w:jc w:val="left"/>
              <w:rPr/>
            </w:pPr>
            <w:r>
              <w:rPr/>
              <w:t> </w:t>
            </w:r>
          </w:p>
        </w:tc>
        <w:tc>
          <w:tcPr>
            <w:tcW w:w="9904" w:type="dxa"/>
            <w:tcBorders/>
            <w:shd w:fill="auto" w:val="clear"/>
          </w:tcPr>
          <w:p>
            <w:pPr>
              <w:pStyle w:val="TableContents"/>
              <w:spacing w:before="0" w:after="0"/>
              <w:jc w:val="left"/>
              <w:rPr>
                <w:rFonts w:ascii="arial" w:hAnsi="arial"/>
                <w:i/>
                <w:sz w:val="14"/>
              </w:rPr>
            </w:pPr>
            <w:r>
              <w:rPr>
                <w:rFonts w:ascii="arial" w:hAnsi="arial"/>
                <w:i/>
                <w:sz w:val="14"/>
              </w:rPr>
              <w:t xml:space="preserve">For total shareholder return-based awards, we have reported the number and market value of shares subject to the awards (together with reinvested dividends and dividend equivalents) that would have vested at December 31, 2020 had the applicable performance and service periods ended at that date. As of December 31, 2020, the performance for these awards as a percentage of target was: </w:t>
            </w:r>
          </w:p>
        </w:tc>
      </w:tr>
    </w:tbl>
    <w:p>
      <w:pPr>
        <w:pStyle w:val="TextBody"/>
        <w:spacing w:before="0" w:after="0"/>
        <w:jc w:val="left"/>
        <w:rPr/>
      </w:pPr>
      <w:r>
        <w:rPr/>
        <w:t> </w:t>
      </w:r>
    </w:p>
    <w:tbl>
      <w:tblPr>
        <w:tblW w:w="4900" w:type="pct"/>
        <w:jc w:val="right"/>
        <w:tblInd w:w="0" w:type="dxa"/>
        <w:tblCellMar>
          <w:top w:w="0" w:type="dxa"/>
          <w:left w:w="0" w:type="dxa"/>
          <w:bottom w:w="0" w:type="dxa"/>
          <w:right w:w="0" w:type="dxa"/>
        </w:tblCellMar>
      </w:tblPr>
      <w:tblGrid>
        <w:gridCol w:w="7016"/>
        <w:gridCol w:w="913"/>
        <w:gridCol w:w="255"/>
        <w:gridCol w:w="1246"/>
        <w:gridCol w:w="570"/>
      </w:tblGrid>
      <w:tr>
        <w:trPr/>
        <w:tc>
          <w:tcPr>
            <w:tcW w:w="701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r>
      <w:tr>
        <w:trPr/>
        <w:tc>
          <w:tcPr>
            <w:tcW w:w="7016" w:type="dxa"/>
            <w:tcBorders>
              <w:bottom w:val="single" w:sz="12" w:space="0" w:color="001C71"/>
            </w:tcBorders>
            <w:shd w:fill="auto" w:val="clear"/>
            <w:tcMar>
              <w:bottom w:w="28" w:type="dxa"/>
            </w:tcMar>
            <w:vAlign w:val="bottom"/>
          </w:tcPr>
          <w:p>
            <w:pPr>
              <w:pStyle w:val="TableContents"/>
              <w:spacing w:before="0" w:after="0"/>
              <w:rPr>
                <w:rFonts w:ascii="arial" w:hAnsi="arial"/>
                <w:b/>
                <w:color w:val="001C71"/>
                <w:sz w:val="16"/>
              </w:rPr>
            </w:pPr>
            <w:r>
              <w:rPr>
                <w:rFonts w:ascii="arial" w:hAnsi="arial"/>
                <w:b/>
                <w:color w:val="001C71"/>
                <w:sz w:val="16"/>
              </w:rPr>
              <w:t>Total Shareholder Return-Based Awards</w:t>
            </w:r>
          </w:p>
          <w:p>
            <w:pPr>
              <w:pStyle w:val="TableContents"/>
              <w:spacing w:before="0" w:after="20"/>
              <w:rPr/>
            </w:pPr>
            <w:r>
              <w:rPr/>
              <w:t> </w:t>
            </w:r>
          </w:p>
        </w:tc>
        <w:tc>
          <w:tcPr>
            <w:tcW w:w="913" w:type="dxa"/>
            <w:tcBorders>
              <w:bottom w:val="single" w:sz="12" w:space="0" w:color="001C71"/>
            </w:tcBorders>
            <w:shd w:fill="auto" w:val="clear"/>
            <w:tcMar>
              <w:bottom w:w="28" w:type="dxa"/>
            </w:tcMar>
            <w:vAlign w:val="bottom"/>
          </w:tcPr>
          <w:p>
            <w:pPr>
              <w:pStyle w:val="TableContents"/>
              <w:spacing w:before="0" w:after="283"/>
              <w:rPr/>
            </w:pPr>
            <w:r>
              <w:rPr/>
              <w:t>  </w:t>
            </w:r>
          </w:p>
        </w:tc>
        <w:tc>
          <w:tcPr>
            <w:tcW w:w="1501"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6"/>
              </w:rPr>
            </w:pPr>
            <w:r>
              <w:rPr>
                <w:rFonts w:ascii="arial" w:hAnsi="arial"/>
                <w:b/>
                <w:color w:val="001C71"/>
                <w:sz w:val="16"/>
              </w:rPr>
              <w:t>Performance as of</w:t>
              <w:br/>
              <w:t>December 31, 2020</w:t>
            </w:r>
          </w:p>
          <w:p>
            <w:pPr>
              <w:pStyle w:val="TableContents"/>
              <w:spacing w:before="0" w:after="20"/>
              <w:jc w:val="left"/>
              <w:rPr/>
            </w:pPr>
            <w:r>
              <w:rPr/>
              <w:t> </w:t>
            </w:r>
          </w:p>
        </w:tc>
        <w:tc>
          <w:tcPr>
            <w:tcW w:w="570" w:type="dxa"/>
            <w:tcBorders>
              <w:bottom w:val="single" w:sz="12" w:space="0" w:color="001C71"/>
            </w:tcBorders>
            <w:shd w:fill="auto" w:val="clear"/>
            <w:tcMar>
              <w:bottom w:w="28" w:type="dxa"/>
            </w:tcMar>
            <w:vAlign w:val="bottom"/>
          </w:tcPr>
          <w:p>
            <w:pPr>
              <w:pStyle w:val="TableContents"/>
              <w:spacing w:before="0" w:after="283"/>
              <w:rPr/>
            </w:pPr>
            <w:r>
              <w:rPr/>
              <w:t> </w:t>
            </w:r>
          </w:p>
        </w:tc>
      </w:tr>
      <w:tr>
        <w:trPr/>
        <w:tc>
          <w:tcPr>
            <w:tcW w:w="7016" w:type="dxa"/>
            <w:tcBorders/>
            <w:shd w:fill="E5E5E5" w:val="clear"/>
          </w:tcPr>
          <w:p>
            <w:pPr>
              <w:pStyle w:val="TableContents"/>
              <w:spacing w:lineRule="atLeast" w:line="240" w:before="0" w:after="0"/>
              <w:rPr>
                <w:rFonts w:ascii="arial" w:hAnsi="arial"/>
                <w:sz w:val="16"/>
              </w:rPr>
            </w:pPr>
            <w:r>
              <w:rPr>
                <w:rFonts w:ascii="arial" w:hAnsi="arial"/>
                <w:sz w:val="16"/>
              </w:rPr>
              <w:t>01/02/20 Award (TSR vs. S&amp;P 500 Utilities Index)</w:t>
            </w:r>
          </w:p>
        </w:tc>
        <w:tc>
          <w:tcPr>
            <w:tcW w:w="913"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lineRule="atLeast" w:line="240" w:before="0" w:after="0"/>
              <w:rPr/>
            </w:pPr>
            <w:r>
              <w:rPr/>
              <w:t> </w:t>
            </w:r>
          </w:p>
        </w:tc>
        <w:tc>
          <w:tcPr>
            <w:tcW w:w="124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24</w:t>
            </w:r>
          </w:p>
        </w:tc>
        <w:tc>
          <w:tcPr>
            <w:tcW w:w="570" w:type="dxa"/>
            <w:tcBorders/>
            <w:shd w:fill="E5E5E5" w:val="clear"/>
            <w:vAlign w:val="bottom"/>
          </w:tcPr>
          <w:p>
            <w:pPr>
              <w:pStyle w:val="TableContents"/>
              <w:spacing w:lineRule="atLeast" w:line="240" w:before="0" w:after="0"/>
              <w:rPr>
                <w:rFonts w:ascii="arial" w:hAnsi="arial"/>
                <w:sz w:val="16"/>
              </w:rPr>
            </w:pPr>
            <w:r>
              <w:rPr>
                <w:rFonts w:ascii="arial" w:hAnsi="arial"/>
                <w:sz w:val="16"/>
              </w:rPr>
              <w:t>% </w:t>
            </w:r>
          </w:p>
        </w:tc>
      </w:tr>
      <w:tr>
        <w:trPr/>
        <w:tc>
          <w:tcPr>
            <w:tcW w:w="7016" w:type="dxa"/>
            <w:tcBorders/>
            <w:shd w:fill="auto" w:val="clear"/>
          </w:tcPr>
          <w:p>
            <w:pPr>
              <w:pStyle w:val="TableContents"/>
              <w:spacing w:lineRule="atLeast" w:line="240" w:before="0" w:after="0"/>
              <w:rPr>
                <w:rFonts w:ascii="arial" w:hAnsi="arial"/>
                <w:sz w:val="16"/>
              </w:rPr>
            </w:pPr>
            <w:r>
              <w:rPr>
                <w:rFonts w:ascii="arial" w:hAnsi="arial"/>
                <w:sz w:val="16"/>
              </w:rPr>
              <w:t>01/02/20 Award (TSR vs. S&amp;P 500 Index)</w:t>
            </w:r>
          </w:p>
        </w:tc>
        <w:tc>
          <w:tcPr>
            <w:tcW w:w="9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lineRule="atLeast" w:line="240" w:before="0" w:after="0"/>
              <w:rPr/>
            </w:pPr>
            <w:r>
              <w:rPr/>
              <w:t> </w:t>
            </w:r>
          </w:p>
        </w:tc>
        <w:tc>
          <w:tcPr>
            <w:tcW w:w="1246"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0</w:t>
            </w:r>
          </w:p>
        </w:tc>
        <w:tc>
          <w:tcPr>
            <w:tcW w:w="570" w:type="dxa"/>
            <w:tcBorders/>
            <w:shd w:fill="auto" w:val="clear"/>
            <w:vAlign w:val="bottom"/>
          </w:tcPr>
          <w:p>
            <w:pPr>
              <w:pStyle w:val="TableContents"/>
              <w:spacing w:lineRule="atLeast" w:line="240" w:before="0" w:after="0"/>
              <w:rPr>
                <w:rFonts w:ascii="arial" w:hAnsi="arial"/>
                <w:sz w:val="16"/>
              </w:rPr>
            </w:pPr>
            <w:r>
              <w:rPr>
                <w:rFonts w:ascii="arial" w:hAnsi="arial"/>
                <w:sz w:val="16"/>
              </w:rPr>
              <w:t>% </w:t>
            </w:r>
          </w:p>
        </w:tc>
      </w:tr>
      <w:tr>
        <w:trPr/>
        <w:tc>
          <w:tcPr>
            <w:tcW w:w="7016" w:type="dxa"/>
            <w:tcBorders/>
            <w:shd w:fill="E5E5E5" w:val="clear"/>
          </w:tcPr>
          <w:p>
            <w:pPr>
              <w:pStyle w:val="TableContents"/>
              <w:spacing w:lineRule="atLeast" w:line="240" w:before="0" w:after="0"/>
              <w:rPr>
                <w:rFonts w:ascii="arial" w:hAnsi="arial"/>
                <w:sz w:val="16"/>
              </w:rPr>
            </w:pPr>
            <w:r>
              <w:rPr>
                <w:rFonts w:ascii="arial" w:hAnsi="arial"/>
                <w:sz w:val="16"/>
              </w:rPr>
              <w:t>01/02/19 Award (TSR vs. S&amp;P 500 Utilities Index)</w:t>
            </w:r>
          </w:p>
        </w:tc>
        <w:tc>
          <w:tcPr>
            <w:tcW w:w="913"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lineRule="atLeast" w:line="240" w:before="0" w:after="0"/>
              <w:rPr/>
            </w:pPr>
            <w:r>
              <w:rPr/>
              <w:t> </w:t>
            </w:r>
          </w:p>
        </w:tc>
        <w:tc>
          <w:tcPr>
            <w:tcW w:w="124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141</w:t>
            </w:r>
          </w:p>
        </w:tc>
        <w:tc>
          <w:tcPr>
            <w:tcW w:w="570" w:type="dxa"/>
            <w:tcBorders/>
            <w:shd w:fill="E5E5E5" w:val="clear"/>
            <w:vAlign w:val="bottom"/>
          </w:tcPr>
          <w:p>
            <w:pPr>
              <w:pStyle w:val="TableContents"/>
              <w:spacing w:lineRule="atLeast" w:line="240" w:before="0" w:after="0"/>
              <w:rPr>
                <w:rFonts w:ascii="arial" w:hAnsi="arial"/>
                <w:sz w:val="16"/>
              </w:rPr>
            </w:pPr>
            <w:r>
              <w:rPr>
                <w:rFonts w:ascii="arial" w:hAnsi="arial"/>
                <w:sz w:val="16"/>
              </w:rPr>
              <w:t>% </w:t>
            </w:r>
          </w:p>
        </w:tc>
      </w:tr>
      <w:tr>
        <w:trPr/>
        <w:tc>
          <w:tcPr>
            <w:tcW w:w="7016" w:type="dxa"/>
            <w:tcBorders/>
            <w:shd w:fill="auto" w:val="clear"/>
          </w:tcPr>
          <w:p>
            <w:pPr>
              <w:pStyle w:val="TableContents"/>
              <w:spacing w:lineRule="atLeast" w:line="240" w:before="0" w:after="0"/>
              <w:rPr>
                <w:rFonts w:ascii="arial" w:hAnsi="arial"/>
                <w:sz w:val="16"/>
              </w:rPr>
            </w:pPr>
            <w:r>
              <w:rPr>
                <w:rFonts w:ascii="arial" w:hAnsi="arial"/>
                <w:sz w:val="16"/>
              </w:rPr>
              <w:t>01/02/19 Award (TSR vs. S&amp;P 500 Index)</w:t>
            </w:r>
          </w:p>
        </w:tc>
        <w:tc>
          <w:tcPr>
            <w:tcW w:w="9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lineRule="atLeast" w:line="240" w:before="0" w:after="0"/>
              <w:rPr/>
            </w:pPr>
            <w:r>
              <w:rPr/>
              <w:t> </w:t>
            </w:r>
          </w:p>
        </w:tc>
        <w:tc>
          <w:tcPr>
            <w:tcW w:w="1246"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70</w:t>
            </w:r>
          </w:p>
        </w:tc>
        <w:tc>
          <w:tcPr>
            <w:tcW w:w="570" w:type="dxa"/>
            <w:tcBorders/>
            <w:shd w:fill="auto" w:val="clear"/>
            <w:vAlign w:val="bottom"/>
          </w:tcPr>
          <w:p>
            <w:pPr>
              <w:pStyle w:val="TableContents"/>
              <w:spacing w:lineRule="atLeast" w:line="240" w:before="0" w:after="0"/>
              <w:rPr>
                <w:rFonts w:ascii="arial" w:hAnsi="arial"/>
                <w:sz w:val="16"/>
              </w:rPr>
            </w:pPr>
            <w:r>
              <w:rPr>
                <w:rFonts w:ascii="arial" w:hAnsi="arial"/>
                <w:sz w:val="16"/>
              </w:rPr>
              <w:t>% </w:t>
            </w:r>
          </w:p>
        </w:tc>
      </w:tr>
      <w:tr>
        <w:trPr/>
        <w:tc>
          <w:tcPr>
            <w:tcW w:w="7016" w:type="dxa"/>
            <w:tcBorders/>
            <w:shd w:fill="E5E5E5" w:val="clear"/>
          </w:tcPr>
          <w:p>
            <w:pPr>
              <w:pStyle w:val="TableContents"/>
              <w:spacing w:lineRule="atLeast" w:line="240" w:before="0" w:after="0"/>
              <w:rPr>
                <w:rFonts w:ascii="arial" w:hAnsi="arial"/>
                <w:sz w:val="16"/>
              </w:rPr>
            </w:pPr>
            <w:r>
              <w:rPr>
                <w:rFonts w:ascii="arial" w:hAnsi="arial"/>
                <w:sz w:val="16"/>
              </w:rPr>
              <w:t>01/02/18 Award (TSR vs. S&amp;P 500 Utilities Index)</w:t>
            </w:r>
          </w:p>
        </w:tc>
        <w:tc>
          <w:tcPr>
            <w:tcW w:w="913"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lineRule="atLeast" w:line="240" w:before="0" w:after="0"/>
              <w:rPr/>
            </w:pPr>
            <w:r>
              <w:rPr/>
              <w:t> </w:t>
            </w:r>
          </w:p>
        </w:tc>
        <w:tc>
          <w:tcPr>
            <w:tcW w:w="124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115</w:t>
            </w:r>
          </w:p>
        </w:tc>
        <w:tc>
          <w:tcPr>
            <w:tcW w:w="570" w:type="dxa"/>
            <w:tcBorders/>
            <w:shd w:fill="E5E5E5" w:val="clear"/>
            <w:vAlign w:val="bottom"/>
          </w:tcPr>
          <w:p>
            <w:pPr>
              <w:pStyle w:val="TableContents"/>
              <w:spacing w:lineRule="atLeast" w:line="240" w:before="0" w:after="0"/>
              <w:rPr>
                <w:rFonts w:ascii="arial" w:hAnsi="arial"/>
                <w:sz w:val="16"/>
              </w:rPr>
            </w:pPr>
            <w:r>
              <w:rPr>
                <w:rFonts w:ascii="arial" w:hAnsi="arial"/>
                <w:sz w:val="16"/>
              </w:rPr>
              <w:t>% </w:t>
            </w:r>
          </w:p>
        </w:tc>
      </w:tr>
      <w:tr>
        <w:trPr/>
        <w:tc>
          <w:tcPr>
            <w:tcW w:w="7016" w:type="dxa"/>
            <w:tcBorders>
              <w:bottom w:val="single" w:sz="8" w:space="0" w:color="001C71"/>
            </w:tcBorders>
            <w:shd w:fill="auto" w:val="clear"/>
            <w:tcMar>
              <w:bottom w:w="28" w:type="dxa"/>
            </w:tcMar>
          </w:tcPr>
          <w:p>
            <w:pPr>
              <w:pStyle w:val="TableContents"/>
              <w:spacing w:lineRule="atLeast" w:line="240" w:before="0" w:after="0"/>
              <w:rPr>
                <w:rFonts w:ascii="arial" w:hAnsi="arial"/>
                <w:sz w:val="16"/>
              </w:rPr>
            </w:pPr>
            <w:r>
              <w:rPr>
                <w:rFonts w:ascii="arial" w:hAnsi="arial"/>
                <w:sz w:val="16"/>
              </w:rPr>
              <w:t>01/02/18 Award (TSR vs. S&amp;P 500 Index)</w:t>
            </w:r>
          </w:p>
        </w:tc>
        <w:tc>
          <w:tcPr>
            <w:tcW w:w="913" w:type="dxa"/>
            <w:tcBorders>
              <w:bottom w:val="single" w:sz="8" w:space="0" w:color="001C71"/>
            </w:tcBorders>
            <w:shd w:fill="auto" w:val="clear"/>
            <w:tcMar>
              <w:bottom w:w="28" w:type="dxa"/>
            </w:tcMar>
            <w:vAlign w:val="bottom"/>
          </w:tcPr>
          <w:p>
            <w:pPr>
              <w:pStyle w:val="TableContents"/>
              <w:spacing w:before="0" w:after="283"/>
              <w:rPr/>
            </w:pPr>
            <w:r>
              <w:rPr/>
              <w:t>  </w:t>
            </w:r>
          </w:p>
        </w:tc>
        <w:tc>
          <w:tcPr>
            <w:tcW w:w="255"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1246"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105</w:t>
            </w:r>
          </w:p>
        </w:tc>
        <w:tc>
          <w:tcPr>
            <w:tcW w:w="570"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 </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On January 19, 2021, the January 2, 2018 awards based on total shareholder return compared to the S&amp;P 500 Utilities Index vested at 114.75% of target and the awards based on total shareholder return compared to the S&amp;P 500 Index vested at 103% of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t> </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The EPS growth-based awards granted on January 2, 2019 and January 2, 2020 (together with related reinvested dividend equivalents) are reported based on target performance, as the applicable performance period has not yet ended and the EPS (as adjusted for LTIP purposes) for the final year(s) of the performance period has not yet been determined. The number of shares that ultimately vest will depend upon the extent to which the performance measures have been satisfied at the actual end of the applicable performance period and may be fewer or greater than the number reported in the table.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283"/>
              <w:jc w:val="left"/>
              <w:rPr/>
            </w:pPr>
            <w:r>
              <w:rPr/>
              <w:t> </w:t>
            </w:r>
          </w:p>
        </w:tc>
        <w:tc>
          <w:tcPr>
            <w:tcW w:w="9904" w:type="dxa"/>
            <w:tcBorders/>
            <w:shd w:fill="auto" w:val="clear"/>
          </w:tcPr>
          <w:p>
            <w:pPr>
              <w:pStyle w:val="TableContents"/>
              <w:spacing w:before="0" w:after="0"/>
              <w:jc w:val="left"/>
              <w:rPr>
                <w:rFonts w:ascii="arial" w:hAnsi="arial"/>
                <w:i/>
                <w:sz w:val="14"/>
              </w:rPr>
            </w:pPr>
            <w:r>
              <w:rPr>
                <w:rFonts w:ascii="arial" w:hAnsi="arial"/>
                <w:i/>
                <w:sz w:val="14"/>
              </w:rPr>
              <w:t xml:space="preserve">On February 22, 2021, the January 2, 2018 awards based on EPS growth (as adjusted for LTIP purposes) with a performance period that ended on December 31, 2020 vested at 200% of target, or maximum performance. These awards are reported based on the final performance result of 200% of target. For additional detail, see Note B to the 2020 Option Exercises and Stock Vested table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(C)</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Generally, awards granted on January 2, 2020 and 2019 (and on April 1, 2020 to Mr. Wall) represent service-based restricted stock units that vest ratably over the first three years following the grant date of the applicable award on the first NYSE trading day of each year. Generally, awards granted on January 2, 2018 vest at the end of three years on the first NYSE trading day of 2021. The special award granted on January 2, 2018 to Mr. Mihalik vests over three years. The special award granted on January 2, 2020 to Mr. Sagara vests ratably over two years. For information about the treatment of service-based restricted stock units in the event of a termination of employment before the end of the service period or in the event of a change in control, see Severance and Change in Control Benefits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(D)</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Includes shares deemed purchased with reinvested dividends and dividend equivalents that become subject to the same forfeiture conditions as the shares to which the dividends relate. Does not include reinvested dividends and dividend equivalents with a record date of December 18, 2020, that were paid on January 15,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(E)</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weighted-average exercise price for outstanding options as of December 31, 2020 was (i) $125.31 for Mr. Martin, $128.23 for Mr. Mihalik and $106.76 for Mr. Arriola for all outstanding options; (2) $129.59 for Mr. Martin, $132.45 for Mr. Mihalik and $106.76 for Mr. Arriola for all unexercisable options and (3) $106.76 for each of Messrs. Martin, Mihalik and Arriola for all exercisable options.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(F)</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These awards vested on January 19, 2021, upon the Compensation and Talent Development Committees determination and certification of the total shareholder return results. The value realized upon the vesting of these shares is set forth in Note B to the 2020 Option Exercises and Stock Vested table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(G)</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These awards vested on February 22, 2021, upon the Compensation and Talent Development Committees determination and certification of the EPS growth (as adjusted for LTIP purposes) results. The value realized upon the vesting of these shares is set forth in Note B to the 2020 Option Exercises and Stock Vested table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(H)</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These awards vested in full on January 4,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(I)</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second of three annual installments of these awards vested on January 4,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(J)</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first of three annual installments of these awards vested on January 4,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(K)</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The third and final installment of Mr. Mihaliks special January 2, 2018 award and the first of two installments of Mr. Sagaras special January 2, 2020 award vested on January 4, 2021.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79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Option Exercises and Stock Vested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We summarize below the restricted stock units that vested during 2020 for our named executive officers set forth in the 2020 Summary Compensation Table. No named executive officers exercised stock options in 2020. </w:t>
      </w:r>
    </w:p>
    <w:p>
      <w:pPr>
        <w:pStyle w:val="TextBody"/>
        <w:spacing w:before="240" w:after="0"/>
        <w:jc w:val="left"/>
        <w:rPr>
          <w:rFonts w:ascii="arial" w:hAnsi="arial"/>
          <w:color w:val="001C71"/>
          <w:sz w:val="16"/>
        </w:rPr>
      </w:pPr>
      <w:r>
        <w:rPr>
          <w:rFonts w:ascii="arial" w:hAnsi="arial"/>
          <w:color w:val="001C71"/>
          <w:sz w:val="16"/>
        </w:rPr>
        <w:t xml:space="preserve">2020 OPTION EXERCISES AND STOCK VESTED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650"/>
        <w:gridCol w:w="902"/>
        <w:gridCol w:w="180"/>
        <w:gridCol w:w="1578"/>
        <w:gridCol w:w="60"/>
        <w:gridCol w:w="774"/>
        <w:gridCol w:w="241"/>
        <w:gridCol w:w="1638"/>
        <w:gridCol w:w="182"/>
      </w:tblGrid>
      <w:tr>
        <w:trPr/>
        <w:tc>
          <w:tcPr>
            <w:tcW w:w="4650"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r>
      <w:tr>
        <w:trPr/>
        <w:tc>
          <w:tcPr>
            <w:tcW w:w="4650" w:type="dxa"/>
            <w:vMerge w:val="restart"/>
            <w:tcBorders>
              <w:bottom w:val="single" w:sz="12" w:space="0" w:color="001C71"/>
            </w:tcBorders>
            <w:shd w:fill="auto" w:val="clear"/>
            <w:tcMar>
              <w:bottom w:w="28" w:type="dxa"/>
            </w:tcM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4471" w:type="dxa"/>
            <w:gridSpan w:val="6"/>
            <w:tcBorders>
              <w:bottom w:val="single" w:sz="2" w:space="0" w:color="001C71"/>
            </w:tcBorders>
            <w:shd w:fill="auto" w:val="clear"/>
            <w:tcMar>
              <w:bottom w:w="28" w:type="dxa"/>
            </w:tcMar>
            <w:vAlign w:val="bottom"/>
          </w:tcPr>
          <w:p>
            <w:pPr>
              <w:pStyle w:val="TableContents"/>
              <w:spacing w:before="0" w:after="283"/>
              <w:jc w:val="center"/>
              <w:rPr>
                <w:b/>
                <w:color w:val="001C71"/>
              </w:rPr>
            </w:pPr>
            <w:r>
              <w:rPr>
                <w:b/>
                <w:color w:val="001C71"/>
              </w:rPr>
              <w:t>Stock Awards</w:t>
            </w:r>
          </w:p>
        </w:tc>
        <w:tc>
          <w:tcPr>
            <w:tcW w:w="182" w:type="dxa"/>
            <w:tcBorders/>
            <w:shd w:fill="auto" w:val="clear"/>
            <w:vAlign w:val="bottom"/>
          </w:tcPr>
          <w:p>
            <w:pPr>
              <w:pStyle w:val="TableContents"/>
              <w:spacing w:before="0" w:after="283"/>
              <w:rPr/>
            </w:pPr>
            <w:r>
              <w:rPr/>
              <w:t> </w:t>
            </w:r>
          </w:p>
        </w:tc>
      </w:tr>
      <w:tr>
        <w:trPr/>
        <w:tc>
          <w:tcPr>
            <w:tcW w:w="4650" w:type="dxa"/>
            <w:vMerge w:val="continue"/>
            <w:tcBorders>
              <w:bottom w:val="single" w:sz="12" w:space="0" w:color="001C71"/>
            </w:tcBorders>
            <w:shd w:fill="auto" w:val="clear"/>
            <w:tcMar>
              <w:bottom w:w="28" w:type="dxa"/>
            </w:tcMar>
            <w:vAlign w:val="bottom"/>
          </w:tcPr>
          <w:p>
            <w:pPr>
              <w:pStyle w:val="Normal"/>
              <w:rPr/>
            </w:pPr>
            <w:r>
              <w:rPr/>
            </w:r>
          </w:p>
        </w:tc>
        <w:tc>
          <w:tcPr>
            <w:tcW w:w="902" w:type="dxa"/>
            <w:tcBorders>
              <w:bottom w:val="single" w:sz="12" w:space="0" w:color="001C71"/>
            </w:tcBorders>
            <w:shd w:fill="auto" w:val="clear"/>
            <w:tcMar>
              <w:bottom w:w="28" w:type="dxa"/>
            </w:tcMar>
            <w:vAlign w:val="bottom"/>
          </w:tcPr>
          <w:p>
            <w:pPr>
              <w:pStyle w:val="TableContents"/>
              <w:spacing w:before="0" w:after="283"/>
              <w:rPr/>
            </w:pPr>
            <w:r>
              <w:rPr/>
              <w:t>    </w:t>
            </w:r>
          </w:p>
        </w:tc>
        <w:tc>
          <w:tcPr>
            <w:tcW w:w="1758" w:type="dxa"/>
            <w:gridSpan w:val="2"/>
            <w:tcBorders>
              <w:bottom w:val="single" w:sz="12" w:space="0" w:color="001C71"/>
            </w:tcBorders>
            <w:shd w:fill="auto" w:val="clear"/>
            <w:tcMar>
              <w:bottom w:w="100" w:type="dxa"/>
            </w:tcMar>
            <w:vAlign w:val="bottom"/>
          </w:tcPr>
          <w:p>
            <w:pPr>
              <w:pStyle w:val="TableContents"/>
              <w:spacing w:before="0" w:after="283"/>
              <w:jc w:val="center"/>
              <w:rPr>
                <w:b/>
                <w:color w:val="001C71"/>
              </w:rPr>
            </w:pPr>
            <w:r>
              <w:rPr>
                <w:b/>
                <w:color w:val="001C71"/>
              </w:rPr>
              <w:t>Number of</w:t>
              <w:br/>
              <w:t>Shares Acquired</w:t>
              <w:br/>
              <w:t>on Vesting</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774" w:type="dxa"/>
            <w:tcBorders>
              <w:bottom w:val="single" w:sz="12" w:space="0" w:color="001C71"/>
            </w:tcBorders>
            <w:shd w:fill="auto" w:val="clear"/>
            <w:tcMar>
              <w:bottom w:w="28" w:type="dxa"/>
            </w:tcMar>
            <w:vAlign w:val="bottom"/>
          </w:tcPr>
          <w:p>
            <w:pPr>
              <w:pStyle w:val="TableContents"/>
              <w:spacing w:before="0" w:after="283"/>
              <w:rPr/>
            </w:pPr>
            <w:r>
              <w:rPr/>
              <w:t>    </w:t>
            </w:r>
          </w:p>
        </w:tc>
        <w:tc>
          <w:tcPr>
            <w:tcW w:w="1879" w:type="dxa"/>
            <w:gridSpan w:val="2"/>
            <w:tcBorders>
              <w:bottom w:val="single" w:sz="12" w:space="0" w:color="001C71"/>
            </w:tcBorders>
            <w:shd w:fill="auto" w:val="clear"/>
            <w:tcMar>
              <w:bottom w:w="100" w:type="dxa"/>
            </w:tcMar>
            <w:vAlign w:val="bottom"/>
          </w:tcPr>
          <w:p>
            <w:pPr>
              <w:pStyle w:val="TableContents"/>
              <w:spacing w:before="0" w:after="283"/>
              <w:jc w:val="center"/>
              <w:rPr>
                <w:b/>
                <w:color w:val="001C71"/>
              </w:rPr>
            </w:pPr>
            <w:r>
              <w:rPr>
                <w:b/>
                <w:color w:val="001C71"/>
              </w:rPr>
              <w:t>Value Realized</w:t>
              <w:br/>
              <w:t>on Vesting  (A)(B)</w:t>
            </w:r>
          </w:p>
        </w:tc>
        <w:tc>
          <w:tcPr>
            <w:tcW w:w="182" w:type="dxa"/>
            <w:tcBorders>
              <w:bottom w:val="single" w:sz="12" w:space="0" w:color="001C71"/>
            </w:tcBorders>
            <w:shd w:fill="auto" w:val="clear"/>
            <w:tcMar>
              <w:bottom w:w="28" w:type="dxa"/>
            </w:tcMar>
            <w:vAlign w:val="bottom"/>
          </w:tcPr>
          <w:p>
            <w:pPr>
              <w:pStyle w:val="TableContents"/>
              <w:spacing w:before="0" w:after="283"/>
              <w:rPr/>
            </w:pPr>
            <w:r>
              <w:rPr/>
              <w:t> </w:t>
            </w:r>
          </w:p>
        </w:tc>
      </w:tr>
      <w:tr>
        <w:trPr/>
        <w:tc>
          <w:tcPr>
            <w:tcW w:w="4650" w:type="dxa"/>
            <w:tcBorders/>
            <w:shd w:fill="E5E5E5" w:val="clear"/>
          </w:tcPr>
          <w:p>
            <w:pPr>
              <w:pStyle w:val="TableContents"/>
              <w:spacing w:lineRule="atLeast" w:line="240" w:before="0" w:after="0"/>
              <w:rPr>
                <w:rFonts w:ascii="arial" w:hAnsi="arial"/>
                <w:sz w:val="16"/>
              </w:rPr>
            </w:pPr>
            <w:r>
              <w:rPr>
                <w:rFonts w:ascii="arial" w:hAnsi="arial"/>
                <w:sz w:val="16"/>
              </w:rPr>
              <w:t>Jeffrey W. Martin</w:t>
            </w:r>
          </w:p>
        </w:tc>
        <w:tc>
          <w:tcPr>
            <w:tcW w:w="902" w:type="dxa"/>
            <w:tcBorders/>
            <w:shd w:fill="E5E5E5" w:val="clear"/>
            <w:vAlign w:val="bottom"/>
          </w:tcPr>
          <w:p>
            <w:pPr>
              <w:pStyle w:val="TableContents"/>
              <w:spacing w:before="0" w:after="283"/>
              <w:rPr/>
            </w:pPr>
            <w:r>
              <w:rPr/>
              <w:t>    </w:t>
            </w:r>
          </w:p>
        </w:tc>
        <w:tc>
          <w:tcPr>
            <w:tcW w:w="180" w:type="dxa"/>
            <w:tcBorders/>
            <w:shd w:fill="E5E5E5" w:val="clear"/>
            <w:vAlign w:val="bottom"/>
          </w:tcPr>
          <w:p>
            <w:pPr>
              <w:pStyle w:val="TableContents"/>
              <w:spacing w:lineRule="atLeast" w:line="240" w:before="0" w:after="0"/>
              <w:rPr/>
            </w:pPr>
            <w:r>
              <w:rPr/>
              <w:t> </w:t>
            </w:r>
          </w:p>
        </w:tc>
        <w:tc>
          <w:tcPr>
            <w:tcW w:w="157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47,742</w:t>
            </w:r>
          </w:p>
        </w:tc>
        <w:tc>
          <w:tcPr>
            <w:tcW w:w="60" w:type="dxa"/>
            <w:tcBorders/>
            <w:shd w:fill="E5E5E5" w:val="clear"/>
            <w:vAlign w:val="bottom"/>
          </w:tcPr>
          <w:p>
            <w:pPr>
              <w:pStyle w:val="TableContents"/>
              <w:spacing w:lineRule="atLeast" w:line="240" w:before="0" w:after="0"/>
              <w:rPr/>
            </w:pPr>
            <w:r>
              <w:rPr/>
              <w:t> </w:t>
            </w:r>
          </w:p>
        </w:tc>
        <w:tc>
          <w:tcPr>
            <w:tcW w:w="774" w:type="dxa"/>
            <w:tcBorders/>
            <w:shd w:fill="E5E5E5" w:val="clear"/>
            <w:vAlign w:val="bottom"/>
          </w:tcPr>
          <w:p>
            <w:pPr>
              <w:pStyle w:val="TableContents"/>
              <w:spacing w:before="0" w:after="283"/>
              <w:rPr/>
            </w:pPr>
            <w:r>
              <w:rPr/>
              <w:t>    </w:t>
            </w:r>
          </w:p>
        </w:tc>
        <w:tc>
          <w:tcPr>
            <w:tcW w:w="241"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63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6,838,662</w:t>
            </w:r>
          </w:p>
        </w:tc>
        <w:tc>
          <w:tcPr>
            <w:tcW w:w="182" w:type="dxa"/>
            <w:tcBorders/>
            <w:shd w:fill="E5E5E5" w:val="clear"/>
            <w:vAlign w:val="bottom"/>
          </w:tcPr>
          <w:p>
            <w:pPr>
              <w:pStyle w:val="TableContents"/>
              <w:spacing w:lineRule="atLeast" w:line="240" w:before="0" w:after="0"/>
              <w:rPr/>
            </w:pPr>
            <w:r>
              <w:rPr/>
              <w:t> </w:t>
            </w:r>
          </w:p>
        </w:tc>
      </w:tr>
      <w:tr>
        <w:trPr/>
        <w:tc>
          <w:tcPr>
            <w:tcW w:w="4650" w:type="dxa"/>
            <w:tcBorders/>
            <w:shd w:fill="auto" w:val="clear"/>
          </w:tcPr>
          <w:p>
            <w:pPr>
              <w:pStyle w:val="TableContents"/>
              <w:spacing w:lineRule="atLeast" w:line="240" w:before="0" w:after="0"/>
              <w:rPr>
                <w:rFonts w:ascii="arial" w:hAnsi="arial"/>
                <w:sz w:val="16"/>
              </w:rPr>
            </w:pPr>
            <w:r>
              <w:rPr>
                <w:rFonts w:ascii="arial" w:hAnsi="arial"/>
                <w:sz w:val="16"/>
              </w:rPr>
              <w:t>Trevor I. Mihalik</w:t>
            </w:r>
          </w:p>
        </w:tc>
        <w:tc>
          <w:tcPr>
            <w:tcW w:w="90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lineRule="atLeast" w:line="240" w:before="0" w:after="0"/>
              <w:rPr/>
            </w:pPr>
            <w:r>
              <w:rPr/>
              <w:t> </w:t>
            </w:r>
          </w:p>
        </w:tc>
        <w:tc>
          <w:tcPr>
            <w:tcW w:w="1578"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15,308</w:t>
            </w:r>
          </w:p>
        </w:tc>
        <w:tc>
          <w:tcPr>
            <w:tcW w:w="60" w:type="dxa"/>
            <w:tcBorders/>
            <w:shd w:fill="auto" w:val="clear"/>
            <w:vAlign w:val="bottom"/>
          </w:tcPr>
          <w:p>
            <w:pPr>
              <w:pStyle w:val="TableContents"/>
              <w:spacing w:lineRule="atLeast" w:line="240" w:before="0" w:after="0"/>
              <w:rPr/>
            </w:pPr>
            <w:r>
              <w:rPr/>
              <w:t> </w:t>
            </w:r>
          </w:p>
        </w:tc>
        <w:tc>
          <w:tcPr>
            <w:tcW w:w="77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1638"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2,244,257</w:t>
            </w:r>
          </w:p>
        </w:tc>
        <w:tc>
          <w:tcPr>
            <w:tcW w:w="182" w:type="dxa"/>
            <w:tcBorders/>
            <w:shd w:fill="auto" w:val="clear"/>
            <w:vAlign w:val="bottom"/>
          </w:tcPr>
          <w:p>
            <w:pPr>
              <w:pStyle w:val="TableContents"/>
              <w:spacing w:lineRule="atLeast" w:line="240" w:before="0" w:after="0"/>
              <w:rPr/>
            </w:pPr>
            <w:r>
              <w:rPr/>
              <w:t> </w:t>
            </w:r>
          </w:p>
        </w:tc>
      </w:tr>
      <w:tr>
        <w:trPr/>
        <w:tc>
          <w:tcPr>
            <w:tcW w:w="4650" w:type="dxa"/>
            <w:tcBorders/>
            <w:shd w:fill="E5E5E5" w:val="clear"/>
          </w:tcPr>
          <w:p>
            <w:pPr>
              <w:pStyle w:val="TableContents"/>
              <w:spacing w:lineRule="atLeast" w:line="240" w:before="0" w:after="0"/>
              <w:rPr>
                <w:rFonts w:ascii="arial" w:hAnsi="arial"/>
                <w:sz w:val="16"/>
              </w:rPr>
            </w:pPr>
            <w:r>
              <w:rPr>
                <w:rFonts w:ascii="arial" w:hAnsi="arial"/>
                <w:sz w:val="16"/>
              </w:rPr>
              <w:t>Kevin C. Sagara</w:t>
            </w:r>
          </w:p>
        </w:tc>
        <w:tc>
          <w:tcPr>
            <w:tcW w:w="902" w:type="dxa"/>
            <w:tcBorders/>
            <w:shd w:fill="E5E5E5" w:val="clear"/>
            <w:vAlign w:val="bottom"/>
          </w:tcPr>
          <w:p>
            <w:pPr>
              <w:pStyle w:val="TableContents"/>
              <w:spacing w:before="0" w:after="283"/>
              <w:rPr/>
            </w:pPr>
            <w:r>
              <w:rPr/>
              <w:t>    </w:t>
            </w:r>
          </w:p>
        </w:tc>
        <w:tc>
          <w:tcPr>
            <w:tcW w:w="180" w:type="dxa"/>
            <w:tcBorders/>
            <w:shd w:fill="E5E5E5" w:val="clear"/>
            <w:vAlign w:val="bottom"/>
          </w:tcPr>
          <w:p>
            <w:pPr>
              <w:pStyle w:val="TableContents"/>
              <w:spacing w:lineRule="atLeast" w:line="240" w:before="0" w:after="0"/>
              <w:rPr/>
            </w:pPr>
            <w:r>
              <w:rPr/>
              <w:t> </w:t>
            </w:r>
          </w:p>
        </w:tc>
        <w:tc>
          <w:tcPr>
            <w:tcW w:w="157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10,376</w:t>
            </w:r>
          </w:p>
        </w:tc>
        <w:tc>
          <w:tcPr>
            <w:tcW w:w="60" w:type="dxa"/>
            <w:tcBorders/>
            <w:shd w:fill="E5E5E5" w:val="clear"/>
            <w:vAlign w:val="bottom"/>
          </w:tcPr>
          <w:p>
            <w:pPr>
              <w:pStyle w:val="TableContents"/>
              <w:spacing w:lineRule="atLeast" w:line="240" w:before="0" w:after="0"/>
              <w:rPr/>
            </w:pPr>
            <w:r>
              <w:rPr/>
              <w:t> </w:t>
            </w:r>
          </w:p>
        </w:tc>
        <w:tc>
          <w:tcPr>
            <w:tcW w:w="774" w:type="dxa"/>
            <w:tcBorders/>
            <w:shd w:fill="E5E5E5" w:val="clear"/>
            <w:vAlign w:val="bottom"/>
          </w:tcPr>
          <w:p>
            <w:pPr>
              <w:pStyle w:val="TableContents"/>
              <w:spacing w:before="0" w:after="283"/>
              <w:rPr/>
            </w:pPr>
            <w:r>
              <w:rPr/>
              <w:t>    </w:t>
            </w:r>
          </w:p>
        </w:tc>
        <w:tc>
          <w:tcPr>
            <w:tcW w:w="241"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63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1,580,944</w:t>
            </w:r>
          </w:p>
        </w:tc>
        <w:tc>
          <w:tcPr>
            <w:tcW w:w="182" w:type="dxa"/>
            <w:tcBorders/>
            <w:shd w:fill="E5E5E5" w:val="clear"/>
            <w:vAlign w:val="bottom"/>
          </w:tcPr>
          <w:p>
            <w:pPr>
              <w:pStyle w:val="TableContents"/>
              <w:spacing w:lineRule="atLeast" w:line="240" w:before="0" w:after="0"/>
              <w:rPr/>
            </w:pPr>
            <w:r>
              <w:rPr/>
              <w:t> </w:t>
            </w:r>
          </w:p>
        </w:tc>
      </w:tr>
      <w:tr>
        <w:trPr/>
        <w:tc>
          <w:tcPr>
            <w:tcW w:w="4650" w:type="dxa"/>
            <w:tcBorders/>
            <w:shd w:fill="auto" w:val="clear"/>
          </w:tcPr>
          <w:p>
            <w:pPr>
              <w:pStyle w:val="TableContents"/>
              <w:spacing w:lineRule="atLeast" w:line="240" w:before="0" w:after="0"/>
              <w:rPr>
                <w:rFonts w:ascii="arial" w:hAnsi="arial"/>
                <w:sz w:val="16"/>
              </w:rPr>
            </w:pPr>
            <w:r>
              <w:rPr>
                <w:rFonts w:ascii="arial" w:hAnsi="arial"/>
                <w:sz w:val="16"/>
              </w:rPr>
              <w:t>Peter R. Wall</w:t>
            </w:r>
          </w:p>
        </w:tc>
        <w:tc>
          <w:tcPr>
            <w:tcW w:w="90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lineRule="atLeast" w:line="240" w:before="0" w:after="0"/>
              <w:rPr/>
            </w:pPr>
            <w:r>
              <w:rPr/>
              <w:t> </w:t>
            </w:r>
          </w:p>
        </w:tc>
        <w:tc>
          <w:tcPr>
            <w:tcW w:w="1578"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3,566</w:t>
            </w:r>
          </w:p>
        </w:tc>
        <w:tc>
          <w:tcPr>
            <w:tcW w:w="60" w:type="dxa"/>
            <w:tcBorders/>
            <w:shd w:fill="auto" w:val="clear"/>
            <w:vAlign w:val="bottom"/>
          </w:tcPr>
          <w:p>
            <w:pPr>
              <w:pStyle w:val="TableContents"/>
              <w:spacing w:lineRule="atLeast" w:line="240" w:before="0" w:after="0"/>
              <w:rPr/>
            </w:pPr>
            <w:r>
              <w:rPr/>
              <w:t> </w:t>
            </w:r>
          </w:p>
        </w:tc>
        <w:tc>
          <w:tcPr>
            <w:tcW w:w="77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1638"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531,932</w:t>
            </w:r>
          </w:p>
        </w:tc>
        <w:tc>
          <w:tcPr>
            <w:tcW w:w="182" w:type="dxa"/>
            <w:tcBorders/>
            <w:shd w:fill="auto" w:val="clear"/>
            <w:vAlign w:val="bottom"/>
          </w:tcPr>
          <w:p>
            <w:pPr>
              <w:pStyle w:val="TableContents"/>
              <w:spacing w:lineRule="atLeast" w:line="240" w:before="0" w:after="0"/>
              <w:rPr/>
            </w:pPr>
            <w:r>
              <w:rPr/>
              <w:t> </w:t>
            </w:r>
          </w:p>
        </w:tc>
      </w:tr>
      <w:tr>
        <w:trPr/>
        <w:tc>
          <w:tcPr>
            <w:tcW w:w="4650" w:type="dxa"/>
            <w:tcBorders/>
            <w:shd w:fill="E5E5E5" w:val="clear"/>
          </w:tcPr>
          <w:p>
            <w:pPr>
              <w:pStyle w:val="TableContents"/>
              <w:spacing w:lineRule="atLeast" w:line="240" w:before="0" w:after="0"/>
              <w:rPr>
                <w:rFonts w:ascii="arial" w:hAnsi="arial"/>
                <w:sz w:val="16"/>
              </w:rPr>
            </w:pPr>
            <w:r>
              <w:rPr>
                <w:rFonts w:ascii="arial" w:hAnsi="arial"/>
                <w:sz w:val="16"/>
              </w:rPr>
              <w:t>Dennis V. Arriola</w:t>
            </w:r>
          </w:p>
        </w:tc>
        <w:tc>
          <w:tcPr>
            <w:tcW w:w="902" w:type="dxa"/>
            <w:tcBorders/>
            <w:shd w:fill="E5E5E5" w:val="clear"/>
            <w:vAlign w:val="bottom"/>
          </w:tcPr>
          <w:p>
            <w:pPr>
              <w:pStyle w:val="TableContents"/>
              <w:spacing w:before="0" w:after="283"/>
              <w:rPr/>
            </w:pPr>
            <w:r>
              <w:rPr/>
              <w:t>    </w:t>
            </w:r>
          </w:p>
        </w:tc>
        <w:tc>
          <w:tcPr>
            <w:tcW w:w="180" w:type="dxa"/>
            <w:tcBorders/>
            <w:shd w:fill="E5E5E5" w:val="clear"/>
            <w:vAlign w:val="bottom"/>
          </w:tcPr>
          <w:p>
            <w:pPr>
              <w:pStyle w:val="TableContents"/>
              <w:spacing w:lineRule="atLeast" w:line="240" w:before="0" w:after="0"/>
              <w:rPr/>
            </w:pPr>
            <w:r>
              <w:rPr/>
              <w:t> </w:t>
            </w:r>
          </w:p>
        </w:tc>
        <w:tc>
          <w:tcPr>
            <w:tcW w:w="157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35,525</w:t>
            </w:r>
          </w:p>
        </w:tc>
        <w:tc>
          <w:tcPr>
            <w:tcW w:w="60" w:type="dxa"/>
            <w:tcBorders/>
            <w:shd w:fill="E5E5E5" w:val="clear"/>
            <w:vAlign w:val="bottom"/>
          </w:tcPr>
          <w:p>
            <w:pPr>
              <w:pStyle w:val="TableContents"/>
              <w:spacing w:lineRule="atLeast" w:line="240" w:before="0" w:after="0"/>
              <w:rPr/>
            </w:pPr>
            <w:r>
              <w:rPr/>
              <w:t> </w:t>
            </w:r>
          </w:p>
        </w:tc>
        <w:tc>
          <w:tcPr>
            <w:tcW w:w="774" w:type="dxa"/>
            <w:tcBorders/>
            <w:shd w:fill="E5E5E5" w:val="clear"/>
            <w:vAlign w:val="bottom"/>
          </w:tcPr>
          <w:p>
            <w:pPr>
              <w:pStyle w:val="TableContents"/>
              <w:spacing w:before="0" w:after="283"/>
              <w:rPr/>
            </w:pPr>
            <w:r>
              <w:rPr/>
              <w:t>    </w:t>
            </w:r>
          </w:p>
        </w:tc>
        <w:tc>
          <w:tcPr>
            <w:tcW w:w="241"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63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5,234,100</w:t>
            </w:r>
          </w:p>
        </w:tc>
        <w:tc>
          <w:tcPr>
            <w:tcW w:w="182" w:type="dxa"/>
            <w:tcBorders/>
            <w:shd w:fill="E5E5E5" w:val="clear"/>
            <w:vAlign w:val="bottom"/>
          </w:tcPr>
          <w:p>
            <w:pPr>
              <w:pStyle w:val="TableContents"/>
              <w:spacing w:lineRule="atLeast" w:line="240" w:before="0" w:after="0"/>
              <w:rPr/>
            </w:pPr>
            <w:r>
              <w:rPr/>
              <w:t> </w:t>
            </w:r>
          </w:p>
        </w:tc>
      </w:tr>
      <w:tr>
        <w:trPr/>
        <w:tc>
          <w:tcPr>
            <w:tcW w:w="4650" w:type="dxa"/>
            <w:tcBorders>
              <w:bottom w:val="single" w:sz="8" w:space="0" w:color="001C71"/>
            </w:tcBorders>
            <w:shd w:fill="auto" w:val="clear"/>
            <w:tcMar>
              <w:bottom w:w="28" w:type="dxa"/>
            </w:tcMar>
          </w:tcPr>
          <w:p>
            <w:pPr>
              <w:pStyle w:val="TableContents"/>
              <w:spacing w:lineRule="atLeast" w:line="240" w:before="0" w:after="0"/>
              <w:rPr>
                <w:rFonts w:ascii="arial" w:hAnsi="arial"/>
                <w:sz w:val="16"/>
              </w:rPr>
            </w:pPr>
            <w:r>
              <w:rPr>
                <w:rFonts w:ascii="arial" w:hAnsi="arial"/>
                <w:sz w:val="16"/>
              </w:rPr>
              <w:t>George W. Bilicic</w:t>
            </w:r>
          </w:p>
        </w:tc>
        <w:tc>
          <w:tcPr>
            <w:tcW w:w="902" w:type="dxa"/>
            <w:tcBorders>
              <w:bottom w:val="single" w:sz="8" w:space="0" w:color="001C71"/>
            </w:tcBorders>
            <w:shd w:fill="auto" w:val="clear"/>
            <w:tcMar>
              <w:bottom w:w="28" w:type="dxa"/>
            </w:tcMar>
            <w:vAlign w:val="bottom"/>
          </w:tcPr>
          <w:p>
            <w:pPr>
              <w:pStyle w:val="TableContents"/>
              <w:spacing w:before="0" w:after="283"/>
              <w:rPr/>
            </w:pPr>
            <w:r>
              <w:rPr/>
              <w:t>    </w:t>
            </w:r>
          </w:p>
        </w:tc>
        <w:tc>
          <w:tcPr>
            <w:tcW w:w="18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1578"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31,427</w:t>
            </w:r>
          </w:p>
        </w:tc>
        <w:tc>
          <w:tcPr>
            <w:tcW w:w="6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774" w:type="dxa"/>
            <w:tcBorders>
              <w:bottom w:val="single" w:sz="8" w:space="0" w:color="001C71"/>
            </w:tcBorders>
            <w:shd w:fill="auto" w:val="clear"/>
            <w:tcMar>
              <w:bottom w:w="28" w:type="dxa"/>
            </w:tcMar>
            <w:vAlign w:val="bottom"/>
          </w:tcPr>
          <w:p>
            <w:pPr>
              <w:pStyle w:val="TableContents"/>
              <w:spacing w:before="0" w:after="283"/>
              <w:rPr/>
            </w:pPr>
            <w:r>
              <w:rPr/>
              <w:t>    </w:t>
            </w:r>
          </w:p>
        </w:tc>
        <w:tc>
          <w:tcPr>
            <w:tcW w:w="241"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1638"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4,102,102</w:t>
            </w:r>
          </w:p>
        </w:tc>
        <w:tc>
          <w:tcPr>
            <w:tcW w:w="182"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Market value of vesting stock (including reinvested dividends) at the vesting date, determined by multiplying the number of shares vested by the closing stock price of our common stock on the vesting date. Also includes the dividend equivalent with a record date of December 30, 2019, that was paid on January 15,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performance-based restricted stock unit awards granted in January 2017 that measured total shareholder return performance against the S&amp;P 500 Utilities Index companies and the S&amp;P 500 Index companies vested on January 16, 2020 at 124.5% of target performance and 168.6% of target performance, respectively. The 2017 performance-based restricted stock unit awards based on EPS growth (as adjusted for LTIP purposes) vested on February 25, 2020 at 200% of target performance. Service-based restricted stock unit awards that vested on January 2, 2020 consisted of the annual awards granted to Messrs. Sagara and Wall on January 2, 2017; the first of three installments of the annual awards granted to Messrs. Mihalik, Sagara, Wall and Arriola on January 2, 2019; awards granted to Messrs. Martin and Arriola on January 2, 2019; the second of three installments of an award granted to Mr. Mihalik on January 2, 2018 and the second and final installment of awards granted to Messrs. Mihalik and Sagara on February 21, 2018. The second and final installment of service-based restricted stock unit awards granted to Messrs. Mihalik and Wall on March 9, 2018 vested on March 9, 2020; the second and final installment of the May 1, 2018 promotional awards granted to Messrs. Martin and Mihalik vested on May 1, 2020; the service-based restricted stock unit awards granted to Mr. Arriola on January 2, 2018, January 2, 2019 (excluding the installment that vested on January 2, 2020) and January 2, 2020 vested on July 22, 2020 following Mr. Arriolas retirement pursuant to a determination by the Compensation and Talent Development Committee to vest such awards as permitted by the terms of the awards; and the June 17, 2019 service-based restricted stock unit award for Mr. Bilicic vested on April 9, 2020 pursuant to its terms following his separation from service (Mr. Bilicics January 2, 2020 service-based restricted stock unit award was forfeited upon his separation from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 </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performance-based restricted stock unit awards granted in January 2018 that measured total shareholder return performance against the S&amp;P 500 Utilities Index companies and the S&amp;P 500 Index companies vested on January 19, 2021 at 114.75% of target performance and 103% of target performance, respectively. The 2018 performance-based restricted stock unit awards based on EPS growth (as adjusted for LTIP purposes) vested on February 22, 2021 at 200% of target performance. Service-based restricted stock units that vested on January 4, 2021 consisted of the annual awards granted to Messrs. Martin, Mihalik, Sagara and Wall on January 2, 2018; the second of three installments of annual awards granted to Messrs. Mihalik, Sagara and Wall on January 2, 2019; the first of three installments of annual awards granted to Messrs. Mihalik, Sagara and Wall on January 2, 2020 (and to Mr. Wall on April 1, 2020); the third and final installment of a service-based restricted stock unit award granted to Mr. Mihalik on January 2, 2018; and the first of two installments of an award granted to Mr. Sagara on January 2, 2020. The number of shares acquired upon vesting of these awards and their market value (including the units and the value of the dividend equivalent with a record date of December 18, 2020, that was paid on January 15, 2021), none of which are reflected in this table due to vesting of the applicable awards after December 31, 2020, were 22,924 shares and $2,806,054 for Mr. Martin; 11,093 shares and $1,361,635 for Mr. Mihalik; 12,004 shares and $1,474,802 for Mr. Sagara; 3,343 shares and $409,960 for Mr. Wall; 11,430 shares and $1,394,138 for Mr. Arriola and zero shares and $0 for Mr. Bilicic. </w:t>
            </w:r>
          </w:p>
        </w:tc>
      </w:tr>
    </w:tbl>
    <w:p>
      <w:pPr>
        <w:pStyle w:val="TextBody"/>
        <w:spacing w:before="360" w:after="0"/>
        <w:jc w:val="left"/>
        <w:rPr>
          <w:rFonts w:ascii="arial" w:hAnsi="arial"/>
          <w:sz w:val="28"/>
        </w:rPr>
      </w:pPr>
      <w:r>
        <w:rPr>
          <w:rFonts w:ascii="arial" w:hAnsi="arial"/>
          <w:sz w:val="28"/>
        </w:rPr>
        <w:t xml:space="preserve">Pension Benefits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named executive officers participate in our Cash Balance Plan, a broad-based tax-qualified retirement plan that is subject to certain limits under the Internal Revenue Code. Under the plan, we annually credit to a notional account for each participant an amount equal to 7.5% of the participants salary and performance-based annual bonus. Account balances earn interest and are fully vested after three years of service. </w:t>
      </w:r>
    </w:p>
    <w:p>
      <w:pPr>
        <w:pStyle w:val="TextBody"/>
        <w:spacing w:before="120" w:after="0"/>
        <w:jc w:val="left"/>
        <w:rPr>
          <w:rFonts w:ascii="arial" w:hAnsi="arial"/>
          <w:sz w:val="16"/>
        </w:rPr>
      </w:pPr>
      <w:r>
        <w:rPr>
          <w:rFonts w:ascii="arial" w:hAnsi="arial"/>
          <w:sz w:val="16"/>
        </w:rPr>
        <w:t xml:space="preserve">In addition to the Cash Balance Plan, our named executive officers (excluding Mr. Wall) participate in a Supplemental Executive Retirement Plan, a nonqualified pension plan designed to recruit and retain executive talent. Under the plan, benefits are calculated using a defined benefit formula based on final average earnings (average base salary for the two consecutive years of highest base salary prior to retirement plus the average of the three highest annual bonuses during the 10 years prior to retirement), years of service and age at retirement of the executive officer. Benefits payable under the Supplemental Executive Retirement Plan are reduced by benefits payable under the Cash Balance Plan.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80</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Benefits under the defined benefit formula begin to vest after five years of service and attainment of age 55, with full vesting when age plus years of service total 70 or the executive attains age 60. Benefits for Messrs. Mihalik and Sagara, who became participants in the plan on January 1, 2017 and August 11, 2018, respectively, will not begin vesting in the defined benefit until they have participated in the plan for five years, after which prior service will be considered. Upon normal retirement at age 62, the annual benefit (as a percentage of final average earnings) in the form of a 50% joint and survivor annuity is 20% after five years of service, 40% after 10 years of service, 50% after 15 years of service, 60% after 20 years of service, 62.5% after 30 years of service, and 65% after 40 years of service. Reduced benefits based on age and years of service are provided for retirement as early as age 55 and the completion of five years of service. </w:t>
      </w:r>
    </w:p>
    <w:p>
      <w:pPr>
        <w:pStyle w:val="TextBody"/>
        <w:spacing w:before="120" w:after="0"/>
        <w:jc w:val="left"/>
        <w:rPr>
          <w:rFonts w:ascii="arial" w:hAnsi="arial"/>
          <w:sz w:val="16"/>
        </w:rPr>
      </w:pPr>
      <w:r>
        <w:rPr>
          <w:rFonts w:ascii="arial" w:hAnsi="arial"/>
          <w:sz w:val="16"/>
        </w:rPr>
        <w:t xml:space="preserve">Supplemental Executive Retirement Plan participants with at least three years of service who do not meet the minimum vesting criteria under the defined benefit formula (five years of service and attainment of age 55) and Mr. Wall are entitled to a benefit equal to the benefit that would have been received under the tax-qualified Cash Balance Plan but for Internal Revenue Code limitations on pay and benefits under tax-qualified plans. Account balances in the Cash Balance Restoration Plan, in which Mr. Wall participates, earn interest and are fully vested after three years of service. Mr. Bilicic did not meet the plans vesting requirements upon his separation from service and is not entitled to a benefit under the plan. </w:t>
      </w:r>
    </w:p>
    <w:p>
      <w:pPr>
        <w:pStyle w:val="TextBody"/>
        <w:spacing w:before="120" w:after="0"/>
        <w:jc w:val="left"/>
        <w:rPr>
          <w:rFonts w:ascii="arial" w:hAnsi="arial"/>
          <w:sz w:val="16"/>
        </w:rPr>
      </w:pPr>
      <w:r>
        <w:rPr>
          <w:rFonts w:ascii="arial" w:hAnsi="arial"/>
          <w:sz w:val="16"/>
        </w:rPr>
        <w:t xml:space="preserve">Retiring employees may elect to receive the retirement date present value of their vested accumulated retirement benefits in a single lump sum payment. Alternatively, they may elect an annuity that provides the actuarial equivalent of the lump sum benefit. </w:t>
      </w:r>
    </w:p>
    <w:p>
      <w:pPr>
        <w:pStyle w:val="TextBody"/>
        <w:spacing w:before="120" w:after="0"/>
        <w:jc w:val="left"/>
        <w:rPr>
          <w:rFonts w:ascii="arial" w:hAnsi="arial"/>
          <w:sz w:val="16"/>
        </w:rPr>
      </w:pPr>
      <w:r>
        <w:rPr>
          <w:rFonts w:ascii="arial" w:hAnsi="arial"/>
          <w:sz w:val="16"/>
        </w:rPr>
        <w:t xml:space="preserve">We summarize below the present value of accumulated benefits under our various retirement plans at December 31, 2020, for our executive officers named in the 2020 Summary Compensation Table. </w:t>
      </w:r>
    </w:p>
    <w:p>
      <w:pPr>
        <w:pStyle w:val="TextBody"/>
        <w:spacing w:before="200" w:after="0"/>
        <w:jc w:val="left"/>
        <w:rPr>
          <w:rFonts w:ascii="arial" w:hAnsi="arial"/>
          <w:color w:val="001C71"/>
          <w:sz w:val="16"/>
        </w:rPr>
      </w:pPr>
      <w:r>
        <w:rPr>
          <w:rFonts w:ascii="arial" w:hAnsi="arial"/>
          <w:color w:val="001C71"/>
          <w:sz w:val="16"/>
        </w:rPr>
        <w:t xml:space="preserve">PENSION BENEFITS AT YEAR-END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61"/>
        <w:gridCol w:w="125"/>
        <w:gridCol w:w="3901"/>
        <w:gridCol w:w="399"/>
        <w:gridCol w:w="1322"/>
        <w:gridCol w:w="578"/>
        <w:gridCol w:w="1093"/>
        <w:gridCol w:w="1158"/>
        <w:gridCol w:w="168"/>
      </w:tblGrid>
      <w:tr>
        <w:trPr/>
        <w:tc>
          <w:tcPr>
            <w:tcW w:w="14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r>
      <w:tr>
        <w:trPr/>
        <w:tc>
          <w:tcPr>
            <w:tcW w:w="14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01" w:type="dxa"/>
            <w:tcBorders/>
            <w:shd w:fill="auto" w:val="clear"/>
            <w:vAlign w:val="bottom"/>
          </w:tcPr>
          <w:p>
            <w:pPr>
              <w:pStyle w:val="TableContents"/>
              <w:spacing w:before="0" w:after="0"/>
              <w:jc w:val="center"/>
              <w:rPr>
                <w:rFonts w:ascii="arial" w:hAnsi="arial"/>
                <w:b/>
                <w:color w:val="001C71"/>
                <w:sz w:val="16"/>
              </w:rPr>
            </w:pPr>
            <w:r>
              <w:rPr>
                <w:rFonts w:ascii="arial" w:hAnsi="arial"/>
                <w:b/>
                <w:color w:val="001C71"/>
                <w:sz w:val="16"/>
              </w:rPr>
              <w:t>Plan</w:t>
            </w:r>
          </w:p>
          <w:p>
            <w:pPr>
              <w:pStyle w:val="TableContents"/>
              <w:spacing w:before="0" w:after="20"/>
              <w:jc w:val="left"/>
              <w:rPr/>
            </w:pPr>
            <w:r>
              <w:rPr/>
              <w:t> </w:t>
            </w:r>
          </w:p>
        </w:tc>
        <w:tc>
          <w:tcPr>
            <w:tcW w:w="399"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before="0" w:after="0"/>
              <w:jc w:val="center"/>
              <w:rPr>
                <w:rFonts w:ascii="arial" w:hAnsi="arial"/>
                <w:b/>
                <w:color w:val="001C71"/>
                <w:sz w:val="16"/>
              </w:rPr>
            </w:pPr>
            <w:r>
              <w:rPr>
                <w:rFonts w:ascii="arial" w:hAnsi="arial"/>
                <w:b/>
                <w:color w:val="001C71"/>
                <w:sz w:val="16"/>
              </w:rPr>
              <w:t>Years of</w:t>
            </w:r>
          </w:p>
          <w:p>
            <w:pPr>
              <w:pStyle w:val="TableContents"/>
              <w:spacing w:before="0" w:after="0"/>
              <w:jc w:val="center"/>
              <w:rPr>
                <w:rFonts w:ascii="arial" w:hAnsi="arial"/>
                <w:b/>
                <w:color w:val="001C71"/>
                <w:sz w:val="16"/>
              </w:rPr>
            </w:pPr>
            <w:r>
              <w:rPr>
                <w:rFonts w:ascii="arial" w:hAnsi="arial"/>
                <w:b/>
                <w:color w:val="001C71"/>
                <w:sz w:val="16"/>
              </w:rPr>
              <w:t>Credited Service</w:t>
            </w:r>
          </w:p>
          <w:p>
            <w:pPr>
              <w:pStyle w:val="TableContents"/>
              <w:spacing w:before="0" w:after="20"/>
              <w:jc w:val="left"/>
              <w:rPr/>
            </w:pPr>
            <w:r>
              <w:rPr/>
              <w:t> </w:t>
            </w:r>
          </w:p>
        </w:tc>
        <w:tc>
          <w:tcPr>
            <w:tcW w:w="578" w:type="dxa"/>
            <w:tcBorders/>
            <w:shd w:fill="auto" w:val="clear"/>
            <w:vAlign w:val="bottom"/>
          </w:tcPr>
          <w:p>
            <w:pPr>
              <w:pStyle w:val="TableContents"/>
              <w:spacing w:before="0" w:after="283"/>
              <w:rPr/>
            </w:pPr>
            <w:r>
              <w:rPr/>
              <w:t>    </w:t>
            </w:r>
          </w:p>
        </w:tc>
        <w:tc>
          <w:tcPr>
            <w:tcW w:w="2251" w:type="dxa"/>
            <w:gridSpan w:val="2"/>
            <w:tcBorders/>
            <w:shd w:fill="auto" w:val="clear"/>
            <w:vAlign w:val="bottom"/>
          </w:tcPr>
          <w:p>
            <w:pPr>
              <w:pStyle w:val="TableContents"/>
              <w:spacing w:before="0" w:after="0"/>
              <w:jc w:val="center"/>
              <w:rPr>
                <w:rFonts w:ascii="arial" w:hAnsi="arial"/>
                <w:b/>
                <w:color w:val="001C71"/>
                <w:sz w:val="16"/>
              </w:rPr>
            </w:pPr>
            <w:r>
              <w:rPr>
                <w:rFonts w:ascii="arial" w:hAnsi="arial"/>
                <w:b/>
                <w:color w:val="001C71"/>
                <w:sz w:val="16"/>
              </w:rPr>
              <w:t>Present Value of</w:t>
              <w:br/>
              <w:t>Accumulated Benefit (A)(B)</w:t>
            </w:r>
          </w:p>
          <w:p>
            <w:pPr>
              <w:pStyle w:val="TableContents"/>
              <w:spacing w:before="0" w:after="20"/>
              <w:jc w:val="left"/>
              <w:rPr/>
            </w:pPr>
            <w:r>
              <w:rPr/>
              <w:t> </w:t>
            </w:r>
          </w:p>
        </w:tc>
        <w:tc>
          <w:tcPr>
            <w:tcW w:w="168" w:type="dxa"/>
            <w:tcBorders/>
            <w:shd w:fill="auto" w:val="clear"/>
            <w:vAlign w:val="bottom"/>
          </w:tcPr>
          <w:p>
            <w:pPr>
              <w:pStyle w:val="TableContents"/>
              <w:spacing w:before="0" w:after="283"/>
              <w:rPr/>
            </w:pPr>
            <w:r>
              <w:rPr/>
              <w:t> </w:t>
            </w:r>
          </w:p>
        </w:tc>
      </w:tr>
      <w:tr>
        <w:trPr/>
        <w:tc>
          <w:tcPr>
            <w:tcW w:w="1461" w:type="dxa"/>
            <w:vMerge w:val="restart"/>
            <w:tcBorders>
              <w:top w:val="single" w:sz="12" w:space="0" w:color="001C71"/>
              <w:bottom w:val="single" w:sz="8" w:space="0" w:color="001C71"/>
            </w:tcBorders>
            <w:shd w:fill="E5E5E5" w:val="clear"/>
            <w:tcMar>
              <w:top w:w="28" w:type="dxa"/>
              <w:bottom w:w="28" w:type="dxa"/>
            </w:tcMar>
            <w:vAlign w:val="center"/>
          </w:tcPr>
          <w:p>
            <w:pPr>
              <w:pStyle w:val="TableContents"/>
              <w:spacing w:lineRule="atLeast" w:line="240" w:before="0" w:after="0"/>
              <w:rPr>
                <w:rFonts w:ascii="arial" w:hAnsi="arial"/>
                <w:b/>
                <w:sz w:val="16"/>
              </w:rPr>
            </w:pPr>
            <w:r>
              <w:rPr>
                <w:rFonts w:ascii="arial" w:hAnsi="arial"/>
                <w:b/>
                <w:sz w:val="16"/>
              </w:rPr>
              <w:t>Jeffrey W. Martin</w:t>
            </w:r>
          </w:p>
        </w:tc>
        <w:tc>
          <w:tcPr>
            <w:tcW w:w="125" w:type="dxa"/>
            <w:tcBorders>
              <w:top w:val="single" w:sz="12" w:space="0" w:color="001C71"/>
            </w:tcBorders>
            <w:shd w:fill="E5E5E5" w:val="clear"/>
            <w:tcMar>
              <w:top w:w="28" w:type="dxa"/>
            </w:tcMar>
            <w:vAlign w:val="bottom"/>
          </w:tcPr>
          <w:p>
            <w:pPr>
              <w:pStyle w:val="TableContents"/>
              <w:spacing w:before="0" w:after="283"/>
              <w:rPr/>
            </w:pPr>
            <w:r>
              <w:rPr/>
              <w:t> </w:t>
            </w:r>
          </w:p>
        </w:tc>
        <w:tc>
          <w:tcPr>
            <w:tcW w:w="3901" w:type="dxa"/>
            <w:tcBorders>
              <w:top w:val="single" w:sz="12" w:space="0" w:color="001C71"/>
            </w:tcBorders>
            <w:shd w:fill="E5E5E5" w:val="clear"/>
            <w:tcMar>
              <w:top w:w="28" w:type="dxa"/>
            </w:tcMar>
            <w:vAlign w:val="bottom"/>
          </w:tcPr>
          <w:p>
            <w:pPr>
              <w:pStyle w:val="TableContents"/>
              <w:spacing w:lineRule="atLeast" w:line="240" w:before="0" w:after="0"/>
              <w:rPr>
                <w:rFonts w:ascii="arial" w:hAnsi="arial"/>
                <w:sz w:val="16"/>
              </w:rPr>
            </w:pPr>
            <w:r>
              <w:rPr>
                <w:rFonts w:ascii="arial" w:hAnsi="arial"/>
                <w:sz w:val="16"/>
              </w:rPr>
              <w:t>Cash Balance Plan</w:t>
            </w:r>
          </w:p>
        </w:tc>
        <w:tc>
          <w:tcPr>
            <w:tcW w:w="399" w:type="dxa"/>
            <w:tcBorders>
              <w:top w:val="single" w:sz="12" w:space="0" w:color="001C71"/>
            </w:tcBorders>
            <w:shd w:fill="E5E5E5" w:val="clear"/>
            <w:tcMar>
              <w:top w:w="28" w:type="dxa"/>
            </w:tcMar>
            <w:vAlign w:val="bottom"/>
          </w:tcPr>
          <w:p>
            <w:pPr>
              <w:pStyle w:val="TableContents"/>
              <w:spacing w:before="0" w:after="283"/>
              <w:rPr/>
            </w:pPr>
            <w:r>
              <w:rPr/>
              <w:t>  </w:t>
            </w:r>
          </w:p>
        </w:tc>
        <w:tc>
          <w:tcPr>
            <w:tcW w:w="1322" w:type="dxa"/>
            <w:tcBorders>
              <w:top w:val="single" w:sz="12" w:space="0" w:color="001C71"/>
            </w:tcBorders>
            <w:shd w:fill="E5E5E5" w:val="clear"/>
            <w:tcMar>
              <w:top w:w="28" w:type="dxa"/>
            </w:tcMar>
            <w:vAlign w:val="bottom"/>
          </w:tcPr>
          <w:p>
            <w:pPr>
              <w:pStyle w:val="TableContents"/>
              <w:spacing w:lineRule="atLeast" w:line="240" w:before="0" w:after="0"/>
              <w:jc w:val="center"/>
              <w:rPr>
                <w:rFonts w:ascii="arial" w:hAnsi="arial"/>
                <w:sz w:val="16"/>
              </w:rPr>
            </w:pPr>
            <w:r>
              <w:rPr>
                <w:rFonts w:ascii="arial" w:hAnsi="arial"/>
                <w:sz w:val="16"/>
              </w:rPr>
              <w:t>16</w:t>
            </w:r>
          </w:p>
        </w:tc>
        <w:tc>
          <w:tcPr>
            <w:tcW w:w="578" w:type="dxa"/>
            <w:tcBorders>
              <w:top w:val="single" w:sz="12" w:space="0" w:color="001C71"/>
            </w:tcBorders>
            <w:shd w:fill="E5E5E5" w:val="clear"/>
            <w:tcMar>
              <w:top w:w="28" w:type="dxa"/>
            </w:tcMar>
            <w:vAlign w:val="bottom"/>
          </w:tcPr>
          <w:p>
            <w:pPr>
              <w:pStyle w:val="TableContents"/>
              <w:spacing w:before="0" w:after="283"/>
              <w:rPr/>
            </w:pPr>
            <w:r>
              <w:rPr/>
              <w:t>    </w:t>
            </w:r>
          </w:p>
        </w:tc>
        <w:tc>
          <w:tcPr>
            <w:tcW w:w="1093" w:type="dxa"/>
            <w:tcBorders>
              <w:top w:val="single" w:sz="12" w:space="0" w:color="001C71"/>
            </w:tcBorders>
            <w:shd w:fill="E5E5E5" w:val="clear"/>
            <w:tcMar>
              <w:top w:w="28" w:type="dxa"/>
            </w:tcMar>
            <w:vAlign w:val="bottom"/>
          </w:tcPr>
          <w:p>
            <w:pPr>
              <w:pStyle w:val="TableContents"/>
              <w:spacing w:lineRule="atLeast" w:line="240" w:before="0" w:after="0"/>
              <w:rPr/>
            </w:pPr>
            <w:r>
              <w:rPr/>
              <w:t>                </w:t>
            </w:r>
            <w:r>
              <w:rPr>
                <w:rFonts w:ascii="arial" w:hAnsi="arial"/>
                <w:sz w:val="16"/>
              </w:rPr>
              <w:t>$</w:t>
            </w:r>
          </w:p>
        </w:tc>
        <w:tc>
          <w:tcPr>
            <w:tcW w:w="1158" w:type="dxa"/>
            <w:tcBorders>
              <w:top w:val="single" w:sz="12" w:space="0" w:color="001C71"/>
            </w:tcBorders>
            <w:shd w:fill="E5E5E5" w:val="clear"/>
            <w:tcMar>
              <w:top w:w="28" w:type="dxa"/>
            </w:tcMar>
            <w:vAlign w:val="bottom"/>
          </w:tcPr>
          <w:p>
            <w:pPr>
              <w:pStyle w:val="TableContents"/>
              <w:spacing w:lineRule="atLeast" w:line="240" w:before="0" w:after="0"/>
              <w:jc w:val="right"/>
              <w:rPr>
                <w:rFonts w:ascii="arial" w:hAnsi="arial"/>
                <w:sz w:val="16"/>
              </w:rPr>
            </w:pPr>
            <w:r>
              <w:rPr>
                <w:rFonts w:ascii="arial" w:hAnsi="arial"/>
                <w:sz w:val="16"/>
              </w:rPr>
              <w:t>368,196</w:t>
            </w:r>
          </w:p>
        </w:tc>
        <w:tc>
          <w:tcPr>
            <w:tcW w:w="168" w:type="dxa"/>
            <w:tcBorders>
              <w:top w:val="single" w:sz="12" w:space="0" w:color="001C71"/>
            </w:tcBorders>
            <w:shd w:fill="E5E5E5" w:val="clear"/>
            <w:tcMar>
              <w:top w:w="28" w:type="dxa"/>
            </w:tcMar>
            <w:vAlign w:val="bottom"/>
          </w:tcPr>
          <w:p>
            <w:pPr>
              <w:pStyle w:val="TableContents"/>
              <w:spacing w:lineRule="atLeast" w:line="240" w:before="0" w:after="0"/>
              <w:rPr/>
            </w:pPr>
            <w:r>
              <w:rPr/>
              <w:t> </w:t>
            </w:r>
          </w:p>
        </w:tc>
      </w:tr>
      <w:tr>
        <w:trPr/>
        <w:tc>
          <w:tcPr>
            <w:tcW w:w="1461" w:type="dxa"/>
            <w:vMerge w:val="continue"/>
            <w:tcBorders>
              <w:top w:val="single" w:sz="12" w:space="0" w:color="001C71"/>
              <w:bottom w:val="single" w:sz="8" w:space="0" w:color="001C71"/>
            </w:tcBorders>
            <w:shd w:fill="auto" w:val="clear"/>
            <w:tcMar>
              <w:top w:w="28" w:type="dxa"/>
              <w:bottom w:w="28" w:type="dxa"/>
            </w:tcMar>
            <w:vAlign w:val="center"/>
          </w:tcPr>
          <w:p>
            <w:pPr>
              <w:pStyle w:val="Normal"/>
              <w:rPr/>
            </w:pPr>
            <w:r>
              <w:rPr/>
            </w:r>
          </w:p>
        </w:tc>
        <w:tc>
          <w:tcPr>
            <w:tcW w:w="125" w:type="dxa"/>
            <w:tcBorders>
              <w:bottom w:val="single" w:sz="2" w:space="0" w:color="001C71"/>
            </w:tcBorders>
            <w:shd w:fill="auto" w:val="clear"/>
            <w:tcMar>
              <w:bottom w:w="28" w:type="dxa"/>
            </w:tcMar>
            <w:vAlign w:val="bottom"/>
          </w:tcPr>
          <w:p>
            <w:pPr>
              <w:pStyle w:val="TableContents"/>
              <w:spacing w:before="0" w:after="283"/>
              <w:rPr/>
            </w:pPr>
            <w:r>
              <w:rPr/>
              <w:t> </w:t>
            </w:r>
          </w:p>
        </w:tc>
        <w:tc>
          <w:tcPr>
            <w:tcW w:w="3901" w:type="dxa"/>
            <w:tcBorders>
              <w:bottom w:val="single" w:sz="2"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Supplemental Executive Retirement Plan</w:t>
            </w:r>
          </w:p>
        </w:tc>
        <w:tc>
          <w:tcPr>
            <w:tcW w:w="399" w:type="dxa"/>
            <w:tcBorders>
              <w:bottom w:val="single" w:sz="2" w:space="0" w:color="001C71"/>
            </w:tcBorders>
            <w:shd w:fill="auto" w:val="clear"/>
            <w:tcMar>
              <w:bottom w:w="28" w:type="dxa"/>
            </w:tcMar>
            <w:vAlign w:val="bottom"/>
          </w:tcPr>
          <w:p>
            <w:pPr>
              <w:pStyle w:val="TableContents"/>
              <w:spacing w:before="0" w:after="283"/>
              <w:rPr/>
            </w:pPr>
            <w:r>
              <w:rPr/>
              <w:t>  </w:t>
            </w:r>
          </w:p>
        </w:tc>
        <w:tc>
          <w:tcPr>
            <w:tcW w:w="1322" w:type="dxa"/>
            <w:tcBorders>
              <w:bottom w:val="single" w:sz="2" w:space="0" w:color="001C71"/>
            </w:tcBorders>
            <w:shd w:fill="auto" w:val="clear"/>
            <w:tcMar>
              <w:bottom w:w="28" w:type="dxa"/>
            </w:tcMar>
            <w:vAlign w:val="bottom"/>
          </w:tcPr>
          <w:p>
            <w:pPr>
              <w:pStyle w:val="TableContents"/>
              <w:spacing w:lineRule="atLeast" w:line="240" w:before="0" w:after="0"/>
              <w:jc w:val="center"/>
              <w:rPr>
                <w:rFonts w:ascii="arial" w:hAnsi="arial"/>
                <w:sz w:val="16"/>
              </w:rPr>
            </w:pPr>
            <w:r>
              <w:rPr>
                <w:rFonts w:ascii="arial" w:hAnsi="arial"/>
                <w:sz w:val="16"/>
              </w:rPr>
              <w:t>16</w:t>
            </w:r>
          </w:p>
        </w:tc>
        <w:tc>
          <w:tcPr>
            <w:tcW w:w="578" w:type="dxa"/>
            <w:tcBorders>
              <w:bottom w:val="single" w:sz="2" w:space="0" w:color="001C71"/>
            </w:tcBorders>
            <w:shd w:fill="auto" w:val="clear"/>
            <w:tcMar>
              <w:bottom w:w="28" w:type="dxa"/>
            </w:tcMar>
            <w:vAlign w:val="bottom"/>
          </w:tcPr>
          <w:p>
            <w:pPr>
              <w:pStyle w:val="TableContents"/>
              <w:spacing w:before="0" w:after="283"/>
              <w:rPr/>
            </w:pPr>
            <w:r>
              <w:rPr/>
              <w:t>    </w:t>
            </w:r>
          </w:p>
        </w:tc>
        <w:tc>
          <w:tcPr>
            <w:tcW w:w="1093" w:type="dxa"/>
            <w:tcBorders>
              <w:bottom w:val="single" w:sz="2" w:space="0" w:color="001C71"/>
            </w:tcBorders>
            <w:shd w:fill="auto" w:val="clear"/>
            <w:tcMar>
              <w:bottom w:w="28" w:type="dxa"/>
            </w:tcMar>
            <w:vAlign w:val="bottom"/>
          </w:tcPr>
          <w:p>
            <w:pPr>
              <w:pStyle w:val="TableContents"/>
              <w:spacing w:lineRule="atLeast" w:line="240" w:before="0" w:after="0"/>
              <w:rPr/>
            </w:pPr>
            <w:r>
              <w:rPr/>
              <w:t> </w:t>
            </w:r>
          </w:p>
        </w:tc>
        <w:tc>
          <w:tcPr>
            <w:tcW w:w="1158" w:type="dxa"/>
            <w:tcBorders>
              <w:bottom w:val="single" w:sz="2"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26,371,855</w:t>
            </w:r>
          </w:p>
        </w:tc>
        <w:tc>
          <w:tcPr>
            <w:tcW w:w="168" w:type="dxa"/>
            <w:tcBorders>
              <w:bottom w:val="single" w:sz="2" w:space="0" w:color="001C71"/>
            </w:tcBorders>
            <w:shd w:fill="auto" w:val="clear"/>
            <w:tcMar>
              <w:bottom w:w="28" w:type="dxa"/>
            </w:tcMar>
            <w:vAlign w:val="bottom"/>
          </w:tcPr>
          <w:p>
            <w:pPr>
              <w:pStyle w:val="TableContents"/>
              <w:spacing w:lineRule="atLeast" w:line="240" w:before="0" w:after="0"/>
              <w:rPr/>
            </w:pPr>
            <w:r>
              <w:rPr/>
              <w:t> </w:t>
            </w:r>
          </w:p>
        </w:tc>
      </w:tr>
      <w:tr>
        <w:trPr/>
        <w:tc>
          <w:tcPr>
            <w:tcW w:w="1461" w:type="dxa"/>
            <w:vMerge w:val="continue"/>
            <w:tcBorders>
              <w:top w:val="single" w:sz="12" w:space="0" w:color="001C71"/>
              <w:bottom w:val="single" w:sz="8" w:space="0" w:color="001C71"/>
            </w:tcBorders>
            <w:shd w:fill="E5E5E5" w:val="clear"/>
            <w:tcMar>
              <w:top w:w="28" w:type="dxa"/>
              <w:bottom w:w="28" w:type="dxa"/>
            </w:tcMar>
            <w:vAlign w:val="center"/>
          </w:tcPr>
          <w:p>
            <w:pPr>
              <w:pStyle w:val="Normal"/>
              <w:rPr/>
            </w:pPr>
            <w:r>
              <w:rPr/>
            </w:r>
          </w:p>
        </w:tc>
        <w:tc>
          <w:tcPr>
            <w:tcW w:w="125" w:type="dxa"/>
            <w:tcBorders>
              <w:bottom w:val="single" w:sz="8" w:space="0" w:color="001C71"/>
            </w:tcBorders>
            <w:shd w:fill="E5E5E5" w:val="clear"/>
            <w:tcMar>
              <w:bottom w:w="28" w:type="dxa"/>
            </w:tcMar>
            <w:vAlign w:val="bottom"/>
          </w:tcPr>
          <w:p>
            <w:pPr>
              <w:pStyle w:val="TableContents"/>
              <w:spacing w:before="0" w:after="283"/>
              <w:rPr/>
            </w:pPr>
            <w:r>
              <w:rPr/>
              <w:t> </w:t>
            </w:r>
          </w:p>
        </w:tc>
        <w:tc>
          <w:tcPr>
            <w:tcW w:w="390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r>
              <w:rPr>
                <w:rFonts w:ascii="arial" w:hAnsi="arial"/>
                <w:sz w:val="16"/>
              </w:rPr>
              <w:t>Total</w:t>
            </w:r>
          </w:p>
        </w:tc>
        <w:tc>
          <w:tcPr>
            <w:tcW w:w="399"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22" w:type="dxa"/>
            <w:tcBorders>
              <w:bottom w:val="single" w:sz="8" w:space="0" w:color="001C71"/>
            </w:tcBorders>
            <w:shd w:fill="E5E5E5" w:val="clear"/>
            <w:tcMar>
              <w:bottom w:w="28" w:type="dxa"/>
            </w:tcMar>
            <w:vAlign w:val="bottom"/>
          </w:tcPr>
          <w:p>
            <w:pPr>
              <w:pStyle w:val="TableContents"/>
              <w:spacing w:before="0" w:after="283"/>
              <w:rPr/>
            </w:pPr>
            <w:r>
              <w:rPr/>
              <w:t> </w:t>
            </w:r>
          </w:p>
        </w:tc>
        <w:tc>
          <w:tcPr>
            <w:tcW w:w="578"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93" w:type="dxa"/>
            <w:tcBorders>
              <w:bottom w:val="single" w:sz="8" w:space="0" w:color="001C71"/>
            </w:tcBorders>
            <w:shd w:fill="E5E5E5" w:val="clear"/>
            <w:tcMar>
              <w:bottom w:w="28" w:type="dxa"/>
            </w:tcMar>
            <w:vAlign w:val="bottom"/>
          </w:tcPr>
          <w:p>
            <w:pPr>
              <w:pStyle w:val="TableContents"/>
              <w:spacing w:lineRule="atLeast" w:line="240" w:before="0" w:after="0"/>
              <w:rPr/>
            </w:pPr>
            <w:r>
              <w:rPr/>
              <w:t>                </w:t>
            </w:r>
            <w:r>
              <w:rPr>
                <w:rFonts w:ascii="arial" w:hAnsi="arial"/>
                <w:sz w:val="16"/>
              </w:rPr>
              <w:t>$</w:t>
            </w:r>
          </w:p>
        </w:tc>
        <w:tc>
          <w:tcPr>
            <w:tcW w:w="1158"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26,740,051</w:t>
            </w:r>
          </w:p>
        </w:tc>
        <w:tc>
          <w:tcPr>
            <w:tcW w:w="168"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r>
      <w:tr>
        <w:trPr/>
        <w:tc>
          <w:tcPr>
            <w:tcW w:w="1461" w:type="dxa"/>
            <w:vMerge w:val="restart"/>
            <w:tcBorders>
              <w:bottom w:val="single" w:sz="8" w:space="0" w:color="001C71"/>
            </w:tcBorders>
            <w:shd w:fill="auto" w:val="clear"/>
            <w:tcMar>
              <w:bottom w:w="28" w:type="dxa"/>
            </w:tcMar>
            <w:vAlign w:val="center"/>
          </w:tcPr>
          <w:p>
            <w:pPr>
              <w:pStyle w:val="TableContents"/>
              <w:spacing w:lineRule="atLeast" w:line="240" w:before="0" w:after="0"/>
              <w:rPr>
                <w:rFonts w:ascii="arial" w:hAnsi="arial"/>
                <w:b/>
                <w:sz w:val="16"/>
              </w:rPr>
            </w:pPr>
            <w:r>
              <w:rPr>
                <w:rFonts w:ascii="arial" w:hAnsi="arial"/>
                <w:b/>
                <w:sz w:val="16"/>
              </w:rPr>
              <w:t>Trevor I. Mihalik</w:t>
            </w:r>
          </w:p>
        </w:tc>
        <w:tc>
          <w:tcPr>
            <w:tcW w:w="125" w:type="dxa"/>
            <w:tcBorders/>
            <w:shd w:fill="auto" w:val="clear"/>
            <w:vAlign w:val="bottom"/>
          </w:tcPr>
          <w:p>
            <w:pPr>
              <w:pStyle w:val="TableContents"/>
              <w:spacing w:before="0" w:after="283"/>
              <w:rPr/>
            </w:pPr>
            <w:r>
              <w:rPr/>
              <w:t> </w:t>
            </w:r>
          </w:p>
        </w:tc>
        <w:tc>
          <w:tcPr>
            <w:tcW w:w="3901" w:type="dxa"/>
            <w:tcBorders/>
            <w:shd w:fill="auto" w:val="clear"/>
            <w:vAlign w:val="bottom"/>
          </w:tcPr>
          <w:p>
            <w:pPr>
              <w:pStyle w:val="TableContents"/>
              <w:spacing w:lineRule="atLeast" w:line="240" w:before="0" w:after="0"/>
              <w:rPr>
                <w:rFonts w:ascii="arial" w:hAnsi="arial"/>
                <w:sz w:val="16"/>
              </w:rPr>
            </w:pPr>
            <w:r>
              <w:rPr>
                <w:rFonts w:ascii="arial" w:hAnsi="arial"/>
                <w:sz w:val="16"/>
              </w:rPr>
              <w:t>Cash Balance Plan</w:t>
            </w:r>
          </w:p>
        </w:tc>
        <w:tc>
          <w:tcPr>
            <w:tcW w:w="399"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lineRule="atLeast" w:line="240" w:before="0" w:after="0"/>
              <w:jc w:val="center"/>
              <w:rPr/>
            </w:pPr>
            <w:r>
              <w:rPr/>
              <w:t>  </w:t>
            </w:r>
            <w:r>
              <w:rPr>
                <w:rFonts w:ascii="arial" w:hAnsi="arial"/>
                <w:sz w:val="16"/>
              </w:rPr>
              <w:t>8</w:t>
            </w:r>
          </w:p>
        </w:tc>
        <w:tc>
          <w:tcPr>
            <w:tcW w:w="578"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lineRule="atLeast" w:line="240" w:before="0" w:after="0"/>
              <w:rPr/>
            </w:pPr>
            <w:r>
              <w:rPr/>
              <w:t>                </w:t>
            </w:r>
            <w:r>
              <w:rPr>
                <w:rFonts w:ascii="arial" w:hAnsi="arial"/>
                <w:sz w:val="16"/>
              </w:rPr>
              <w:t>$</w:t>
            </w:r>
          </w:p>
        </w:tc>
        <w:tc>
          <w:tcPr>
            <w:tcW w:w="1158"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189,537</w:t>
            </w:r>
          </w:p>
        </w:tc>
        <w:tc>
          <w:tcPr>
            <w:tcW w:w="168" w:type="dxa"/>
            <w:tcBorders/>
            <w:shd w:fill="auto" w:val="cle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E5E5E5" w:val="clear"/>
            <w:tcMar>
              <w:bottom w:w="28" w:type="dxa"/>
            </w:tcMar>
            <w:vAlign w:val="center"/>
          </w:tcPr>
          <w:p>
            <w:pPr>
              <w:pStyle w:val="Normal"/>
              <w:rPr/>
            </w:pPr>
            <w:r>
              <w:rPr/>
            </w:r>
          </w:p>
        </w:tc>
        <w:tc>
          <w:tcPr>
            <w:tcW w:w="125" w:type="dxa"/>
            <w:tcBorders>
              <w:bottom w:val="single" w:sz="2" w:space="0" w:color="001C71"/>
            </w:tcBorders>
            <w:shd w:fill="E5E5E5" w:val="clear"/>
            <w:tcMar>
              <w:bottom w:w="28" w:type="dxa"/>
            </w:tcMar>
            <w:vAlign w:val="bottom"/>
          </w:tcPr>
          <w:p>
            <w:pPr>
              <w:pStyle w:val="TableContents"/>
              <w:spacing w:before="0" w:after="283"/>
              <w:rPr/>
            </w:pPr>
            <w:r>
              <w:rPr/>
              <w:t> </w:t>
            </w:r>
          </w:p>
        </w:tc>
        <w:tc>
          <w:tcPr>
            <w:tcW w:w="3901" w:type="dxa"/>
            <w:tcBorders>
              <w:bottom w:val="single" w:sz="2" w:space="0" w:color="001C71"/>
            </w:tcBorders>
            <w:shd w:fill="E5E5E5" w:val="clear"/>
            <w:tcMar>
              <w:bottom w:w="28" w:type="dxa"/>
            </w:tcMar>
            <w:vAlign w:val="bottom"/>
          </w:tcPr>
          <w:p>
            <w:pPr>
              <w:pStyle w:val="TableContents"/>
              <w:spacing w:lineRule="atLeast" w:line="240" w:before="0" w:after="0"/>
              <w:rPr>
                <w:rFonts w:ascii="arial" w:hAnsi="arial"/>
                <w:sz w:val="16"/>
              </w:rPr>
            </w:pPr>
            <w:r>
              <w:rPr>
                <w:rFonts w:ascii="arial" w:hAnsi="arial"/>
                <w:sz w:val="16"/>
              </w:rPr>
              <w:t>Supplemental Executive Retirement Plan</w:t>
            </w:r>
          </w:p>
        </w:tc>
        <w:tc>
          <w:tcPr>
            <w:tcW w:w="399" w:type="dxa"/>
            <w:tcBorders>
              <w:bottom w:val="single" w:sz="2" w:space="0" w:color="001C71"/>
            </w:tcBorders>
            <w:shd w:fill="E5E5E5" w:val="clear"/>
            <w:tcMar>
              <w:bottom w:w="28" w:type="dxa"/>
            </w:tcMar>
            <w:vAlign w:val="bottom"/>
          </w:tcPr>
          <w:p>
            <w:pPr>
              <w:pStyle w:val="TableContents"/>
              <w:spacing w:before="0" w:after="283"/>
              <w:rPr/>
            </w:pPr>
            <w:r>
              <w:rPr/>
              <w:t>  </w:t>
            </w:r>
          </w:p>
        </w:tc>
        <w:tc>
          <w:tcPr>
            <w:tcW w:w="1322" w:type="dxa"/>
            <w:tcBorders>
              <w:bottom w:val="single" w:sz="2" w:space="0" w:color="001C71"/>
            </w:tcBorders>
            <w:shd w:fill="E5E5E5" w:val="clear"/>
            <w:tcMar>
              <w:bottom w:w="28" w:type="dxa"/>
            </w:tcMar>
            <w:vAlign w:val="bottom"/>
          </w:tcPr>
          <w:p>
            <w:pPr>
              <w:pStyle w:val="TableContents"/>
              <w:spacing w:lineRule="atLeast" w:line="240" w:before="0" w:after="0"/>
              <w:jc w:val="center"/>
              <w:rPr/>
            </w:pPr>
            <w:r>
              <w:rPr/>
              <w:t>  </w:t>
            </w:r>
            <w:r>
              <w:rPr>
                <w:rFonts w:ascii="arial" w:hAnsi="arial"/>
                <w:sz w:val="16"/>
              </w:rPr>
              <w:t>8</w:t>
            </w:r>
          </w:p>
        </w:tc>
        <w:tc>
          <w:tcPr>
            <w:tcW w:w="57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093" w:type="dxa"/>
            <w:tcBorders>
              <w:bottom w:val="single" w:sz="2" w:space="0" w:color="001C71"/>
            </w:tcBorders>
            <w:shd w:fill="E5E5E5" w:val="clear"/>
            <w:tcMar>
              <w:bottom w:w="28" w:type="dxa"/>
            </w:tcMar>
            <w:vAlign w:val="bottom"/>
          </w:tcPr>
          <w:p>
            <w:pPr>
              <w:pStyle w:val="TableContents"/>
              <w:spacing w:lineRule="atLeast" w:line="240" w:before="0" w:after="0"/>
              <w:rPr/>
            </w:pPr>
            <w:r>
              <w:rPr/>
              <w:t> </w:t>
            </w:r>
          </w:p>
        </w:tc>
        <w:tc>
          <w:tcPr>
            <w:tcW w:w="1158" w:type="dxa"/>
            <w:tcBorders>
              <w:bottom w:val="single" w:sz="2"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6,855,766</w:t>
            </w:r>
          </w:p>
        </w:tc>
        <w:tc>
          <w:tcPr>
            <w:tcW w:w="168" w:type="dxa"/>
            <w:tcBorders>
              <w:bottom w:val="single" w:sz="2" w:space="0" w:color="001C71"/>
            </w:tcBorders>
            <w:shd w:fill="E5E5E5" w:val="clear"/>
            <w:tcMar>
              <w:bottom w:w="28" w:type="dxa"/>
            </w:tcM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auto" w:val="clear"/>
            <w:tcMar>
              <w:bottom w:w="28" w:type="dxa"/>
            </w:tcMar>
            <w:vAlign w:val="center"/>
          </w:tcPr>
          <w:p>
            <w:pPr>
              <w:pStyle w:val="Normal"/>
              <w:rPr/>
            </w:pPr>
            <w:r>
              <w:rPr/>
            </w:r>
          </w:p>
        </w:tc>
        <w:tc>
          <w:tcPr>
            <w:tcW w:w="125" w:type="dxa"/>
            <w:tcBorders>
              <w:bottom w:val="single" w:sz="8" w:space="0" w:color="001C71"/>
            </w:tcBorders>
            <w:shd w:fill="auto" w:val="clear"/>
            <w:tcMar>
              <w:bottom w:w="28" w:type="dxa"/>
            </w:tcMar>
            <w:vAlign w:val="bottom"/>
          </w:tcPr>
          <w:p>
            <w:pPr>
              <w:pStyle w:val="TableContents"/>
              <w:spacing w:before="0" w:after="283"/>
              <w:rPr/>
            </w:pPr>
            <w:r>
              <w:rPr/>
              <w:t> </w:t>
            </w:r>
          </w:p>
        </w:tc>
        <w:tc>
          <w:tcPr>
            <w:tcW w:w="3901" w:type="dxa"/>
            <w:tcBorders>
              <w:bottom w:val="single" w:sz="8" w:space="0" w:color="001C71"/>
            </w:tcBorders>
            <w:shd w:fill="auto" w:val="clear"/>
            <w:tcMar>
              <w:bottom w:w="28" w:type="dxa"/>
            </w:tcMar>
            <w:vAlign w:val="bottom"/>
          </w:tcPr>
          <w:p>
            <w:pPr>
              <w:pStyle w:val="TableContents"/>
              <w:spacing w:lineRule="atLeast" w:line="240" w:before="0" w:after="0"/>
              <w:rPr/>
            </w:pPr>
            <w:r>
              <w:rPr/>
              <w:t>        </w:t>
            </w:r>
            <w:r>
              <w:rPr>
                <w:rFonts w:ascii="arial" w:hAnsi="arial"/>
                <w:sz w:val="16"/>
              </w:rPr>
              <w:t>Total</w:t>
            </w:r>
          </w:p>
        </w:tc>
        <w:tc>
          <w:tcPr>
            <w:tcW w:w="399" w:type="dxa"/>
            <w:tcBorders>
              <w:bottom w:val="single" w:sz="8" w:space="0" w:color="001C71"/>
            </w:tcBorders>
            <w:shd w:fill="auto" w:val="clear"/>
            <w:tcMar>
              <w:bottom w:w="28" w:type="dxa"/>
            </w:tcMar>
            <w:vAlign w:val="bottom"/>
          </w:tcPr>
          <w:p>
            <w:pPr>
              <w:pStyle w:val="TableContents"/>
              <w:spacing w:before="0" w:after="283"/>
              <w:rPr/>
            </w:pPr>
            <w:r>
              <w:rPr/>
              <w:t>  </w:t>
            </w:r>
          </w:p>
        </w:tc>
        <w:tc>
          <w:tcPr>
            <w:tcW w:w="1322" w:type="dxa"/>
            <w:tcBorders>
              <w:bottom w:val="single" w:sz="8" w:space="0" w:color="001C71"/>
            </w:tcBorders>
            <w:shd w:fill="auto" w:val="clear"/>
            <w:tcMar>
              <w:bottom w:w="28" w:type="dxa"/>
            </w:tcMar>
            <w:vAlign w:val="bottom"/>
          </w:tcPr>
          <w:p>
            <w:pPr>
              <w:pStyle w:val="TableContents"/>
              <w:spacing w:before="0" w:after="283"/>
              <w:rPr/>
            </w:pPr>
            <w:r>
              <w:rPr/>
              <w:t> </w:t>
            </w:r>
          </w:p>
        </w:tc>
        <w:tc>
          <w:tcPr>
            <w:tcW w:w="578" w:type="dxa"/>
            <w:tcBorders>
              <w:bottom w:val="single" w:sz="8" w:space="0" w:color="001C71"/>
            </w:tcBorders>
            <w:shd w:fill="auto" w:val="clear"/>
            <w:tcMar>
              <w:bottom w:w="28" w:type="dxa"/>
            </w:tcMar>
            <w:vAlign w:val="bottom"/>
          </w:tcPr>
          <w:p>
            <w:pPr>
              <w:pStyle w:val="TableContents"/>
              <w:spacing w:before="0" w:after="283"/>
              <w:rPr/>
            </w:pPr>
            <w:r>
              <w:rPr/>
              <w:t>    </w:t>
            </w:r>
          </w:p>
        </w:tc>
        <w:tc>
          <w:tcPr>
            <w:tcW w:w="1093" w:type="dxa"/>
            <w:tcBorders>
              <w:bottom w:val="single" w:sz="8" w:space="0" w:color="001C71"/>
            </w:tcBorders>
            <w:shd w:fill="auto" w:val="clear"/>
            <w:tcMar>
              <w:bottom w:w="28" w:type="dxa"/>
            </w:tcMar>
            <w:vAlign w:val="bottom"/>
          </w:tcPr>
          <w:p>
            <w:pPr>
              <w:pStyle w:val="TableContents"/>
              <w:spacing w:lineRule="atLeast" w:line="240" w:before="0" w:after="0"/>
              <w:rPr/>
            </w:pPr>
            <w:r>
              <w:rPr/>
              <w:t>                </w:t>
            </w:r>
            <w:r>
              <w:rPr>
                <w:rFonts w:ascii="arial" w:hAnsi="arial"/>
                <w:sz w:val="16"/>
              </w:rPr>
              <w:t>$</w:t>
            </w:r>
          </w:p>
        </w:tc>
        <w:tc>
          <w:tcPr>
            <w:tcW w:w="1158"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7,045,303</w:t>
            </w:r>
          </w:p>
        </w:tc>
        <w:tc>
          <w:tcPr>
            <w:tcW w:w="168"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r>
      <w:tr>
        <w:trPr/>
        <w:tc>
          <w:tcPr>
            <w:tcW w:w="1461" w:type="dxa"/>
            <w:vMerge w:val="restart"/>
            <w:tcBorders>
              <w:bottom w:val="single" w:sz="8" w:space="0" w:color="001C71"/>
            </w:tcBorders>
            <w:shd w:fill="E5E5E5" w:val="clear"/>
            <w:tcMar>
              <w:bottom w:w="28" w:type="dxa"/>
            </w:tcMar>
            <w:vAlign w:val="center"/>
          </w:tcPr>
          <w:p>
            <w:pPr>
              <w:pStyle w:val="TableContents"/>
              <w:spacing w:before="0" w:after="0"/>
              <w:rPr>
                <w:rFonts w:ascii="arial" w:hAnsi="arial"/>
                <w:b/>
                <w:sz w:val="16"/>
              </w:rPr>
            </w:pPr>
            <w:r>
              <w:rPr>
                <w:rFonts w:ascii="arial" w:hAnsi="arial"/>
                <w:b/>
                <w:sz w:val="16"/>
              </w:rPr>
              <w:t xml:space="preserve">Kevin C. Sagara(C) </w:t>
            </w:r>
          </w:p>
        </w:tc>
        <w:tc>
          <w:tcPr>
            <w:tcW w:w="125" w:type="dxa"/>
            <w:tcBorders/>
            <w:shd w:fill="E5E5E5" w:val="clear"/>
            <w:vAlign w:val="bottom"/>
          </w:tcPr>
          <w:p>
            <w:pPr>
              <w:pStyle w:val="TableContents"/>
              <w:spacing w:before="0" w:after="283"/>
              <w:rPr/>
            </w:pPr>
            <w:r>
              <w:rPr/>
              <w:t> </w:t>
            </w:r>
          </w:p>
        </w:tc>
        <w:tc>
          <w:tcPr>
            <w:tcW w:w="3901" w:type="dxa"/>
            <w:tcBorders/>
            <w:shd w:fill="E5E5E5" w:val="clear"/>
            <w:vAlign w:val="bottom"/>
          </w:tcPr>
          <w:p>
            <w:pPr>
              <w:pStyle w:val="TableContents"/>
              <w:spacing w:lineRule="atLeast" w:line="240" w:before="0" w:after="0"/>
              <w:rPr>
                <w:rFonts w:ascii="arial" w:hAnsi="arial"/>
                <w:sz w:val="16"/>
              </w:rPr>
            </w:pPr>
            <w:r>
              <w:rPr>
                <w:rFonts w:ascii="arial" w:hAnsi="arial"/>
                <w:sz w:val="16"/>
              </w:rPr>
              <w:t>Cash Balance Plan</w:t>
            </w:r>
          </w:p>
        </w:tc>
        <w:tc>
          <w:tcPr>
            <w:tcW w:w="399" w:type="dxa"/>
            <w:tcBorders/>
            <w:shd w:fill="E5E5E5" w:val="clear"/>
            <w:vAlign w:val="bottom"/>
          </w:tcPr>
          <w:p>
            <w:pPr>
              <w:pStyle w:val="TableContents"/>
              <w:spacing w:before="0" w:after="283"/>
              <w:rPr/>
            </w:pPr>
            <w:r>
              <w:rPr/>
              <w:t>  </w:t>
            </w:r>
          </w:p>
        </w:tc>
        <w:tc>
          <w:tcPr>
            <w:tcW w:w="1322" w:type="dxa"/>
            <w:tcBorders/>
            <w:shd w:fill="E5E5E5" w:val="clear"/>
            <w:vAlign w:val="bottom"/>
          </w:tcPr>
          <w:p>
            <w:pPr>
              <w:pStyle w:val="TableContents"/>
              <w:spacing w:lineRule="atLeast" w:line="240" w:before="0" w:after="0"/>
              <w:jc w:val="center"/>
              <w:rPr>
                <w:rFonts w:ascii="arial" w:hAnsi="arial"/>
                <w:sz w:val="16"/>
              </w:rPr>
            </w:pPr>
            <w:r>
              <w:rPr>
                <w:rFonts w:ascii="arial" w:hAnsi="arial"/>
                <w:sz w:val="16"/>
              </w:rPr>
              <w:t>17</w:t>
            </w:r>
          </w:p>
        </w:tc>
        <w:tc>
          <w:tcPr>
            <w:tcW w:w="578" w:type="dxa"/>
            <w:tcBorders/>
            <w:shd w:fill="E5E5E5" w:val="clear"/>
            <w:vAlign w:val="bottom"/>
          </w:tcPr>
          <w:p>
            <w:pPr>
              <w:pStyle w:val="TableContents"/>
              <w:spacing w:before="0" w:after="283"/>
              <w:rPr/>
            </w:pPr>
            <w:r>
              <w:rPr/>
              <w:t>    </w:t>
            </w:r>
          </w:p>
        </w:tc>
        <w:tc>
          <w:tcPr>
            <w:tcW w:w="1093" w:type="dxa"/>
            <w:tcBorders/>
            <w:shd w:fill="E5E5E5" w:val="clear"/>
            <w:vAlign w:val="bottom"/>
          </w:tcPr>
          <w:p>
            <w:pPr>
              <w:pStyle w:val="TableContents"/>
              <w:spacing w:lineRule="atLeast" w:line="240" w:before="0" w:after="0"/>
              <w:rPr/>
            </w:pPr>
            <w:r>
              <w:rPr/>
              <w:t>                </w:t>
            </w:r>
            <w:r>
              <w:rPr>
                <w:rFonts w:ascii="arial" w:hAnsi="arial"/>
                <w:sz w:val="16"/>
              </w:rPr>
              <w:t>$</w:t>
            </w:r>
          </w:p>
        </w:tc>
        <w:tc>
          <w:tcPr>
            <w:tcW w:w="115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526,238</w:t>
            </w:r>
          </w:p>
        </w:tc>
        <w:tc>
          <w:tcPr>
            <w:tcW w:w="168" w:type="dxa"/>
            <w:tcBorders/>
            <w:shd w:fill="E5E5E5" w:val="cle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auto" w:val="clear"/>
            <w:tcMar>
              <w:bottom w:w="28" w:type="dxa"/>
            </w:tcMar>
            <w:vAlign w:val="center"/>
          </w:tcPr>
          <w:p>
            <w:pPr>
              <w:pStyle w:val="Normal"/>
              <w:rPr/>
            </w:pPr>
            <w:r>
              <w:rPr/>
            </w:r>
          </w:p>
        </w:tc>
        <w:tc>
          <w:tcPr>
            <w:tcW w:w="125" w:type="dxa"/>
            <w:tcBorders>
              <w:bottom w:val="single" w:sz="2" w:space="0" w:color="001C71"/>
            </w:tcBorders>
            <w:shd w:fill="auto" w:val="clear"/>
            <w:tcMar>
              <w:bottom w:w="28" w:type="dxa"/>
            </w:tcMar>
            <w:vAlign w:val="bottom"/>
          </w:tcPr>
          <w:p>
            <w:pPr>
              <w:pStyle w:val="TableContents"/>
              <w:spacing w:before="0" w:after="283"/>
              <w:rPr/>
            </w:pPr>
            <w:r>
              <w:rPr/>
              <w:t> </w:t>
            </w:r>
          </w:p>
        </w:tc>
        <w:tc>
          <w:tcPr>
            <w:tcW w:w="3901" w:type="dxa"/>
            <w:tcBorders>
              <w:bottom w:val="single" w:sz="2"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Supplemental Executive Retirement Plan</w:t>
            </w:r>
          </w:p>
        </w:tc>
        <w:tc>
          <w:tcPr>
            <w:tcW w:w="399" w:type="dxa"/>
            <w:tcBorders>
              <w:bottom w:val="single" w:sz="2" w:space="0" w:color="001C71"/>
            </w:tcBorders>
            <w:shd w:fill="auto" w:val="clear"/>
            <w:tcMar>
              <w:bottom w:w="28" w:type="dxa"/>
            </w:tcMar>
            <w:vAlign w:val="bottom"/>
          </w:tcPr>
          <w:p>
            <w:pPr>
              <w:pStyle w:val="TableContents"/>
              <w:spacing w:before="0" w:after="283"/>
              <w:rPr/>
            </w:pPr>
            <w:r>
              <w:rPr/>
              <w:t>  </w:t>
            </w:r>
          </w:p>
        </w:tc>
        <w:tc>
          <w:tcPr>
            <w:tcW w:w="1322" w:type="dxa"/>
            <w:tcBorders>
              <w:bottom w:val="single" w:sz="2" w:space="0" w:color="001C71"/>
            </w:tcBorders>
            <w:shd w:fill="auto" w:val="clear"/>
            <w:tcMar>
              <w:bottom w:w="28" w:type="dxa"/>
            </w:tcMar>
            <w:vAlign w:val="bottom"/>
          </w:tcPr>
          <w:p>
            <w:pPr>
              <w:pStyle w:val="TableContents"/>
              <w:spacing w:lineRule="atLeast" w:line="240" w:before="0" w:after="0"/>
              <w:jc w:val="center"/>
              <w:rPr>
                <w:rFonts w:ascii="arial" w:hAnsi="arial"/>
                <w:sz w:val="16"/>
              </w:rPr>
            </w:pPr>
            <w:r>
              <w:rPr>
                <w:rFonts w:ascii="arial" w:hAnsi="arial"/>
                <w:sz w:val="16"/>
              </w:rPr>
              <w:t>17</w:t>
            </w:r>
          </w:p>
        </w:tc>
        <w:tc>
          <w:tcPr>
            <w:tcW w:w="578" w:type="dxa"/>
            <w:tcBorders>
              <w:bottom w:val="single" w:sz="2" w:space="0" w:color="001C71"/>
            </w:tcBorders>
            <w:shd w:fill="auto" w:val="clear"/>
            <w:tcMar>
              <w:bottom w:w="28" w:type="dxa"/>
            </w:tcMar>
            <w:vAlign w:val="bottom"/>
          </w:tcPr>
          <w:p>
            <w:pPr>
              <w:pStyle w:val="TableContents"/>
              <w:spacing w:before="0" w:after="283"/>
              <w:rPr/>
            </w:pPr>
            <w:r>
              <w:rPr/>
              <w:t>    </w:t>
            </w:r>
          </w:p>
        </w:tc>
        <w:tc>
          <w:tcPr>
            <w:tcW w:w="1093" w:type="dxa"/>
            <w:tcBorders>
              <w:bottom w:val="single" w:sz="2" w:space="0" w:color="001C71"/>
            </w:tcBorders>
            <w:shd w:fill="auto" w:val="clear"/>
            <w:tcMar>
              <w:bottom w:w="28" w:type="dxa"/>
            </w:tcMar>
            <w:vAlign w:val="bottom"/>
          </w:tcPr>
          <w:p>
            <w:pPr>
              <w:pStyle w:val="TableContents"/>
              <w:spacing w:lineRule="atLeast" w:line="240" w:before="0" w:after="0"/>
              <w:rPr/>
            </w:pPr>
            <w:r>
              <w:rPr/>
              <w:t> </w:t>
            </w:r>
          </w:p>
        </w:tc>
        <w:tc>
          <w:tcPr>
            <w:tcW w:w="1158" w:type="dxa"/>
            <w:tcBorders>
              <w:bottom w:val="single" w:sz="2"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9,350,260</w:t>
            </w:r>
          </w:p>
        </w:tc>
        <w:tc>
          <w:tcPr>
            <w:tcW w:w="168" w:type="dxa"/>
            <w:tcBorders>
              <w:bottom w:val="single" w:sz="2" w:space="0" w:color="001C71"/>
            </w:tcBorders>
            <w:shd w:fill="auto" w:val="clear"/>
            <w:tcMar>
              <w:bottom w:w="28" w:type="dxa"/>
            </w:tcM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E5E5E5" w:val="clear"/>
            <w:tcMar>
              <w:bottom w:w="28" w:type="dxa"/>
            </w:tcMar>
            <w:vAlign w:val="center"/>
          </w:tcPr>
          <w:p>
            <w:pPr>
              <w:pStyle w:val="Normal"/>
              <w:rPr/>
            </w:pPr>
            <w:r>
              <w:rPr/>
            </w:r>
          </w:p>
        </w:tc>
        <w:tc>
          <w:tcPr>
            <w:tcW w:w="125" w:type="dxa"/>
            <w:tcBorders>
              <w:bottom w:val="single" w:sz="8" w:space="0" w:color="001C71"/>
            </w:tcBorders>
            <w:shd w:fill="E5E5E5" w:val="clear"/>
            <w:tcMar>
              <w:bottom w:w="28" w:type="dxa"/>
            </w:tcMar>
            <w:vAlign w:val="bottom"/>
          </w:tcPr>
          <w:p>
            <w:pPr>
              <w:pStyle w:val="TableContents"/>
              <w:spacing w:before="0" w:after="283"/>
              <w:rPr/>
            </w:pPr>
            <w:r>
              <w:rPr/>
              <w:t> </w:t>
            </w:r>
          </w:p>
        </w:tc>
        <w:tc>
          <w:tcPr>
            <w:tcW w:w="390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r>
              <w:rPr>
                <w:rFonts w:ascii="arial" w:hAnsi="arial"/>
                <w:sz w:val="16"/>
              </w:rPr>
              <w:t>Total</w:t>
            </w:r>
          </w:p>
        </w:tc>
        <w:tc>
          <w:tcPr>
            <w:tcW w:w="399"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22" w:type="dxa"/>
            <w:tcBorders>
              <w:bottom w:val="single" w:sz="8" w:space="0" w:color="001C71"/>
            </w:tcBorders>
            <w:shd w:fill="E5E5E5" w:val="clear"/>
            <w:tcMar>
              <w:bottom w:w="28" w:type="dxa"/>
            </w:tcMar>
            <w:vAlign w:val="bottom"/>
          </w:tcPr>
          <w:p>
            <w:pPr>
              <w:pStyle w:val="TableContents"/>
              <w:spacing w:before="0" w:after="283"/>
              <w:rPr/>
            </w:pPr>
            <w:r>
              <w:rPr/>
              <w:t> </w:t>
            </w:r>
          </w:p>
        </w:tc>
        <w:tc>
          <w:tcPr>
            <w:tcW w:w="578"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93" w:type="dxa"/>
            <w:tcBorders>
              <w:bottom w:val="single" w:sz="8" w:space="0" w:color="001C71"/>
            </w:tcBorders>
            <w:shd w:fill="E5E5E5" w:val="clear"/>
            <w:tcMar>
              <w:bottom w:w="28" w:type="dxa"/>
            </w:tcMar>
            <w:vAlign w:val="bottom"/>
          </w:tcPr>
          <w:p>
            <w:pPr>
              <w:pStyle w:val="TableContents"/>
              <w:spacing w:lineRule="atLeast" w:line="240" w:before="0" w:after="0"/>
              <w:rPr/>
            </w:pPr>
            <w:r>
              <w:rPr/>
              <w:t>                </w:t>
            </w:r>
            <w:r>
              <w:rPr>
                <w:rFonts w:ascii="arial" w:hAnsi="arial"/>
                <w:sz w:val="16"/>
              </w:rPr>
              <w:t>$</w:t>
            </w:r>
          </w:p>
        </w:tc>
        <w:tc>
          <w:tcPr>
            <w:tcW w:w="1158"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9,876,498</w:t>
            </w:r>
          </w:p>
        </w:tc>
        <w:tc>
          <w:tcPr>
            <w:tcW w:w="168"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r>
      <w:tr>
        <w:trPr/>
        <w:tc>
          <w:tcPr>
            <w:tcW w:w="1461" w:type="dxa"/>
            <w:vMerge w:val="restart"/>
            <w:tcBorders>
              <w:bottom w:val="single" w:sz="8"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 xml:space="preserve">Peter R. Wall(D) </w:t>
            </w:r>
          </w:p>
        </w:tc>
        <w:tc>
          <w:tcPr>
            <w:tcW w:w="125" w:type="dxa"/>
            <w:tcBorders/>
            <w:shd w:fill="auto" w:val="clear"/>
            <w:vAlign w:val="bottom"/>
          </w:tcPr>
          <w:p>
            <w:pPr>
              <w:pStyle w:val="TableContents"/>
              <w:spacing w:before="0" w:after="283"/>
              <w:rPr/>
            </w:pPr>
            <w:r>
              <w:rPr/>
              <w:t> </w:t>
            </w:r>
          </w:p>
        </w:tc>
        <w:tc>
          <w:tcPr>
            <w:tcW w:w="3901" w:type="dxa"/>
            <w:tcBorders/>
            <w:shd w:fill="auto" w:val="clear"/>
            <w:vAlign w:val="bottom"/>
          </w:tcPr>
          <w:p>
            <w:pPr>
              <w:pStyle w:val="TableContents"/>
              <w:spacing w:lineRule="atLeast" w:line="240" w:before="0" w:after="0"/>
              <w:rPr>
                <w:rFonts w:ascii="arial" w:hAnsi="arial"/>
                <w:sz w:val="16"/>
              </w:rPr>
            </w:pPr>
            <w:r>
              <w:rPr>
                <w:rFonts w:ascii="arial" w:hAnsi="arial"/>
                <w:sz w:val="16"/>
              </w:rPr>
              <w:t>Cash Balance Plan</w:t>
            </w:r>
          </w:p>
        </w:tc>
        <w:tc>
          <w:tcPr>
            <w:tcW w:w="399"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lineRule="atLeast" w:line="240" w:before="0" w:after="0"/>
              <w:jc w:val="center"/>
              <w:rPr/>
            </w:pPr>
            <w:r>
              <w:rPr/>
              <w:t>  </w:t>
            </w:r>
            <w:r>
              <w:rPr>
                <w:rFonts w:ascii="arial" w:hAnsi="arial"/>
                <w:sz w:val="16"/>
              </w:rPr>
              <w:t>8</w:t>
            </w:r>
          </w:p>
        </w:tc>
        <w:tc>
          <w:tcPr>
            <w:tcW w:w="578"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lineRule="atLeast" w:line="240" w:before="0" w:after="0"/>
              <w:rPr/>
            </w:pPr>
            <w:r>
              <w:rPr/>
              <w:t>                </w:t>
            </w:r>
            <w:r>
              <w:rPr>
                <w:rFonts w:ascii="arial" w:hAnsi="arial"/>
                <w:sz w:val="16"/>
              </w:rPr>
              <w:t>$</w:t>
            </w:r>
          </w:p>
        </w:tc>
        <w:tc>
          <w:tcPr>
            <w:tcW w:w="1158"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167,803</w:t>
            </w:r>
          </w:p>
        </w:tc>
        <w:tc>
          <w:tcPr>
            <w:tcW w:w="168" w:type="dxa"/>
            <w:tcBorders/>
            <w:shd w:fill="auto" w:val="cle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E5E5E5" w:val="clear"/>
            <w:tcMar>
              <w:bottom w:w="28" w:type="dxa"/>
            </w:tcMar>
            <w:vAlign w:val="center"/>
          </w:tcPr>
          <w:p>
            <w:pPr>
              <w:pStyle w:val="Normal"/>
              <w:rPr/>
            </w:pPr>
            <w:r>
              <w:rPr/>
            </w:r>
          </w:p>
        </w:tc>
        <w:tc>
          <w:tcPr>
            <w:tcW w:w="125" w:type="dxa"/>
            <w:tcBorders>
              <w:bottom w:val="single" w:sz="2" w:space="0" w:color="001C71"/>
            </w:tcBorders>
            <w:shd w:fill="E5E5E5" w:val="clear"/>
            <w:tcMar>
              <w:bottom w:w="28" w:type="dxa"/>
            </w:tcMar>
            <w:vAlign w:val="bottom"/>
          </w:tcPr>
          <w:p>
            <w:pPr>
              <w:pStyle w:val="TableContents"/>
              <w:spacing w:before="0" w:after="283"/>
              <w:rPr/>
            </w:pPr>
            <w:r>
              <w:rPr/>
              <w:t> </w:t>
            </w:r>
          </w:p>
        </w:tc>
        <w:tc>
          <w:tcPr>
            <w:tcW w:w="3901" w:type="dxa"/>
            <w:tcBorders>
              <w:bottom w:val="single" w:sz="2" w:space="0" w:color="001C71"/>
            </w:tcBorders>
            <w:shd w:fill="E5E5E5" w:val="clear"/>
            <w:tcMar>
              <w:bottom w:w="28" w:type="dxa"/>
            </w:tcMar>
            <w:vAlign w:val="bottom"/>
          </w:tcPr>
          <w:p>
            <w:pPr>
              <w:pStyle w:val="TableContents"/>
              <w:spacing w:lineRule="atLeast" w:line="240" w:before="0" w:after="0"/>
              <w:rPr>
                <w:rFonts w:ascii="arial" w:hAnsi="arial"/>
                <w:sz w:val="16"/>
              </w:rPr>
            </w:pPr>
            <w:r>
              <w:rPr>
                <w:rFonts w:ascii="arial" w:hAnsi="arial"/>
                <w:sz w:val="16"/>
              </w:rPr>
              <w:t>Cash Balance Restoration Plan</w:t>
            </w:r>
          </w:p>
        </w:tc>
        <w:tc>
          <w:tcPr>
            <w:tcW w:w="399" w:type="dxa"/>
            <w:tcBorders>
              <w:bottom w:val="single" w:sz="2" w:space="0" w:color="001C71"/>
            </w:tcBorders>
            <w:shd w:fill="E5E5E5" w:val="clear"/>
            <w:tcMar>
              <w:bottom w:w="28" w:type="dxa"/>
            </w:tcMar>
            <w:vAlign w:val="bottom"/>
          </w:tcPr>
          <w:p>
            <w:pPr>
              <w:pStyle w:val="TableContents"/>
              <w:spacing w:before="0" w:after="283"/>
              <w:rPr/>
            </w:pPr>
            <w:r>
              <w:rPr/>
              <w:t>  </w:t>
            </w:r>
          </w:p>
        </w:tc>
        <w:tc>
          <w:tcPr>
            <w:tcW w:w="1322" w:type="dxa"/>
            <w:tcBorders>
              <w:bottom w:val="single" w:sz="2" w:space="0" w:color="001C71"/>
            </w:tcBorders>
            <w:shd w:fill="E5E5E5" w:val="clear"/>
            <w:tcMar>
              <w:bottom w:w="28" w:type="dxa"/>
            </w:tcMar>
            <w:vAlign w:val="bottom"/>
          </w:tcPr>
          <w:p>
            <w:pPr>
              <w:pStyle w:val="TableContents"/>
              <w:spacing w:lineRule="atLeast" w:line="240" w:before="0" w:after="0"/>
              <w:jc w:val="center"/>
              <w:rPr/>
            </w:pPr>
            <w:r>
              <w:rPr/>
              <w:t>  </w:t>
            </w:r>
            <w:r>
              <w:rPr>
                <w:rFonts w:ascii="arial" w:hAnsi="arial"/>
                <w:sz w:val="16"/>
              </w:rPr>
              <w:t>8</w:t>
            </w:r>
          </w:p>
        </w:tc>
        <w:tc>
          <w:tcPr>
            <w:tcW w:w="57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093" w:type="dxa"/>
            <w:tcBorders>
              <w:bottom w:val="single" w:sz="2" w:space="0" w:color="001C71"/>
            </w:tcBorders>
            <w:shd w:fill="E5E5E5" w:val="clear"/>
            <w:tcMar>
              <w:bottom w:w="28" w:type="dxa"/>
            </w:tcMar>
            <w:vAlign w:val="bottom"/>
          </w:tcPr>
          <w:p>
            <w:pPr>
              <w:pStyle w:val="TableContents"/>
              <w:spacing w:lineRule="atLeast" w:line="240" w:before="0" w:after="0"/>
              <w:rPr/>
            </w:pPr>
            <w:r>
              <w:rPr/>
              <w:t> </w:t>
            </w:r>
          </w:p>
        </w:tc>
        <w:tc>
          <w:tcPr>
            <w:tcW w:w="1158" w:type="dxa"/>
            <w:tcBorders>
              <w:bottom w:val="single" w:sz="2"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111,112</w:t>
            </w:r>
          </w:p>
        </w:tc>
        <w:tc>
          <w:tcPr>
            <w:tcW w:w="168" w:type="dxa"/>
            <w:tcBorders>
              <w:bottom w:val="single" w:sz="2" w:space="0" w:color="001C71"/>
            </w:tcBorders>
            <w:shd w:fill="E5E5E5" w:val="clear"/>
            <w:tcMar>
              <w:bottom w:w="28" w:type="dxa"/>
            </w:tcM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auto" w:val="clear"/>
            <w:tcMar>
              <w:bottom w:w="28" w:type="dxa"/>
            </w:tcMar>
            <w:vAlign w:val="center"/>
          </w:tcPr>
          <w:p>
            <w:pPr>
              <w:pStyle w:val="Normal"/>
              <w:rPr/>
            </w:pPr>
            <w:r>
              <w:rPr/>
            </w:r>
          </w:p>
        </w:tc>
        <w:tc>
          <w:tcPr>
            <w:tcW w:w="125" w:type="dxa"/>
            <w:tcBorders>
              <w:bottom w:val="single" w:sz="8" w:space="0" w:color="001C71"/>
            </w:tcBorders>
            <w:shd w:fill="auto" w:val="clear"/>
            <w:tcMar>
              <w:bottom w:w="28" w:type="dxa"/>
            </w:tcMar>
            <w:vAlign w:val="bottom"/>
          </w:tcPr>
          <w:p>
            <w:pPr>
              <w:pStyle w:val="TableContents"/>
              <w:spacing w:before="0" w:after="283"/>
              <w:rPr/>
            </w:pPr>
            <w:r>
              <w:rPr/>
              <w:t> </w:t>
            </w:r>
          </w:p>
        </w:tc>
        <w:tc>
          <w:tcPr>
            <w:tcW w:w="3901" w:type="dxa"/>
            <w:tcBorders>
              <w:bottom w:val="single" w:sz="8" w:space="0" w:color="001C71"/>
            </w:tcBorders>
            <w:shd w:fill="auto" w:val="clear"/>
            <w:tcMar>
              <w:bottom w:w="28" w:type="dxa"/>
            </w:tcMar>
            <w:vAlign w:val="bottom"/>
          </w:tcPr>
          <w:p>
            <w:pPr>
              <w:pStyle w:val="TableContents"/>
              <w:spacing w:lineRule="atLeast" w:line="240" w:before="0" w:after="0"/>
              <w:rPr/>
            </w:pPr>
            <w:r>
              <w:rPr/>
              <w:t>        </w:t>
            </w:r>
            <w:r>
              <w:rPr>
                <w:rFonts w:ascii="arial" w:hAnsi="arial"/>
                <w:sz w:val="16"/>
              </w:rPr>
              <w:t>Total</w:t>
            </w:r>
          </w:p>
        </w:tc>
        <w:tc>
          <w:tcPr>
            <w:tcW w:w="399" w:type="dxa"/>
            <w:tcBorders>
              <w:bottom w:val="single" w:sz="8" w:space="0" w:color="001C71"/>
            </w:tcBorders>
            <w:shd w:fill="auto" w:val="clear"/>
            <w:tcMar>
              <w:bottom w:w="28" w:type="dxa"/>
            </w:tcMar>
            <w:vAlign w:val="bottom"/>
          </w:tcPr>
          <w:p>
            <w:pPr>
              <w:pStyle w:val="TableContents"/>
              <w:spacing w:before="0" w:after="283"/>
              <w:rPr/>
            </w:pPr>
            <w:r>
              <w:rPr/>
              <w:t>  </w:t>
            </w:r>
          </w:p>
        </w:tc>
        <w:tc>
          <w:tcPr>
            <w:tcW w:w="1322" w:type="dxa"/>
            <w:tcBorders>
              <w:bottom w:val="single" w:sz="8" w:space="0" w:color="001C71"/>
            </w:tcBorders>
            <w:shd w:fill="auto" w:val="clear"/>
            <w:tcMar>
              <w:bottom w:w="28" w:type="dxa"/>
            </w:tcMar>
            <w:vAlign w:val="bottom"/>
          </w:tcPr>
          <w:p>
            <w:pPr>
              <w:pStyle w:val="TableContents"/>
              <w:spacing w:before="0" w:after="283"/>
              <w:rPr/>
            </w:pPr>
            <w:r>
              <w:rPr/>
              <w:t> </w:t>
            </w:r>
          </w:p>
        </w:tc>
        <w:tc>
          <w:tcPr>
            <w:tcW w:w="578" w:type="dxa"/>
            <w:tcBorders>
              <w:bottom w:val="single" w:sz="8" w:space="0" w:color="001C71"/>
            </w:tcBorders>
            <w:shd w:fill="auto" w:val="clear"/>
            <w:tcMar>
              <w:bottom w:w="28" w:type="dxa"/>
            </w:tcMar>
            <w:vAlign w:val="bottom"/>
          </w:tcPr>
          <w:p>
            <w:pPr>
              <w:pStyle w:val="TableContents"/>
              <w:spacing w:before="0" w:after="283"/>
              <w:rPr/>
            </w:pPr>
            <w:r>
              <w:rPr/>
              <w:t>    </w:t>
            </w:r>
          </w:p>
        </w:tc>
        <w:tc>
          <w:tcPr>
            <w:tcW w:w="1093" w:type="dxa"/>
            <w:tcBorders>
              <w:bottom w:val="single" w:sz="8" w:space="0" w:color="001C71"/>
            </w:tcBorders>
            <w:shd w:fill="auto" w:val="clear"/>
            <w:tcMar>
              <w:bottom w:w="28" w:type="dxa"/>
            </w:tcMar>
            <w:vAlign w:val="bottom"/>
          </w:tcPr>
          <w:p>
            <w:pPr>
              <w:pStyle w:val="TableContents"/>
              <w:spacing w:lineRule="atLeast" w:line="240" w:before="0" w:after="0"/>
              <w:rPr/>
            </w:pPr>
            <w:r>
              <w:rPr/>
              <w:t>                </w:t>
            </w:r>
            <w:r>
              <w:rPr>
                <w:rFonts w:ascii="arial" w:hAnsi="arial"/>
                <w:sz w:val="16"/>
              </w:rPr>
              <w:t>$</w:t>
            </w:r>
          </w:p>
        </w:tc>
        <w:tc>
          <w:tcPr>
            <w:tcW w:w="1158"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278,915</w:t>
            </w:r>
          </w:p>
        </w:tc>
        <w:tc>
          <w:tcPr>
            <w:tcW w:w="168"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r>
      <w:tr>
        <w:trPr/>
        <w:tc>
          <w:tcPr>
            <w:tcW w:w="1461" w:type="dxa"/>
            <w:vMerge w:val="restart"/>
            <w:tcBorders>
              <w:bottom w:val="single" w:sz="8" w:space="0" w:color="001C71"/>
            </w:tcBorders>
            <w:shd w:fill="E5E5E5" w:val="clear"/>
            <w:tcMar>
              <w:bottom w:w="28" w:type="dxa"/>
            </w:tcMar>
            <w:vAlign w:val="center"/>
          </w:tcPr>
          <w:p>
            <w:pPr>
              <w:pStyle w:val="TableContents"/>
              <w:spacing w:before="0" w:after="0"/>
              <w:rPr>
                <w:rFonts w:ascii="arial" w:hAnsi="arial"/>
                <w:b/>
                <w:sz w:val="16"/>
              </w:rPr>
            </w:pPr>
            <w:r>
              <w:rPr>
                <w:rFonts w:ascii="arial" w:hAnsi="arial"/>
                <w:b/>
                <w:sz w:val="16"/>
              </w:rPr>
              <w:t xml:space="preserve">Dennis V. Arriola(E) </w:t>
            </w:r>
          </w:p>
        </w:tc>
        <w:tc>
          <w:tcPr>
            <w:tcW w:w="125" w:type="dxa"/>
            <w:tcBorders/>
            <w:shd w:fill="E5E5E5" w:val="clear"/>
            <w:vAlign w:val="bottom"/>
          </w:tcPr>
          <w:p>
            <w:pPr>
              <w:pStyle w:val="TableContents"/>
              <w:spacing w:before="0" w:after="283"/>
              <w:rPr/>
            </w:pPr>
            <w:r>
              <w:rPr/>
              <w:t> </w:t>
            </w:r>
          </w:p>
        </w:tc>
        <w:tc>
          <w:tcPr>
            <w:tcW w:w="3901" w:type="dxa"/>
            <w:tcBorders/>
            <w:shd w:fill="E5E5E5" w:val="clear"/>
            <w:vAlign w:val="bottom"/>
          </w:tcPr>
          <w:p>
            <w:pPr>
              <w:pStyle w:val="TableContents"/>
              <w:spacing w:lineRule="atLeast" w:line="240" w:before="0" w:after="0"/>
              <w:rPr>
                <w:rFonts w:ascii="arial" w:hAnsi="arial"/>
                <w:sz w:val="16"/>
              </w:rPr>
            </w:pPr>
            <w:r>
              <w:rPr>
                <w:rFonts w:ascii="arial" w:hAnsi="arial"/>
                <w:sz w:val="16"/>
              </w:rPr>
              <w:t>Cash Balance Plan</w:t>
            </w:r>
          </w:p>
        </w:tc>
        <w:tc>
          <w:tcPr>
            <w:tcW w:w="399" w:type="dxa"/>
            <w:tcBorders/>
            <w:shd w:fill="E5E5E5" w:val="clear"/>
            <w:vAlign w:val="bottom"/>
          </w:tcPr>
          <w:p>
            <w:pPr>
              <w:pStyle w:val="TableContents"/>
              <w:spacing w:before="0" w:after="283"/>
              <w:rPr/>
            </w:pPr>
            <w:r>
              <w:rPr/>
              <w:t>  </w:t>
            </w:r>
          </w:p>
        </w:tc>
        <w:tc>
          <w:tcPr>
            <w:tcW w:w="1322" w:type="dxa"/>
            <w:tcBorders/>
            <w:shd w:fill="E5E5E5" w:val="clear"/>
            <w:vAlign w:val="bottom"/>
          </w:tcPr>
          <w:p>
            <w:pPr>
              <w:pStyle w:val="TableContents"/>
              <w:spacing w:lineRule="atLeast" w:line="240" w:before="0" w:after="0"/>
              <w:jc w:val="center"/>
              <w:rPr>
                <w:rFonts w:ascii="arial" w:hAnsi="arial"/>
                <w:sz w:val="16"/>
              </w:rPr>
            </w:pPr>
            <w:r>
              <w:rPr>
                <w:rFonts w:ascii="arial" w:hAnsi="arial"/>
                <w:sz w:val="16"/>
              </w:rPr>
              <w:t>22</w:t>
            </w:r>
          </w:p>
        </w:tc>
        <w:tc>
          <w:tcPr>
            <w:tcW w:w="578" w:type="dxa"/>
            <w:tcBorders/>
            <w:shd w:fill="E5E5E5" w:val="clear"/>
            <w:vAlign w:val="bottom"/>
          </w:tcPr>
          <w:p>
            <w:pPr>
              <w:pStyle w:val="TableContents"/>
              <w:spacing w:before="0" w:after="283"/>
              <w:rPr/>
            </w:pPr>
            <w:r>
              <w:rPr/>
              <w:t>    </w:t>
            </w:r>
          </w:p>
        </w:tc>
        <w:tc>
          <w:tcPr>
            <w:tcW w:w="1093" w:type="dxa"/>
            <w:tcBorders/>
            <w:shd w:fill="E5E5E5" w:val="clear"/>
            <w:vAlign w:val="bottom"/>
          </w:tcPr>
          <w:p>
            <w:pPr>
              <w:pStyle w:val="TableContents"/>
              <w:spacing w:lineRule="atLeast" w:line="240" w:before="0" w:after="0"/>
              <w:rPr/>
            </w:pPr>
            <w:r>
              <w:rPr/>
              <w:t>                </w:t>
            </w:r>
            <w:r>
              <w:rPr>
                <w:rFonts w:ascii="arial" w:hAnsi="arial"/>
                <w:sz w:val="16"/>
              </w:rPr>
              <w:t>$</w:t>
            </w:r>
          </w:p>
        </w:tc>
        <w:tc>
          <w:tcPr>
            <w:tcW w:w="1158"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844,831</w:t>
            </w:r>
          </w:p>
        </w:tc>
        <w:tc>
          <w:tcPr>
            <w:tcW w:w="168" w:type="dxa"/>
            <w:tcBorders/>
            <w:shd w:fill="E5E5E5" w:val="cle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auto" w:val="clear"/>
            <w:tcMar>
              <w:bottom w:w="28" w:type="dxa"/>
            </w:tcMar>
            <w:vAlign w:val="center"/>
          </w:tcPr>
          <w:p>
            <w:pPr>
              <w:pStyle w:val="Normal"/>
              <w:rPr/>
            </w:pPr>
            <w:r>
              <w:rPr/>
            </w:r>
          </w:p>
        </w:tc>
        <w:tc>
          <w:tcPr>
            <w:tcW w:w="125" w:type="dxa"/>
            <w:tcBorders>
              <w:bottom w:val="single" w:sz="2" w:space="0" w:color="001C71"/>
            </w:tcBorders>
            <w:shd w:fill="auto" w:val="clear"/>
            <w:tcMar>
              <w:bottom w:w="28" w:type="dxa"/>
            </w:tcMar>
            <w:vAlign w:val="bottom"/>
          </w:tcPr>
          <w:p>
            <w:pPr>
              <w:pStyle w:val="TableContents"/>
              <w:spacing w:before="0" w:after="283"/>
              <w:rPr/>
            </w:pPr>
            <w:r>
              <w:rPr/>
              <w:t> </w:t>
            </w:r>
          </w:p>
        </w:tc>
        <w:tc>
          <w:tcPr>
            <w:tcW w:w="3901" w:type="dxa"/>
            <w:tcBorders>
              <w:bottom w:val="single" w:sz="2"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Supplemental Executive Retirement Plan</w:t>
            </w:r>
          </w:p>
        </w:tc>
        <w:tc>
          <w:tcPr>
            <w:tcW w:w="399" w:type="dxa"/>
            <w:tcBorders>
              <w:bottom w:val="single" w:sz="2" w:space="0" w:color="001C71"/>
            </w:tcBorders>
            <w:shd w:fill="auto" w:val="clear"/>
            <w:tcMar>
              <w:bottom w:w="28" w:type="dxa"/>
            </w:tcMar>
            <w:vAlign w:val="bottom"/>
          </w:tcPr>
          <w:p>
            <w:pPr>
              <w:pStyle w:val="TableContents"/>
              <w:spacing w:before="0" w:after="283"/>
              <w:rPr/>
            </w:pPr>
            <w:r>
              <w:rPr/>
              <w:t>  </w:t>
            </w:r>
          </w:p>
        </w:tc>
        <w:tc>
          <w:tcPr>
            <w:tcW w:w="1322" w:type="dxa"/>
            <w:tcBorders>
              <w:bottom w:val="single" w:sz="2" w:space="0" w:color="001C71"/>
            </w:tcBorders>
            <w:shd w:fill="auto" w:val="clear"/>
            <w:tcMar>
              <w:bottom w:w="28" w:type="dxa"/>
            </w:tcMar>
            <w:vAlign w:val="bottom"/>
          </w:tcPr>
          <w:p>
            <w:pPr>
              <w:pStyle w:val="TableContents"/>
              <w:spacing w:lineRule="atLeast" w:line="240" w:before="0" w:after="0"/>
              <w:jc w:val="center"/>
              <w:rPr>
                <w:rFonts w:ascii="arial" w:hAnsi="arial"/>
                <w:sz w:val="16"/>
              </w:rPr>
            </w:pPr>
            <w:r>
              <w:rPr>
                <w:rFonts w:ascii="arial" w:hAnsi="arial"/>
                <w:sz w:val="16"/>
              </w:rPr>
              <w:t>22</w:t>
            </w:r>
          </w:p>
        </w:tc>
        <w:tc>
          <w:tcPr>
            <w:tcW w:w="578" w:type="dxa"/>
            <w:tcBorders>
              <w:bottom w:val="single" w:sz="2" w:space="0" w:color="001C71"/>
            </w:tcBorders>
            <w:shd w:fill="auto" w:val="clear"/>
            <w:tcMar>
              <w:bottom w:w="28" w:type="dxa"/>
            </w:tcMar>
            <w:vAlign w:val="bottom"/>
          </w:tcPr>
          <w:p>
            <w:pPr>
              <w:pStyle w:val="TableContents"/>
              <w:spacing w:before="0" w:after="283"/>
              <w:rPr/>
            </w:pPr>
            <w:r>
              <w:rPr/>
              <w:t>    </w:t>
            </w:r>
          </w:p>
        </w:tc>
        <w:tc>
          <w:tcPr>
            <w:tcW w:w="1093" w:type="dxa"/>
            <w:tcBorders>
              <w:bottom w:val="single" w:sz="2" w:space="0" w:color="001C71"/>
            </w:tcBorders>
            <w:shd w:fill="auto" w:val="clear"/>
            <w:tcMar>
              <w:bottom w:w="28" w:type="dxa"/>
            </w:tcMar>
            <w:vAlign w:val="bottom"/>
          </w:tcPr>
          <w:p>
            <w:pPr>
              <w:pStyle w:val="TableContents"/>
              <w:spacing w:lineRule="atLeast" w:line="240" w:before="0" w:after="0"/>
              <w:rPr/>
            </w:pPr>
            <w:r>
              <w:rPr/>
              <w:t> </w:t>
            </w:r>
          </w:p>
        </w:tc>
        <w:tc>
          <w:tcPr>
            <w:tcW w:w="1158" w:type="dxa"/>
            <w:tcBorders>
              <w:bottom w:val="single" w:sz="2"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12,427,279</w:t>
            </w:r>
          </w:p>
        </w:tc>
        <w:tc>
          <w:tcPr>
            <w:tcW w:w="168" w:type="dxa"/>
            <w:tcBorders>
              <w:bottom w:val="single" w:sz="2" w:space="0" w:color="001C71"/>
            </w:tcBorders>
            <w:shd w:fill="auto" w:val="clear"/>
            <w:tcMar>
              <w:bottom w:w="28" w:type="dxa"/>
            </w:tcM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E5E5E5" w:val="clear"/>
            <w:tcMar>
              <w:bottom w:w="28" w:type="dxa"/>
            </w:tcMar>
            <w:vAlign w:val="center"/>
          </w:tcPr>
          <w:p>
            <w:pPr>
              <w:pStyle w:val="Normal"/>
              <w:rPr/>
            </w:pPr>
            <w:r>
              <w:rPr/>
            </w:r>
          </w:p>
        </w:tc>
        <w:tc>
          <w:tcPr>
            <w:tcW w:w="125" w:type="dxa"/>
            <w:tcBorders>
              <w:bottom w:val="single" w:sz="8" w:space="0" w:color="001C71"/>
            </w:tcBorders>
            <w:shd w:fill="E5E5E5" w:val="clear"/>
            <w:tcMar>
              <w:bottom w:w="28" w:type="dxa"/>
            </w:tcMar>
            <w:vAlign w:val="bottom"/>
          </w:tcPr>
          <w:p>
            <w:pPr>
              <w:pStyle w:val="TableContents"/>
              <w:spacing w:before="0" w:after="283"/>
              <w:rPr/>
            </w:pPr>
            <w:r>
              <w:rPr/>
              <w:t> </w:t>
            </w:r>
          </w:p>
        </w:tc>
        <w:tc>
          <w:tcPr>
            <w:tcW w:w="3901" w:type="dxa"/>
            <w:tcBorders>
              <w:bottom w:val="single" w:sz="8" w:space="0" w:color="001C71"/>
            </w:tcBorders>
            <w:shd w:fill="E5E5E5" w:val="clear"/>
            <w:tcMar>
              <w:bottom w:w="28" w:type="dxa"/>
            </w:tcMar>
            <w:vAlign w:val="bottom"/>
          </w:tcPr>
          <w:p>
            <w:pPr>
              <w:pStyle w:val="TableContents"/>
              <w:spacing w:lineRule="atLeast" w:line="240" w:before="0" w:after="0"/>
              <w:rPr/>
            </w:pPr>
            <w:r>
              <w:rPr/>
              <w:t>        </w:t>
            </w:r>
            <w:r>
              <w:rPr>
                <w:rFonts w:ascii="arial" w:hAnsi="arial"/>
                <w:sz w:val="16"/>
              </w:rPr>
              <w:t>Total</w:t>
            </w:r>
          </w:p>
        </w:tc>
        <w:tc>
          <w:tcPr>
            <w:tcW w:w="399"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22" w:type="dxa"/>
            <w:tcBorders>
              <w:bottom w:val="single" w:sz="8" w:space="0" w:color="001C71"/>
            </w:tcBorders>
            <w:shd w:fill="E5E5E5" w:val="clear"/>
            <w:tcMar>
              <w:bottom w:w="28" w:type="dxa"/>
            </w:tcMar>
            <w:vAlign w:val="bottom"/>
          </w:tcPr>
          <w:p>
            <w:pPr>
              <w:pStyle w:val="TableContents"/>
              <w:spacing w:before="0" w:after="283"/>
              <w:rPr/>
            </w:pPr>
            <w:r>
              <w:rPr/>
              <w:t> </w:t>
            </w:r>
          </w:p>
        </w:tc>
        <w:tc>
          <w:tcPr>
            <w:tcW w:w="578"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93" w:type="dxa"/>
            <w:tcBorders>
              <w:bottom w:val="single" w:sz="8" w:space="0" w:color="001C71"/>
            </w:tcBorders>
            <w:shd w:fill="E5E5E5" w:val="clear"/>
            <w:tcMar>
              <w:bottom w:w="28" w:type="dxa"/>
            </w:tcMar>
            <w:vAlign w:val="bottom"/>
          </w:tcPr>
          <w:p>
            <w:pPr>
              <w:pStyle w:val="TableContents"/>
              <w:spacing w:lineRule="atLeast" w:line="240" w:before="0" w:after="0"/>
              <w:rPr/>
            </w:pPr>
            <w:r>
              <w:rPr/>
              <w:t>                </w:t>
            </w:r>
            <w:r>
              <w:rPr>
                <w:rFonts w:ascii="arial" w:hAnsi="arial"/>
                <w:sz w:val="16"/>
              </w:rPr>
              <w:t>$</w:t>
            </w:r>
          </w:p>
        </w:tc>
        <w:tc>
          <w:tcPr>
            <w:tcW w:w="1158" w:type="dxa"/>
            <w:tcBorders>
              <w:bottom w:val="single" w:sz="8"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13,272,110</w:t>
            </w:r>
          </w:p>
        </w:tc>
        <w:tc>
          <w:tcPr>
            <w:tcW w:w="168" w:type="dxa"/>
            <w:tcBorders>
              <w:bottom w:val="single" w:sz="8" w:space="0" w:color="001C71"/>
            </w:tcBorders>
            <w:shd w:fill="E5E5E5" w:val="clear"/>
            <w:tcMar>
              <w:bottom w:w="28" w:type="dxa"/>
            </w:tcMar>
            <w:vAlign w:val="bottom"/>
          </w:tcPr>
          <w:p>
            <w:pPr>
              <w:pStyle w:val="TableContents"/>
              <w:spacing w:lineRule="atLeast" w:line="240" w:before="0" w:after="0"/>
              <w:rPr/>
            </w:pPr>
            <w:r>
              <w:rPr/>
              <w:t> </w:t>
            </w:r>
          </w:p>
        </w:tc>
      </w:tr>
      <w:tr>
        <w:trPr/>
        <w:tc>
          <w:tcPr>
            <w:tcW w:w="1461" w:type="dxa"/>
            <w:vMerge w:val="restart"/>
            <w:tcBorders>
              <w:bottom w:val="single" w:sz="8" w:space="0" w:color="001C71"/>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 xml:space="preserve">George W. Bilicic(F) </w:t>
            </w:r>
          </w:p>
        </w:tc>
        <w:tc>
          <w:tcPr>
            <w:tcW w:w="125" w:type="dxa"/>
            <w:tcBorders/>
            <w:shd w:fill="auto" w:val="clear"/>
            <w:vAlign w:val="bottom"/>
          </w:tcPr>
          <w:p>
            <w:pPr>
              <w:pStyle w:val="TableContents"/>
              <w:spacing w:before="0" w:after="283"/>
              <w:rPr/>
            </w:pPr>
            <w:r>
              <w:rPr/>
              <w:t> </w:t>
            </w:r>
          </w:p>
        </w:tc>
        <w:tc>
          <w:tcPr>
            <w:tcW w:w="3901" w:type="dxa"/>
            <w:tcBorders/>
            <w:shd w:fill="auto" w:val="clear"/>
            <w:vAlign w:val="bottom"/>
          </w:tcPr>
          <w:p>
            <w:pPr>
              <w:pStyle w:val="TableContents"/>
              <w:spacing w:lineRule="atLeast" w:line="240" w:before="0" w:after="0"/>
              <w:rPr>
                <w:rFonts w:ascii="arial" w:hAnsi="arial"/>
                <w:sz w:val="16"/>
              </w:rPr>
            </w:pPr>
            <w:r>
              <w:rPr>
                <w:rFonts w:ascii="arial" w:hAnsi="arial"/>
                <w:sz w:val="16"/>
              </w:rPr>
              <w:t>Cash Balance Plan</w:t>
            </w:r>
          </w:p>
        </w:tc>
        <w:tc>
          <w:tcPr>
            <w:tcW w:w="399" w:type="dxa"/>
            <w:tcBorders/>
            <w:shd w:fill="auto" w:val="clear"/>
            <w:vAlign w:val="bottom"/>
          </w:tcPr>
          <w:p>
            <w:pPr>
              <w:pStyle w:val="TableContents"/>
              <w:spacing w:before="0" w:after="283"/>
              <w:rPr/>
            </w:pPr>
            <w:r>
              <w:rPr/>
              <w:t>  </w:t>
            </w:r>
          </w:p>
        </w:tc>
        <w:tc>
          <w:tcPr>
            <w:tcW w:w="1322" w:type="dxa"/>
            <w:tcBorders/>
            <w:shd w:fill="auto" w:val="clear"/>
            <w:vAlign w:val="bottom"/>
          </w:tcPr>
          <w:p>
            <w:pPr>
              <w:pStyle w:val="TableContents"/>
              <w:spacing w:lineRule="atLeast" w:line="240" w:before="0" w:after="0"/>
              <w:jc w:val="center"/>
              <w:rPr/>
            </w:pPr>
            <w:r>
              <w:rPr/>
              <w:t>  </w:t>
            </w:r>
            <w:r>
              <w:rPr>
                <w:rFonts w:ascii="arial" w:hAnsi="arial"/>
                <w:sz w:val="16"/>
              </w:rPr>
              <w:t>1</w:t>
            </w:r>
          </w:p>
        </w:tc>
        <w:tc>
          <w:tcPr>
            <w:tcW w:w="578"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lineRule="atLeast" w:line="240" w:before="0" w:after="0"/>
              <w:rPr/>
            </w:pPr>
            <w:r>
              <w:rPr/>
              <w:t> </w:t>
            </w:r>
          </w:p>
        </w:tc>
        <w:tc>
          <w:tcPr>
            <w:tcW w:w="1158" w:type="dxa"/>
            <w:tcBorders/>
            <w:shd w:fill="auto" w:val="clear"/>
            <w:vAlign w:val="bottom"/>
          </w:tcPr>
          <w:p>
            <w:pPr>
              <w:pStyle w:val="TableContents"/>
              <w:spacing w:lineRule="atLeast" w:line="240" w:before="0" w:after="0"/>
              <w:jc w:val="right"/>
              <w:rPr/>
            </w:pPr>
            <w:r>
              <w:rPr/>
              <w:t>                </w:t>
            </w:r>
            <w:r>
              <w:rPr>
                <w:rFonts w:ascii="arial" w:hAnsi="arial"/>
                <w:sz w:val="16"/>
              </w:rPr>
              <w:t></w:t>
            </w:r>
          </w:p>
        </w:tc>
        <w:tc>
          <w:tcPr>
            <w:tcW w:w="168" w:type="dxa"/>
            <w:tcBorders/>
            <w:shd w:fill="auto" w:val="cle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E5E5E5" w:val="clear"/>
            <w:tcMar>
              <w:bottom w:w="28" w:type="dxa"/>
            </w:tcMar>
            <w:vAlign w:val="center"/>
          </w:tcPr>
          <w:p>
            <w:pPr>
              <w:pStyle w:val="Normal"/>
              <w:rPr/>
            </w:pPr>
            <w:r>
              <w:rPr/>
            </w:r>
          </w:p>
        </w:tc>
        <w:tc>
          <w:tcPr>
            <w:tcW w:w="125" w:type="dxa"/>
            <w:tcBorders>
              <w:bottom w:val="single" w:sz="2" w:space="0" w:color="001C71"/>
            </w:tcBorders>
            <w:shd w:fill="E5E5E5" w:val="clear"/>
            <w:tcMar>
              <w:bottom w:w="28" w:type="dxa"/>
            </w:tcMar>
            <w:vAlign w:val="bottom"/>
          </w:tcPr>
          <w:p>
            <w:pPr>
              <w:pStyle w:val="TableContents"/>
              <w:spacing w:before="0" w:after="283"/>
              <w:rPr/>
            </w:pPr>
            <w:r>
              <w:rPr/>
              <w:t> </w:t>
            </w:r>
          </w:p>
        </w:tc>
        <w:tc>
          <w:tcPr>
            <w:tcW w:w="3901" w:type="dxa"/>
            <w:tcBorders>
              <w:bottom w:val="single" w:sz="2" w:space="0" w:color="001C71"/>
            </w:tcBorders>
            <w:shd w:fill="E5E5E5" w:val="clear"/>
            <w:tcMar>
              <w:bottom w:w="28" w:type="dxa"/>
            </w:tcMar>
            <w:vAlign w:val="bottom"/>
          </w:tcPr>
          <w:p>
            <w:pPr>
              <w:pStyle w:val="TableContents"/>
              <w:spacing w:lineRule="atLeast" w:line="240" w:before="0" w:after="0"/>
              <w:rPr>
                <w:rFonts w:ascii="arial" w:hAnsi="arial"/>
                <w:sz w:val="16"/>
              </w:rPr>
            </w:pPr>
            <w:r>
              <w:rPr>
                <w:rFonts w:ascii="arial" w:hAnsi="arial"/>
                <w:sz w:val="16"/>
              </w:rPr>
              <w:t>Supplemental Executive Retirement Plan</w:t>
            </w:r>
          </w:p>
        </w:tc>
        <w:tc>
          <w:tcPr>
            <w:tcW w:w="399" w:type="dxa"/>
            <w:tcBorders>
              <w:bottom w:val="single" w:sz="2" w:space="0" w:color="001C71"/>
            </w:tcBorders>
            <w:shd w:fill="E5E5E5" w:val="clear"/>
            <w:tcMar>
              <w:bottom w:w="28" w:type="dxa"/>
            </w:tcMar>
            <w:vAlign w:val="bottom"/>
          </w:tcPr>
          <w:p>
            <w:pPr>
              <w:pStyle w:val="TableContents"/>
              <w:spacing w:before="0" w:after="283"/>
              <w:rPr/>
            </w:pPr>
            <w:r>
              <w:rPr/>
              <w:t>  </w:t>
            </w:r>
          </w:p>
        </w:tc>
        <w:tc>
          <w:tcPr>
            <w:tcW w:w="1322" w:type="dxa"/>
            <w:tcBorders>
              <w:bottom w:val="single" w:sz="2" w:space="0" w:color="001C71"/>
            </w:tcBorders>
            <w:shd w:fill="E5E5E5" w:val="clear"/>
            <w:tcMar>
              <w:bottom w:w="28" w:type="dxa"/>
            </w:tcMar>
            <w:vAlign w:val="bottom"/>
          </w:tcPr>
          <w:p>
            <w:pPr>
              <w:pStyle w:val="TableContents"/>
              <w:spacing w:lineRule="atLeast" w:line="240" w:before="0" w:after="0"/>
              <w:jc w:val="center"/>
              <w:rPr/>
            </w:pPr>
            <w:r>
              <w:rPr/>
              <w:t>  </w:t>
            </w:r>
            <w:r>
              <w:rPr>
                <w:rFonts w:ascii="arial" w:hAnsi="arial"/>
                <w:sz w:val="16"/>
              </w:rPr>
              <w:t>1</w:t>
            </w:r>
          </w:p>
        </w:tc>
        <w:tc>
          <w:tcPr>
            <w:tcW w:w="57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093" w:type="dxa"/>
            <w:tcBorders>
              <w:bottom w:val="single" w:sz="2" w:space="0" w:color="001C71"/>
            </w:tcBorders>
            <w:shd w:fill="E5E5E5" w:val="clear"/>
            <w:tcMar>
              <w:bottom w:w="28" w:type="dxa"/>
            </w:tcMar>
            <w:vAlign w:val="bottom"/>
          </w:tcPr>
          <w:p>
            <w:pPr>
              <w:pStyle w:val="TableContents"/>
              <w:spacing w:lineRule="atLeast" w:line="240" w:before="0" w:after="0"/>
              <w:rPr/>
            </w:pPr>
            <w:r>
              <w:rPr/>
              <w:t> </w:t>
            </w:r>
          </w:p>
        </w:tc>
        <w:tc>
          <w:tcPr>
            <w:tcW w:w="1158" w:type="dxa"/>
            <w:tcBorders>
              <w:bottom w:val="single" w:sz="2" w:space="0" w:color="001C71"/>
            </w:tcBorders>
            <w:shd w:fill="E5E5E5"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168" w:type="dxa"/>
            <w:tcBorders>
              <w:bottom w:val="single" w:sz="2" w:space="0" w:color="001C71"/>
            </w:tcBorders>
            <w:shd w:fill="E5E5E5" w:val="clear"/>
            <w:tcMar>
              <w:bottom w:w="28" w:type="dxa"/>
            </w:tcMar>
            <w:vAlign w:val="bottom"/>
          </w:tcPr>
          <w:p>
            <w:pPr>
              <w:pStyle w:val="TableContents"/>
              <w:spacing w:lineRule="atLeast" w:line="240" w:before="0" w:after="0"/>
              <w:rPr/>
            </w:pPr>
            <w:r>
              <w:rPr/>
              <w:t> </w:t>
            </w:r>
          </w:p>
        </w:tc>
      </w:tr>
      <w:tr>
        <w:trPr/>
        <w:tc>
          <w:tcPr>
            <w:tcW w:w="1461" w:type="dxa"/>
            <w:vMerge w:val="continue"/>
            <w:tcBorders>
              <w:bottom w:val="single" w:sz="8" w:space="0" w:color="001C71"/>
            </w:tcBorders>
            <w:shd w:fill="auto" w:val="clear"/>
            <w:tcMar>
              <w:bottom w:w="28" w:type="dxa"/>
            </w:tcMar>
            <w:vAlign w:val="center"/>
          </w:tcPr>
          <w:p>
            <w:pPr>
              <w:pStyle w:val="Normal"/>
              <w:rPr/>
            </w:pPr>
            <w:r>
              <w:rPr/>
            </w:r>
          </w:p>
        </w:tc>
        <w:tc>
          <w:tcPr>
            <w:tcW w:w="125" w:type="dxa"/>
            <w:tcBorders>
              <w:bottom w:val="single" w:sz="8" w:space="0" w:color="001C71"/>
            </w:tcBorders>
            <w:shd w:fill="auto" w:val="clear"/>
            <w:tcMar>
              <w:bottom w:w="28" w:type="dxa"/>
            </w:tcMar>
            <w:vAlign w:val="bottom"/>
          </w:tcPr>
          <w:p>
            <w:pPr>
              <w:pStyle w:val="TableContents"/>
              <w:spacing w:before="0" w:after="283"/>
              <w:rPr/>
            </w:pPr>
            <w:r>
              <w:rPr/>
              <w:t> </w:t>
            </w:r>
          </w:p>
        </w:tc>
        <w:tc>
          <w:tcPr>
            <w:tcW w:w="3901" w:type="dxa"/>
            <w:tcBorders>
              <w:bottom w:val="single" w:sz="8" w:space="0" w:color="001C71"/>
            </w:tcBorders>
            <w:shd w:fill="auto" w:val="clear"/>
            <w:tcMar>
              <w:bottom w:w="28" w:type="dxa"/>
            </w:tcMar>
            <w:vAlign w:val="bottom"/>
          </w:tcPr>
          <w:p>
            <w:pPr>
              <w:pStyle w:val="TableContents"/>
              <w:spacing w:lineRule="atLeast" w:line="240" w:before="0" w:after="0"/>
              <w:rPr/>
            </w:pPr>
            <w:r>
              <w:rPr/>
              <w:t>        </w:t>
            </w:r>
            <w:r>
              <w:rPr>
                <w:rFonts w:ascii="arial" w:hAnsi="arial"/>
                <w:sz w:val="16"/>
              </w:rPr>
              <w:t>Total</w:t>
            </w:r>
          </w:p>
        </w:tc>
        <w:tc>
          <w:tcPr>
            <w:tcW w:w="399" w:type="dxa"/>
            <w:tcBorders>
              <w:bottom w:val="single" w:sz="8" w:space="0" w:color="001C71"/>
            </w:tcBorders>
            <w:shd w:fill="auto" w:val="clear"/>
            <w:tcMar>
              <w:bottom w:w="28" w:type="dxa"/>
            </w:tcMar>
            <w:vAlign w:val="bottom"/>
          </w:tcPr>
          <w:p>
            <w:pPr>
              <w:pStyle w:val="TableContents"/>
              <w:spacing w:before="0" w:after="283"/>
              <w:rPr/>
            </w:pPr>
            <w:r>
              <w:rPr/>
              <w:t>  </w:t>
            </w:r>
          </w:p>
        </w:tc>
        <w:tc>
          <w:tcPr>
            <w:tcW w:w="1322" w:type="dxa"/>
            <w:tcBorders>
              <w:bottom w:val="single" w:sz="8" w:space="0" w:color="001C71"/>
            </w:tcBorders>
            <w:shd w:fill="auto" w:val="clear"/>
            <w:tcMar>
              <w:bottom w:w="28" w:type="dxa"/>
            </w:tcMar>
            <w:vAlign w:val="bottom"/>
          </w:tcPr>
          <w:p>
            <w:pPr>
              <w:pStyle w:val="TableContents"/>
              <w:spacing w:before="0" w:after="283"/>
              <w:rPr/>
            </w:pPr>
            <w:r>
              <w:rPr/>
              <w:t> </w:t>
            </w:r>
          </w:p>
        </w:tc>
        <w:tc>
          <w:tcPr>
            <w:tcW w:w="578" w:type="dxa"/>
            <w:tcBorders>
              <w:bottom w:val="single" w:sz="8" w:space="0" w:color="001C71"/>
            </w:tcBorders>
            <w:shd w:fill="auto" w:val="clear"/>
            <w:tcMar>
              <w:bottom w:w="28" w:type="dxa"/>
            </w:tcMar>
            <w:vAlign w:val="bottom"/>
          </w:tcPr>
          <w:p>
            <w:pPr>
              <w:pStyle w:val="TableContents"/>
              <w:spacing w:before="0" w:after="283"/>
              <w:rPr/>
            </w:pPr>
            <w:r>
              <w:rPr/>
              <w:t>    </w:t>
            </w:r>
          </w:p>
        </w:tc>
        <w:tc>
          <w:tcPr>
            <w:tcW w:w="1093"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1158" w:type="dxa"/>
            <w:tcBorders>
              <w:bottom w:val="single" w:sz="8" w:space="0" w:color="001C71"/>
            </w:tcBorders>
            <w:shd w:fill="auto" w:val="clear"/>
            <w:tcMar>
              <w:bottom w:w="28" w:type="dxa"/>
            </w:tcMar>
            <w:vAlign w:val="bottom"/>
          </w:tcPr>
          <w:p>
            <w:pPr>
              <w:pStyle w:val="TableContents"/>
              <w:spacing w:lineRule="atLeast" w:line="240" w:before="0" w:after="0"/>
              <w:jc w:val="right"/>
              <w:rPr/>
            </w:pPr>
            <w:r>
              <w:rPr/>
              <w:t>                </w:t>
            </w:r>
            <w:r>
              <w:rPr>
                <w:rFonts w:ascii="arial" w:hAnsi="arial"/>
                <w:sz w:val="16"/>
              </w:rPr>
              <w:t></w:t>
            </w:r>
          </w:p>
        </w:tc>
        <w:tc>
          <w:tcPr>
            <w:tcW w:w="168"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Amounts are based on the assumptions used for financial reporting purposes set forth in Note 9 of the Notes to Consolidated Financial Statements contained in our Annual Report to Shareholders, except that retirement age has been assumed to be the earliest time at which the executive could retire under each of the plans without any benefit reduction due to age.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t> </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Amounts shown for the Cash Balance Plan are based on the greater of the amounts payable under the plan or the sum of the present value of the accumulated benefit payable under a frozen predecessor plan plus future cash balance accruals. The amount shown for the Supplemental Executive Retirement Plan and the Cash Balance Restoration Plan is the present value of the incremental benefit over that provided by the Cash Balance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Martin is eligible for early retirement benefits under the defined benefit formula of the Supplemental Executive Retirement Plan. Messrs. Mihalik and Sagara are not yet vested in a benefit under the defined benefit formula. However, Messrs. Mihalik and Sagara would be entitled to the benefit that would have been received under the tax-qualified Cash Balance Plan but for Internal Revenue Code limitations on pay and benefits under tax-qualified plans. At December 31, 2020, Mr. Martin was age 58, Mr. Mihalik was age 54, and Mr. Sagara was age 59. Had they retired at December 31, 2020 and received their benefits under the plans as a lump sum, their early retirement benefits would have been $28,140,891 for Mr. Martin; $688,065 for Mr. Mihalik; and $1,131,944 for Mr. Sagara.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81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(C)</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Mr. Sagaras total service is 24 years, including his prior employment from 1992-1999, for which a pension benefit was distributed in 2000, and 17 years of service following his rehire in 2003.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(D)</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Wall, who is not a participant in the Supplemental Executive Retirement Plan, is vested in benefits under the Cash Balance Plan and nonqualified Cash Balance Restoration Plan. Had his employment terminated on December 31, 2020, his benefit would have been $313,986.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(E)</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Arriola retired on July 3, 2020 at age 59. He received benefits of $844,831 from the Cash Balance Plan and $12,450,648 from the Supplemental Executive Retirement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(F)</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Mr. Bilicic did not meet the vesting requirements upon his separation from service and is not entitled to a benefit under the plans. </w:t>
            </w:r>
          </w:p>
        </w:tc>
      </w:tr>
    </w:tbl>
    <w:p>
      <w:pPr>
        <w:pStyle w:val="TextBody"/>
        <w:spacing w:before="360" w:after="0"/>
        <w:jc w:val="left"/>
        <w:rPr>
          <w:rFonts w:ascii="arial" w:hAnsi="arial"/>
          <w:sz w:val="28"/>
        </w:rPr>
      </w:pPr>
      <w:r>
        <w:rPr>
          <w:rFonts w:ascii="arial" w:hAnsi="arial"/>
          <w:sz w:val="28"/>
        </w:rPr>
        <w:t xml:space="preserve">Nonqualified Deferred Compensation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nonqualified Employee and Director Savings Plan permits executives to elect on a year-by-year basis to defer the receipt of up to 85% of their annual salary and performance-based annual bonus for payment in installments or in a lump sum at a future date in connection with an executives separation from service or on a fixed in-service distribution date. Executive officers also may defer all or a portion of certain performance-based restricted stock unit awards upon vesting. </w:t>
      </w:r>
    </w:p>
    <w:p>
      <w:pPr>
        <w:pStyle w:val="TextBody"/>
        <w:spacing w:before="160" w:after="0"/>
        <w:jc w:val="left"/>
        <w:rPr>
          <w:rFonts w:ascii="arial" w:hAnsi="arial"/>
          <w:sz w:val="16"/>
        </w:rPr>
      </w:pPr>
      <w:r>
        <w:rPr>
          <w:rFonts w:ascii="arial" w:hAnsi="arial"/>
          <w:sz w:val="16"/>
        </w:rPr>
        <w:t xml:space="preserve">The timing and form of distribution are selected by the executive at the time of the deferral election, and subsequent changes are limited. In the event of a change in control, participant accounts are distributed in a lump sum immediately prior to the date of the change in control. Deferred amounts are fully vested and earn interest at a rate reset annually to the higher of 110% of the Moodys Corporate Bond Yield Average Rate or the Moodys Corporate Bond Yield Average Rate plus 1% (4.8% for 2020) or, at the election of the executive, are deemed invested in investment accounts that mirror the investment accounts available under our tax-qualified 401(k) Savings Plans in which all employees may participate. Deferrals of performance-based restricted stock unit awards cannot be transferred into other investments and are paid out in shares of common stock in accordance with the officers payout elections. </w:t>
      </w:r>
    </w:p>
    <w:p>
      <w:pPr>
        <w:pStyle w:val="TextBody"/>
        <w:spacing w:before="160" w:after="0"/>
        <w:jc w:val="left"/>
        <w:rPr>
          <w:rFonts w:ascii="arial" w:hAnsi="arial"/>
          <w:sz w:val="16"/>
        </w:rPr>
      </w:pPr>
      <w:r>
        <w:rPr>
          <w:rFonts w:ascii="arial" w:hAnsi="arial"/>
          <w:sz w:val="16"/>
        </w:rPr>
        <w:t xml:space="preserve">The Internal Revenue Code places annual limits on the amounts that employees and employers can defer into a 401(k) plan. Because of these limits, the company makes matching contributions for deferred compensation plan participants through the deferred compensation plan. The deferred compensation matching contribution is equal to one-half of the first 6% of the employees contributions plus one-fifth of the next 5% of the employees contributions less an offset for 401(k) matching contributions. There are no company matching contributions on deferrals of performance-based restricted stock unit awards. </w:t>
      </w:r>
    </w:p>
    <w:p>
      <w:pPr>
        <w:pStyle w:val="TextBody"/>
        <w:spacing w:before="160" w:after="0"/>
        <w:jc w:val="left"/>
        <w:rPr>
          <w:rFonts w:ascii="arial" w:hAnsi="arial"/>
          <w:sz w:val="16"/>
        </w:rPr>
      </w:pPr>
      <w:r>
        <w:rPr>
          <w:rFonts w:ascii="arial" w:hAnsi="arial"/>
          <w:sz w:val="16"/>
        </w:rPr>
        <w:t xml:space="preserve">All employee contributions and related investment earnings in the deferred compensation plan vest immediately. New participants are immediately eligible for company matching contributions and company matching contributions (including related earnings) vest after one year of service. </w:t>
      </w:r>
    </w:p>
    <w:p>
      <w:pPr>
        <w:pStyle w:val="TextBody"/>
        <w:spacing w:before="160" w:after="0"/>
        <w:jc w:val="left"/>
        <w:rPr>
          <w:rFonts w:ascii="arial" w:hAnsi="arial"/>
          <w:sz w:val="16"/>
        </w:rPr>
      </w:pPr>
      <w:r>
        <w:rPr>
          <w:rFonts w:ascii="arial" w:hAnsi="arial"/>
          <w:sz w:val="16"/>
        </w:rPr>
        <w:t xml:space="preserve">We summarize below information regarding the participation by our named executive officers in our nonqualified deferred compensation plans.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4"/>
        <w:gridCol w:w="247"/>
        <w:gridCol w:w="224"/>
        <w:gridCol w:w="1254"/>
        <w:gridCol w:w="60"/>
        <w:gridCol w:w="247"/>
        <w:gridCol w:w="224"/>
        <w:gridCol w:w="1254"/>
        <w:gridCol w:w="60"/>
        <w:gridCol w:w="247"/>
        <w:gridCol w:w="138"/>
        <w:gridCol w:w="935"/>
        <w:gridCol w:w="125"/>
        <w:gridCol w:w="197"/>
        <w:gridCol w:w="190"/>
        <w:gridCol w:w="1156"/>
        <w:gridCol w:w="125"/>
        <w:gridCol w:w="197"/>
        <w:gridCol w:w="140"/>
        <w:gridCol w:w="982"/>
        <w:gridCol w:w="69"/>
      </w:tblGrid>
      <w:tr>
        <w:trPr/>
        <w:tc>
          <w:tcPr>
            <w:tcW w:w="213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2134" w:type="dxa"/>
            <w:tcBorders>
              <w:bottom w:val="single" w:sz="12" w:space="0" w:color="001C71"/>
            </w:tcBorders>
            <w:shd w:fill="auto" w:val="clear"/>
            <w:tcMar>
              <w:bottom w:w="28" w:type="dxa"/>
            </w:tcMar>
            <w:vAlign w:val="bottom"/>
          </w:tcPr>
          <w:p>
            <w:pPr>
              <w:pStyle w:val="TableContents"/>
              <w:spacing w:before="0" w:after="283"/>
              <w:rPr/>
            </w:pPr>
            <w:r>
              <w:rPr/>
              <w:t>  </w:t>
            </w:r>
          </w:p>
        </w:tc>
        <w:tc>
          <w:tcPr>
            <w:tcW w:w="247" w:type="dxa"/>
            <w:tcBorders>
              <w:bottom w:val="single" w:sz="12" w:space="0" w:color="001C71"/>
            </w:tcBorders>
            <w:shd w:fill="auto" w:val="clear"/>
            <w:tcMar>
              <w:bottom w:w="28" w:type="dxa"/>
            </w:tcMar>
            <w:vAlign w:val="bottom"/>
          </w:tcPr>
          <w:p>
            <w:pPr>
              <w:pStyle w:val="TableContents"/>
              <w:spacing w:before="0" w:after="283"/>
              <w:rPr/>
            </w:pPr>
            <w:r>
              <w:rPr/>
              <w:t>  </w:t>
            </w:r>
          </w:p>
        </w:tc>
        <w:tc>
          <w:tcPr>
            <w:tcW w:w="1478" w:type="dxa"/>
            <w:gridSpan w:val="2"/>
            <w:tcBorders>
              <w:bottom w:val="single" w:sz="12" w:space="0" w:color="001C71"/>
            </w:tcBorders>
            <w:shd w:fill="auto" w:val="clear"/>
            <w:tcMar>
              <w:bottom w:w="28" w:type="dxa"/>
            </w:tcMar>
            <w:vAlign w:val="bottom"/>
          </w:tcPr>
          <w:p>
            <w:pPr>
              <w:pStyle w:val="TableContents"/>
              <w:spacing w:before="0" w:after="283"/>
              <w:jc w:val="center"/>
              <w:rPr>
                <w:b/>
                <w:color w:val="001C71"/>
              </w:rPr>
            </w:pPr>
            <w:r>
              <w:rPr>
                <w:b/>
                <w:color w:val="001C71"/>
              </w:rPr>
              <w:t>Executive</w:t>
              <w:br/>
              <w:t>Contributions</w:t>
              <w:br/>
              <w:t>in 2020 (A)</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247" w:type="dxa"/>
            <w:tcBorders>
              <w:bottom w:val="single" w:sz="12" w:space="0" w:color="001C71"/>
            </w:tcBorders>
            <w:shd w:fill="auto" w:val="clear"/>
            <w:tcMar>
              <w:bottom w:w="28" w:type="dxa"/>
            </w:tcMar>
            <w:vAlign w:val="bottom"/>
          </w:tcPr>
          <w:p>
            <w:pPr>
              <w:pStyle w:val="TableContents"/>
              <w:spacing w:before="0" w:after="283"/>
              <w:rPr/>
            </w:pPr>
            <w:r>
              <w:rPr/>
              <w:t>  </w:t>
            </w:r>
          </w:p>
        </w:tc>
        <w:tc>
          <w:tcPr>
            <w:tcW w:w="1478" w:type="dxa"/>
            <w:gridSpan w:val="2"/>
            <w:tcBorders>
              <w:bottom w:val="single" w:sz="12" w:space="0" w:color="001C71"/>
            </w:tcBorders>
            <w:shd w:fill="auto" w:val="clear"/>
            <w:tcMar>
              <w:bottom w:w="28" w:type="dxa"/>
            </w:tcMar>
            <w:vAlign w:val="bottom"/>
          </w:tcPr>
          <w:p>
            <w:pPr>
              <w:pStyle w:val="TableContents"/>
              <w:spacing w:before="0" w:after="283"/>
              <w:jc w:val="center"/>
              <w:rPr>
                <w:b/>
                <w:color w:val="001C71"/>
              </w:rPr>
            </w:pPr>
            <w:r>
              <w:rPr>
                <w:b/>
                <w:color w:val="001C71"/>
              </w:rPr>
              <w:t>Company</w:t>
              <w:br/>
              <w:t>Contributions</w:t>
              <w:br/>
              <w:t>in 2020 (B)</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247" w:type="dxa"/>
            <w:tcBorders>
              <w:bottom w:val="single" w:sz="12" w:space="0" w:color="001C71"/>
            </w:tcBorders>
            <w:shd w:fill="auto" w:val="clear"/>
            <w:tcMar>
              <w:bottom w:w="28" w:type="dxa"/>
            </w:tcMar>
            <w:vAlign w:val="bottom"/>
          </w:tcPr>
          <w:p>
            <w:pPr>
              <w:pStyle w:val="TableContents"/>
              <w:spacing w:before="0" w:after="283"/>
              <w:rPr/>
            </w:pPr>
            <w:r>
              <w:rPr/>
              <w:t>  </w:t>
            </w:r>
          </w:p>
        </w:tc>
        <w:tc>
          <w:tcPr>
            <w:tcW w:w="1073" w:type="dxa"/>
            <w:gridSpan w:val="2"/>
            <w:tcBorders>
              <w:bottom w:val="single" w:sz="12" w:space="0" w:color="001C71"/>
            </w:tcBorders>
            <w:shd w:fill="auto" w:val="clear"/>
            <w:tcMar>
              <w:bottom w:w="28" w:type="dxa"/>
            </w:tcMar>
            <w:vAlign w:val="bottom"/>
          </w:tcPr>
          <w:p>
            <w:pPr>
              <w:pStyle w:val="TableContents"/>
              <w:spacing w:before="0" w:after="283"/>
              <w:jc w:val="center"/>
              <w:rPr>
                <w:b/>
                <w:color w:val="001C71"/>
              </w:rPr>
            </w:pPr>
            <w:r>
              <w:rPr>
                <w:b/>
                <w:color w:val="001C71"/>
              </w:rPr>
              <w:t>Aggregate</w:t>
              <w:br/>
              <w:t>Earnings</w:t>
              <w:br/>
              <w:t>in 2020 (C)</w:t>
            </w:r>
          </w:p>
        </w:tc>
        <w:tc>
          <w:tcPr>
            <w:tcW w:w="125" w:type="dxa"/>
            <w:tcBorders>
              <w:bottom w:val="single" w:sz="12" w:space="0" w:color="001C71"/>
            </w:tcBorders>
            <w:shd w:fill="auto" w:val="clear"/>
            <w:tcMar>
              <w:bottom w:w="28" w:type="dxa"/>
            </w:tcMar>
            <w:vAlign w:val="bottom"/>
          </w:tcPr>
          <w:p>
            <w:pPr>
              <w:pStyle w:val="TableContents"/>
              <w:spacing w:before="0" w:after="283"/>
              <w:rPr/>
            </w:pPr>
            <w:r>
              <w:rPr/>
              <w:t> </w:t>
            </w:r>
          </w:p>
        </w:tc>
        <w:tc>
          <w:tcPr>
            <w:tcW w:w="197" w:type="dxa"/>
            <w:tcBorders>
              <w:bottom w:val="single" w:sz="12" w:space="0" w:color="001C71"/>
            </w:tcBorders>
            <w:shd w:fill="auto" w:val="clear"/>
            <w:tcMar>
              <w:bottom w:w="28" w:type="dxa"/>
            </w:tcMar>
            <w:vAlign w:val="bottom"/>
          </w:tcPr>
          <w:p>
            <w:pPr>
              <w:pStyle w:val="TableContents"/>
              <w:spacing w:before="0" w:after="283"/>
              <w:rPr/>
            </w:pPr>
            <w:r>
              <w:rPr/>
              <w:t> </w:t>
            </w:r>
          </w:p>
        </w:tc>
        <w:tc>
          <w:tcPr>
            <w:tcW w:w="1346" w:type="dxa"/>
            <w:gridSpan w:val="2"/>
            <w:tcBorders>
              <w:bottom w:val="single" w:sz="12" w:space="0" w:color="001C71"/>
            </w:tcBorders>
            <w:shd w:fill="auto" w:val="clear"/>
            <w:tcMar>
              <w:bottom w:w="28" w:type="dxa"/>
            </w:tcMar>
            <w:vAlign w:val="bottom"/>
          </w:tcPr>
          <w:p>
            <w:pPr>
              <w:pStyle w:val="TableContents"/>
              <w:spacing w:before="0" w:after="283"/>
              <w:jc w:val="center"/>
              <w:rPr>
                <w:b/>
                <w:color w:val="001C71"/>
              </w:rPr>
            </w:pPr>
            <w:r>
              <w:rPr>
                <w:b/>
                <w:color w:val="001C71"/>
              </w:rPr>
              <w:t>Aggregate</w:t>
              <w:br/>
              <w:t>Distributions</w:t>
              <w:br/>
              <w:t>in 2020 (D)</w:t>
            </w:r>
          </w:p>
        </w:tc>
        <w:tc>
          <w:tcPr>
            <w:tcW w:w="125" w:type="dxa"/>
            <w:tcBorders>
              <w:bottom w:val="single" w:sz="12" w:space="0" w:color="001C71"/>
            </w:tcBorders>
            <w:shd w:fill="auto" w:val="clear"/>
            <w:tcMar>
              <w:bottom w:w="28" w:type="dxa"/>
            </w:tcMar>
            <w:vAlign w:val="bottom"/>
          </w:tcPr>
          <w:p>
            <w:pPr>
              <w:pStyle w:val="TableContents"/>
              <w:spacing w:before="0" w:after="283"/>
              <w:rPr/>
            </w:pPr>
            <w:r>
              <w:rPr/>
              <w:t> </w:t>
            </w:r>
          </w:p>
        </w:tc>
        <w:tc>
          <w:tcPr>
            <w:tcW w:w="197" w:type="dxa"/>
            <w:tcBorders>
              <w:bottom w:val="single" w:sz="12" w:space="0" w:color="001C71"/>
            </w:tcBorders>
            <w:shd w:fill="auto" w:val="clear"/>
            <w:tcMar>
              <w:bottom w:w="28" w:type="dxa"/>
            </w:tcMar>
            <w:vAlign w:val="bottom"/>
          </w:tcPr>
          <w:p>
            <w:pPr>
              <w:pStyle w:val="TableContents"/>
              <w:spacing w:before="0" w:after="283"/>
              <w:rPr/>
            </w:pPr>
            <w:r>
              <w:rPr/>
              <w:t> </w:t>
            </w:r>
          </w:p>
        </w:tc>
        <w:tc>
          <w:tcPr>
            <w:tcW w:w="1122" w:type="dxa"/>
            <w:gridSpan w:val="2"/>
            <w:tcBorders>
              <w:bottom w:val="single" w:sz="12" w:space="0" w:color="001C71"/>
            </w:tcBorders>
            <w:shd w:fill="auto" w:val="clear"/>
            <w:tcMar>
              <w:bottom w:w="28" w:type="dxa"/>
            </w:tcMar>
            <w:vAlign w:val="bottom"/>
          </w:tcPr>
          <w:p>
            <w:pPr>
              <w:pStyle w:val="TableContents"/>
              <w:spacing w:before="0" w:after="283"/>
              <w:jc w:val="center"/>
              <w:rPr>
                <w:b/>
                <w:color w:val="001C71"/>
              </w:rPr>
            </w:pPr>
            <w:r>
              <w:rPr>
                <w:b/>
                <w:color w:val="001C71"/>
              </w:rPr>
              <w:t>Aggregate</w:t>
              <w:br/>
              <w:t>Balance at</w:t>
              <w:br/>
              <w:t>12/31/20 (E)</w:t>
            </w:r>
          </w:p>
        </w:tc>
        <w:tc>
          <w:tcPr>
            <w:tcW w:w="69" w:type="dxa"/>
            <w:tcBorders>
              <w:bottom w:val="single" w:sz="12" w:space="0" w:color="001C71"/>
            </w:tcBorders>
            <w:shd w:fill="auto" w:val="clear"/>
            <w:tcMar>
              <w:bottom w:w="28" w:type="dxa"/>
            </w:tcMar>
            <w:vAlign w:val="bottom"/>
          </w:tcPr>
          <w:p>
            <w:pPr>
              <w:pStyle w:val="TableContents"/>
              <w:spacing w:before="0" w:after="283"/>
              <w:rPr/>
            </w:pPr>
            <w:r>
              <w:rPr/>
              <w:t> </w:t>
            </w:r>
          </w:p>
        </w:tc>
      </w:tr>
      <w:tr>
        <w:trPr/>
        <w:tc>
          <w:tcPr>
            <w:tcW w:w="2134" w:type="dxa"/>
            <w:tcBorders/>
            <w:shd w:fill="E5E5E5" w:val="clear"/>
          </w:tcPr>
          <w:p>
            <w:pPr>
              <w:pStyle w:val="TableContents"/>
              <w:spacing w:lineRule="atLeast" w:line="240" w:before="0" w:after="0"/>
              <w:rPr>
                <w:rFonts w:ascii="arial" w:hAnsi="arial"/>
                <w:sz w:val="16"/>
              </w:rPr>
            </w:pPr>
            <w:r>
              <w:rPr>
                <w:rFonts w:ascii="arial" w:hAnsi="arial"/>
                <w:sz w:val="16"/>
              </w:rPr>
              <w:t>Jeffrey W. Martin</w:t>
            </w:r>
          </w:p>
        </w:tc>
        <w:tc>
          <w:tcPr>
            <w:tcW w:w="247" w:type="dxa"/>
            <w:tcBorders/>
            <w:shd w:fill="E5E5E5" w:val="clear"/>
            <w:vAlign w:val="bottom"/>
          </w:tcPr>
          <w:p>
            <w:pPr>
              <w:pStyle w:val="TableContents"/>
              <w:spacing w:before="0" w:after="283"/>
              <w:rPr/>
            </w:pPr>
            <w:r>
              <w:rPr/>
              <w:t>  </w:t>
            </w:r>
          </w:p>
        </w:tc>
        <w:tc>
          <w:tcPr>
            <w:tcW w:w="224"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723,142</w:t>
            </w:r>
          </w:p>
        </w:tc>
        <w:tc>
          <w:tcPr>
            <w:tcW w:w="60" w:type="dxa"/>
            <w:tcBorders/>
            <w:shd w:fill="E5E5E5" w:val="clear"/>
            <w:vAlign w:val="bottom"/>
          </w:tcPr>
          <w:p>
            <w:pPr>
              <w:pStyle w:val="TableContents"/>
              <w:spacing w:lineRule="atLeast" w:line="240" w:before="0" w:after="0"/>
              <w:rPr/>
            </w:pPr>
            <w:r>
              <w:rPr/>
              <w:t> </w:t>
            </w:r>
          </w:p>
        </w:tc>
        <w:tc>
          <w:tcPr>
            <w:tcW w:w="247" w:type="dxa"/>
            <w:tcBorders/>
            <w:shd w:fill="E5E5E5" w:val="clear"/>
            <w:vAlign w:val="bottom"/>
          </w:tcPr>
          <w:p>
            <w:pPr>
              <w:pStyle w:val="TableContents"/>
              <w:spacing w:before="0" w:after="283"/>
              <w:rPr/>
            </w:pPr>
            <w:r>
              <w:rPr/>
              <w:t>  </w:t>
            </w:r>
          </w:p>
        </w:tc>
        <w:tc>
          <w:tcPr>
            <w:tcW w:w="224"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164,844</w:t>
            </w:r>
          </w:p>
        </w:tc>
        <w:tc>
          <w:tcPr>
            <w:tcW w:w="60" w:type="dxa"/>
            <w:tcBorders/>
            <w:shd w:fill="E5E5E5" w:val="clear"/>
            <w:vAlign w:val="bottom"/>
          </w:tcPr>
          <w:p>
            <w:pPr>
              <w:pStyle w:val="TableContents"/>
              <w:spacing w:lineRule="atLeast" w:line="240" w:before="0" w:after="0"/>
              <w:rPr/>
            </w:pPr>
            <w:r>
              <w:rPr/>
              <w:t> </w:t>
            </w:r>
          </w:p>
        </w:tc>
        <w:tc>
          <w:tcPr>
            <w:tcW w:w="247" w:type="dxa"/>
            <w:tcBorders/>
            <w:shd w:fill="E5E5E5" w:val="clear"/>
            <w:vAlign w:val="bottom"/>
          </w:tcPr>
          <w:p>
            <w:pPr>
              <w:pStyle w:val="TableContents"/>
              <w:spacing w:before="0" w:after="283"/>
              <w:rPr/>
            </w:pPr>
            <w:r>
              <w:rPr/>
              <w:t>  </w:t>
            </w:r>
          </w:p>
        </w:tc>
        <w:tc>
          <w:tcPr>
            <w:tcW w:w="138"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93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(268,692</w:t>
            </w:r>
          </w:p>
        </w:tc>
        <w:tc>
          <w:tcPr>
            <w:tcW w:w="125" w:type="dxa"/>
            <w:tcBorders/>
            <w:shd w:fill="E5E5E5" w:val="clear"/>
            <w:vAlign w:val="bottom"/>
          </w:tcPr>
          <w:p>
            <w:pPr>
              <w:pStyle w:val="TableContents"/>
              <w:spacing w:lineRule="atLeast" w:line="240" w:before="0" w:after="0"/>
              <w:rPr>
                <w:rFonts w:ascii="arial" w:hAnsi="arial"/>
                <w:sz w:val="16"/>
              </w:rPr>
            </w:pPr>
            <w:r>
              <w:rPr>
                <w:rFonts w:ascii="arial" w:hAnsi="arial"/>
                <w:sz w:val="16"/>
              </w:rPr>
              <w:t>) </w:t>
            </w:r>
          </w:p>
        </w:tc>
        <w:tc>
          <w:tcPr>
            <w:tcW w:w="197" w:type="dxa"/>
            <w:tcBorders/>
            <w:shd w:fill="E5E5E5" w:val="clear"/>
            <w:vAlign w:val="bottom"/>
          </w:tcPr>
          <w:p>
            <w:pPr>
              <w:pStyle w:val="TableContents"/>
              <w:spacing w:before="0" w:after="283"/>
              <w:rPr/>
            </w:pPr>
            <w:r>
              <w:rPr/>
              <w:t> </w:t>
            </w:r>
          </w:p>
        </w:tc>
        <w:tc>
          <w:tcPr>
            <w:tcW w:w="190" w:type="dxa"/>
            <w:tcBorders/>
            <w:shd w:fill="E5E5E5" w:val="clear"/>
            <w:vAlign w:val="bottom"/>
          </w:tcPr>
          <w:p>
            <w:pPr>
              <w:pStyle w:val="TableContents"/>
              <w:spacing w:lineRule="atLeast" w:line="240" w:before="0" w:after="0"/>
              <w:rPr/>
            </w:pPr>
            <w:r>
              <w:rPr/>
              <w:t> </w:t>
            </w:r>
          </w:p>
        </w:tc>
        <w:tc>
          <w:tcPr>
            <w:tcW w:w="115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125" w:type="dxa"/>
            <w:tcBorders/>
            <w:shd w:fill="E5E5E5" w:val="clear"/>
            <w:vAlign w:val="bottom"/>
          </w:tcPr>
          <w:p>
            <w:pPr>
              <w:pStyle w:val="TableContents"/>
              <w:spacing w:lineRule="atLeast" w:line="240" w:before="0" w:after="0"/>
              <w:rPr/>
            </w:pPr>
            <w:r>
              <w:rPr/>
              <w:t> </w:t>
            </w:r>
          </w:p>
        </w:tc>
        <w:tc>
          <w:tcPr>
            <w:tcW w:w="19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982"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6,026,300</w:t>
            </w:r>
          </w:p>
        </w:tc>
        <w:tc>
          <w:tcPr>
            <w:tcW w:w="69" w:type="dxa"/>
            <w:tcBorders/>
            <w:shd w:fill="E5E5E5" w:val="clear"/>
            <w:vAlign w:val="bottom"/>
          </w:tcPr>
          <w:p>
            <w:pPr>
              <w:pStyle w:val="TableContents"/>
              <w:spacing w:lineRule="atLeast" w:line="240" w:before="0" w:after="0"/>
              <w:rPr/>
            </w:pPr>
            <w:r>
              <w:rPr/>
              <w:t> </w:t>
            </w:r>
          </w:p>
        </w:tc>
      </w:tr>
      <w:tr>
        <w:trPr/>
        <w:tc>
          <w:tcPr>
            <w:tcW w:w="2134" w:type="dxa"/>
            <w:tcBorders/>
            <w:shd w:fill="auto" w:val="clear"/>
          </w:tcPr>
          <w:p>
            <w:pPr>
              <w:pStyle w:val="TableContents"/>
              <w:spacing w:lineRule="atLeast" w:line="240" w:before="0" w:after="0"/>
              <w:rPr>
                <w:rFonts w:ascii="arial" w:hAnsi="arial"/>
                <w:sz w:val="16"/>
              </w:rPr>
            </w:pPr>
            <w:r>
              <w:rPr>
                <w:rFonts w:ascii="arial" w:hAnsi="arial"/>
                <w:sz w:val="16"/>
              </w:rPr>
              <w:t>Trevor I. Mihalik</w:t>
            </w:r>
          </w:p>
        </w:tc>
        <w:tc>
          <w:tcPr>
            <w:tcW w:w="24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390,416</w:t>
            </w:r>
          </w:p>
        </w:tc>
        <w:tc>
          <w:tcPr>
            <w:tcW w:w="60" w:type="dxa"/>
            <w:tcBorders/>
            <w:shd w:fill="auto" w:val="clear"/>
            <w:vAlign w:val="bottom"/>
          </w:tcPr>
          <w:p>
            <w:pPr>
              <w:pStyle w:val="TableContents"/>
              <w:spacing w:lineRule="atLeast" w:line="240" w:before="0" w:after="0"/>
              <w:rPr/>
            </w:pPr>
            <w:r>
              <w:rPr/>
              <w:t> </w:t>
            </w:r>
          </w:p>
        </w:tc>
        <w:tc>
          <w:tcPr>
            <w:tcW w:w="24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59,869</w:t>
            </w:r>
          </w:p>
        </w:tc>
        <w:tc>
          <w:tcPr>
            <w:tcW w:w="60" w:type="dxa"/>
            <w:tcBorders/>
            <w:shd w:fill="auto" w:val="clear"/>
            <w:vAlign w:val="bottom"/>
          </w:tcPr>
          <w:p>
            <w:pPr>
              <w:pStyle w:val="TableContents"/>
              <w:spacing w:lineRule="atLeast" w:line="240" w:before="0" w:after="0"/>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93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(2,435</w:t>
            </w:r>
          </w:p>
        </w:tc>
        <w:tc>
          <w:tcPr>
            <w:tcW w:w="125" w:type="dxa"/>
            <w:tcBorders/>
            <w:shd w:fill="auto" w:val="clear"/>
            <w:vAlign w:val="bottom"/>
          </w:tcPr>
          <w:p>
            <w:pPr>
              <w:pStyle w:val="TableContents"/>
              <w:spacing w:lineRule="atLeast" w:line="240" w:before="0" w:after="0"/>
              <w:rPr>
                <w:rFonts w:ascii="arial" w:hAnsi="arial"/>
                <w:sz w:val="16"/>
              </w:rPr>
            </w:pPr>
            <w:r>
              <w:rPr>
                <w:rFonts w:ascii="arial" w:hAnsi="arial"/>
                <w:sz w:val="16"/>
              </w:rPr>
              <w:t>) </w:t>
            </w:r>
          </w:p>
        </w:tc>
        <w:tc>
          <w:tcPr>
            <w:tcW w:w="19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1156"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(194,865</w:t>
            </w:r>
          </w:p>
        </w:tc>
        <w:tc>
          <w:tcPr>
            <w:tcW w:w="125" w:type="dxa"/>
            <w:tcBorders/>
            <w:shd w:fill="auto" w:val="clear"/>
            <w:vAlign w:val="bottom"/>
          </w:tcPr>
          <w:p>
            <w:pPr>
              <w:pStyle w:val="TableContents"/>
              <w:spacing w:lineRule="atLeast" w:line="240" w:before="0" w:after="0"/>
              <w:rPr>
                <w:rFonts w:ascii="arial" w:hAnsi="arial"/>
                <w:sz w:val="16"/>
              </w:rPr>
            </w:pPr>
            <w:r>
              <w:rPr>
                <w:rFonts w:ascii="arial" w:hAnsi="arial"/>
                <w:sz w:val="16"/>
              </w:rPr>
              <w:t>) </w:t>
            </w:r>
          </w:p>
        </w:tc>
        <w:tc>
          <w:tcPr>
            <w:tcW w:w="1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982"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1,574,757</w:t>
            </w:r>
          </w:p>
        </w:tc>
        <w:tc>
          <w:tcPr>
            <w:tcW w:w="69" w:type="dxa"/>
            <w:tcBorders/>
            <w:shd w:fill="auto" w:val="clear"/>
            <w:vAlign w:val="bottom"/>
          </w:tcPr>
          <w:p>
            <w:pPr>
              <w:pStyle w:val="TableContents"/>
              <w:spacing w:lineRule="atLeast" w:line="240" w:before="0" w:after="0"/>
              <w:rPr/>
            </w:pPr>
            <w:r>
              <w:rPr/>
              <w:t> </w:t>
            </w:r>
          </w:p>
        </w:tc>
      </w:tr>
      <w:tr>
        <w:trPr/>
        <w:tc>
          <w:tcPr>
            <w:tcW w:w="2134" w:type="dxa"/>
            <w:tcBorders/>
            <w:shd w:fill="E5E5E5" w:val="clear"/>
          </w:tcPr>
          <w:p>
            <w:pPr>
              <w:pStyle w:val="TableContents"/>
              <w:spacing w:lineRule="atLeast" w:line="240" w:before="0" w:after="0"/>
              <w:rPr>
                <w:rFonts w:ascii="arial" w:hAnsi="arial"/>
                <w:sz w:val="16"/>
              </w:rPr>
            </w:pPr>
            <w:r>
              <w:rPr>
                <w:rFonts w:ascii="arial" w:hAnsi="arial"/>
                <w:sz w:val="16"/>
              </w:rPr>
              <w:t>Kevin C. Sagara</w:t>
            </w:r>
          </w:p>
        </w:tc>
        <w:tc>
          <w:tcPr>
            <w:tcW w:w="247" w:type="dxa"/>
            <w:tcBorders/>
            <w:shd w:fill="E5E5E5" w:val="clear"/>
            <w:vAlign w:val="bottom"/>
          </w:tcPr>
          <w:p>
            <w:pPr>
              <w:pStyle w:val="TableContents"/>
              <w:spacing w:before="0" w:after="283"/>
              <w:rPr/>
            </w:pPr>
            <w:r>
              <w:rPr/>
              <w:t>  </w:t>
            </w:r>
          </w:p>
        </w:tc>
        <w:tc>
          <w:tcPr>
            <w:tcW w:w="224"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249,386</w:t>
            </w:r>
          </w:p>
        </w:tc>
        <w:tc>
          <w:tcPr>
            <w:tcW w:w="60" w:type="dxa"/>
            <w:tcBorders/>
            <w:shd w:fill="E5E5E5" w:val="clear"/>
            <w:vAlign w:val="bottom"/>
          </w:tcPr>
          <w:p>
            <w:pPr>
              <w:pStyle w:val="TableContents"/>
              <w:spacing w:lineRule="atLeast" w:line="240" w:before="0" w:after="0"/>
              <w:rPr/>
            </w:pPr>
            <w:r>
              <w:rPr/>
              <w:t> </w:t>
            </w:r>
          </w:p>
        </w:tc>
        <w:tc>
          <w:tcPr>
            <w:tcW w:w="247" w:type="dxa"/>
            <w:tcBorders/>
            <w:shd w:fill="E5E5E5" w:val="clear"/>
            <w:vAlign w:val="bottom"/>
          </w:tcPr>
          <w:p>
            <w:pPr>
              <w:pStyle w:val="TableContents"/>
              <w:spacing w:before="0" w:after="283"/>
              <w:rPr/>
            </w:pPr>
            <w:r>
              <w:rPr/>
              <w:t>  </w:t>
            </w:r>
          </w:p>
        </w:tc>
        <w:tc>
          <w:tcPr>
            <w:tcW w:w="224"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43,812</w:t>
            </w:r>
          </w:p>
        </w:tc>
        <w:tc>
          <w:tcPr>
            <w:tcW w:w="60" w:type="dxa"/>
            <w:tcBorders/>
            <w:shd w:fill="E5E5E5" w:val="clear"/>
            <w:vAlign w:val="bottom"/>
          </w:tcPr>
          <w:p>
            <w:pPr>
              <w:pStyle w:val="TableContents"/>
              <w:spacing w:lineRule="atLeast" w:line="240" w:before="0" w:after="0"/>
              <w:rPr/>
            </w:pPr>
            <w:r>
              <w:rPr/>
              <w:t> </w:t>
            </w:r>
          </w:p>
        </w:tc>
        <w:tc>
          <w:tcPr>
            <w:tcW w:w="247" w:type="dxa"/>
            <w:tcBorders/>
            <w:shd w:fill="E5E5E5" w:val="clear"/>
            <w:vAlign w:val="bottom"/>
          </w:tcPr>
          <w:p>
            <w:pPr>
              <w:pStyle w:val="TableContents"/>
              <w:spacing w:before="0" w:after="283"/>
              <w:rPr/>
            </w:pPr>
            <w:r>
              <w:rPr/>
              <w:t>  </w:t>
            </w:r>
          </w:p>
        </w:tc>
        <w:tc>
          <w:tcPr>
            <w:tcW w:w="138"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93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149,151</w:t>
            </w:r>
          </w:p>
        </w:tc>
        <w:tc>
          <w:tcPr>
            <w:tcW w:w="125" w:type="dxa"/>
            <w:tcBorders/>
            <w:shd w:fill="E5E5E5" w:val="clear"/>
            <w:vAlign w:val="bottom"/>
          </w:tcPr>
          <w:p>
            <w:pPr>
              <w:pStyle w:val="TableContents"/>
              <w:spacing w:lineRule="atLeast" w:line="240" w:before="0" w:after="0"/>
              <w:rPr/>
            </w:pPr>
            <w:r>
              <w:rPr/>
              <w:t> </w:t>
            </w:r>
          </w:p>
        </w:tc>
        <w:tc>
          <w:tcPr>
            <w:tcW w:w="197" w:type="dxa"/>
            <w:tcBorders/>
            <w:shd w:fill="E5E5E5" w:val="clear"/>
            <w:vAlign w:val="bottom"/>
          </w:tcPr>
          <w:p>
            <w:pPr>
              <w:pStyle w:val="TableContents"/>
              <w:spacing w:before="0" w:after="283"/>
              <w:rPr/>
            </w:pPr>
            <w:r>
              <w:rPr/>
              <w:t> </w:t>
            </w:r>
          </w:p>
        </w:tc>
        <w:tc>
          <w:tcPr>
            <w:tcW w:w="190" w:type="dxa"/>
            <w:tcBorders/>
            <w:shd w:fill="E5E5E5" w:val="clear"/>
            <w:vAlign w:val="bottom"/>
          </w:tcPr>
          <w:p>
            <w:pPr>
              <w:pStyle w:val="TableContents"/>
              <w:spacing w:lineRule="atLeast" w:line="240" w:before="0" w:after="0"/>
              <w:rPr/>
            </w:pPr>
            <w:r>
              <w:rPr/>
              <w:t> </w:t>
            </w:r>
          </w:p>
        </w:tc>
        <w:tc>
          <w:tcPr>
            <w:tcW w:w="115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125" w:type="dxa"/>
            <w:tcBorders/>
            <w:shd w:fill="E5E5E5" w:val="clear"/>
            <w:vAlign w:val="bottom"/>
          </w:tcPr>
          <w:p>
            <w:pPr>
              <w:pStyle w:val="TableContents"/>
              <w:spacing w:lineRule="atLeast" w:line="240" w:before="0" w:after="0"/>
              <w:rPr/>
            </w:pPr>
            <w:r>
              <w:rPr/>
              <w:t> </w:t>
            </w:r>
          </w:p>
        </w:tc>
        <w:tc>
          <w:tcPr>
            <w:tcW w:w="19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982"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5,244,817</w:t>
            </w:r>
          </w:p>
        </w:tc>
        <w:tc>
          <w:tcPr>
            <w:tcW w:w="69" w:type="dxa"/>
            <w:tcBorders/>
            <w:shd w:fill="E5E5E5" w:val="clear"/>
            <w:vAlign w:val="bottom"/>
          </w:tcPr>
          <w:p>
            <w:pPr>
              <w:pStyle w:val="TableContents"/>
              <w:spacing w:lineRule="atLeast" w:line="240" w:before="0" w:after="0"/>
              <w:rPr/>
            </w:pPr>
            <w:r>
              <w:rPr/>
              <w:t> </w:t>
            </w:r>
          </w:p>
        </w:tc>
      </w:tr>
      <w:tr>
        <w:trPr/>
        <w:tc>
          <w:tcPr>
            <w:tcW w:w="2134" w:type="dxa"/>
            <w:tcBorders/>
            <w:shd w:fill="auto" w:val="clear"/>
          </w:tcPr>
          <w:p>
            <w:pPr>
              <w:pStyle w:val="TableContents"/>
              <w:spacing w:lineRule="atLeast" w:line="240" w:before="0" w:after="0"/>
              <w:rPr>
                <w:rFonts w:ascii="arial" w:hAnsi="arial"/>
                <w:sz w:val="16"/>
              </w:rPr>
            </w:pPr>
            <w:r>
              <w:rPr>
                <w:rFonts w:ascii="arial" w:hAnsi="arial"/>
                <w:sz w:val="16"/>
              </w:rPr>
              <w:t>Peter R. Wall</w:t>
            </w:r>
          </w:p>
        </w:tc>
        <w:tc>
          <w:tcPr>
            <w:tcW w:w="24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40,514</w:t>
            </w:r>
          </w:p>
        </w:tc>
        <w:tc>
          <w:tcPr>
            <w:tcW w:w="60" w:type="dxa"/>
            <w:tcBorders/>
            <w:shd w:fill="auto" w:val="clear"/>
            <w:vAlign w:val="bottom"/>
          </w:tcPr>
          <w:p>
            <w:pPr>
              <w:pStyle w:val="TableContents"/>
              <w:spacing w:lineRule="atLeast" w:line="240" w:before="0" w:after="0"/>
              <w:rPr/>
            </w:pPr>
            <w:r>
              <w:rPr/>
              <w:t> </w:t>
            </w:r>
          </w:p>
        </w:tc>
        <w:tc>
          <w:tcPr>
            <w:tcW w:w="24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12,026</w:t>
            </w:r>
          </w:p>
        </w:tc>
        <w:tc>
          <w:tcPr>
            <w:tcW w:w="60" w:type="dxa"/>
            <w:tcBorders/>
            <w:shd w:fill="auto" w:val="clear"/>
            <w:vAlign w:val="bottom"/>
          </w:tcPr>
          <w:p>
            <w:pPr>
              <w:pStyle w:val="TableContents"/>
              <w:spacing w:lineRule="atLeast" w:line="240" w:before="0" w:after="0"/>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935"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2,896</w:t>
            </w:r>
          </w:p>
        </w:tc>
        <w:tc>
          <w:tcPr>
            <w:tcW w:w="125" w:type="dxa"/>
            <w:tcBorders/>
            <w:shd w:fill="auto" w:val="clear"/>
            <w:vAlign w:val="bottom"/>
          </w:tcPr>
          <w:p>
            <w:pPr>
              <w:pStyle w:val="TableContents"/>
              <w:spacing w:lineRule="atLeast" w:line="240" w:before="0" w:after="0"/>
              <w:rPr/>
            </w:pPr>
            <w:r>
              <w:rPr/>
              <w:t> </w:t>
            </w:r>
          </w:p>
        </w:tc>
        <w:tc>
          <w:tcPr>
            <w:tcW w:w="19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lineRule="atLeast" w:line="240" w:before="0" w:after="0"/>
              <w:rPr/>
            </w:pPr>
            <w:r>
              <w:rPr/>
              <w:t> </w:t>
            </w:r>
          </w:p>
        </w:tc>
        <w:tc>
          <w:tcPr>
            <w:tcW w:w="1156"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125" w:type="dxa"/>
            <w:tcBorders/>
            <w:shd w:fill="auto" w:val="clear"/>
            <w:vAlign w:val="bottom"/>
          </w:tcPr>
          <w:p>
            <w:pPr>
              <w:pStyle w:val="TableContents"/>
              <w:spacing w:lineRule="atLeast" w:line="240" w:before="0" w:after="0"/>
              <w:rPr/>
            </w:pPr>
            <w:r>
              <w:rPr/>
              <w:t> </w:t>
            </w:r>
          </w:p>
        </w:tc>
        <w:tc>
          <w:tcPr>
            <w:tcW w:w="1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lineRule="atLeast" w:line="240" w:before="0" w:after="0"/>
              <w:rPr>
                <w:rFonts w:ascii="arial" w:hAnsi="arial"/>
                <w:sz w:val="16"/>
              </w:rPr>
            </w:pPr>
            <w:r>
              <w:rPr>
                <w:rFonts w:ascii="arial" w:hAnsi="arial"/>
                <w:sz w:val="16"/>
              </w:rPr>
              <w:t>$</w:t>
            </w:r>
          </w:p>
        </w:tc>
        <w:tc>
          <w:tcPr>
            <w:tcW w:w="982" w:type="dxa"/>
            <w:tcBorders/>
            <w:shd w:fill="auto" w:val="clear"/>
            <w:vAlign w:val="bottom"/>
          </w:tcPr>
          <w:p>
            <w:pPr>
              <w:pStyle w:val="TableContents"/>
              <w:spacing w:lineRule="atLeast" w:line="240" w:before="0" w:after="0"/>
              <w:jc w:val="right"/>
              <w:rPr>
                <w:rFonts w:ascii="arial" w:hAnsi="arial"/>
                <w:sz w:val="16"/>
              </w:rPr>
            </w:pPr>
            <w:r>
              <w:rPr>
                <w:rFonts w:ascii="arial" w:hAnsi="arial"/>
                <w:sz w:val="16"/>
              </w:rPr>
              <w:t>83,912</w:t>
            </w:r>
          </w:p>
        </w:tc>
        <w:tc>
          <w:tcPr>
            <w:tcW w:w="69" w:type="dxa"/>
            <w:tcBorders/>
            <w:shd w:fill="auto" w:val="clear"/>
            <w:vAlign w:val="bottom"/>
          </w:tcPr>
          <w:p>
            <w:pPr>
              <w:pStyle w:val="TableContents"/>
              <w:spacing w:lineRule="atLeast" w:line="240" w:before="0" w:after="0"/>
              <w:rPr/>
            </w:pPr>
            <w:r>
              <w:rPr/>
              <w:t> </w:t>
            </w:r>
          </w:p>
        </w:tc>
      </w:tr>
      <w:tr>
        <w:trPr/>
        <w:tc>
          <w:tcPr>
            <w:tcW w:w="2134" w:type="dxa"/>
            <w:tcBorders/>
            <w:shd w:fill="E5E5E5" w:val="clear"/>
          </w:tcPr>
          <w:p>
            <w:pPr>
              <w:pStyle w:val="TableContents"/>
              <w:spacing w:lineRule="atLeast" w:line="240" w:before="0" w:after="0"/>
              <w:rPr>
                <w:rFonts w:ascii="arial" w:hAnsi="arial"/>
                <w:sz w:val="16"/>
              </w:rPr>
            </w:pPr>
            <w:r>
              <w:rPr>
                <w:rFonts w:ascii="arial" w:hAnsi="arial"/>
                <w:sz w:val="16"/>
              </w:rPr>
              <w:t>Dennis V. Arriola</w:t>
            </w:r>
          </w:p>
        </w:tc>
        <w:tc>
          <w:tcPr>
            <w:tcW w:w="247" w:type="dxa"/>
            <w:tcBorders/>
            <w:shd w:fill="E5E5E5" w:val="clear"/>
            <w:vAlign w:val="bottom"/>
          </w:tcPr>
          <w:p>
            <w:pPr>
              <w:pStyle w:val="TableContents"/>
              <w:spacing w:before="0" w:after="283"/>
              <w:rPr/>
            </w:pPr>
            <w:r>
              <w:rPr/>
              <w:t>  </w:t>
            </w:r>
          </w:p>
        </w:tc>
        <w:tc>
          <w:tcPr>
            <w:tcW w:w="224"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430,569</w:t>
            </w:r>
          </w:p>
        </w:tc>
        <w:tc>
          <w:tcPr>
            <w:tcW w:w="60" w:type="dxa"/>
            <w:tcBorders/>
            <w:shd w:fill="E5E5E5" w:val="clear"/>
            <w:vAlign w:val="bottom"/>
          </w:tcPr>
          <w:p>
            <w:pPr>
              <w:pStyle w:val="TableContents"/>
              <w:spacing w:lineRule="atLeast" w:line="240" w:before="0" w:after="0"/>
              <w:rPr/>
            </w:pPr>
            <w:r>
              <w:rPr/>
              <w:t> </w:t>
            </w:r>
          </w:p>
        </w:tc>
        <w:tc>
          <w:tcPr>
            <w:tcW w:w="247" w:type="dxa"/>
            <w:tcBorders/>
            <w:shd w:fill="E5E5E5" w:val="clear"/>
            <w:vAlign w:val="bottom"/>
          </w:tcPr>
          <w:p>
            <w:pPr>
              <w:pStyle w:val="TableContents"/>
              <w:spacing w:before="0" w:after="283"/>
              <w:rPr/>
            </w:pPr>
            <w:r>
              <w:rPr/>
              <w:t>  </w:t>
            </w:r>
          </w:p>
        </w:tc>
        <w:tc>
          <w:tcPr>
            <w:tcW w:w="224"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44,700</w:t>
            </w:r>
          </w:p>
        </w:tc>
        <w:tc>
          <w:tcPr>
            <w:tcW w:w="60" w:type="dxa"/>
            <w:tcBorders/>
            <w:shd w:fill="E5E5E5" w:val="clear"/>
            <w:vAlign w:val="bottom"/>
          </w:tcPr>
          <w:p>
            <w:pPr>
              <w:pStyle w:val="TableContents"/>
              <w:spacing w:lineRule="atLeast" w:line="240" w:before="0" w:after="0"/>
              <w:rPr/>
            </w:pPr>
            <w:r>
              <w:rPr/>
              <w:t> </w:t>
            </w:r>
          </w:p>
        </w:tc>
        <w:tc>
          <w:tcPr>
            <w:tcW w:w="247" w:type="dxa"/>
            <w:tcBorders/>
            <w:shd w:fill="E5E5E5" w:val="clear"/>
            <w:vAlign w:val="bottom"/>
          </w:tcPr>
          <w:p>
            <w:pPr>
              <w:pStyle w:val="TableContents"/>
              <w:spacing w:before="0" w:after="283"/>
              <w:rPr/>
            </w:pPr>
            <w:r>
              <w:rPr/>
              <w:t>  </w:t>
            </w:r>
          </w:p>
        </w:tc>
        <w:tc>
          <w:tcPr>
            <w:tcW w:w="138"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935"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1,012,277</w:t>
            </w:r>
          </w:p>
        </w:tc>
        <w:tc>
          <w:tcPr>
            <w:tcW w:w="125" w:type="dxa"/>
            <w:tcBorders/>
            <w:shd w:fill="E5E5E5" w:val="clear"/>
            <w:vAlign w:val="bottom"/>
          </w:tcPr>
          <w:p>
            <w:pPr>
              <w:pStyle w:val="TableContents"/>
              <w:spacing w:lineRule="atLeast" w:line="240" w:before="0" w:after="0"/>
              <w:rPr/>
            </w:pPr>
            <w:r>
              <w:rPr/>
              <w:t> </w:t>
            </w:r>
          </w:p>
        </w:tc>
        <w:tc>
          <w:tcPr>
            <w:tcW w:w="197" w:type="dxa"/>
            <w:tcBorders/>
            <w:shd w:fill="E5E5E5" w:val="clear"/>
            <w:vAlign w:val="bottom"/>
          </w:tcPr>
          <w:p>
            <w:pPr>
              <w:pStyle w:val="TableContents"/>
              <w:spacing w:before="0" w:after="283"/>
              <w:rPr/>
            </w:pPr>
            <w:r>
              <w:rPr/>
              <w:t> </w:t>
            </w:r>
          </w:p>
        </w:tc>
        <w:tc>
          <w:tcPr>
            <w:tcW w:w="190" w:type="dxa"/>
            <w:tcBorders/>
            <w:shd w:fill="E5E5E5" w:val="clear"/>
            <w:vAlign w:val="bottom"/>
          </w:tcPr>
          <w:p>
            <w:pPr>
              <w:pStyle w:val="TableContents"/>
              <w:spacing w:lineRule="atLeast" w:line="240" w:before="0" w:after="0"/>
              <w:rPr/>
            </w:pPr>
            <w:r>
              <w:rPr/>
              <w:t> </w:t>
            </w:r>
          </w:p>
        </w:tc>
        <w:tc>
          <w:tcPr>
            <w:tcW w:w="1156"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w:t>
            </w:r>
          </w:p>
        </w:tc>
        <w:tc>
          <w:tcPr>
            <w:tcW w:w="125" w:type="dxa"/>
            <w:tcBorders/>
            <w:shd w:fill="E5E5E5" w:val="clear"/>
            <w:vAlign w:val="bottom"/>
          </w:tcPr>
          <w:p>
            <w:pPr>
              <w:pStyle w:val="TableContents"/>
              <w:spacing w:lineRule="atLeast" w:line="240" w:before="0" w:after="0"/>
              <w:rPr/>
            </w:pPr>
            <w:r>
              <w:rPr/>
              <w:t> </w:t>
            </w:r>
          </w:p>
        </w:tc>
        <w:tc>
          <w:tcPr>
            <w:tcW w:w="19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lineRule="atLeast" w:line="240" w:before="0" w:after="0"/>
              <w:rPr>
                <w:rFonts w:ascii="arial" w:hAnsi="arial"/>
                <w:sz w:val="16"/>
              </w:rPr>
            </w:pPr>
            <w:r>
              <w:rPr>
                <w:rFonts w:ascii="arial" w:hAnsi="arial"/>
                <w:sz w:val="16"/>
              </w:rPr>
              <w:t>$</w:t>
            </w:r>
          </w:p>
        </w:tc>
        <w:tc>
          <w:tcPr>
            <w:tcW w:w="982" w:type="dxa"/>
            <w:tcBorders/>
            <w:shd w:fill="E5E5E5" w:val="clear"/>
            <w:vAlign w:val="bottom"/>
          </w:tcPr>
          <w:p>
            <w:pPr>
              <w:pStyle w:val="TableContents"/>
              <w:spacing w:lineRule="atLeast" w:line="240" w:before="0" w:after="0"/>
              <w:jc w:val="right"/>
              <w:rPr>
                <w:rFonts w:ascii="arial" w:hAnsi="arial"/>
                <w:sz w:val="16"/>
              </w:rPr>
            </w:pPr>
            <w:r>
              <w:rPr>
                <w:rFonts w:ascii="arial" w:hAnsi="arial"/>
                <w:sz w:val="16"/>
              </w:rPr>
              <w:t>6,670,284</w:t>
            </w:r>
          </w:p>
        </w:tc>
        <w:tc>
          <w:tcPr>
            <w:tcW w:w="69" w:type="dxa"/>
            <w:tcBorders/>
            <w:shd w:fill="E5E5E5" w:val="clear"/>
            <w:vAlign w:val="bottom"/>
          </w:tcPr>
          <w:p>
            <w:pPr>
              <w:pStyle w:val="TableContents"/>
              <w:spacing w:lineRule="atLeast" w:line="240" w:before="0" w:after="0"/>
              <w:rPr/>
            </w:pPr>
            <w:r>
              <w:rPr/>
              <w:t> </w:t>
            </w:r>
          </w:p>
        </w:tc>
      </w:tr>
      <w:tr>
        <w:trPr/>
        <w:tc>
          <w:tcPr>
            <w:tcW w:w="2134" w:type="dxa"/>
            <w:tcBorders>
              <w:bottom w:val="single" w:sz="8" w:space="0" w:color="001C71"/>
            </w:tcBorders>
            <w:shd w:fill="auto" w:val="clear"/>
            <w:tcMar>
              <w:bottom w:w="28" w:type="dxa"/>
            </w:tcMar>
          </w:tcPr>
          <w:p>
            <w:pPr>
              <w:pStyle w:val="TableContents"/>
              <w:spacing w:lineRule="atLeast" w:line="240" w:before="0" w:after="0"/>
              <w:rPr>
                <w:rFonts w:ascii="arial" w:hAnsi="arial"/>
                <w:sz w:val="16"/>
              </w:rPr>
            </w:pPr>
            <w:r>
              <w:rPr>
                <w:rFonts w:ascii="arial" w:hAnsi="arial"/>
                <w:sz w:val="16"/>
              </w:rPr>
              <w:t>George W. Bilicic</w:t>
            </w:r>
          </w:p>
        </w:tc>
        <w:tc>
          <w:tcPr>
            <w:tcW w:w="247" w:type="dxa"/>
            <w:tcBorders>
              <w:bottom w:val="single" w:sz="8" w:space="0" w:color="001C71"/>
            </w:tcBorders>
            <w:shd w:fill="auto" w:val="clear"/>
            <w:tcMar>
              <w:bottom w:w="28" w:type="dxa"/>
            </w:tcMar>
            <w:vAlign w:val="bottom"/>
          </w:tcPr>
          <w:p>
            <w:pPr>
              <w:pStyle w:val="TableContents"/>
              <w:spacing w:before="0" w:after="283"/>
              <w:rPr/>
            </w:pPr>
            <w:r>
              <w:rPr/>
              <w:t>  </w:t>
            </w:r>
          </w:p>
        </w:tc>
        <w:tc>
          <w:tcPr>
            <w:tcW w:w="224"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1254"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203,791</w:t>
            </w:r>
          </w:p>
        </w:tc>
        <w:tc>
          <w:tcPr>
            <w:tcW w:w="6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247" w:type="dxa"/>
            <w:tcBorders>
              <w:bottom w:val="single" w:sz="8" w:space="0" w:color="001C71"/>
            </w:tcBorders>
            <w:shd w:fill="auto" w:val="clear"/>
            <w:tcMar>
              <w:bottom w:w="28" w:type="dxa"/>
            </w:tcMar>
            <w:vAlign w:val="bottom"/>
          </w:tcPr>
          <w:p>
            <w:pPr>
              <w:pStyle w:val="TableContents"/>
              <w:spacing w:before="0" w:after="283"/>
              <w:rPr/>
            </w:pPr>
            <w:r>
              <w:rPr/>
              <w:t>  </w:t>
            </w:r>
          </w:p>
        </w:tc>
        <w:tc>
          <w:tcPr>
            <w:tcW w:w="224"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1254"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6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247" w:type="dxa"/>
            <w:tcBorders>
              <w:bottom w:val="single" w:sz="8" w:space="0" w:color="001C71"/>
            </w:tcBorders>
            <w:shd w:fill="auto" w:val="clear"/>
            <w:tcMar>
              <w:bottom w:w="28" w:type="dxa"/>
            </w:tcMar>
            <w:vAlign w:val="bottom"/>
          </w:tcPr>
          <w:p>
            <w:pPr>
              <w:pStyle w:val="TableContents"/>
              <w:spacing w:before="0" w:after="283"/>
              <w:rPr/>
            </w:pPr>
            <w:r>
              <w:rPr/>
              <w:t>  </w:t>
            </w:r>
          </w:p>
        </w:tc>
        <w:tc>
          <w:tcPr>
            <w:tcW w:w="138"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935"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8,618</w:t>
            </w:r>
          </w:p>
        </w:tc>
        <w:tc>
          <w:tcPr>
            <w:tcW w:w="125"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197" w:type="dxa"/>
            <w:tcBorders>
              <w:bottom w:val="single" w:sz="8" w:space="0" w:color="001C71"/>
            </w:tcBorders>
            <w:shd w:fill="auto" w:val="clear"/>
            <w:tcMar>
              <w:bottom w:w="28" w:type="dxa"/>
            </w:tcMar>
            <w:vAlign w:val="bottom"/>
          </w:tcPr>
          <w:p>
            <w:pPr>
              <w:pStyle w:val="TableContents"/>
              <w:spacing w:before="0" w:after="283"/>
              <w:rPr/>
            </w:pPr>
            <w:r>
              <w:rPr/>
              <w:t> </w:t>
            </w:r>
          </w:p>
        </w:tc>
        <w:tc>
          <w:tcPr>
            <w:tcW w:w="190"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1156"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w:t>
            </w:r>
          </w:p>
        </w:tc>
        <w:tc>
          <w:tcPr>
            <w:tcW w:w="125"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c>
          <w:tcPr>
            <w:tcW w:w="197" w:type="dxa"/>
            <w:tcBorders>
              <w:bottom w:val="single" w:sz="8" w:space="0" w:color="001C71"/>
            </w:tcBorders>
            <w:shd w:fill="auto" w:val="clear"/>
            <w:tcMar>
              <w:bottom w:w="28" w:type="dxa"/>
            </w:tcMar>
            <w:vAlign w:val="bottom"/>
          </w:tcPr>
          <w:p>
            <w:pPr>
              <w:pStyle w:val="TableContents"/>
              <w:spacing w:before="0" w:after="283"/>
              <w:rPr/>
            </w:pPr>
            <w:r>
              <w:rPr/>
              <w:t> </w:t>
            </w:r>
          </w:p>
        </w:tc>
        <w:tc>
          <w:tcPr>
            <w:tcW w:w="140" w:type="dxa"/>
            <w:tcBorders>
              <w:bottom w:val="single" w:sz="8" w:space="0" w:color="001C71"/>
            </w:tcBorders>
            <w:shd w:fill="auto" w:val="clear"/>
            <w:tcMar>
              <w:bottom w:w="28" w:type="dxa"/>
            </w:tcMar>
            <w:vAlign w:val="bottom"/>
          </w:tcPr>
          <w:p>
            <w:pPr>
              <w:pStyle w:val="TableContents"/>
              <w:spacing w:lineRule="atLeast" w:line="240" w:before="0" w:after="0"/>
              <w:rPr>
                <w:rFonts w:ascii="arial" w:hAnsi="arial"/>
                <w:sz w:val="16"/>
              </w:rPr>
            </w:pPr>
            <w:r>
              <w:rPr>
                <w:rFonts w:ascii="arial" w:hAnsi="arial"/>
                <w:sz w:val="16"/>
              </w:rPr>
              <w:t>$</w:t>
            </w:r>
          </w:p>
        </w:tc>
        <w:tc>
          <w:tcPr>
            <w:tcW w:w="982" w:type="dxa"/>
            <w:tcBorders>
              <w:bottom w:val="single" w:sz="8" w:space="0" w:color="001C71"/>
            </w:tcBorders>
            <w:shd w:fill="auto" w:val="clear"/>
            <w:tcMar>
              <w:bottom w:w="28" w:type="dxa"/>
            </w:tcMar>
            <w:vAlign w:val="bottom"/>
          </w:tcPr>
          <w:p>
            <w:pPr>
              <w:pStyle w:val="TableContents"/>
              <w:spacing w:lineRule="atLeast" w:line="240" w:before="0" w:after="0"/>
              <w:jc w:val="right"/>
              <w:rPr>
                <w:rFonts w:ascii="arial" w:hAnsi="arial"/>
                <w:sz w:val="16"/>
              </w:rPr>
            </w:pPr>
            <w:r>
              <w:rPr>
                <w:rFonts w:ascii="arial" w:hAnsi="arial"/>
                <w:sz w:val="16"/>
              </w:rPr>
              <w:t>212,409</w:t>
            </w:r>
          </w:p>
        </w:tc>
        <w:tc>
          <w:tcPr>
            <w:tcW w:w="69" w:type="dxa"/>
            <w:tcBorders>
              <w:bottom w:val="single" w:sz="8" w:space="0" w:color="001C71"/>
            </w:tcBorders>
            <w:shd w:fill="auto" w:val="clear"/>
            <w:tcMar>
              <w:bottom w:w="28" w:type="dxa"/>
            </w:tcMar>
            <w:vAlign w:val="bottom"/>
          </w:tcPr>
          <w:p>
            <w:pPr>
              <w:pStyle w:val="TableContents"/>
              <w:spacing w:lineRule="atLeast" w:line="240" w:before="0" w:after="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Executive contributions consist of deferrals of salary and performance-based annual bonus that also are reported as compensation in the 2020 Summary Compensation Table. Timing differences between reporting bonus compensation in the 2020 Summary Compensation Table (which reports bonus amounts in the year for which they were earned) and related deferral dates (the date on which the bonuses would have been paid to the executive) may in any year result in lesser or greater amounts reported as executive contributions in this table than the amounts that have been reported as compensation for the same year in the 2020 Summary Compensation Table. Executive contributions in 2020 that are also included as 2020 salary reported in the 2020 Summary Compensation Table total $269,077 for Mr. Martin; $188,596 for Mr. Mihalik; $66,161 for Mr. Sagara; $23,240 for Mr. Wall; $132,099 for Mr. Arriola and $203,791 for Mr. Bilicic. Deferrals of the 2020 performance-based annual bonus that was paid on March 11, 2021 are not included in this table.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(B)</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Company contributions are equal to one-half of the first 6% of the employees contributions plus one-fifth of the next 5% of the employees contributions less an offset for 401(k) matching contributions.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(C)</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Earnings are measured as the difference in deferred account balances between the beginning and the end of the year minus executive and company contributions and any distributions during the year. Earnings consisting of above-market interest are also reported in the 2020 Summary Compensation Table. Excluding above-market interest, earnings (or losses) for 2020 were ($303,909) for Mr. Martin; ($13,912) for Mr. Mihalik; $76,966 for Mr. Sagara; $1,956 for Mr. Wall; $991,025 for Mr. Arriola and $5,847 for Mr. Bilicic. These earnings are not reported in the 2020 Summary Compensation Table.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82</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(D)</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Mr. Mihalik received an in-service payment of nonqualified deferred compensation in the amount of $194,865 during the year ended December 31,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(E)</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Year-end balances consist of executive and company contributions and earnings on contributed amounts. All contributions and all earnings that consist of above-market interest have been included in the 2020 Summary Compensation Table for 2020 or prior years. Such aggregate amounts (other than the 2017 bonus paid in 2018) reported in the 2020 Summary Compensation Table for fiscal years 2018, 2019 and 2020 are $1,863,789 for Mr. Martin; $991,533 for Mr. Mihalik; $365,382 for Mr. Sagara; $53,481 for Mr. Wall; $1,774,076 for Mr. Arriola and $206,563 for Mr. Bilicic. These amounts do not include the portion of the 2020 performance-based annual bonus deferred in 2021 but do include the portion of the 2017 performance-based annual bonus deferred in 2018. </w:t>
            </w:r>
          </w:p>
        </w:tc>
      </w:tr>
    </w:tbl>
    <w:p>
      <w:pPr>
        <w:pStyle w:val="TextBody"/>
        <w:spacing w:before="360" w:after="0"/>
        <w:jc w:val="left"/>
        <w:rPr>
          <w:rFonts w:ascii="arial" w:hAnsi="arial"/>
          <w:sz w:val="28"/>
        </w:rPr>
      </w:pPr>
      <w:r>
        <w:rPr>
          <w:rFonts w:ascii="arial" w:hAnsi="arial"/>
          <w:sz w:val="28"/>
        </w:rPr>
        <w:t xml:space="preserve">Severance and Change in Control Benefits </w:t>
      </w:r>
    </w:p>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We have a severance pay agreement with each of our named executive officers. Each agreement is for a three-year term and is automatically extended for an additional year upon each agreements anniversary unless we or the executive elect not to extend the term. </w:t>
      </w:r>
    </w:p>
    <w:p>
      <w:pPr>
        <w:pStyle w:val="TextBody"/>
        <w:spacing w:before="160" w:after="0"/>
        <w:jc w:val="left"/>
        <w:rPr>
          <w:rFonts w:ascii="arial" w:hAnsi="arial"/>
          <w:sz w:val="16"/>
        </w:rPr>
      </w:pPr>
      <w:r>
        <w:rPr>
          <w:rFonts w:ascii="arial" w:hAnsi="arial"/>
          <w:sz w:val="16"/>
        </w:rPr>
        <w:t xml:space="preserve">The severance pay agreements provide executives with severance benefits in the event that we were to terminate the executives employment during the agreements term for reasons other than cause or as a result of death or disability, or the executive were to do so for good reason. The nature and amount of the severance benefits vary depending on the executives position, and increased benefits are provided if, upon termination, the executive enters into an agreement with the company to provide consulting services for two years and agrees to abide by certain covenants regarding non-solicitation of employees and information confidentiality. Additional benefits also are provided if the termination of employment were to occur within two years following a change in control of the company. </w:t>
      </w:r>
    </w:p>
    <w:p>
      <w:pPr>
        <w:pStyle w:val="TextBody"/>
        <w:spacing w:before="160" w:after="0"/>
        <w:jc w:val="left"/>
        <w:rPr>
          <w:rFonts w:ascii="arial" w:hAnsi="arial"/>
          <w:sz w:val="16"/>
        </w:rPr>
      </w:pPr>
      <w:r>
        <w:rPr>
          <w:rFonts w:ascii="arial" w:hAnsi="arial"/>
          <w:sz w:val="16"/>
        </w:rPr>
        <w:t xml:space="preserve">The definitions of cause and good reason vary depending on whether the termination of employment occurs following a change in control of the company. However, cause is generally defined to include a willful and continued failure by the executive to perform his or her duties to the company, and good reason is generally defined to include adverse changes in the executives responsibilities, compensation and benefit opportunities and, following a change in control, certain changes in employment location. A change in control is defined in the agreements to generally include events resulting in a change in the effective control of the company or a change in the ownership of a substantial portion of the companys assets. </w:t>
      </w:r>
    </w:p>
    <w:p>
      <w:pPr>
        <w:pStyle w:val="TextBody"/>
        <w:spacing w:before="160" w:after="0"/>
        <w:jc w:val="left"/>
        <w:rPr>
          <w:rFonts w:ascii="arial" w:hAnsi="arial"/>
          <w:sz w:val="16"/>
        </w:rPr>
      </w:pPr>
      <w:r>
        <w:rPr>
          <w:rFonts w:ascii="arial" w:hAnsi="arial"/>
          <w:sz w:val="16"/>
        </w:rPr>
        <w:t xml:space="preserve">Awards granted under our 2013 Long-Term Incentive Plan and 2019 Long-Term Incentive Plan include a double trigger provision for vesting of equity in connection with a change in control. Restricted stock unit and stock option awards issued to date under the 2013 Long-Term Incentive Plan and 2019 Long-Term Incentive Plan provide for continuation following a change in control through the new companys assumption of the awards or the issuance of replacement awards. Replacement awards must meet certain criteria, which are described in Article 16 of the 2013 Long-Term Incentive Plan and Article 14 of the 2019 Long-Term Incentive Plan. If awards are not assumed or replaced, or if an employee is eligible for retirement (age 55 or older with five or more years of service) as of the date of the change in control, awards would vest upon the change in control. If such awards are subject to performance-based vesting, such awards vest at the greater of the target performance level or the actual performance level had the performance period ended on the last day of the calendar year immediately preceding the date of the change in control (or, for awards based on total shareholder return, had the performance period ended on the date of the change in control). Messrs. Martin, Sagara and Arriola have attained age 55 and completed at least five years of service (or, for Mr. Arriola, had achieved such criteria as of his separation from service). Also, any outstanding awards would immediately vest upon an executives involuntary termination other than for cause, termination for good reason, death, disability or retirement, in each case during the three-year period following a change in control. Service-based awards also vest upon an executives death. </w:t>
      </w:r>
    </w:p>
    <w:p>
      <w:pPr>
        <w:pStyle w:val="TextBody"/>
        <w:spacing w:before="160" w:after="0"/>
        <w:jc w:val="left"/>
        <w:rPr>
          <w:rFonts w:ascii="arial" w:hAnsi="arial"/>
          <w:sz w:val="16"/>
        </w:rPr>
      </w:pPr>
      <w:r>
        <w:rPr>
          <w:rFonts w:ascii="arial" w:hAnsi="arial"/>
          <w:sz w:val="16"/>
        </w:rPr>
        <w:t xml:space="preserve">With respect to performance-based awards and stock options, if an executives employment is terminated after the executive has attained age 55 and completed five years of service (and the termination is other than for cause), and the termination occurs after completion of one year of the applicable performance or service period (or after November 30th of the year in which the grant was made if the executive has attained age 62), the executives award is not forfeited as a result of the termination of employment. Performance-based awards continue to be subject to forfeiture based on the extent to which the related performance goals have been satisfied at the end of the applicable performance period. Stock options remain exercisable (subject to the awards vesting conditions) until the earlier of the third anniversary of the executives termination date (fifth anniversary if the executive has attained age 62) or the end of its ten-year term. </w:t>
      </w:r>
    </w:p>
    <w:p>
      <w:pPr>
        <w:pStyle w:val="TextBody"/>
        <w:spacing w:before="160" w:after="0"/>
        <w:jc w:val="left"/>
        <w:rPr>
          <w:rFonts w:ascii="arial" w:hAnsi="arial"/>
          <w:sz w:val="16"/>
        </w:rPr>
      </w:pPr>
      <w:r>
        <w:rPr>
          <w:rFonts w:ascii="arial" w:hAnsi="arial"/>
          <w:sz w:val="16"/>
        </w:rPr>
        <w:t xml:space="preserve">If an executives employment is terminated and the executive has not met the retirement eligibility criteria specified in the award agreement or the termination is for cause, performance-based awards and unvested options are forfeited. Vested options expire on the 90th day following termination of employment. If an executives employment is terminated by reason of death, the option remains exercisable until the earlier of the third anniversary of the executives death or the end of its ten-year term. With respect to service-based awards, if an executives employment is terminated during the service period, the award is forfeited, subject to earlier vesting upon a change in control of Sempra Energy, the death of the executive, at the discretion of the Compensation and Talent Development Committee or as otherwise provided in connection with the grant of the award.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83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We summarize below the benefits each of our named executive officers set forth in the 2020 Summary Compensation Table (other than Messrs. Arriola and Bilicic) would have been entitled to receive had we terminated his employment (other than for cause, death or disability) at December 31, 2020, or had the executive done so for good reason on that date, and the benefits each executive (other than Messrs. Arriola and Bilicic) would have been entitled to receive had such termination occurred within two years following a change in control of the company (or within three years for purposes of certain equity award acceleration, and assuming such awards were assumed or replaced in such change in control). These amounts assume the executive had entered into a two-year consulting, non-solicitation and confidentiality agreement providing for enhanced severance. We also show the benefits that each executive (other than Messrs. Arriola and Bilicic) would have been entitled to receive in the event of his death on December 31, 2020. In addition, we show the benefits that each executive (other than Mr. Bilicic) would have been entitled to receive (accelerated vesting of restricted stock units and stock options) had a change in control of the company occurred on December 31, 2020, whether or not accompanied or followed by a termination of the executives employment. Because Mr. Arriola retired prior to December 31, 2020, he would only have been eligible for benefits upon a change in control, as reflected in the table below. For Mr. Bilicic, the table summarizes the benefits paid and payable pursuant to his severance pay agreement following his separation for good reason effective March 30,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84</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color w:val="001C71"/>
          <w:sz w:val="16"/>
        </w:rPr>
      </w:pPr>
      <w:r>
        <w:rPr>
          <w:rFonts w:ascii="arial" w:hAnsi="arial"/>
          <w:color w:val="001C71"/>
          <w:sz w:val="16"/>
        </w:rPr>
        <w:t xml:space="preserve">SEVERANCE AND CHANGE IN CONTROL BENEFITS </w:t>
      </w:r>
    </w:p>
    <w:p>
      <w:pPr>
        <w:pStyle w:val="TextBody"/>
        <w:spacing w:before="0" w:after="0"/>
        <w:jc w:val="left"/>
        <w:rPr/>
      </w:pPr>
      <w:r>
        <w:rPr/>
        <w:t> </w:t>
      </w:r>
    </w:p>
    <w:tbl>
      <w:tblPr>
        <w:tblW w:w="11741" w:type="dxa"/>
        <w:jc w:val="center"/>
        <w:tblInd w:w="0" w:type="dxa"/>
        <w:tblCellMar>
          <w:top w:w="0" w:type="dxa"/>
          <w:left w:w="0" w:type="dxa"/>
          <w:bottom w:w="0" w:type="dxa"/>
          <w:right w:w="0" w:type="dxa"/>
        </w:tblCellMar>
      </w:tblPr>
      <w:tblGrid>
        <w:gridCol w:w="3080"/>
        <w:gridCol w:w="120"/>
        <w:gridCol w:w="219"/>
        <w:gridCol w:w="1526"/>
        <w:gridCol w:w="84"/>
        <w:gridCol w:w="168"/>
        <w:gridCol w:w="196"/>
        <w:gridCol w:w="1547"/>
        <w:gridCol w:w="84"/>
        <w:gridCol w:w="168"/>
        <w:gridCol w:w="196"/>
        <w:gridCol w:w="1553"/>
        <w:gridCol w:w="410"/>
        <w:gridCol w:w="60"/>
        <w:gridCol w:w="255"/>
        <w:gridCol w:w="2015"/>
        <w:gridCol w:w="60"/>
      </w:tblGrid>
      <w:tr>
        <w:trPr/>
        <w:tc>
          <w:tcPr>
            <w:tcW w:w="3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741" w:type="dxa"/>
            <w:gridSpan w:val="10"/>
            <w:tcBorders>
              <w:bottom w:val="single" w:sz="2" w:space="0" w:color="001C71"/>
            </w:tcBorders>
            <w:shd w:fill="auto" w:val="clear"/>
            <w:tcMar>
              <w:bottom w:w="28" w:type="dxa"/>
            </w:tcMar>
            <w:vAlign w:val="bottom"/>
          </w:tcPr>
          <w:p>
            <w:pPr>
              <w:pStyle w:val="TableContents"/>
              <w:spacing w:before="0" w:after="283"/>
              <w:jc w:val="center"/>
              <w:rPr>
                <w:b/>
                <w:color w:val="001C71"/>
              </w:rPr>
            </w:pPr>
            <w:r>
              <w:rPr>
                <w:b/>
                <w:color w:val="001C71"/>
              </w:rPr>
              <w:t>Termination of Employment by the Company Without</w:t>
              <w:br/>
              <w:t>Cause or by the Executive  Officer for Good Reason or Death</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0" w:type="dxa"/>
            <w:gridSpan w:val="2"/>
            <w:tcBorders>
              <w:bottom w:val="single" w:sz="2" w:space="0" w:color="001C71"/>
            </w:tcBorders>
            <w:shd w:fill="auto" w:val="clear"/>
            <w:tcMar>
              <w:bottom w:w="28" w:type="dxa"/>
            </w:tcMar>
            <w:vAlign w:val="bottom"/>
          </w:tcPr>
          <w:p>
            <w:pPr>
              <w:pStyle w:val="TableContents"/>
              <w:spacing w:before="0" w:after="283"/>
              <w:jc w:val="center"/>
              <w:rPr>
                <w:b/>
                <w:color w:val="001C71"/>
              </w:rPr>
            </w:pPr>
            <w:r>
              <w:rPr>
                <w:b/>
                <w:color w:val="001C71"/>
              </w:rPr>
              <w:t>Change in</w:t>
              <w:br/>
              <w:t>Control Only</w:t>
            </w:r>
          </w:p>
        </w:tc>
        <w:tc>
          <w:tcPr>
            <w:tcW w:w="60" w:type="dxa"/>
            <w:tcBorders/>
            <w:shd w:fill="auto" w:val="cle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bottom w:val="single" w:sz="12" w:space="0" w:color="001C71"/>
            </w:tcBorders>
            <w:shd w:fill="auto" w:val="clear"/>
            <w:tcMar>
              <w:bottom w:w="28" w:type="dxa"/>
            </w:tcMar>
            <w:vAlign w:val="bottom"/>
          </w:tcPr>
          <w:p>
            <w:pPr>
              <w:pStyle w:val="TableContents"/>
              <w:spacing w:before="0" w:after="283"/>
              <w:rPr/>
            </w:pPr>
            <w:r>
              <w:rPr/>
              <w:t>  </w:t>
            </w:r>
          </w:p>
        </w:tc>
        <w:tc>
          <w:tcPr>
            <w:tcW w:w="120" w:type="dxa"/>
            <w:tcBorders>
              <w:bottom w:val="single" w:sz="12" w:space="0" w:color="001C71"/>
            </w:tcBorders>
            <w:shd w:fill="auto" w:val="clear"/>
            <w:tcMar>
              <w:bottom w:w="28" w:type="dxa"/>
            </w:tcMar>
            <w:vAlign w:val="bottom"/>
          </w:tcPr>
          <w:p>
            <w:pPr>
              <w:pStyle w:val="TableContents"/>
              <w:spacing w:before="0" w:after="283"/>
              <w:rPr/>
            </w:pPr>
            <w:r>
              <w:rPr/>
              <w:t>  </w:t>
            </w:r>
          </w:p>
        </w:tc>
        <w:tc>
          <w:tcPr>
            <w:tcW w:w="1745"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Unrelated to a</w:t>
            </w:r>
          </w:p>
          <w:p>
            <w:pPr>
              <w:pStyle w:val="TableContents"/>
              <w:spacing w:before="0" w:after="20"/>
              <w:jc w:val="center"/>
              <w:rPr>
                <w:color w:val="001C71"/>
              </w:rPr>
            </w:pPr>
            <w:r>
              <w:rPr>
                <w:color w:val="001C71"/>
              </w:rPr>
              <w:t>    </w:t>
            </w:r>
            <w:r>
              <w:rPr>
                <w:rFonts w:ascii="arial" w:hAnsi="arial"/>
                <w:b/>
                <w:color w:val="001C71"/>
                <w:sz w:val="15"/>
              </w:rPr>
              <w:t>Change in Control    </w:t>
            </w:r>
          </w:p>
        </w:tc>
        <w:tc>
          <w:tcPr>
            <w:tcW w:w="84" w:type="dxa"/>
            <w:tcBorders>
              <w:bottom w:val="single" w:sz="12" w:space="0" w:color="001C71"/>
            </w:tcBorders>
            <w:shd w:fill="auto" w:val="clear"/>
            <w:tcMar>
              <w:bottom w:w="28" w:type="dxa"/>
            </w:tcMar>
            <w:vAlign w:val="bottom"/>
          </w:tcPr>
          <w:p>
            <w:pPr>
              <w:pStyle w:val="TableContents"/>
              <w:spacing w:before="0" w:after="283"/>
              <w:rPr/>
            </w:pPr>
            <w:r>
              <w:rPr/>
              <w:t> </w:t>
            </w:r>
          </w:p>
        </w:tc>
        <w:tc>
          <w:tcPr>
            <w:tcW w:w="168" w:type="dxa"/>
            <w:tcBorders>
              <w:bottom w:val="single" w:sz="12" w:space="0" w:color="001C71"/>
            </w:tcBorders>
            <w:shd w:fill="auto" w:val="clear"/>
            <w:tcMar>
              <w:bottom w:w="28" w:type="dxa"/>
            </w:tcMar>
            <w:vAlign w:val="bottom"/>
          </w:tcPr>
          <w:p>
            <w:pPr>
              <w:pStyle w:val="TableContents"/>
              <w:spacing w:before="0" w:after="283"/>
              <w:rPr/>
            </w:pPr>
            <w:r>
              <w:rPr/>
              <w:t>  </w:t>
            </w:r>
          </w:p>
        </w:tc>
        <w:tc>
          <w:tcPr>
            <w:tcW w:w="1743"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Change in</w:t>
            </w:r>
          </w:p>
          <w:p>
            <w:pPr>
              <w:pStyle w:val="TableContents"/>
              <w:spacing w:before="0" w:after="20"/>
              <w:jc w:val="center"/>
              <w:rPr>
                <w:color w:val="001C71"/>
              </w:rPr>
            </w:pPr>
            <w:r>
              <w:rPr>
                <w:color w:val="001C71"/>
              </w:rPr>
              <w:t>    </w:t>
            </w:r>
            <w:r>
              <w:rPr>
                <w:rFonts w:ascii="arial" w:hAnsi="arial"/>
                <w:b/>
                <w:color w:val="001C71"/>
                <w:sz w:val="15"/>
              </w:rPr>
              <w:t>Control    </w:t>
            </w:r>
          </w:p>
        </w:tc>
        <w:tc>
          <w:tcPr>
            <w:tcW w:w="84" w:type="dxa"/>
            <w:tcBorders>
              <w:bottom w:val="single" w:sz="12" w:space="0" w:color="001C71"/>
            </w:tcBorders>
            <w:shd w:fill="auto" w:val="clear"/>
            <w:tcMar>
              <w:bottom w:w="28" w:type="dxa"/>
            </w:tcMar>
            <w:vAlign w:val="bottom"/>
          </w:tcPr>
          <w:p>
            <w:pPr>
              <w:pStyle w:val="TableContents"/>
              <w:spacing w:before="0" w:after="283"/>
              <w:rPr/>
            </w:pPr>
            <w:r>
              <w:rPr/>
              <w:t> </w:t>
            </w:r>
          </w:p>
        </w:tc>
        <w:tc>
          <w:tcPr>
            <w:tcW w:w="168" w:type="dxa"/>
            <w:tcBorders>
              <w:bottom w:val="single" w:sz="12" w:space="0" w:color="001C71"/>
            </w:tcBorders>
            <w:shd w:fill="auto" w:val="clear"/>
            <w:tcMar>
              <w:bottom w:w="28" w:type="dxa"/>
            </w:tcMar>
            <w:vAlign w:val="bottom"/>
          </w:tcPr>
          <w:p>
            <w:pPr>
              <w:pStyle w:val="TableContents"/>
              <w:spacing w:before="0" w:after="283"/>
              <w:rPr/>
            </w:pPr>
            <w:r>
              <w:rPr/>
              <w:t>  </w:t>
            </w:r>
          </w:p>
        </w:tc>
        <w:tc>
          <w:tcPr>
            <w:tcW w:w="1749" w:type="dxa"/>
            <w:gridSpan w:val="2"/>
            <w:tcBorders>
              <w:bottom w:val="single" w:sz="12" w:space="0" w:color="001C71"/>
            </w:tcBorders>
            <w:shd w:fill="auto" w:val="clear"/>
            <w:tcMar>
              <w:bottom w:w="28" w:type="dxa"/>
            </w:tcMar>
            <w:vAlign w:val="bottom"/>
          </w:tcPr>
          <w:p>
            <w:pPr>
              <w:pStyle w:val="TableContents"/>
              <w:spacing w:before="0" w:after="0"/>
              <w:jc w:val="center"/>
              <w:rPr>
                <w:rFonts w:ascii="arial" w:hAnsi="arial"/>
                <w:b/>
                <w:color w:val="001C71"/>
                <w:sz w:val="15"/>
              </w:rPr>
            </w:pPr>
            <w:r>
              <w:rPr>
                <w:rFonts w:ascii="arial" w:hAnsi="arial"/>
                <w:b/>
                <w:color w:val="001C71"/>
                <w:sz w:val="15"/>
              </w:rPr>
              <w:t>Resulting</w:t>
            </w:r>
          </w:p>
          <w:p>
            <w:pPr>
              <w:pStyle w:val="TableContents"/>
              <w:spacing w:before="0" w:after="20"/>
              <w:jc w:val="center"/>
              <w:rPr>
                <w:color w:val="001C71"/>
              </w:rPr>
            </w:pPr>
            <w:r>
              <w:rPr>
                <w:color w:val="001C71"/>
              </w:rPr>
              <w:t>    </w:t>
            </w:r>
            <w:r>
              <w:rPr>
                <w:rFonts w:ascii="arial" w:hAnsi="arial"/>
                <w:b/>
                <w:color w:val="001C71"/>
                <w:sz w:val="15"/>
              </w:rPr>
              <w:t>from Death    </w:t>
            </w:r>
          </w:p>
        </w:tc>
        <w:tc>
          <w:tcPr>
            <w:tcW w:w="410" w:type="dxa"/>
            <w:tcBorders>
              <w:bottom w:val="single" w:sz="12" w:space="0" w:color="001C71"/>
            </w:tcBorders>
            <w:shd w:fill="auto" w:val="clear"/>
            <w:tcMar>
              <w:bottom w:w="28" w:type="dxa"/>
            </w:tcMar>
            <w:vAlign w:val="bottom"/>
          </w:tcPr>
          <w:p>
            <w:pPr>
              <w:pStyle w:val="TableContents"/>
              <w:spacing w:before="0" w:after="283"/>
              <w:rPr/>
            </w:pPr>
            <w:r>
              <w:rPr/>
              <w:t> </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c>
          <w:tcPr>
            <w:tcW w:w="2270" w:type="dxa"/>
            <w:gridSpan w:val="2"/>
            <w:tcBorders>
              <w:bottom w:val="single" w:sz="12" w:space="0" w:color="001C71"/>
            </w:tcBorders>
            <w:shd w:fill="auto" w:val="clear"/>
            <w:tcMar>
              <w:bottom w:w="28" w:type="dxa"/>
            </w:tcMar>
            <w:vAlign w:val="bottom"/>
          </w:tcPr>
          <w:p>
            <w:pPr>
              <w:pStyle w:val="TableContents"/>
              <w:spacing w:before="0" w:after="283"/>
              <w:jc w:val="center"/>
              <w:rPr>
                <w:b/>
                <w:color w:val="001C71"/>
              </w:rPr>
            </w:pPr>
            <w:r>
              <w:rPr>
                <w:b/>
                <w:color w:val="001C71"/>
              </w:rPr>
              <w:t>(Without Termination</w:t>
              <w:br/>
              <w:t>of Employment)</w:t>
            </w:r>
          </w:p>
        </w:tc>
        <w:tc>
          <w:tcPr>
            <w:tcW w:w="60" w:type="dxa"/>
            <w:tcBorders>
              <w:bottom w:val="single" w:sz="12" w:space="0" w:color="001C71"/>
            </w:tcBorders>
            <w:shd w:fill="auto" w:val="clear"/>
            <w:tcMar>
              <w:bottom w:w="28" w:type="dxa"/>
            </w:tcMar>
            <w:vAlign w:val="bottom"/>
          </w:tcPr>
          <w:p>
            <w:pPr>
              <w:pStyle w:val="TableContents"/>
              <w:spacing w:before="0" w:after="283"/>
              <w:rPr/>
            </w:pPr>
            <w:r>
              <w:rPr/>
              <w:t> </w:t>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b/>
                <w:sz w:val="16"/>
              </w:rPr>
            </w:pPr>
            <w:r>
              <w:rPr>
                <w:rFonts w:ascii="arial" w:hAnsi="arial"/>
                <w:b/>
                <w:sz w:val="16"/>
              </w:rPr>
              <w:t>Jeffrey W. Martin</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Lump Sum Cash Payment (A)</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w:t>
            </w:r>
          </w:p>
        </w:tc>
        <w:tc>
          <w:tcPr>
            <w:tcW w:w="1526" w:type="dxa"/>
            <w:tcBorders/>
            <w:shd w:fill="auto" w:val="clear"/>
            <w:vAlign w:val="bottom"/>
          </w:tcPr>
          <w:p>
            <w:pPr>
              <w:pStyle w:val="TableContents"/>
              <w:spacing w:before="0" w:after="283"/>
              <w:jc w:val="right"/>
              <w:rPr/>
            </w:pPr>
            <w:r>
              <w:rPr/>
              <w:t>6,758,000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w:t>
            </w:r>
          </w:p>
        </w:tc>
        <w:tc>
          <w:tcPr>
            <w:tcW w:w="1547" w:type="dxa"/>
            <w:tcBorders/>
            <w:shd w:fill="auto" w:val="clear"/>
            <w:vAlign w:val="bottom"/>
          </w:tcPr>
          <w:p>
            <w:pPr>
              <w:pStyle w:val="TableContents"/>
              <w:spacing w:before="0" w:after="283"/>
              <w:jc w:val="right"/>
              <w:rPr/>
            </w:pPr>
            <w:r>
              <w:rPr/>
              <w:t>10,137,000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553" w:type="dxa"/>
            <w:tcBorders/>
            <w:shd w:fill="auto" w:val="clear"/>
            <w:vAlign w:val="bottom"/>
          </w:tcPr>
          <w:p>
            <w:pPr>
              <w:pStyle w:val="TableContents"/>
              <w:spacing w:before="0" w:after="283"/>
              <w:jc w:val="right"/>
              <w:rPr/>
            </w:pPr>
            <w:r>
              <w:rPr/>
              <w:t>            </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1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Acceleration of Existing Equity Awards (B)</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 </w:t>
            </w:r>
          </w:p>
        </w:tc>
        <w:tc>
          <w:tcPr>
            <w:tcW w:w="1547" w:type="dxa"/>
            <w:tcBorders/>
            <w:shd w:fill="E5E5E5" w:val="clear"/>
            <w:vAlign w:val="bottom"/>
          </w:tcPr>
          <w:p>
            <w:pPr>
              <w:pStyle w:val="TableContents"/>
              <w:spacing w:before="0" w:after="283"/>
              <w:jc w:val="right"/>
              <w:rPr/>
            </w:pPr>
            <w:r>
              <w:rPr/>
              <w:t>15,442,402</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w:t>
            </w:r>
          </w:p>
        </w:tc>
        <w:tc>
          <w:tcPr>
            <w:tcW w:w="1553" w:type="dxa"/>
            <w:tcBorders/>
            <w:shd w:fill="E5E5E5" w:val="clear"/>
            <w:vAlign w:val="bottom"/>
          </w:tcPr>
          <w:p>
            <w:pPr>
              <w:pStyle w:val="TableContents"/>
              <w:spacing w:before="0" w:after="283"/>
              <w:jc w:val="right"/>
              <w:rPr/>
            </w:pPr>
            <w:r>
              <w:rPr/>
              <w:t>690,391</w:t>
            </w:r>
          </w:p>
        </w:tc>
        <w:tc>
          <w:tcPr>
            <w:tcW w:w="41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pPr>
            <w:r>
              <w:rPr/>
              <w:t>$</w:t>
            </w:r>
          </w:p>
        </w:tc>
        <w:tc>
          <w:tcPr>
            <w:tcW w:w="2015" w:type="dxa"/>
            <w:tcBorders/>
            <w:shd w:fill="E5E5E5" w:val="clear"/>
            <w:vAlign w:val="bottom"/>
          </w:tcPr>
          <w:p>
            <w:pPr>
              <w:pStyle w:val="TableContents"/>
              <w:spacing w:before="0" w:after="283"/>
              <w:jc w:val="right"/>
              <w:rPr/>
            </w:pPr>
            <w:r>
              <w:rPr/>
              <w:t>15,442,402</w:t>
            </w:r>
          </w:p>
        </w:tc>
        <w:tc>
          <w:tcPr>
            <w:tcW w:w="60" w:type="dxa"/>
            <w:tcBorders/>
            <w:shd w:fill="E5E5E5" w:val="cle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Enhanced Retirement Benefits (C)</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52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4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Health &amp; Welfare Benefits (D)</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pPr>
            <w:r>
              <w:rPr/>
              <w:t> </w:t>
            </w:r>
          </w:p>
        </w:tc>
        <w:tc>
          <w:tcPr>
            <w:tcW w:w="1526" w:type="dxa"/>
            <w:tcBorders/>
            <w:shd w:fill="E5E5E5" w:val="clear"/>
            <w:vAlign w:val="bottom"/>
          </w:tcPr>
          <w:p>
            <w:pPr>
              <w:pStyle w:val="TableContents"/>
              <w:spacing w:before="0" w:after="283"/>
              <w:jc w:val="right"/>
              <w:rPr/>
            </w:pPr>
            <w:r>
              <w:rPr/>
              <w:t>50,071</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 </w:t>
            </w:r>
          </w:p>
        </w:tc>
        <w:tc>
          <w:tcPr>
            <w:tcW w:w="1547" w:type="dxa"/>
            <w:tcBorders/>
            <w:shd w:fill="E5E5E5" w:val="clear"/>
            <w:vAlign w:val="bottom"/>
          </w:tcPr>
          <w:p>
            <w:pPr>
              <w:pStyle w:val="TableContents"/>
              <w:spacing w:before="0" w:after="283"/>
              <w:jc w:val="right"/>
              <w:rPr/>
            </w:pPr>
            <w:r>
              <w:rPr/>
              <w:t>109,068</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 </w:t>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pPr>
            <w:r>
              <w:rPr/>
              <w:t>(D) </w:t>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Financial Planning (E)</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526" w:type="dxa"/>
            <w:tcBorders/>
            <w:shd w:fill="auto" w:val="clear"/>
            <w:vAlign w:val="bottom"/>
          </w:tcPr>
          <w:p>
            <w:pPr>
              <w:pStyle w:val="TableContents"/>
              <w:spacing w:before="0" w:after="283"/>
              <w:jc w:val="right"/>
              <w:rPr/>
            </w:pPr>
            <w:r>
              <w:rPr/>
              <w:t>50,000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547" w:type="dxa"/>
            <w:tcBorders/>
            <w:shd w:fill="auto" w:val="clear"/>
            <w:vAlign w:val="bottom"/>
          </w:tcPr>
          <w:p>
            <w:pPr>
              <w:pStyle w:val="TableContents"/>
              <w:spacing w:before="0" w:after="283"/>
              <w:jc w:val="right"/>
              <w:rPr/>
            </w:pPr>
            <w:r>
              <w:rPr/>
              <w:t>75,000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bottom w:val="single" w:sz="2" w:space="0" w:color="001C71"/>
            </w:tcBorders>
            <w:shd w:fill="E5E5E5" w:val="clear"/>
            <w:tcMar>
              <w:bottom w:w="60" w:type="dxa"/>
            </w:tcMar>
          </w:tcPr>
          <w:p>
            <w:pPr>
              <w:pStyle w:val="TableContents"/>
              <w:spacing w:before="0" w:after="0"/>
              <w:rPr>
                <w:rFonts w:ascii="arial" w:hAnsi="arial"/>
                <w:sz w:val="16"/>
              </w:rPr>
            </w:pPr>
            <w:r>
              <w:rPr>
                <w:rFonts w:ascii="arial" w:hAnsi="arial"/>
                <w:sz w:val="16"/>
              </w:rPr>
              <w:t>Outplacement</w:t>
            </w:r>
          </w:p>
        </w:tc>
        <w:tc>
          <w:tcPr>
            <w:tcW w:w="12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19" w:type="dxa"/>
            <w:tcBorders>
              <w:bottom w:val="single" w:sz="2" w:space="0" w:color="001C71"/>
            </w:tcBorders>
            <w:shd w:fill="E5E5E5" w:val="clear"/>
            <w:tcMar>
              <w:bottom w:w="60" w:type="dxa"/>
            </w:tcMar>
            <w:vAlign w:val="bottom"/>
          </w:tcPr>
          <w:p>
            <w:pPr>
              <w:pStyle w:val="TableContents"/>
              <w:spacing w:before="0" w:after="283"/>
              <w:rPr/>
            </w:pPr>
            <w:r>
              <w:rPr/>
              <w:t> </w:t>
            </w:r>
          </w:p>
        </w:tc>
        <w:tc>
          <w:tcPr>
            <w:tcW w:w="1526" w:type="dxa"/>
            <w:tcBorders>
              <w:bottom w:val="single" w:sz="2" w:space="0" w:color="001C71"/>
            </w:tcBorders>
            <w:shd w:fill="E5E5E5" w:val="clear"/>
            <w:tcMar>
              <w:bottom w:w="60" w:type="dxa"/>
            </w:tcMar>
            <w:vAlign w:val="bottom"/>
          </w:tcPr>
          <w:p>
            <w:pPr>
              <w:pStyle w:val="TableContents"/>
              <w:spacing w:before="0" w:after="283"/>
              <w:jc w:val="right"/>
              <w:rPr/>
            </w:pPr>
            <w:r>
              <w:rPr/>
              <w:t>50,000</w:t>
            </w:r>
          </w:p>
        </w:tc>
        <w:tc>
          <w:tcPr>
            <w:tcW w:w="84" w:type="dxa"/>
            <w:tcBorders>
              <w:bottom w:val="single" w:sz="2" w:space="0" w:color="001C71"/>
            </w:tcBorders>
            <w:shd w:fill="E5E5E5" w:val="clear"/>
            <w:tcMar>
              <w:bottom w:w="60"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60" w:type="dxa"/>
            </w:tcMar>
            <w:vAlign w:val="bottom"/>
          </w:tcPr>
          <w:p>
            <w:pPr>
              <w:pStyle w:val="TableContents"/>
              <w:spacing w:before="0" w:after="283"/>
              <w:rPr/>
            </w:pPr>
            <w:r>
              <w:rPr/>
              <w:t> </w:t>
            </w:r>
          </w:p>
        </w:tc>
        <w:tc>
          <w:tcPr>
            <w:tcW w:w="1547" w:type="dxa"/>
            <w:tcBorders>
              <w:bottom w:val="single" w:sz="2" w:space="0" w:color="001C71"/>
            </w:tcBorders>
            <w:shd w:fill="E5E5E5" w:val="clear"/>
            <w:tcMar>
              <w:bottom w:w="60" w:type="dxa"/>
            </w:tcMar>
            <w:vAlign w:val="bottom"/>
          </w:tcPr>
          <w:p>
            <w:pPr>
              <w:pStyle w:val="TableContents"/>
              <w:spacing w:before="0" w:after="283"/>
              <w:jc w:val="right"/>
              <w:rPr/>
            </w:pPr>
            <w:r>
              <w:rPr/>
              <w:t>50,000</w:t>
            </w:r>
          </w:p>
        </w:tc>
        <w:tc>
          <w:tcPr>
            <w:tcW w:w="84" w:type="dxa"/>
            <w:tcBorders>
              <w:bottom w:val="single" w:sz="2" w:space="0" w:color="001C71"/>
            </w:tcBorders>
            <w:shd w:fill="E5E5E5" w:val="clear"/>
            <w:tcMar>
              <w:bottom w:w="60"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53" w:type="dxa"/>
            <w:tcBorders>
              <w:bottom w:val="single" w:sz="2" w:space="0" w:color="001C71"/>
            </w:tcBorders>
            <w:shd w:fill="E5E5E5" w:val="clear"/>
            <w:tcMar>
              <w:bottom w:w="28" w:type="dxa"/>
            </w:tcMar>
            <w:vAlign w:val="bottom"/>
          </w:tcPr>
          <w:p>
            <w:pPr>
              <w:pStyle w:val="TableContents"/>
              <w:spacing w:before="0" w:after="283"/>
              <w:rPr/>
            </w:pPr>
            <w:r>
              <w:rPr/>
              <w:t> </w:t>
            </w:r>
          </w:p>
        </w:tc>
        <w:tc>
          <w:tcPr>
            <w:tcW w:w="410"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55" w:type="dxa"/>
            <w:tcBorders>
              <w:bottom w:val="single" w:sz="2" w:space="0" w:color="001C71"/>
            </w:tcBorders>
            <w:shd w:fill="E5E5E5" w:val="clear"/>
            <w:tcMar>
              <w:bottom w:w="28" w:type="dxa"/>
            </w:tcMar>
            <w:vAlign w:val="bottom"/>
          </w:tcPr>
          <w:p>
            <w:pPr>
              <w:pStyle w:val="TableContents"/>
              <w:spacing w:before="0" w:after="283"/>
              <w:rPr/>
            </w:pPr>
            <w:r>
              <w:rPr/>
              <w:t> </w:t>
            </w:r>
          </w:p>
        </w:tc>
        <w:tc>
          <w:tcPr>
            <w:tcW w:w="2015"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Total</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219" w:type="dxa"/>
            <w:tcBorders>
              <w:bottom w:val="single" w:sz="8" w:space="0" w:color="001C71"/>
            </w:tcBorders>
            <w:shd w:fill="auto" w:val="clear"/>
            <w:tcMar>
              <w:bottom w:w="60" w:type="dxa"/>
            </w:tcMar>
            <w:vAlign w:val="bottom"/>
          </w:tcPr>
          <w:p>
            <w:pPr>
              <w:pStyle w:val="TableContents"/>
              <w:spacing w:before="0" w:after="283"/>
              <w:rPr/>
            </w:pPr>
            <w:r>
              <w:rPr/>
              <w:t>$</w:t>
            </w:r>
          </w:p>
        </w:tc>
        <w:tc>
          <w:tcPr>
            <w:tcW w:w="1526" w:type="dxa"/>
            <w:tcBorders>
              <w:bottom w:val="single" w:sz="8" w:space="0" w:color="001C71"/>
            </w:tcBorders>
            <w:shd w:fill="auto" w:val="clear"/>
            <w:tcMar>
              <w:bottom w:w="60" w:type="dxa"/>
            </w:tcMar>
            <w:vAlign w:val="bottom"/>
          </w:tcPr>
          <w:p>
            <w:pPr>
              <w:pStyle w:val="TableContents"/>
              <w:spacing w:before="0" w:after="283"/>
              <w:jc w:val="right"/>
              <w:rPr/>
            </w:pPr>
            <w:r>
              <w:rPr/>
              <w:t>6,908,071</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w:t>
            </w:r>
          </w:p>
        </w:tc>
        <w:tc>
          <w:tcPr>
            <w:tcW w:w="1547" w:type="dxa"/>
            <w:tcBorders>
              <w:bottom w:val="single" w:sz="8" w:space="0" w:color="001C71"/>
            </w:tcBorders>
            <w:shd w:fill="auto" w:val="clear"/>
            <w:tcMar>
              <w:bottom w:w="60" w:type="dxa"/>
            </w:tcMar>
            <w:vAlign w:val="bottom"/>
          </w:tcPr>
          <w:p>
            <w:pPr>
              <w:pStyle w:val="TableContents"/>
              <w:spacing w:before="0" w:after="283"/>
              <w:jc w:val="right"/>
              <w:rPr/>
            </w:pPr>
            <w:r>
              <w:rPr/>
              <w:t>25,813,470</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w:t>
            </w:r>
          </w:p>
        </w:tc>
        <w:tc>
          <w:tcPr>
            <w:tcW w:w="1553" w:type="dxa"/>
            <w:tcBorders>
              <w:bottom w:val="single" w:sz="8" w:space="0" w:color="001C71"/>
            </w:tcBorders>
            <w:shd w:fill="auto" w:val="clear"/>
            <w:tcMar>
              <w:bottom w:w="60" w:type="dxa"/>
            </w:tcMar>
            <w:vAlign w:val="bottom"/>
          </w:tcPr>
          <w:p>
            <w:pPr>
              <w:pStyle w:val="TableContents"/>
              <w:spacing w:before="0" w:after="283"/>
              <w:jc w:val="right"/>
              <w:rPr/>
            </w:pPr>
            <w:r>
              <w:rPr/>
              <w:t>690,391</w:t>
            </w:r>
          </w:p>
        </w:tc>
        <w:tc>
          <w:tcPr>
            <w:tcW w:w="410" w:type="dxa"/>
            <w:tcBorders>
              <w:bottom w:val="single" w:sz="8" w:space="0" w:color="001C71"/>
            </w:tcBorders>
            <w:shd w:fill="auto" w:val="clear"/>
            <w:tcMar>
              <w:bottom w:w="60"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55" w:type="dxa"/>
            <w:tcBorders>
              <w:bottom w:val="single" w:sz="8" w:space="0" w:color="001C71"/>
            </w:tcBorders>
            <w:shd w:fill="auto" w:val="clear"/>
            <w:tcMar>
              <w:bottom w:w="60" w:type="dxa"/>
            </w:tcMar>
            <w:vAlign w:val="bottom"/>
          </w:tcPr>
          <w:p>
            <w:pPr>
              <w:pStyle w:val="TableContents"/>
              <w:spacing w:before="0" w:after="283"/>
              <w:rPr/>
            </w:pPr>
            <w:r>
              <w:rPr/>
              <w:t>$</w:t>
            </w:r>
          </w:p>
        </w:tc>
        <w:tc>
          <w:tcPr>
            <w:tcW w:w="2015" w:type="dxa"/>
            <w:tcBorders>
              <w:bottom w:val="single" w:sz="8" w:space="0" w:color="001C71"/>
            </w:tcBorders>
            <w:shd w:fill="auto" w:val="clear"/>
            <w:tcMar>
              <w:bottom w:w="60" w:type="dxa"/>
            </w:tcMar>
            <w:vAlign w:val="bottom"/>
          </w:tcPr>
          <w:p>
            <w:pPr>
              <w:pStyle w:val="TableContents"/>
              <w:spacing w:before="0" w:after="283"/>
              <w:jc w:val="right"/>
              <w:rPr/>
            </w:pPr>
            <w:r>
              <w:rPr/>
              <w:t>15,442,402</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b/>
                <w:sz w:val="16"/>
              </w:rPr>
            </w:pPr>
            <w:r>
              <w:rPr>
                <w:rFonts w:ascii="arial" w:hAnsi="arial"/>
                <w:b/>
                <w:sz w:val="16"/>
              </w:rPr>
              <w:t>Trevor I. Mihalik</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Lump Sum Cash Payment (A)</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w:t>
            </w:r>
          </w:p>
        </w:tc>
        <w:tc>
          <w:tcPr>
            <w:tcW w:w="1526" w:type="dxa"/>
            <w:tcBorders/>
            <w:shd w:fill="auto" w:val="clear"/>
            <w:vAlign w:val="bottom"/>
          </w:tcPr>
          <w:p>
            <w:pPr>
              <w:pStyle w:val="TableContents"/>
              <w:spacing w:before="0" w:after="283"/>
              <w:jc w:val="right"/>
              <w:rPr/>
            </w:pPr>
            <w:r>
              <w:rPr/>
              <w:t>3,004,867</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w:t>
            </w:r>
          </w:p>
        </w:tc>
        <w:tc>
          <w:tcPr>
            <w:tcW w:w="1547" w:type="dxa"/>
            <w:tcBorders/>
            <w:shd w:fill="auto" w:val="clear"/>
            <w:vAlign w:val="bottom"/>
          </w:tcPr>
          <w:p>
            <w:pPr>
              <w:pStyle w:val="TableContents"/>
              <w:spacing w:before="0" w:after="283"/>
              <w:jc w:val="right"/>
              <w:rPr/>
            </w:pPr>
            <w:r>
              <w:rPr/>
              <w:t>4,507,300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Acceleration of Existing Equity Awards (B)</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 </w:t>
            </w:r>
          </w:p>
        </w:tc>
        <w:tc>
          <w:tcPr>
            <w:tcW w:w="1547" w:type="dxa"/>
            <w:tcBorders/>
            <w:shd w:fill="E5E5E5" w:val="clear"/>
            <w:vAlign w:val="bottom"/>
          </w:tcPr>
          <w:p>
            <w:pPr>
              <w:pStyle w:val="TableContents"/>
              <w:spacing w:before="0" w:after="283"/>
              <w:jc w:val="right"/>
              <w:rPr/>
            </w:pPr>
            <w:r>
              <w:rPr/>
              <w:t>4,158,532</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w:t>
            </w:r>
          </w:p>
        </w:tc>
        <w:tc>
          <w:tcPr>
            <w:tcW w:w="1553" w:type="dxa"/>
            <w:tcBorders/>
            <w:shd w:fill="E5E5E5" w:val="clear"/>
            <w:vAlign w:val="bottom"/>
          </w:tcPr>
          <w:p>
            <w:pPr>
              <w:pStyle w:val="TableContents"/>
              <w:spacing w:before="0" w:after="283"/>
              <w:jc w:val="right"/>
              <w:rPr/>
            </w:pPr>
            <w:r>
              <w:rPr/>
              <w:t>864,398</w:t>
            </w:r>
          </w:p>
        </w:tc>
        <w:tc>
          <w:tcPr>
            <w:tcW w:w="41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Enhanced Retirement Benefits (C)</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52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547" w:type="dxa"/>
            <w:tcBorders/>
            <w:shd w:fill="auto" w:val="clear"/>
            <w:vAlign w:val="bottom"/>
          </w:tcPr>
          <w:p>
            <w:pPr>
              <w:pStyle w:val="TableContents"/>
              <w:spacing w:before="0" w:after="283"/>
              <w:jc w:val="right"/>
              <w:rPr/>
            </w:pPr>
            <w:r>
              <w:rPr/>
              <w:t>6,056,347</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553" w:type="dxa"/>
            <w:tcBorders/>
            <w:shd w:fill="auto" w:val="clear"/>
            <w:vAlign w:val="bottom"/>
          </w:tcPr>
          <w:p>
            <w:pPr>
              <w:pStyle w:val="TableContents"/>
              <w:spacing w:before="0" w:after="283"/>
              <w:jc w:val="right"/>
              <w:rPr/>
            </w:pPr>
            <w:r>
              <w:rPr/>
              <w:t>6,270,484</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Health &amp; Welfare Benefits (D)</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pPr>
            <w:r>
              <w:rPr/>
              <w:t> </w:t>
            </w:r>
          </w:p>
        </w:tc>
        <w:tc>
          <w:tcPr>
            <w:tcW w:w="1526" w:type="dxa"/>
            <w:tcBorders/>
            <w:shd w:fill="E5E5E5" w:val="clear"/>
            <w:vAlign w:val="bottom"/>
          </w:tcPr>
          <w:p>
            <w:pPr>
              <w:pStyle w:val="TableContents"/>
              <w:spacing w:before="0" w:after="283"/>
              <w:jc w:val="right"/>
              <w:rPr/>
            </w:pPr>
            <w:r>
              <w:rPr/>
              <w:t>49,599</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 </w:t>
            </w:r>
          </w:p>
        </w:tc>
        <w:tc>
          <w:tcPr>
            <w:tcW w:w="1547" w:type="dxa"/>
            <w:tcBorders/>
            <w:shd w:fill="E5E5E5" w:val="clear"/>
            <w:vAlign w:val="bottom"/>
          </w:tcPr>
          <w:p>
            <w:pPr>
              <w:pStyle w:val="TableContents"/>
              <w:spacing w:before="0" w:after="283"/>
              <w:jc w:val="right"/>
              <w:rPr/>
            </w:pPr>
            <w:r>
              <w:rPr/>
              <w:t>108,138</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Financial Planning (E)</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526" w:type="dxa"/>
            <w:tcBorders/>
            <w:shd w:fill="auto" w:val="clear"/>
            <w:vAlign w:val="bottom"/>
          </w:tcPr>
          <w:p>
            <w:pPr>
              <w:pStyle w:val="TableContents"/>
              <w:spacing w:before="0" w:after="283"/>
              <w:jc w:val="right"/>
              <w:rPr/>
            </w:pPr>
            <w:r>
              <w:rPr/>
              <w:t>50,000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547" w:type="dxa"/>
            <w:tcBorders/>
            <w:shd w:fill="auto" w:val="clear"/>
            <w:vAlign w:val="bottom"/>
          </w:tcPr>
          <w:p>
            <w:pPr>
              <w:pStyle w:val="TableContents"/>
              <w:spacing w:before="0" w:after="283"/>
              <w:jc w:val="right"/>
              <w:rPr/>
            </w:pPr>
            <w:r>
              <w:rPr/>
              <w:t>75,000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bottom w:val="single" w:sz="2" w:space="0" w:color="001C71"/>
            </w:tcBorders>
            <w:shd w:fill="E5E5E5" w:val="clear"/>
            <w:tcMar>
              <w:bottom w:w="60" w:type="dxa"/>
            </w:tcMar>
          </w:tcPr>
          <w:p>
            <w:pPr>
              <w:pStyle w:val="TableContents"/>
              <w:spacing w:before="0" w:after="0"/>
              <w:rPr>
                <w:rFonts w:ascii="arial" w:hAnsi="arial"/>
                <w:sz w:val="16"/>
              </w:rPr>
            </w:pPr>
            <w:r>
              <w:rPr>
                <w:rFonts w:ascii="arial" w:hAnsi="arial"/>
                <w:sz w:val="16"/>
              </w:rPr>
              <w:t>Outplacement</w:t>
            </w:r>
          </w:p>
        </w:tc>
        <w:tc>
          <w:tcPr>
            <w:tcW w:w="12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19" w:type="dxa"/>
            <w:tcBorders>
              <w:bottom w:val="single" w:sz="2" w:space="0" w:color="001C71"/>
            </w:tcBorders>
            <w:shd w:fill="E5E5E5" w:val="clear"/>
            <w:tcMar>
              <w:bottom w:w="60" w:type="dxa"/>
            </w:tcMar>
            <w:vAlign w:val="bottom"/>
          </w:tcPr>
          <w:p>
            <w:pPr>
              <w:pStyle w:val="TableContents"/>
              <w:spacing w:before="0" w:after="283"/>
              <w:rPr/>
            </w:pPr>
            <w:r>
              <w:rPr/>
              <w:t> </w:t>
            </w:r>
          </w:p>
        </w:tc>
        <w:tc>
          <w:tcPr>
            <w:tcW w:w="1526" w:type="dxa"/>
            <w:tcBorders>
              <w:bottom w:val="single" w:sz="2" w:space="0" w:color="001C71"/>
            </w:tcBorders>
            <w:shd w:fill="E5E5E5" w:val="clear"/>
            <w:tcMar>
              <w:bottom w:w="60" w:type="dxa"/>
            </w:tcMar>
            <w:vAlign w:val="bottom"/>
          </w:tcPr>
          <w:p>
            <w:pPr>
              <w:pStyle w:val="TableContents"/>
              <w:spacing w:before="0" w:after="283"/>
              <w:jc w:val="right"/>
              <w:rPr/>
            </w:pPr>
            <w:r>
              <w:rPr/>
              <w:t>50,000</w:t>
            </w:r>
          </w:p>
        </w:tc>
        <w:tc>
          <w:tcPr>
            <w:tcW w:w="84" w:type="dxa"/>
            <w:tcBorders>
              <w:bottom w:val="single" w:sz="2" w:space="0" w:color="001C71"/>
            </w:tcBorders>
            <w:shd w:fill="E5E5E5" w:val="clear"/>
            <w:tcMar>
              <w:bottom w:w="60"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60" w:type="dxa"/>
            </w:tcMar>
            <w:vAlign w:val="bottom"/>
          </w:tcPr>
          <w:p>
            <w:pPr>
              <w:pStyle w:val="TableContents"/>
              <w:spacing w:before="0" w:after="283"/>
              <w:rPr/>
            </w:pPr>
            <w:r>
              <w:rPr/>
              <w:t> </w:t>
            </w:r>
          </w:p>
        </w:tc>
        <w:tc>
          <w:tcPr>
            <w:tcW w:w="1547" w:type="dxa"/>
            <w:tcBorders>
              <w:bottom w:val="single" w:sz="2" w:space="0" w:color="001C71"/>
            </w:tcBorders>
            <w:shd w:fill="E5E5E5" w:val="clear"/>
            <w:tcMar>
              <w:bottom w:w="60" w:type="dxa"/>
            </w:tcMar>
            <w:vAlign w:val="bottom"/>
          </w:tcPr>
          <w:p>
            <w:pPr>
              <w:pStyle w:val="TableContents"/>
              <w:spacing w:before="0" w:after="283"/>
              <w:jc w:val="right"/>
              <w:rPr/>
            </w:pPr>
            <w:r>
              <w:rPr/>
              <w:t>50,000</w:t>
            </w:r>
          </w:p>
        </w:tc>
        <w:tc>
          <w:tcPr>
            <w:tcW w:w="84" w:type="dxa"/>
            <w:tcBorders>
              <w:bottom w:val="single" w:sz="2" w:space="0" w:color="001C71"/>
            </w:tcBorders>
            <w:shd w:fill="E5E5E5" w:val="clear"/>
            <w:tcMar>
              <w:bottom w:w="60"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53" w:type="dxa"/>
            <w:tcBorders>
              <w:bottom w:val="single" w:sz="2" w:space="0" w:color="001C71"/>
            </w:tcBorders>
            <w:shd w:fill="E5E5E5" w:val="clear"/>
            <w:tcMar>
              <w:bottom w:w="28" w:type="dxa"/>
            </w:tcMar>
            <w:vAlign w:val="bottom"/>
          </w:tcPr>
          <w:p>
            <w:pPr>
              <w:pStyle w:val="TableContents"/>
              <w:spacing w:before="0" w:after="283"/>
              <w:rPr/>
            </w:pPr>
            <w:r>
              <w:rPr/>
              <w:t> </w:t>
            </w:r>
          </w:p>
        </w:tc>
        <w:tc>
          <w:tcPr>
            <w:tcW w:w="410"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55" w:type="dxa"/>
            <w:tcBorders>
              <w:bottom w:val="single" w:sz="2" w:space="0" w:color="001C71"/>
            </w:tcBorders>
            <w:shd w:fill="E5E5E5" w:val="clear"/>
            <w:tcMar>
              <w:bottom w:w="28" w:type="dxa"/>
            </w:tcMar>
            <w:vAlign w:val="bottom"/>
          </w:tcPr>
          <w:p>
            <w:pPr>
              <w:pStyle w:val="TableContents"/>
              <w:spacing w:before="0" w:after="283"/>
              <w:rPr/>
            </w:pPr>
            <w:r>
              <w:rPr/>
              <w:t> </w:t>
            </w:r>
          </w:p>
        </w:tc>
        <w:tc>
          <w:tcPr>
            <w:tcW w:w="2015"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Total</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219" w:type="dxa"/>
            <w:tcBorders>
              <w:bottom w:val="single" w:sz="8" w:space="0" w:color="001C71"/>
            </w:tcBorders>
            <w:shd w:fill="auto" w:val="clear"/>
            <w:tcMar>
              <w:bottom w:w="60" w:type="dxa"/>
            </w:tcMar>
            <w:vAlign w:val="bottom"/>
          </w:tcPr>
          <w:p>
            <w:pPr>
              <w:pStyle w:val="TableContents"/>
              <w:spacing w:before="0" w:after="283"/>
              <w:rPr/>
            </w:pPr>
            <w:r>
              <w:rPr/>
              <w:t>$</w:t>
            </w:r>
          </w:p>
        </w:tc>
        <w:tc>
          <w:tcPr>
            <w:tcW w:w="1526" w:type="dxa"/>
            <w:tcBorders>
              <w:bottom w:val="single" w:sz="8" w:space="0" w:color="001C71"/>
            </w:tcBorders>
            <w:shd w:fill="auto" w:val="clear"/>
            <w:tcMar>
              <w:bottom w:w="60" w:type="dxa"/>
            </w:tcMar>
            <w:vAlign w:val="bottom"/>
          </w:tcPr>
          <w:p>
            <w:pPr>
              <w:pStyle w:val="TableContents"/>
              <w:spacing w:before="0" w:after="283"/>
              <w:jc w:val="right"/>
              <w:rPr/>
            </w:pPr>
            <w:r>
              <w:rPr/>
              <w:t>3,154,466</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w:t>
            </w:r>
          </w:p>
        </w:tc>
        <w:tc>
          <w:tcPr>
            <w:tcW w:w="1547" w:type="dxa"/>
            <w:tcBorders>
              <w:bottom w:val="single" w:sz="8" w:space="0" w:color="001C71"/>
            </w:tcBorders>
            <w:shd w:fill="auto" w:val="clear"/>
            <w:tcMar>
              <w:bottom w:w="60" w:type="dxa"/>
            </w:tcMar>
            <w:vAlign w:val="bottom"/>
          </w:tcPr>
          <w:p>
            <w:pPr>
              <w:pStyle w:val="TableContents"/>
              <w:spacing w:before="0" w:after="283"/>
              <w:jc w:val="right"/>
              <w:rPr/>
            </w:pPr>
            <w:r>
              <w:rPr/>
              <w:t>14,955,317</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w:t>
            </w:r>
          </w:p>
        </w:tc>
        <w:tc>
          <w:tcPr>
            <w:tcW w:w="1553" w:type="dxa"/>
            <w:tcBorders>
              <w:bottom w:val="single" w:sz="8" w:space="0" w:color="001C71"/>
            </w:tcBorders>
            <w:shd w:fill="auto" w:val="clear"/>
            <w:tcMar>
              <w:bottom w:w="60" w:type="dxa"/>
            </w:tcMar>
            <w:vAlign w:val="bottom"/>
          </w:tcPr>
          <w:p>
            <w:pPr>
              <w:pStyle w:val="TableContents"/>
              <w:spacing w:before="0" w:after="283"/>
              <w:jc w:val="right"/>
              <w:rPr/>
            </w:pPr>
            <w:r>
              <w:rPr/>
              <w:t>7,134,882</w:t>
            </w:r>
          </w:p>
        </w:tc>
        <w:tc>
          <w:tcPr>
            <w:tcW w:w="410" w:type="dxa"/>
            <w:tcBorders>
              <w:bottom w:val="single" w:sz="8" w:space="0" w:color="001C71"/>
            </w:tcBorders>
            <w:shd w:fill="auto" w:val="clear"/>
            <w:tcMar>
              <w:bottom w:w="60"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55" w:type="dxa"/>
            <w:tcBorders>
              <w:bottom w:val="single" w:sz="8" w:space="0" w:color="001C71"/>
            </w:tcBorders>
            <w:shd w:fill="auto" w:val="clear"/>
            <w:tcMar>
              <w:bottom w:w="60" w:type="dxa"/>
            </w:tcMar>
            <w:vAlign w:val="bottom"/>
          </w:tcPr>
          <w:p>
            <w:pPr>
              <w:pStyle w:val="TableContents"/>
              <w:spacing w:before="0" w:after="283"/>
              <w:rPr/>
            </w:pPr>
            <w:r>
              <w:rPr/>
              <w:t> </w:t>
            </w:r>
          </w:p>
        </w:tc>
        <w:tc>
          <w:tcPr>
            <w:tcW w:w="2015"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b/>
                <w:sz w:val="16"/>
              </w:rPr>
            </w:pPr>
            <w:r>
              <w:rPr>
                <w:rFonts w:ascii="arial" w:hAnsi="arial"/>
                <w:b/>
                <w:sz w:val="16"/>
              </w:rPr>
              <w:t>Kevin C. Sagara</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Lump Sum Cash Payment (A)</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w:t>
            </w:r>
          </w:p>
        </w:tc>
        <w:tc>
          <w:tcPr>
            <w:tcW w:w="1526" w:type="dxa"/>
            <w:tcBorders/>
            <w:shd w:fill="auto" w:val="clear"/>
            <w:vAlign w:val="bottom"/>
          </w:tcPr>
          <w:p>
            <w:pPr>
              <w:pStyle w:val="TableContents"/>
              <w:spacing w:before="0" w:after="283"/>
              <w:jc w:val="right"/>
              <w:rPr/>
            </w:pPr>
            <w:r>
              <w:rPr/>
              <w:t>2,736,000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w:t>
            </w:r>
          </w:p>
        </w:tc>
        <w:tc>
          <w:tcPr>
            <w:tcW w:w="1547" w:type="dxa"/>
            <w:tcBorders/>
            <w:shd w:fill="auto" w:val="clear"/>
            <w:vAlign w:val="bottom"/>
          </w:tcPr>
          <w:p>
            <w:pPr>
              <w:pStyle w:val="TableContents"/>
              <w:spacing w:before="0" w:after="283"/>
              <w:jc w:val="right"/>
              <w:rPr/>
            </w:pPr>
            <w:r>
              <w:rPr/>
              <w:t>4,104,000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Acceleration of Existing Equity Awards (B)</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 </w:t>
            </w:r>
          </w:p>
        </w:tc>
        <w:tc>
          <w:tcPr>
            <w:tcW w:w="1547" w:type="dxa"/>
            <w:tcBorders/>
            <w:shd w:fill="E5E5E5" w:val="clear"/>
            <w:vAlign w:val="bottom"/>
          </w:tcPr>
          <w:p>
            <w:pPr>
              <w:pStyle w:val="TableContents"/>
              <w:spacing w:before="0" w:after="283"/>
              <w:jc w:val="right"/>
              <w:rPr/>
            </w:pPr>
            <w:r>
              <w:rPr/>
              <w:t>3,844,078</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w:t>
            </w:r>
          </w:p>
        </w:tc>
        <w:tc>
          <w:tcPr>
            <w:tcW w:w="1553" w:type="dxa"/>
            <w:tcBorders/>
            <w:shd w:fill="E5E5E5" w:val="clear"/>
            <w:vAlign w:val="bottom"/>
          </w:tcPr>
          <w:p>
            <w:pPr>
              <w:pStyle w:val="TableContents"/>
              <w:spacing w:before="0" w:after="283"/>
              <w:jc w:val="right"/>
              <w:rPr/>
            </w:pPr>
            <w:r>
              <w:rPr/>
              <w:t>1,310,270</w:t>
            </w:r>
          </w:p>
        </w:tc>
        <w:tc>
          <w:tcPr>
            <w:tcW w:w="41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pPr>
            <w:r>
              <w:rPr/>
              <w:t>$</w:t>
            </w:r>
          </w:p>
        </w:tc>
        <w:tc>
          <w:tcPr>
            <w:tcW w:w="2015" w:type="dxa"/>
            <w:tcBorders/>
            <w:shd w:fill="E5E5E5" w:val="clear"/>
            <w:vAlign w:val="bottom"/>
          </w:tcPr>
          <w:p>
            <w:pPr>
              <w:pStyle w:val="TableContents"/>
              <w:spacing w:before="0" w:after="283"/>
              <w:jc w:val="right"/>
              <w:rPr/>
            </w:pPr>
            <w:r>
              <w:rPr/>
              <w:t>3,844,078</w:t>
            </w:r>
          </w:p>
        </w:tc>
        <w:tc>
          <w:tcPr>
            <w:tcW w:w="60" w:type="dxa"/>
            <w:tcBorders/>
            <w:shd w:fill="E5E5E5" w:val="cle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Enhanced Retirement Benefits (C)</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52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547" w:type="dxa"/>
            <w:tcBorders/>
            <w:shd w:fill="auto" w:val="clear"/>
            <w:vAlign w:val="bottom"/>
          </w:tcPr>
          <w:p>
            <w:pPr>
              <w:pStyle w:val="TableContents"/>
              <w:spacing w:before="0" w:after="283"/>
              <w:jc w:val="right"/>
              <w:rPr/>
            </w:pPr>
            <w:r>
              <w:rPr/>
              <w:t>8,948,897</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553" w:type="dxa"/>
            <w:tcBorders/>
            <w:shd w:fill="auto" w:val="clear"/>
            <w:vAlign w:val="bottom"/>
          </w:tcPr>
          <w:p>
            <w:pPr>
              <w:pStyle w:val="TableContents"/>
              <w:spacing w:before="0" w:after="283"/>
              <w:jc w:val="right"/>
              <w:rPr/>
            </w:pPr>
            <w:r>
              <w:rPr/>
              <w:t>8,948,897</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Health &amp; Welfare Benefits (D)</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pPr>
            <w:r>
              <w:rPr/>
              <w:t> </w:t>
            </w:r>
          </w:p>
        </w:tc>
        <w:tc>
          <w:tcPr>
            <w:tcW w:w="1526" w:type="dxa"/>
            <w:tcBorders/>
            <w:shd w:fill="E5E5E5" w:val="clear"/>
            <w:vAlign w:val="bottom"/>
          </w:tcPr>
          <w:p>
            <w:pPr>
              <w:pStyle w:val="TableContents"/>
              <w:spacing w:before="0" w:after="283"/>
              <w:jc w:val="right"/>
              <w:rPr/>
            </w:pPr>
            <w:r>
              <w:rPr/>
              <w:t>49,455</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 </w:t>
            </w:r>
          </w:p>
        </w:tc>
        <w:tc>
          <w:tcPr>
            <w:tcW w:w="1547" w:type="dxa"/>
            <w:tcBorders/>
            <w:shd w:fill="E5E5E5" w:val="clear"/>
            <w:vAlign w:val="bottom"/>
          </w:tcPr>
          <w:p>
            <w:pPr>
              <w:pStyle w:val="TableContents"/>
              <w:spacing w:before="0" w:after="283"/>
              <w:jc w:val="right"/>
              <w:rPr/>
            </w:pPr>
            <w:r>
              <w:rPr/>
              <w:t>114,267</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Financial Planning (E)</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526" w:type="dxa"/>
            <w:tcBorders/>
            <w:shd w:fill="auto" w:val="clear"/>
            <w:vAlign w:val="bottom"/>
          </w:tcPr>
          <w:p>
            <w:pPr>
              <w:pStyle w:val="TableContents"/>
              <w:spacing w:before="0" w:after="283"/>
              <w:jc w:val="right"/>
              <w:rPr/>
            </w:pPr>
            <w:r>
              <w:rPr/>
              <w:t>50,000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547" w:type="dxa"/>
            <w:tcBorders/>
            <w:shd w:fill="auto" w:val="clear"/>
            <w:vAlign w:val="bottom"/>
          </w:tcPr>
          <w:p>
            <w:pPr>
              <w:pStyle w:val="TableContents"/>
              <w:spacing w:before="0" w:after="283"/>
              <w:jc w:val="right"/>
              <w:rPr/>
            </w:pPr>
            <w:r>
              <w:rPr/>
              <w:t>75,000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bottom w:val="single" w:sz="2" w:space="0" w:color="001C71"/>
            </w:tcBorders>
            <w:shd w:fill="E5E5E5" w:val="clear"/>
            <w:tcMar>
              <w:bottom w:w="60" w:type="dxa"/>
            </w:tcMar>
          </w:tcPr>
          <w:p>
            <w:pPr>
              <w:pStyle w:val="TableContents"/>
              <w:spacing w:before="0" w:after="0"/>
              <w:rPr>
                <w:rFonts w:ascii="arial" w:hAnsi="arial"/>
                <w:sz w:val="16"/>
              </w:rPr>
            </w:pPr>
            <w:r>
              <w:rPr>
                <w:rFonts w:ascii="arial" w:hAnsi="arial"/>
                <w:sz w:val="16"/>
              </w:rPr>
              <w:t>Outplacement</w:t>
            </w:r>
          </w:p>
        </w:tc>
        <w:tc>
          <w:tcPr>
            <w:tcW w:w="12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19" w:type="dxa"/>
            <w:tcBorders>
              <w:bottom w:val="single" w:sz="2" w:space="0" w:color="001C71"/>
            </w:tcBorders>
            <w:shd w:fill="E5E5E5" w:val="clear"/>
            <w:tcMar>
              <w:bottom w:w="60" w:type="dxa"/>
            </w:tcMar>
            <w:vAlign w:val="bottom"/>
          </w:tcPr>
          <w:p>
            <w:pPr>
              <w:pStyle w:val="TableContents"/>
              <w:spacing w:before="0" w:after="283"/>
              <w:rPr/>
            </w:pPr>
            <w:r>
              <w:rPr/>
              <w:t> </w:t>
            </w:r>
          </w:p>
        </w:tc>
        <w:tc>
          <w:tcPr>
            <w:tcW w:w="1526" w:type="dxa"/>
            <w:tcBorders>
              <w:bottom w:val="single" w:sz="2" w:space="0" w:color="001C71"/>
            </w:tcBorders>
            <w:shd w:fill="E5E5E5" w:val="clear"/>
            <w:tcMar>
              <w:bottom w:w="60" w:type="dxa"/>
            </w:tcMar>
            <w:vAlign w:val="bottom"/>
          </w:tcPr>
          <w:p>
            <w:pPr>
              <w:pStyle w:val="TableContents"/>
              <w:spacing w:before="0" w:after="283"/>
              <w:jc w:val="right"/>
              <w:rPr/>
            </w:pPr>
            <w:r>
              <w:rPr/>
              <w:t>50,000</w:t>
            </w:r>
          </w:p>
        </w:tc>
        <w:tc>
          <w:tcPr>
            <w:tcW w:w="84" w:type="dxa"/>
            <w:tcBorders>
              <w:bottom w:val="single" w:sz="2" w:space="0" w:color="001C71"/>
            </w:tcBorders>
            <w:shd w:fill="E5E5E5" w:val="clear"/>
            <w:tcMar>
              <w:bottom w:w="60"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60" w:type="dxa"/>
            </w:tcMar>
            <w:vAlign w:val="bottom"/>
          </w:tcPr>
          <w:p>
            <w:pPr>
              <w:pStyle w:val="TableContents"/>
              <w:spacing w:before="0" w:after="283"/>
              <w:rPr/>
            </w:pPr>
            <w:r>
              <w:rPr/>
              <w:t> </w:t>
            </w:r>
          </w:p>
        </w:tc>
        <w:tc>
          <w:tcPr>
            <w:tcW w:w="1547" w:type="dxa"/>
            <w:tcBorders>
              <w:bottom w:val="single" w:sz="2" w:space="0" w:color="001C71"/>
            </w:tcBorders>
            <w:shd w:fill="E5E5E5" w:val="clear"/>
            <w:tcMar>
              <w:bottom w:w="60" w:type="dxa"/>
            </w:tcMar>
            <w:vAlign w:val="bottom"/>
          </w:tcPr>
          <w:p>
            <w:pPr>
              <w:pStyle w:val="TableContents"/>
              <w:spacing w:before="0" w:after="283"/>
              <w:jc w:val="right"/>
              <w:rPr/>
            </w:pPr>
            <w:r>
              <w:rPr/>
              <w:t>50,000</w:t>
            </w:r>
          </w:p>
        </w:tc>
        <w:tc>
          <w:tcPr>
            <w:tcW w:w="84" w:type="dxa"/>
            <w:tcBorders>
              <w:bottom w:val="single" w:sz="2" w:space="0" w:color="001C71"/>
            </w:tcBorders>
            <w:shd w:fill="E5E5E5" w:val="clear"/>
            <w:tcMar>
              <w:bottom w:w="60"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53" w:type="dxa"/>
            <w:tcBorders>
              <w:bottom w:val="single" w:sz="2" w:space="0" w:color="001C71"/>
            </w:tcBorders>
            <w:shd w:fill="E5E5E5" w:val="clear"/>
            <w:tcMar>
              <w:bottom w:w="28" w:type="dxa"/>
            </w:tcMar>
            <w:vAlign w:val="bottom"/>
          </w:tcPr>
          <w:p>
            <w:pPr>
              <w:pStyle w:val="TableContents"/>
              <w:spacing w:before="0" w:after="283"/>
              <w:rPr/>
            </w:pPr>
            <w:r>
              <w:rPr/>
              <w:t> </w:t>
            </w:r>
          </w:p>
        </w:tc>
        <w:tc>
          <w:tcPr>
            <w:tcW w:w="410"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55" w:type="dxa"/>
            <w:tcBorders>
              <w:bottom w:val="single" w:sz="2" w:space="0" w:color="001C71"/>
            </w:tcBorders>
            <w:shd w:fill="E5E5E5" w:val="clear"/>
            <w:tcMar>
              <w:bottom w:w="28" w:type="dxa"/>
            </w:tcMar>
            <w:vAlign w:val="bottom"/>
          </w:tcPr>
          <w:p>
            <w:pPr>
              <w:pStyle w:val="TableContents"/>
              <w:spacing w:before="0" w:after="283"/>
              <w:rPr/>
            </w:pPr>
            <w:r>
              <w:rPr/>
              <w:t> </w:t>
            </w:r>
          </w:p>
        </w:tc>
        <w:tc>
          <w:tcPr>
            <w:tcW w:w="2015"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Total</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219" w:type="dxa"/>
            <w:tcBorders>
              <w:bottom w:val="single" w:sz="8" w:space="0" w:color="001C71"/>
            </w:tcBorders>
            <w:shd w:fill="auto" w:val="clear"/>
            <w:tcMar>
              <w:bottom w:w="60" w:type="dxa"/>
            </w:tcMar>
            <w:vAlign w:val="bottom"/>
          </w:tcPr>
          <w:p>
            <w:pPr>
              <w:pStyle w:val="TableContents"/>
              <w:spacing w:before="0" w:after="283"/>
              <w:rPr/>
            </w:pPr>
            <w:r>
              <w:rPr/>
              <w:t>$</w:t>
            </w:r>
          </w:p>
        </w:tc>
        <w:tc>
          <w:tcPr>
            <w:tcW w:w="1526" w:type="dxa"/>
            <w:tcBorders>
              <w:bottom w:val="single" w:sz="8" w:space="0" w:color="001C71"/>
            </w:tcBorders>
            <w:shd w:fill="auto" w:val="clear"/>
            <w:tcMar>
              <w:bottom w:w="60" w:type="dxa"/>
            </w:tcMar>
            <w:vAlign w:val="bottom"/>
          </w:tcPr>
          <w:p>
            <w:pPr>
              <w:pStyle w:val="TableContents"/>
              <w:spacing w:before="0" w:after="283"/>
              <w:jc w:val="right"/>
              <w:rPr/>
            </w:pPr>
            <w:r>
              <w:rPr/>
              <w:t>2,885,455</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w:t>
            </w:r>
          </w:p>
        </w:tc>
        <w:tc>
          <w:tcPr>
            <w:tcW w:w="1547" w:type="dxa"/>
            <w:tcBorders>
              <w:bottom w:val="single" w:sz="8" w:space="0" w:color="001C71"/>
            </w:tcBorders>
            <w:shd w:fill="auto" w:val="clear"/>
            <w:tcMar>
              <w:bottom w:w="60" w:type="dxa"/>
            </w:tcMar>
            <w:vAlign w:val="bottom"/>
          </w:tcPr>
          <w:p>
            <w:pPr>
              <w:pStyle w:val="TableContents"/>
              <w:spacing w:before="0" w:after="283"/>
              <w:jc w:val="right"/>
              <w:rPr/>
            </w:pPr>
            <w:r>
              <w:rPr/>
              <w:t>17,136,242</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w:t>
            </w:r>
          </w:p>
        </w:tc>
        <w:tc>
          <w:tcPr>
            <w:tcW w:w="1553" w:type="dxa"/>
            <w:tcBorders>
              <w:bottom w:val="single" w:sz="8" w:space="0" w:color="001C71"/>
            </w:tcBorders>
            <w:shd w:fill="auto" w:val="clear"/>
            <w:tcMar>
              <w:bottom w:w="60" w:type="dxa"/>
            </w:tcMar>
            <w:vAlign w:val="bottom"/>
          </w:tcPr>
          <w:p>
            <w:pPr>
              <w:pStyle w:val="TableContents"/>
              <w:spacing w:before="0" w:after="283"/>
              <w:jc w:val="right"/>
              <w:rPr/>
            </w:pPr>
            <w:r>
              <w:rPr/>
              <w:t>10,259,167</w:t>
            </w:r>
          </w:p>
        </w:tc>
        <w:tc>
          <w:tcPr>
            <w:tcW w:w="410" w:type="dxa"/>
            <w:tcBorders>
              <w:bottom w:val="single" w:sz="8" w:space="0" w:color="001C71"/>
            </w:tcBorders>
            <w:shd w:fill="auto" w:val="clear"/>
            <w:tcMar>
              <w:bottom w:w="60"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55" w:type="dxa"/>
            <w:tcBorders>
              <w:bottom w:val="single" w:sz="8" w:space="0" w:color="001C71"/>
            </w:tcBorders>
            <w:shd w:fill="auto" w:val="clear"/>
            <w:tcMar>
              <w:bottom w:w="60" w:type="dxa"/>
            </w:tcMar>
            <w:vAlign w:val="bottom"/>
          </w:tcPr>
          <w:p>
            <w:pPr>
              <w:pStyle w:val="TableContents"/>
              <w:spacing w:before="0" w:after="283"/>
              <w:rPr/>
            </w:pPr>
            <w:r>
              <w:rPr/>
              <w:t>$</w:t>
            </w:r>
          </w:p>
        </w:tc>
        <w:tc>
          <w:tcPr>
            <w:tcW w:w="2015" w:type="dxa"/>
            <w:tcBorders>
              <w:bottom w:val="single" w:sz="8" w:space="0" w:color="001C71"/>
            </w:tcBorders>
            <w:shd w:fill="auto" w:val="clear"/>
            <w:tcMar>
              <w:bottom w:w="60" w:type="dxa"/>
            </w:tcMar>
            <w:vAlign w:val="bottom"/>
          </w:tcPr>
          <w:p>
            <w:pPr>
              <w:pStyle w:val="TableContents"/>
              <w:spacing w:before="0" w:after="283"/>
              <w:jc w:val="right"/>
              <w:rPr/>
            </w:pPr>
            <w:r>
              <w:rPr/>
              <w:t>3,844,078</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b/>
                <w:sz w:val="16"/>
              </w:rPr>
            </w:pPr>
            <w:r>
              <w:rPr>
                <w:rFonts w:ascii="arial" w:hAnsi="arial"/>
                <w:b/>
                <w:sz w:val="16"/>
              </w:rPr>
              <w:t>Peter R. Wall</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Lump Sum Cash Payment (A)</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w:t>
            </w:r>
          </w:p>
        </w:tc>
        <w:tc>
          <w:tcPr>
            <w:tcW w:w="1526" w:type="dxa"/>
            <w:tcBorders/>
            <w:shd w:fill="auto" w:val="clear"/>
            <w:vAlign w:val="bottom"/>
          </w:tcPr>
          <w:p>
            <w:pPr>
              <w:pStyle w:val="TableContents"/>
              <w:spacing w:before="0" w:after="283"/>
              <w:jc w:val="right"/>
              <w:rPr/>
            </w:pPr>
            <w:r>
              <w:rPr/>
              <w:t>956,050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w:t>
            </w:r>
          </w:p>
        </w:tc>
        <w:tc>
          <w:tcPr>
            <w:tcW w:w="1547" w:type="dxa"/>
            <w:tcBorders/>
            <w:shd w:fill="auto" w:val="clear"/>
            <w:vAlign w:val="bottom"/>
          </w:tcPr>
          <w:p>
            <w:pPr>
              <w:pStyle w:val="TableContents"/>
              <w:spacing w:before="0" w:after="283"/>
              <w:jc w:val="right"/>
              <w:rPr/>
            </w:pPr>
            <w:r>
              <w:rPr/>
              <w:t>1,274,733</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Acceleration of Existing Equity Awards (B)</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 </w:t>
            </w:r>
          </w:p>
        </w:tc>
        <w:tc>
          <w:tcPr>
            <w:tcW w:w="1547" w:type="dxa"/>
            <w:tcBorders/>
            <w:shd w:fill="E5E5E5" w:val="clear"/>
            <w:vAlign w:val="bottom"/>
          </w:tcPr>
          <w:p>
            <w:pPr>
              <w:pStyle w:val="TableContents"/>
              <w:spacing w:before="0" w:after="283"/>
              <w:jc w:val="right"/>
              <w:rPr/>
            </w:pPr>
            <w:r>
              <w:rPr/>
              <w:t>965,754</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w:t>
            </w:r>
          </w:p>
        </w:tc>
        <w:tc>
          <w:tcPr>
            <w:tcW w:w="1553" w:type="dxa"/>
            <w:tcBorders/>
            <w:shd w:fill="E5E5E5" w:val="clear"/>
            <w:vAlign w:val="bottom"/>
          </w:tcPr>
          <w:p>
            <w:pPr>
              <w:pStyle w:val="TableContents"/>
              <w:spacing w:before="0" w:after="283"/>
              <w:jc w:val="right"/>
              <w:rPr/>
            </w:pPr>
            <w:r>
              <w:rPr/>
              <w:t>266,171</w:t>
            </w:r>
          </w:p>
        </w:tc>
        <w:tc>
          <w:tcPr>
            <w:tcW w:w="41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Enhanced Retirement Benefits (C)</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52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4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Health &amp; Welfare Benefits (D)</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pPr>
            <w:r>
              <w:rPr/>
              <w:t> </w:t>
            </w:r>
          </w:p>
        </w:tc>
        <w:tc>
          <w:tcPr>
            <w:tcW w:w="1526" w:type="dxa"/>
            <w:tcBorders/>
            <w:shd w:fill="E5E5E5" w:val="clear"/>
            <w:vAlign w:val="bottom"/>
          </w:tcPr>
          <w:p>
            <w:pPr>
              <w:pStyle w:val="TableContents"/>
              <w:spacing w:before="0" w:after="283"/>
              <w:jc w:val="right"/>
              <w:rPr/>
            </w:pPr>
            <w:r>
              <w:rPr/>
              <w:t>37,199</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pPr>
            <w:r>
              <w:rPr/>
              <w:t> </w:t>
            </w:r>
          </w:p>
        </w:tc>
        <w:tc>
          <w:tcPr>
            <w:tcW w:w="1547" w:type="dxa"/>
            <w:tcBorders/>
            <w:shd w:fill="E5E5E5" w:val="clear"/>
            <w:vAlign w:val="bottom"/>
          </w:tcPr>
          <w:p>
            <w:pPr>
              <w:pStyle w:val="TableContents"/>
              <w:spacing w:before="0" w:after="283"/>
              <w:jc w:val="right"/>
              <w:rPr/>
            </w:pPr>
            <w:r>
              <w:rPr/>
              <w:t>52,584</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Financial Planning (E)</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526" w:type="dxa"/>
            <w:tcBorders/>
            <w:shd w:fill="auto" w:val="clear"/>
            <w:vAlign w:val="bottom"/>
          </w:tcPr>
          <w:p>
            <w:pPr>
              <w:pStyle w:val="TableContents"/>
              <w:spacing w:before="0" w:after="283"/>
              <w:jc w:val="right"/>
              <w:rPr/>
            </w:pPr>
            <w:r>
              <w:rPr/>
              <w:t>37,500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547" w:type="dxa"/>
            <w:tcBorders/>
            <w:shd w:fill="auto" w:val="clear"/>
            <w:vAlign w:val="bottom"/>
          </w:tcPr>
          <w:p>
            <w:pPr>
              <w:pStyle w:val="TableContents"/>
              <w:spacing w:before="0" w:after="283"/>
              <w:jc w:val="right"/>
              <w:rPr/>
            </w:pPr>
            <w:r>
              <w:rPr/>
              <w:t>50,000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bottom w:val="single" w:sz="2" w:space="0" w:color="001C71"/>
            </w:tcBorders>
            <w:shd w:fill="E5E5E5" w:val="clear"/>
            <w:tcMar>
              <w:bottom w:w="60" w:type="dxa"/>
            </w:tcMar>
          </w:tcPr>
          <w:p>
            <w:pPr>
              <w:pStyle w:val="TableContents"/>
              <w:spacing w:before="0" w:after="0"/>
              <w:rPr>
                <w:rFonts w:ascii="arial" w:hAnsi="arial"/>
                <w:sz w:val="16"/>
              </w:rPr>
            </w:pPr>
            <w:r>
              <w:rPr>
                <w:rFonts w:ascii="arial" w:hAnsi="arial"/>
                <w:sz w:val="16"/>
              </w:rPr>
              <w:t>Outplacement</w:t>
            </w:r>
          </w:p>
        </w:tc>
        <w:tc>
          <w:tcPr>
            <w:tcW w:w="12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19" w:type="dxa"/>
            <w:tcBorders>
              <w:bottom w:val="single" w:sz="2" w:space="0" w:color="001C71"/>
            </w:tcBorders>
            <w:shd w:fill="E5E5E5" w:val="clear"/>
            <w:tcMar>
              <w:bottom w:w="60" w:type="dxa"/>
            </w:tcMar>
            <w:vAlign w:val="bottom"/>
          </w:tcPr>
          <w:p>
            <w:pPr>
              <w:pStyle w:val="TableContents"/>
              <w:spacing w:before="0" w:after="283"/>
              <w:rPr/>
            </w:pPr>
            <w:r>
              <w:rPr/>
              <w:t> </w:t>
            </w:r>
          </w:p>
        </w:tc>
        <w:tc>
          <w:tcPr>
            <w:tcW w:w="1526" w:type="dxa"/>
            <w:tcBorders>
              <w:bottom w:val="single" w:sz="2" w:space="0" w:color="001C71"/>
            </w:tcBorders>
            <w:shd w:fill="E5E5E5" w:val="clear"/>
            <w:tcMar>
              <w:bottom w:w="60" w:type="dxa"/>
            </w:tcMar>
            <w:vAlign w:val="bottom"/>
          </w:tcPr>
          <w:p>
            <w:pPr>
              <w:pStyle w:val="TableContents"/>
              <w:spacing w:before="0" w:after="283"/>
              <w:jc w:val="right"/>
              <w:rPr/>
            </w:pPr>
            <w:r>
              <w:rPr/>
              <w:t>50,000</w:t>
            </w:r>
          </w:p>
        </w:tc>
        <w:tc>
          <w:tcPr>
            <w:tcW w:w="84" w:type="dxa"/>
            <w:tcBorders>
              <w:bottom w:val="single" w:sz="2" w:space="0" w:color="001C71"/>
            </w:tcBorders>
            <w:shd w:fill="E5E5E5" w:val="clear"/>
            <w:tcMar>
              <w:bottom w:w="60"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60" w:type="dxa"/>
            </w:tcMar>
            <w:vAlign w:val="bottom"/>
          </w:tcPr>
          <w:p>
            <w:pPr>
              <w:pStyle w:val="TableContents"/>
              <w:spacing w:before="0" w:after="283"/>
              <w:rPr/>
            </w:pPr>
            <w:r>
              <w:rPr/>
              <w:t> </w:t>
            </w:r>
          </w:p>
        </w:tc>
        <w:tc>
          <w:tcPr>
            <w:tcW w:w="1547" w:type="dxa"/>
            <w:tcBorders>
              <w:bottom w:val="single" w:sz="2" w:space="0" w:color="001C71"/>
            </w:tcBorders>
            <w:shd w:fill="E5E5E5" w:val="clear"/>
            <w:tcMar>
              <w:bottom w:w="60" w:type="dxa"/>
            </w:tcMar>
            <w:vAlign w:val="bottom"/>
          </w:tcPr>
          <w:p>
            <w:pPr>
              <w:pStyle w:val="TableContents"/>
              <w:spacing w:before="0" w:after="283"/>
              <w:jc w:val="right"/>
              <w:rPr/>
            </w:pPr>
            <w:r>
              <w:rPr/>
              <w:t>50,000</w:t>
            </w:r>
          </w:p>
        </w:tc>
        <w:tc>
          <w:tcPr>
            <w:tcW w:w="84" w:type="dxa"/>
            <w:tcBorders>
              <w:bottom w:val="single" w:sz="2" w:space="0" w:color="001C71"/>
            </w:tcBorders>
            <w:shd w:fill="E5E5E5" w:val="clear"/>
            <w:tcMar>
              <w:bottom w:w="60"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53" w:type="dxa"/>
            <w:tcBorders>
              <w:bottom w:val="single" w:sz="2" w:space="0" w:color="001C71"/>
            </w:tcBorders>
            <w:shd w:fill="E5E5E5" w:val="clear"/>
            <w:tcMar>
              <w:bottom w:w="28" w:type="dxa"/>
            </w:tcMar>
            <w:vAlign w:val="bottom"/>
          </w:tcPr>
          <w:p>
            <w:pPr>
              <w:pStyle w:val="TableContents"/>
              <w:spacing w:before="0" w:after="283"/>
              <w:rPr/>
            </w:pPr>
            <w:r>
              <w:rPr/>
              <w:t> </w:t>
            </w:r>
          </w:p>
        </w:tc>
        <w:tc>
          <w:tcPr>
            <w:tcW w:w="410"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55" w:type="dxa"/>
            <w:tcBorders>
              <w:bottom w:val="single" w:sz="2" w:space="0" w:color="001C71"/>
            </w:tcBorders>
            <w:shd w:fill="E5E5E5" w:val="clear"/>
            <w:tcMar>
              <w:bottom w:w="28" w:type="dxa"/>
            </w:tcMar>
            <w:vAlign w:val="bottom"/>
          </w:tcPr>
          <w:p>
            <w:pPr>
              <w:pStyle w:val="TableContents"/>
              <w:spacing w:before="0" w:after="283"/>
              <w:rPr/>
            </w:pPr>
            <w:r>
              <w:rPr/>
              <w:t> </w:t>
            </w:r>
          </w:p>
        </w:tc>
        <w:tc>
          <w:tcPr>
            <w:tcW w:w="2015"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Total</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219" w:type="dxa"/>
            <w:tcBorders>
              <w:bottom w:val="single" w:sz="8" w:space="0" w:color="001C71"/>
            </w:tcBorders>
            <w:shd w:fill="auto" w:val="clear"/>
            <w:tcMar>
              <w:bottom w:w="60" w:type="dxa"/>
            </w:tcMar>
            <w:vAlign w:val="bottom"/>
          </w:tcPr>
          <w:p>
            <w:pPr>
              <w:pStyle w:val="TableContents"/>
              <w:spacing w:before="0" w:after="283"/>
              <w:rPr/>
            </w:pPr>
            <w:r>
              <w:rPr/>
              <w:t>$</w:t>
            </w:r>
          </w:p>
        </w:tc>
        <w:tc>
          <w:tcPr>
            <w:tcW w:w="1526" w:type="dxa"/>
            <w:tcBorders>
              <w:bottom w:val="single" w:sz="8" w:space="0" w:color="001C71"/>
            </w:tcBorders>
            <w:shd w:fill="auto" w:val="clear"/>
            <w:tcMar>
              <w:bottom w:w="60" w:type="dxa"/>
            </w:tcMar>
            <w:vAlign w:val="bottom"/>
          </w:tcPr>
          <w:p>
            <w:pPr>
              <w:pStyle w:val="TableContents"/>
              <w:spacing w:before="0" w:after="283"/>
              <w:jc w:val="right"/>
              <w:rPr/>
            </w:pPr>
            <w:r>
              <w:rPr/>
              <w:t>1,080,749</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w:t>
            </w:r>
          </w:p>
        </w:tc>
        <w:tc>
          <w:tcPr>
            <w:tcW w:w="1547" w:type="dxa"/>
            <w:tcBorders>
              <w:bottom w:val="single" w:sz="8" w:space="0" w:color="001C71"/>
            </w:tcBorders>
            <w:shd w:fill="auto" w:val="clear"/>
            <w:tcMar>
              <w:bottom w:w="60" w:type="dxa"/>
            </w:tcMar>
            <w:vAlign w:val="bottom"/>
          </w:tcPr>
          <w:p>
            <w:pPr>
              <w:pStyle w:val="TableContents"/>
              <w:spacing w:before="0" w:after="283"/>
              <w:jc w:val="right"/>
              <w:rPr/>
            </w:pPr>
            <w:r>
              <w:rPr/>
              <w:t>2,393,071</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w:t>
            </w:r>
          </w:p>
        </w:tc>
        <w:tc>
          <w:tcPr>
            <w:tcW w:w="1553" w:type="dxa"/>
            <w:tcBorders>
              <w:bottom w:val="single" w:sz="8" w:space="0" w:color="001C71"/>
            </w:tcBorders>
            <w:shd w:fill="auto" w:val="clear"/>
            <w:tcMar>
              <w:bottom w:w="60" w:type="dxa"/>
            </w:tcMar>
            <w:vAlign w:val="bottom"/>
          </w:tcPr>
          <w:p>
            <w:pPr>
              <w:pStyle w:val="TableContents"/>
              <w:spacing w:before="0" w:after="283"/>
              <w:jc w:val="right"/>
              <w:rPr/>
            </w:pPr>
            <w:r>
              <w:rPr/>
              <w:t>266,171</w:t>
            </w:r>
          </w:p>
        </w:tc>
        <w:tc>
          <w:tcPr>
            <w:tcW w:w="410" w:type="dxa"/>
            <w:tcBorders>
              <w:bottom w:val="single" w:sz="8" w:space="0" w:color="001C71"/>
            </w:tcBorders>
            <w:shd w:fill="auto" w:val="clear"/>
            <w:tcMar>
              <w:bottom w:w="60"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55" w:type="dxa"/>
            <w:tcBorders>
              <w:bottom w:val="single" w:sz="8" w:space="0" w:color="001C71"/>
            </w:tcBorders>
            <w:shd w:fill="auto" w:val="clear"/>
            <w:tcMar>
              <w:bottom w:w="60" w:type="dxa"/>
            </w:tcMar>
            <w:vAlign w:val="bottom"/>
          </w:tcPr>
          <w:p>
            <w:pPr>
              <w:pStyle w:val="TableContents"/>
              <w:spacing w:before="0" w:after="283"/>
              <w:rPr/>
            </w:pPr>
            <w:r>
              <w:rPr/>
              <w:t> </w:t>
            </w:r>
          </w:p>
        </w:tc>
        <w:tc>
          <w:tcPr>
            <w:tcW w:w="2015"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b/>
                <w:sz w:val="16"/>
              </w:rPr>
            </w:pPr>
            <w:r>
              <w:rPr>
                <w:rFonts w:ascii="arial" w:hAnsi="arial"/>
                <w:b/>
                <w:sz w:val="16"/>
              </w:rPr>
              <w:t>Dennis V. Arriola</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Lump Sum Cash Payment (A)</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52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4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Acceleration of Existing Equity Awards (B)</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pPr>
            <w:r>
              <w:rPr/>
              <w:t>$</w:t>
            </w:r>
          </w:p>
        </w:tc>
        <w:tc>
          <w:tcPr>
            <w:tcW w:w="2015" w:type="dxa"/>
            <w:tcBorders/>
            <w:shd w:fill="E5E5E5" w:val="clear"/>
            <w:vAlign w:val="bottom"/>
          </w:tcPr>
          <w:p>
            <w:pPr>
              <w:pStyle w:val="TableContents"/>
              <w:spacing w:before="0" w:after="283"/>
              <w:jc w:val="right"/>
              <w:rPr/>
            </w:pPr>
            <w:r>
              <w:rPr/>
              <w:t>3,090,303</w:t>
            </w:r>
          </w:p>
        </w:tc>
        <w:tc>
          <w:tcPr>
            <w:tcW w:w="60" w:type="dxa"/>
            <w:tcBorders/>
            <w:shd w:fill="E5E5E5" w:val="cle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Enhanced Retirement Benefits (C)</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52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4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Health &amp; Welfare Benefits (D)</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Financial Planning (E)</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52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4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bottom w:val="single" w:sz="2" w:space="0" w:color="001C71"/>
            </w:tcBorders>
            <w:shd w:fill="E5E5E5" w:val="clear"/>
            <w:tcMar>
              <w:bottom w:w="60" w:type="dxa"/>
            </w:tcMar>
          </w:tcPr>
          <w:p>
            <w:pPr>
              <w:pStyle w:val="TableContents"/>
              <w:spacing w:before="0" w:after="0"/>
              <w:rPr>
                <w:rFonts w:ascii="arial" w:hAnsi="arial"/>
                <w:sz w:val="16"/>
              </w:rPr>
            </w:pPr>
            <w:r>
              <w:rPr>
                <w:rFonts w:ascii="arial" w:hAnsi="arial"/>
                <w:sz w:val="16"/>
              </w:rPr>
              <w:t>Outplacement</w:t>
            </w:r>
          </w:p>
        </w:tc>
        <w:tc>
          <w:tcPr>
            <w:tcW w:w="12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19"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26" w:type="dxa"/>
            <w:tcBorders>
              <w:bottom w:val="single" w:sz="2" w:space="0" w:color="001C71"/>
            </w:tcBorders>
            <w:shd w:fill="E5E5E5" w:val="clear"/>
            <w:tcMar>
              <w:bottom w:w="28" w:type="dxa"/>
            </w:tcMar>
            <w:vAlign w:val="bottom"/>
          </w:tcPr>
          <w:p>
            <w:pPr>
              <w:pStyle w:val="TableContents"/>
              <w:spacing w:before="0" w:after="283"/>
              <w:rPr/>
            </w:pPr>
            <w:r>
              <w:rPr/>
              <w:t> </w:t>
            </w:r>
          </w:p>
        </w:tc>
        <w:tc>
          <w:tcPr>
            <w:tcW w:w="84" w:type="dxa"/>
            <w:tcBorders>
              <w:bottom w:val="single" w:sz="2" w:space="0" w:color="001C71"/>
            </w:tcBorders>
            <w:shd w:fill="E5E5E5" w:val="clear"/>
            <w:tcMar>
              <w:bottom w:w="28"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47" w:type="dxa"/>
            <w:tcBorders>
              <w:bottom w:val="single" w:sz="2" w:space="0" w:color="001C71"/>
            </w:tcBorders>
            <w:shd w:fill="E5E5E5" w:val="clear"/>
            <w:tcMar>
              <w:bottom w:w="28" w:type="dxa"/>
            </w:tcMar>
            <w:vAlign w:val="bottom"/>
          </w:tcPr>
          <w:p>
            <w:pPr>
              <w:pStyle w:val="TableContents"/>
              <w:spacing w:before="0" w:after="283"/>
              <w:rPr/>
            </w:pPr>
            <w:r>
              <w:rPr/>
              <w:t> </w:t>
            </w:r>
          </w:p>
        </w:tc>
        <w:tc>
          <w:tcPr>
            <w:tcW w:w="84" w:type="dxa"/>
            <w:tcBorders>
              <w:bottom w:val="single" w:sz="2" w:space="0" w:color="001C71"/>
            </w:tcBorders>
            <w:shd w:fill="E5E5E5" w:val="clear"/>
            <w:tcMar>
              <w:bottom w:w="28"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53" w:type="dxa"/>
            <w:tcBorders>
              <w:bottom w:val="single" w:sz="2" w:space="0" w:color="001C71"/>
            </w:tcBorders>
            <w:shd w:fill="E5E5E5" w:val="clear"/>
            <w:tcMar>
              <w:bottom w:w="28" w:type="dxa"/>
            </w:tcMar>
            <w:vAlign w:val="bottom"/>
          </w:tcPr>
          <w:p>
            <w:pPr>
              <w:pStyle w:val="TableContents"/>
              <w:spacing w:before="0" w:after="283"/>
              <w:rPr/>
            </w:pPr>
            <w:r>
              <w:rPr/>
              <w:t> </w:t>
            </w:r>
          </w:p>
        </w:tc>
        <w:tc>
          <w:tcPr>
            <w:tcW w:w="410"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55" w:type="dxa"/>
            <w:tcBorders>
              <w:bottom w:val="single" w:sz="2" w:space="0" w:color="001C71"/>
            </w:tcBorders>
            <w:shd w:fill="E5E5E5" w:val="clear"/>
            <w:tcMar>
              <w:bottom w:w="28" w:type="dxa"/>
            </w:tcMar>
            <w:vAlign w:val="bottom"/>
          </w:tcPr>
          <w:p>
            <w:pPr>
              <w:pStyle w:val="TableContents"/>
              <w:spacing w:before="0" w:after="283"/>
              <w:rPr/>
            </w:pPr>
            <w:r>
              <w:rPr/>
              <w:t> </w:t>
            </w:r>
          </w:p>
        </w:tc>
        <w:tc>
          <w:tcPr>
            <w:tcW w:w="2015"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Total</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219" w:type="dxa"/>
            <w:tcBorders>
              <w:bottom w:val="single" w:sz="8" w:space="0" w:color="001C71"/>
            </w:tcBorders>
            <w:shd w:fill="auto" w:val="clear"/>
            <w:tcMar>
              <w:bottom w:w="60" w:type="dxa"/>
            </w:tcMar>
            <w:vAlign w:val="bottom"/>
          </w:tcPr>
          <w:p>
            <w:pPr>
              <w:pStyle w:val="TableContents"/>
              <w:spacing w:before="0" w:after="283"/>
              <w:rPr/>
            </w:pPr>
            <w:r>
              <w:rPr/>
              <w:t> </w:t>
            </w:r>
          </w:p>
        </w:tc>
        <w:tc>
          <w:tcPr>
            <w:tcW w:w="1526"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 </w:t>
            </w:r>
          </w:p>
        </w:tc>
        <w:tc>
          <w:tcPr>
            <w:tcW w:w="1547"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 </w:t>
            </w:r>
          </w:p>
        </w:tc>
        <w:tc>
          <w:tcPr>
            <w:tcW w:w="1553"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410" w:type="dxa"/>
            <w:tcBorders>
              <w:bottom w:val="single" w:sz="8" w:space="0" w:color="001C71"/>
            </w:tcBorders>
            <w:shd w:fill="auto" w:val="clear"/>
            <w:tcMar>
              <w:bottom w:w="60"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55" w:type="dxa"/>
            <w:tcBorders>
              <w:bottom w:val="single" w:sz="8" w:space="0" w:color="001C71"/>
            </w:tcBorders>
            <w:shd w:fill="auto" w:val="clear"/>
            <w:tcMar>
              <w:bottom w:w="60" w:type="dxa"/>
            </w:tcMar>
            <w:vAlign w:val="bottom"/>
          </w:tcPr>
          <w:p>
            <w:pPr>
              <w:pStyle w:val="TableContents"/>
              <w:spacing w:before="0" w:after="283"/>
              <w:rPr/>
            </w:pPr>
            <w:r>
              <w:rPr/>
              <w:t>$</w:t>
            </w:r>
          </w:p>
        </w:tc>
        <w:tc>
          <w:tcPr>
            <w:tcW w:w="2015" w:type="dxa"/>
            <w:tcBorders>
              <w:bottom w:val="single" w:sz="8" w:space="0" w:color="001C71"/>
            </w:tcBorders>
            <w:shd w:fill="auto" w:val="clear"/>
            <w:tcMar>
              <w:bottom w:w="60" w:type="dxa"/>
            </w:tcMar>
            <w:vAlign w:val="bottom"/>
          </w:tcPr>
          <w:p>
            <w:pPr>
              <w:pStyle w:val="TableContents"/>
              <w:spacing w:before="0" w:after="283"/>
              <w:jc w:val="right"/>
              <w:rPr/>
            </w:pPr>
            <w:r>
              <w:rPr/>
              <w:t>3,090,303</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b/>
                <w:sz w:val="16"/>
              </w:rPr>
            </w:pPr>
            <w:r>
              <w:rPr>
                <w:rFonts w:ascii="arial" w:hAnsi="arial"/>
                <w:b/>
                <w:sz w:val="16"/>
              </w:rPr>
              <w:t>George W. Bilicic</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Lump Sum Cash Payment (A)</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w:t>
            </w:r>
          </w:p>
        </w:tc>
        <w:tc>
          <w:tcPr>
            <w:tcW w:w="1526" w:type="dxa"/>
            <w:tcBorders/>
            <w:shd w:fill="auto" w:val="clear"/>
            <w:vAlign w:val="bottom"/>
          </w:tcPr>
          <w:p>
            <w:pPr>
              <w:pStyle w:val="TableContents"/>
              <w:spacing w:before="0" w:after="283"/>
              <w:jc w:val="right"/>
              <w:rPr/>
            </w:pPr>
            <w:r>
              <w:rPr/>
              <w:t>3,248,000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4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Acceleration of Existing Equity Awards (B)</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pPr>
            <w:r>
              <w:rPr/>
              <w:t> </w:t>
            </w:r>
          </w:p>
        </w:tc>
        <w:tc>
          <w:tcPr>
            <w:tcW w:w="1526" w:type="dxa"/>
            <w:tcBorders/>
            <w:shd w:fill="E5E5E5" w:val="clear"/>
            <w:vAlign w:val="bottom"/>
          </w:tcPr>
          <w:p>
            <w:pPr>
              <w:pStyle w:val="TableContents"/>
              <w:spacing w:before="0" w:after="283"/>
              <w:jc w:val="right"/>
              <w:rPr/>
            </w:pPr>
            <w:r>
              <w:rPr/>
              <w:t>4,102,102</w:t>
            </w:r>
          </w:p>
        </w:tc>
        <w:tc>
          <w:tcPr>
            <w:tcW w:w="84" w:type="dxa"/>
            <w:tcBorders/>
            <w:shd w:fill="E5E5E5" w:val="clear"/>
            <w:vAlign w:val="bottom"/>
          </w:tcPr>
          <w:p>
            <w:pPr>
              <w:pStyle w:val="TableContents"/>
              <w:spacing w:before="0" w:after="283"/>
              <w:rPr/>
            </w:pPr>
            <w:r>
              <w:rPr/>
              <w:t> </w:t>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pPr>
            <w:r>
              <w:rPr/>
              <w:t> </w:t>
            </w:r>
          </w:p>
        </w:tc>
        <w:tc>
          <w:tcPr>
            <w:tcW w:w="2015"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Enhanced Retirement Benefits (C)</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52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4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shd w:fill="E5E5E5" w:val="clear"/>
          </w:tcPr>
          <w:p>
            <w:pPr>
              <w:pStyle w:val="TableContents"/>
              <w:spacing w:before="0" w:after="0"/>
              <w:rPr>
                <w:rFonts w:ascii="arial" w:hAnsi="arial"/>
                <w:sz w:val="16"/>
              </w:rPr>
            </w:pPr>
            <w:r>
              <w:rPr>
                <w:rFonts w:ascii="arial" w:hAnsi="arial"/>
                <w:sz w:val="16"/>
              </w:rPr>
              <w:t>Health &amp; Welfare Benefits (D)</w:t>
            </w:r>
          </w:p>
        </w:tc>
        <w:tc>
          <w:tcPr>
            <w:tcW w:w="120" w:type="dxa"/>
            <w:tcBorders/>
            <w:shd w:fill="E5E5E5" w:val="clear"/>
            <w:vAlign w:val="bottom"/>
          </w:tcPr>
          <w:p>
            <w:pPr>
              <w:pStyle w:val="TableContents"/>
              <w:spacing w:before="0" w:after="283"/>
              <w:rPr/>
            </w:pPr>
            <w:r>
              <w:rPr/>
              <w:t>  </w:t>
            </w:r>
          </w:p>
        </w:tc>
        <w:tc>
          <w:tcPr>
            <w:tcW w:w="219" w:type="dxa"/>
            <w:tcBorders/>
            <w:shd w:fill="E5E5E5" w:val="clear"/>
            <w:vAlign w:val="bottom"/>
          </w:tcPr>
          <w:p>
            <w:pPr>
              <w:pStyle w:val="TableContents"/>
              <w:spacing w:before="0" w:after="283"/>
              <w:rPr>
                <w:sz w:val="4"/>
                <w:szCs w:val="4"/>
              </w:rPr>
            </w:pPr>
            <w:r>
              <w:rPr>
                <w:sz w:val="4"/>
                <w:szCs w:val="4"/>
              </w:rPr>
            </w:r>
          </w:p>
        </w:tc>
        <w:tc>
          <w:tcPr>
            <w:tcW w:w="1526"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47" w:type="dxa"/>
            <w:tcBorders/>
            <w:shd w:fill="E5E5E5" w:val="clear"/>
            <w:vAlign w:val="bottom"/>
          </w:tcPr>
          <w:p>
            <w:pPr>
              <w:pStyle w:val="TableContents"/>
              <w:spacing w:before="0" w:after="283"/>
              <w:rPr>
                <w:sz w:val="4"/>
                <w:szCs w:val="4"/>
              </w:rPr>
            </w:pPr>
            <w:r>
              <w:rPr>
                <w:sz w:val="4"/>
                <w:szCs w:val="4"/>
              </w:rPr>
            </w:r>
          </w:p>
        </w:tc>
        <w:tc>
          <w:tcPr>
            <w:tcW w:w="84" w:type="dxa"/>
            <w:tcBorders/>
            <w:shd w:fill="E5E5E5" w:val="clear"/>
            <w:vAlign w:val="bottom"/>
          </w:tcPr>
          <w:p>
            <w:pPr>
              <w:pStyle w:val="TableContents"/>
              <w:spacing w:before="0" w:after="283"/>
              <w:rPr>
                <w:sz w:val="4"/>
                <w:szCs w:val="4"/>
              </w:rPr>
            </w:pPr>
            <w:r>
              <w:rPr>
                <w:sz w:val="4"/>
                <w:szCs w:val="4"/>
              </w:rPr>
            </w:r>
          </w:p>
        </w:tc>
        <w:tc>
          <w:tcPr>
            <w:tcW w:w="168" w:type="dxa"/>
            <w:tcBorders/>
            <w:shd w:fill="E5E5E5" w:val="clear"/>
            <w:vAlign w:val="bottom"/>
          </w:tcPr>
          <w:p>
            <w:pPr>
              <w:pStyle w:val="TableContents"/>
              <w:spacing w:before="0" w:after="283"/>
              <w:rPr/>
            </w:pPr>
            <w:r>
              <w:rPr/>
              <w:t>  </w:t>
            </w:r>
          </w:p>
        </w:tc>
        <w:tc>
          <w:tcPr>
            <w:tcW w:w="196" w:type="dxa"/>
            <w:tcBorders/>
            <w:shd w:fill="E5E5E5" w:val="clear"/>
            <w:vAlign w:val="bottom"/>
          </w:tcPr>
          <w:p>
            <w:pPr>
              <w:pStyle w:val="TableContents"/>
              <w:spacing w:before="0" w:after="283"/>
              <w:rPr>
                <w:sz w:val="4"/>
                <w:szCs w:val="4"/>
              </w:rPr>
            </w:pPr>
            <w:r>
              <w:rPr>
                <w:sz w:val="4"/>
                <w:szCs w:val="4"/>
              </w:rPr>
            </w:r>
          </w:p>
        </w:tc>
        <w:tc>
          <w:tcPr>
            <w:tcW w:w="1553" w:type="dxa"/>
            <w:tcBorders/>
            <w:shd w:fill="E5E5E5" w:val="clear"/>
            <w:vAlign w:val="bottom"/>
          </w:tcPr>
          <w:p>
            <w:pPr>
              <w:pStyle w:val="TableContents"/>
              <w:spacing w:before="0" w:after="283"/>
              <w:rPr>
                <w:sz w:val="4"/>
                <w:szCs w:val="4"/>
              </w:rPr>
            </w:pPr>
            <w:r>
              <w:rPr>
                <w:sz w:val="4"/>
                <w:szCs w:val="4"/>
              </w:rPr>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255" w:type="dxa"/>
            <w:tcBorders/>
            <w:shd w:fill="E5E5E5" w:val="clear"/>
            <w:vAlign w:val="bottom"/>
          </w:tcPr>
          <w:p>
            <w:pPr>
              <w:pStyle w:val="TableContents"/>
              <w:spacing w:before="0" w:after="283"/>
              <w:rPr>
                <w:sz w:val="4"/>
                <w:szCs w:val="4"/>
              </w:rPr>
            </w:pPr>
            <w:r>
              <w:rPr>
                <w:sz w:val="4"/>
                <w:szCs w:val="4"/>
              </w:rPr>
            </w:r>
          </w:p>
        </w:tc>
        <w:tc>
          <w:tcPr>
            <w:tcW w:w="20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tcPr>
          <w:p>
            <w:pPr>
              <w:pStyle w:val="TableContents"/>
              <w:spacing w:before="0" w:after="0"/>
              <w:rPr>
                <w:rFonts w:ascii="arial" w:hAnsi="arial"/>
                <w:sz w:val="16"/>
              </w:rPr>
            </w:pPr>
            <w:r>
              <w:rPr>
                <w:rFonts w:ascii="arial" w:hAnsi="arial"/>
                <w:sz w:val="16"/>
              </w:rPr>
              <w:t>Financial Planning (E)</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526" w:type="dxa"/>
            <w:tcBorders/>
            <w:shd w:fill="auto" w:val="clear"/>
            <w:vAlign w:val="bottom"/>
          </w:tcPr>
          <w:p>
            <w:pPr>
              <w:pStyle w:val="TableContents"/>
              <w:spacing w:before="0" w:after="283"/>
              <w:jc w:val="right"/>
              <w:rPr/>
            </w:pPr>
            <w:r>
              <w:rPr/>
              <w:t>50,000</w:t>
            </w:r>
          </w:p>
        </w:tc>
        <w:tc>
          <w:tcPr>
            <w:tcW w:w="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4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080" w:type="dxa"/>
            <w:tcBorders/>
            <w:shd w:fill="E5E5E5" w:val="clear"/>
            <w:vAlign w:val="center"/>
          </w:tcPr>
          <w:p>
            <w:pPr>
              <w:pStyle w:val="TableContents"/>
              <w:spacing w:before="0" w:after="283"/>
              <w:rPr>
                <w:sz w:val="4"/>
                <w:szCs w:val="4"/>
              </w:rPr>
            </w:pPr>
            <w:r>
              <w:rPr>
                <w:sz w:val="4"/>
                <w:szCs w:val="4"/>
              </w:rPr>
            </w:r>
          </w:p>
        </w:tc>
        <w:tc>
          <w:tcPr>
            <w:tcW w:w="1949" w:type="dxa"/>
            <w:gridSpan w:val="4"/>
            <w:tcBorders/>
            <w:shd w:fill="E5E5E5" w:val="clear"/>
            <w:vAlign w:val="center"/>
          </w:tcPr>
          <w:p>
            <w:pPr>
              <w:pStyle w:val="TableContents"/>
              <w:spacing w:before="0" w:after="283"/>
              <w:rPr>
                <w:sz w:val="4"/>
                <w:szCs w:val="4"/>
              </w:rPr>
            </w:pPr>
            <w:r>
              <w:rPr>
                <w:sz w:val="4"/>
                <w:szCs w:val="4"/>
              </w:rPr>
            </w:r>
          </w:p>
        </w:tc>
        <w:tc>
          <w:tcPr>
            <w:tcW w:w="1995" w:type="dxa"/>
            <w:gridSpan w:val="4"/>
            <w:tcBorders/>
            <w:shd w:fill="E5E5E5" w:val="clear"/>
            <w:vAlign w:val="center"/>
          </w:tcPr>
          <w:p>
            <w:pPr>
              <w:pStyle w:val="TableContents"/>
              <w:spacing w:before="0" w:after="283"/>
              <w:rPr>
                <w:sz w:val="4"/>
                <w:szCs w:val="4"/>
              </w:rPr>
            </w:pPr>
            <w:r>
              <w:rPr>
                <w:sz w:val="4"/>
                <w:szCs w:val="4"/>
              </w:rPr>
            </w:r>
          </w:p>
        </w:tc>
        <w:tc>
          <w:tcPr>
            <w:tcW w:w="2327" w:type="dxa"/>
            <w:gridSpan w:val="4"/>
            <w:tcBorders/>
            <w:shd w:fill="E5E5E5" w:val="clear"/>
            <w:vAlign w:val="center"/>
          </w:tcPr>
          <w:p>
            <w:pPr>
              <w:pStyle w:val="TableContents"/>
              <w:spacing w:before="0" w:after="283"/>
              <w:rPr>
                <w:sz w:val="4"/>
                <w:szCs w:val="4"/>
              </w:rPr>
            </w:pPr>
            <w:r>
              <w:rPr>
                <w:sz w:val="4"/>
                <w:szCs w:val="4"/>
              </w:rPr>
            </w:r>
          </w:p>
        </w:tc>
        <w:tc>
          <w:tcPr>
            <w:tcW w:w="2390" w:type="dxa"/>
            <w:gridSpan w:val="4"/>
            <w:tcBorders/>
            <w:shd w:fill="E5E5E5" w:val="clear"/>
            <w:vAlign w:val="center"/>
          </w:tcPr>
          <w:p>
            <w:pPr>
              <w:pStyle w:val="TableContents"/>
              <w:spacing w:before="0" w:after="283"/>
              <w:rPr>
                <w:sz w:val="4"/>
                <w:szCs w:val="4"/>
              </w:rPr>
            </w:pPr>
            <w:r>
              <w:rPr>
                <w:sz w:val="4"/>
                <w:szCs w:val="4"/>
              </w:rPr>
            </w:r>
          </w:p>
        </w:tc>
      </w:tr>
      <w:tr>
        <w:trPr/>
        <w:tc>
          <w:tcPr>
            <w:tcW w:w="3080" w:type="dxa"/>
            <w:tcBorders>
              <w:bottom w:val="single" w:sz="2" w:space="0" w:color="001C71"/>
            </w:tcBorders>
            <w:shd w:fill="E5E5E5" w:val="clear"/>
            <w:tcMar>
              <w:bottom w:w="60" w:type="dxa"/>
            </w:tcMar>
          </w:tcPr>
          <w:p>
            <w:pPr>
              <w:pStyle w:val="TableContents"/>
              <w:spacing w:before="0" w:after="0"/>
              <w:rPr>
                <w:rFonts w:ascii="arial" w:hAnsi="arial"/>
                <w:sz w:val="16"/>
              </w:rPr>
            </w:pPr>
            <w:r>
              <w:rPr>
                <w:rFonts w:ascii="arial" w:hAnsi="arial"/>
                <w:sz w:val="16"/>
              </w:rPr>
              <w:t>Outplacement</w:t>
            </w:r>
          </w:p>
        </w:tc>
        <w:tc>
          <w:tcPr>
            <w:tcW w:w="12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19" w:type="dxa"/>
            <w:tcBorders>
              <w:bottom w:val="single" w:sz="2" w:space="0" w:color="001C71"/>
            </w:tcBorders>
            <w:shd w:fill="E5E5E5" w:val="clear"/>
            <w:tcMar>
              <w:bottom w:w="60" w:type="dxa"/>
            </w:tcMar>
            <w:vAlign w:val="bottom"/>
          </w:tcPr>
          <w:p>
            <w:pPr>
              <w:pStyle w:val="TableContents"/>
              <w:spacing w:before="0" w:after="283"/>
              <w:rPr/>
            </w:pPr>
            <w:r>
              <w:rPr/>
              <w:t> </w:t>
            </w:r>
          </w:p>
        </w:tc>
        <w:tc>
          <w:tcPr>
            <w:tcW w:w="1526" w:type="dxa"/>
            <w:tcBorders>
              <w:bottom w:val="single" w:sz="2" w:space="0" w:color="001C71"/>
            </w:tcBorders>
            <w:shd w:fill="E5E5E5" w:val="clear"/>
            <w:tcMar>
              <w:bottom w:w="60" w:type="dxa"/>
            </w:tcMar>
            <w:vAlign w:val="bottom"/>
          </w:tcPr>
          <w:p>
            <w:pPr>
              <w:pStyle w:val="TableContents"/>
              <w:spacing w:before="0" w:after="283"/>
              <w:jc w:val="right"/>
              <w:rPr/>
            </w:pPr>
            <w:r>
              <w:rPr/>
              <w:t>50,000</w:t>
            </w:r>
          </w:p>
        </w:tc>
        <w:tc>
          <w:tcPr>
            <w:tcW w:w="84" w:type="dxa"/>
            <w:tcBorders>
              <w:bottom w:val="single" w:sz="2" w:space="0" w:color="001C71"/>
            </w:tcBorders>
            <w:shd w:fill="E5E5E5" w:val="clear"/>
            <w:tcMar>
              <w:bottom w:w="60"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47" w:type="dxa"/>
            <w:tcBorders>
              <w:bottom w:val="single" w:sz="2" w:space="0" w:color="001C71"/>
            </w:tcBorders>
            <w:shd w:fill="E5E5E5" w:val="clear"/>
            <w:tcMar>
              <w:bottom w:w="28" w:type="dxa"/>
            </w:tcMar>
            <w:vAlign w:val="bottom"/>
          </w:tcPr>
          <w:p>
            <w:pPr>
              <w:pStyle w:val="TableContents"/>
              <w:spacing w:before="0" w:after="283"/>
              <w:rPr/>
            </w:pPr>
            <w:r>
              <w:rPr/>
              <w:t> </w:t>
            </w:r>
          </w:p>
        </w:tc>
        <w:tc>
          <w:tcPr>
            <w:tcW w:w="84" w:type="dxa"/>
            <w:tcBorders>
              <w:bottom w:val="single" w:sz="2" w:space="0" w:color="001C71"/>
            </w:tcBorders>
            <w:shd w:fill="E5E5E5" w:val="clear"/>
            <w:tcMar>
              <w:bottom w:w="28" w:type="dxa"/>
            </w:tcMar>
            <w:vAlign w:val="bottom"/>
          </w:tcPr>
          <w:p>
            <w:pPr>
              <w:pStyle w:val="TableContents"/>
              <w:spacing w:before="0" w:after="283"/>
              <w:rPr/>
            </w:pPr>
            <w:r>
              <w:rPr/>
              <w:t> </w:t>
            </w:r>
          </w:p>
        </w:tc>
        <w:tc>
          <w:tcPr>
            <w:tcW w:w="168" w:type="dxa"/>
            <w:tcBorders>
              <w:bottom w:val="single" w:sz="2" w:space="0" w:color="001C71"/>
            </w:tcBorders>
            <w:shd w:fill="E5E5E5" w:val="clear"/>
            <w:tcMar>
              <w:bottom w:w="28" w:type="dxa"/>
            </w:tcMar>
            <w:vAlign w:val="bottom"/>
          </w:tcPr>
          <w:p>
            <w:pPr>
              <w:pStyle w:val="TableContents"/>
              <w:spacing w:before="0" w:after="283"/>
              <w:rPr/>
            </w:pPr>
            <w:r>
              <w:rPr/>
              <w:t>  </w:t>
            </w:r>
          </w:p>
        </w:tc>
        <w:tc>
          <w:tcPr>
            <w:tcW w:w="196" w:type="dxa"/>
            <w:tcBorders>
              <w:bottom w:val="single" w:sz="2" w:space="0" w:color="001C71"/>
            </w:tcBorders>
            <w:shd w:fill="E5E5E5" w:val="clear"/>
            <w:tcMar>
              <w:bottom w:w="28" w:type="dxa"/>
            </w:tcMar>
            <w:vAlign w:val="bottom"/>
          </w:tcPr>
          <w:p>
            <w:pPr>
              <w:pStyle w:val="TableContents"/>
              <w:spacing w:before="0" w:after="283"/>
              <w:rPr/>
            </w:pPr>
            <w:r>
              <w:rPr/>
              <w:t> </w:t>
            </w:r>
          </w:p>
        </w:tc>
        <w:tc>
          <w:tcPr>
            <w:tcW w:w="1553" w:type="dxa"/>
            <w:tcBorders>
              <w:bottom w:val="single" w:sz="2" w:space="0" w:color="001C71"/>
            </w:tcBorders>
            <w:shd w:fill="E5E5E5" w:val="clear"/>
            <w:tcMar>
              <w:bottom w:w="28" w:type="dxa"/>
            </w:tcMar>
            <w:vAlign w:val="bottom"/>
          </w:tcPr>
          <w:p>
            <w:pPr>
              <w:pStyle w:val="TableContents"/>
              <w:spacing w:before="0" w:after="283"/>
              <w:rPr/>
            </w:pPr>
            <w:r>
              <w:rPr/>
              <w:t> </w:t>
            </w:r>
          </w:p>
        </w:tc>
        <w:tc>
          <w:tcPr>
            <w:tcW w:w="410"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c>
          <w:tcPr>
            <w:tcW w:w="255" w:type="dxa"/>
            <w:tcBorders>
              <w:bottom w:val="single" w:sz="2" w:space="0" w:color="001C71"/>
            </w:tcBorders>
            <w:shd w:fill="E5E5E5" w:val="clear"/>
            <w:tcMar>
              <w:bottom w:w="28" w:type="dxa"/>
            </w:tcMar>
            <w:vAlign w:val="bottom"/>
          </w:tcPr>
          <w:p>
            <w:pPr>
              <w:pStyle w:val="TableContents"/>
              <w:spacing w:before="0" w:after="283"/>
              <w:rPr/>
            </w:pPr>
            <w:r>
              <w:rPr/>
              <w:t> </w:t>
            </w:r>
          </w:p>
        </w:tc>
        <w:tc>
          <w:tcPr>
            <w:tcW w:w="2015" w:type="dxa"/>
            <w:tcBorders>
              <w:bottom w:val="single" w:sz="2" w:space="0" w:color="001C71"/>
            </w:tcBorders>
            <w:shd w:fill="E5E5E5" w:val="clear"/>
            <w:tcMar>
              <w:bottom w:w="28" w:type="dxa"/>
            </w:tcMar>
            <w:vAlign w:val="bottom"/>
          </w:tcPr>
          <w:p>
            <w:pPr>
              <w:pStyle w:val="TableContents"/>
              <w:spacing w:before="0" w:after="283"/>
              <w:rPr/>
            </w:pPr>
            <w:r>
              <w:rPr/>
              <w:t> </w:t>
            </w:r>
          </w:p>
        </w:tc>
        <w:tc>
          <w:tcPr>
            <w:tcW w:w="60" w:type="dxa"/>
            <w:tcBorders>
              <w:bottom w:val="single" w:sz="2" w:space="0" w:color="001C71"/>
            </w:tcBorders>
            <w:shd w:fill="E5E5E5" w:val="clear"/>
            <w:tcMar>
              <w:bottom w:w="28" w:type="dxa"/>
            </w:tcMar>
            <w:vAlign w:val="bottom"/>
          </w:tcPr>
          <w:p>
            <w:pPr>
              <w:pStyle w:val="TableContents"/>
              <w:spacing w:before="0" w:after="283"/>
              <w:rPr/>
            </w:pPr>
            <w:r>
              <w:rPr/>
              <w:t> </w:t>
            </w:r>
          </w:p>
        </w:tc>
      </w:tr>
      <w:tr>
        <w:trPr>
          <w:trHeight w:val="30" w:hRule="atLeast"/>
        </w:trPr>
        <w:tc>
          <w:tcPr>
            <w:tcW w:w="3080" w:type="dxa"/>
            <w:tcBorders/>
            <w:shd w:fill="auto" w:val="clear"/>
            <w:vAlign w:val="center"/>
          </w:tcPr>
          <w:p>
            <w:pPr>
              <w:pStyle w:val="TableContents"/>
              <w:spacing w:before="0" w:after="283"/>
              <w:rPr>
                <w:sz w:val="4"/>
                <w:szCs w:val="4"/>
              </w:rPr>
            </w:pPr>
            <w:r>
              <w:rPr>
                <w:sz w:val="4"/>
                <w:szCs w:val="4"/>
              </w:rPr>
            </w:r>
          </w:p>
        </w:tc>
        <w:tc>
          <w:tcPr>
            <w:tcW w:w="1949" w:type="dxa"/>
            <w:gridSpan w:val="4"/>
            <w:tcBorders/>
            <w:shd w:fill="auto" w:val="clear"/>
            <w:vAlign w:val="center"/>
          </w:tcPr>
          <w:p>
            <w:pPr>
              <w:pStyle w:val="TableContents"/>
              <w:spacing w:before="0" w:after="283"/>
              <w:rPr>
                <w:sz w:val="4"/>
                <w:szCs w:val="4"/>
              </w:rPr>
            </w:pPr>
            <w:r>
              <w:rPr>
                <w:sz w:val="4"/>
                <w:szCs w:val="4"/>
              </w:rPr>
            </w:r>
          </w:p>
        </w:tc>
        <w:tc>
          <w:tcPr>
            <w:tcW w:w="1995" w:type="dxa"/>
            <w:gridSpan w:val="4"/>
            <w:tcBorders/>
            <w:shd w:fill="auto" w:val="clear"/>
            <w:vAlign w:val="center"/>
          </w:tcPr>
          <w:p>
            <w:pPr>
              <w:pStyle w:val="TableContents"/>
              <w:spacing w:before="0" w:after="283"/>
              <w:rPr>
                <w:sz w:val="4"/>
                <w:szCs w:val="4"/>
              </w:rPr>
            </w:pPr>
            <w:r>
              <w:rPr>
                <w:sz w:val="4"/>
                <w:szCs w:val="4"/>
              </w:rPr>
            </w:r>
          </w:p>
        </w:tc>
        <w:tc>
          <w:tcPr>
            <w:tcW w:w="2327" w:type="dxa"/>
            <w:gridSpan w:val="4"/>
            <w:tcBorders/>
            <w:shd w:fill="auto" w:val="clear"/>
            <w:vAlign w:val="center"/>
          </w:tcPr>
          <w:p>
            <w:pPr>
              <w:pStyle w:val="TableContents"/>
              <w:spacing w:before="0" w:after="283"/>
              <w:rPr>
                <w:sz w:val="4"/>
                <w:szCs w:val="4"/>
              </w:rPr>
            </w:pPr>
            <w:r>
              <w:rPr>
                <w:sz w:val="4"/>
                <w:szCs w:val="4"/>
              </w:rPr>
            </w:r>
          </w:p>
        </w:tc>
        <w:tc>
          <w:tcPr>
            <w:tcW w:w="2390" w:type="dxa"/>
            <w:gridSpan w:val="4"/>
            <w:tcBorders/>
            <w:shd w:fill="auto" w:val="clear"/>
            <w:vAlign w:val="center"/>
          </w:tcPr>
          <w:p>
            <w:pPr>
              <w:pStyle w:val="TableContents"/>
              <w:spacing w:before="0" w:after="283"/>
              <w:rPr>
                <w:sz w:val="4"/>
                <w:szCs w:val="4"/>
              </w:rPr>
            </w:pPr>
            <w:r>
              <w:rPr>
                <w:sz w:val="4"/>
                <w:szCs w:val="4"/>
              </w:rPr>
            </w:r>
          </w:p>
        </w:tc>
      </w:tr>
      <w:tr>
        <w:trPr/>
        <w:tc>
          <w:tcPr>
            <w:tcW w:w="3080"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Total</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219" w:type="dxa"/>
            <w:tcBorders>
              <w:bottom w:val="single" w:sz="8" w:space="0" w:color="001C71"/>
            </w:tcBorders>
            <w:shd w:fill="auto" w:val="clear"/>
            <w:tcMar>
              <w:bottom w:w="60" w:type="dxa"/>
            </w:tcMar>
            <w:vAlign w:val="bottom"/>
          </w:tcPr>
          <w:p>
            <w:pPr>
              <w:pStyle w:val="TableContents"/>
              <w:spacing w:before="0" w:after="283"/>
              <w:rPr/>
            </w:pPr>
            <w:r>
              <w:rPr/>
              <w:t>$</w:t>
            </w:r>
          </w:p>
        </w:tc>
        <w:tc>
          <w:tcPr>
            <w:tcW w:w="1526" w:type="dxa"/>
            <w:tcBorders>
              <w:bottom w:val="single" w:sz="8" w:space="0" w:color="001C71"/>
            </w:tcBorders>
            <w:shd w:fill="auto" w:val="clear"/>
            <w:tcMar>
              <w:bottom w:w="60" w:type="dxa"/>
            </w:tcMar>
            <w:vAlign w:val="bottom"/>
          </w:tcPr>
          <w:p>
            <w:pPr>
              <w:pStyle w:val="TableContents"/>
              <w:spacing w:before="0" w:after="283"/>
              <w:jc w:val="right"/>
              <w:rPr/>
            </w:pPr>
            <w:r>
              <w:rPr/>
              <w:t>7,450,102</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 </w:t>
            </w:r>
          </w:p>
        </w:tc>
        <w:tc>
          <w:tcPr>
            <w:tcW w:w="1547"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84" w:type="dxa"/>
            <w:tcBorders>
              <w:bottom w:val="single" w:sz="8" w:space="0" w:color="001C71"/>
            </w:tcBorders>
            <w:shd w:fill="auto" w:val="clear"/>
            <w:tcMar>
              <w:bottom w:w="60" w:type="dxa"/>
            </w:tcMar>
            <w:vAlign w:val="bottom"/>
          </w:tcPr>
          <w:p>
            <w:pPr>
              <w:pStyle w:val="TableContents"/>
              <w:spacing w:before="0" w:after="283"/>
              <w:rPr/>
            </w:pPr>
            <w:r>
              <w:rPr/>
              <w:t> </w:t>
            </w:r>
          </w:p>
        </w:tc>
        <w:tc>
          <w:tcPr>
            <w:tcW w:w="168" w:type="dxa"/>
            <w:tcBorders>
              <w:bottom w:val="single" w:sz="8" w:space="0" w:color="001C71"/>
            </w:tcBorders>
            <w:shd w:fill="auto" w:val="clear"/>
            <w:tcMar>
              <w:bottom w:w="28" w:type="dxa"/>
            </w:tcMar>
            <w:vAlign w:val="bottom"/>
          </w:tcPr>
          <w:p>
            <w:pPr>
              <w:pStyle w:val="TableContents"/>
              <w:spacing w:before="0" w:after="283"/>
              <w:rPr/>
            </w:pPr>
            <w:r>
              <w:rPr/>
              <w:t>  </w:t>
            </w:r>
          </w:p>
        </w:tc>
        <w:tc>
          <w:tcPr>
            <w:tcW w:w="196" w:type="dxa"/>
            <w:tcBorders>
              <w:bottom w:val="single" w:sz="8" w:space="0" w:color="001C71"/>
            </w:tcBorders>
            <w:shd w:fill="auto" w:val="clear"/>
            <w:tcMar>
              <w:bottom w:w="60" w:type="dxa"/>
            </w:tcMar>
            <w:vAlign w:val="bottom"/>
          </w:tcPr>
          <w:p>
            <w:pPr>
              <w:pStyle w:val="TableContents"/>
              <w:spacing w:before="0" w:after="283"/>
              <w:rPr/>
            </w:pPr>
            <w:r>
              <w:rPr/>
              <w:t> </w:t>
            </w:r>
          </w:p>
        </w:tc>
        <w:tc>
          <w:tcPr>
            <w:tcW w:w="1553"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410" w:type="dxa"/>
            <w:tcBorders>
              <w:bottom w:val="single" w:sz="8" w:space="0" w:color="001C71"/>
            </w:tcBorders>
            <w:shd w:fill="auto" w:val="clear"/>
            <w:tcMar>
              <w:bottom w:w="60"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255" w:type="dxa"/>
            <w:tcBorders>
              <w:bottom w:val="single" w:sz="8" w:space="0" w:color="001C71"/>
            </w:tcBorders>
            <w:shd w:fill="auto" w:val="clear"/>
            <w:tcMar>
              <w:bottom w:w="60" w:type="dxa"/>
            </w:tcMar>
            <w:vAlign w:val="bottom"/>
          </w:tcPr>
          <w:p>
            <w:pPr>
              <w:pStyle w:val="TableContents"/>
              <w:spacing w:before="0" w:after="283"/>
              <w:rPr/>
            </w:pPr>
            <w:r>
              <w:rPr/>
              <w:t> </w:t>
            </w:r>
          </w:p>
        </w:tc>
        <w:tc>
          <w:tcPr>
            <w:tcW w:w="2015" w:type="dxa"/>
            <w:tcBorders>
              <w:bottom w:val="single" w:sz="8" w:space="0" w:color="001C71"/>
            </w:tcBorders>
            <w:shd w:fill="auto" w:val="clear"/>
            <w:tcMar>
              <w:bottom w:w="60" w:type="dxa"/>
            </w:tcMar>
            <w:vAlign w:val="bottom"/>
          </w:tcPr>
          <w:p>
            <w:pPr>
              <w:pStyle w:val="TableContents"/>
              <w:spacing w:before="0" w:after="283"/>
              <w:jc w:val="right"/>
              <w:rPr/>
            </w:pPr>
            <w:r>
              <w:rPr/>
              <w:t></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85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(A)</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For Messrs. Martin, Mihalik and Sagara, the severance payment is equal to one times (two times following a change in control) the sum of (i) annual base salary and (ii) the higher of the average of the last three performance-based annual bonuses or his target bonus for the year in which the termination occurs. For Mr. Wall, the severance payment is equal to one-half times (one times following a change in control) the sum of (i) annual base salary and (ii) the higher of the average of the last three performance-based annual bonuses or his target bonus for the year in which the termination occurs. For Messrs. Martin, Mihalik, Sagara and Wall, an additional one times the sum of annual base salary and the higher of the average of the last three performance-based annual bonuses or target bonus for the year in which the termination occurs is conditioned upon the executives agreement to provide post-termination consulting services and abide by restrictive covenants related to non-solicitation and confidentiality. In addition, in the event of a termination within two years following a change in control, or in the event of an executives death or disability, an executive will also receive a prorated bonus for the year of termination equal to the greater of the average of the last three performance-based annual bonuses or the target bonus for the year in which the termination occurs. If the executive receives a bonus under the annual bonus plan for the year of termination, such bonus is offset by the prorated bonus provided under the severance pay agreement. For each of the named executive officers (excluding Messrs. Arriola and Bilicic), the amount shown in the table above excludes payment of bonus earned in the year of termination because the actual 2020 bonus under the annual bonus plan exceeds the 2020 bonus payable under the severance pay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(B)</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Fair market value at December 31, 2020, of shares subject to stock options and performance-based and service-based restricted stock units for which forfeiture restrictions would terminate. Includes the value of the 2018 performance-based restricted stock unit awards that vested in early 2021. The value realized upon the vesting of these awards is discussed in Note B to the 2020 Option Exercises and Stock Vested table above. Any outstanding awards would immediately vest upon an executives involuntary termination (other than for cause), termination for good reason, death, disability or retirement, in each case during the three-year period following a change in control for the amounts listed under the Change in Control column and upon these events for the amounts listed under the Unrelated to a Change in Control column. Assuming any outstanding awards were assumed or replaced in a change in control, such awards would immediately vest upon a change in control without an accompanying termination only if an employee is eligible for retirement (age 55 or older with five or more years of service) as of the date of the change in control for the amounts listed under the Change in Control Only column. Service-based awards would vest upon an executives death. Mr. Arriolas retirement was a qualifying retirement and his 2018 and 2019 performance-based restricted stock units remain outstanding and will vest at the end of each awards performance period subject to the achievement of the applicable company performance measures. Mr. Bilicics June 17, 2019 service-based restricted stock unit award vested pursuant to its terms following his separation for good reason.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(C)</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For Messrs. Mihalik and Sagara, the amounts shown for termination accompanied by a change in control are the incremental actuarial value assuming that they had attained age 62, but reduced for applicable early retirement factors. For termination resulting from death, the $6,270,484 shown for Mr. Mihalik and the $8,948,897 shown for Mr. Sagara is the difference between the death benefit under the plan and the benefit that would have been payable in connection with a voluntary termination on December 31, 2020. For the other named executive officers, there is no difference between the death benefit and the benefit payable in connection with a voluntary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(D)</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Estimated value associated with continuation of health benefits for two years (18 months for Mr. Wall) for termination unrelated to a change in control and continuation of health, life, disability and accident benefits for three years (two years for Mr. Wall) for termination following a change in control. Mr. Bilicic elected not to continue to participate in the companys health benefits following his separation for good reason. In addition, Mr. Martin is eligible to receive the life insurance benefit payable upon death described under Compensation Discussion and AnalysisBenefit PlansHealth, Life Insurance and Disability Plans and Other Benefits, which in the event his death had occurred on December 31, 2020 would have been $8,600,000.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(E)</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Estimated value associated with continuation of financial planning services for two years (18 months for Mr. Wall) for termination unrelated to a change in control, and three years (two years for Mr. Wall) for termination following a change in control. </w:t>
            </w:r>
          </w:p>
        </w:tc>
      </w:tr>
    </w:tbl>
    <w:p>
      <w:pPr>
        <w:pStyle w:val="TextBody"/>
        <w:spacing w:before="120" w:after="0"/>
        <w:jc w:val="left"/>
        <w:rPr>
          <w:rFonts w:ascii="arial" w:hAnsi="arial"/>
          <w:sz w:val="16"/>
        </w:rPr>
      </w:pPr>
      <w:r>
        <w:rPr>
          <w:rFonts w:ascii="arial" w:hAnsi="arial"/>
          <w:sz w:val="16"/>
        </w:rPr>
        <w:t xml:space="preserve">Executive officers who voluntarily terminate their employment (other than for good reason) or whose employment is terminated by the company for cause are not entitled to severance benefits. Our executives also may be eligible for certain payments under our retirement or deferred compensation plans as described above under Compensation Discussion and AnalysisBenefit PlansRetirement and Savings Plans, Pension Benefits, and Nonqualified Deferred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86</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Executive Compensation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Ratio of Chief Executive Officer to Median Employee Pay </w:t>
      </w:r>
    </w:p>
    <w:p>
      <w:pPr>
        <w:pStyle w:val="TextBody"/>
        <w:pBdr>
          <w:bottom w:val="single" w:sz="2" w:space="1" w:color="001C71"/>
        </w:pBdr>
        <w:spacing w:lineRule="atLeast" w:line="180" w:before="0" w:after="40"/>
        <w:jc w:val="left"/>
        <w:rPr/>
      </w:pPr>
      <w:r>
        <w:rPr/>
        <w:t> </w:t>
      </w:r>
    </w:p>
    <w:p>
      <w:pPr>
        <w:pStyle w:val="TextBody"/>
        <w:spacing w:before="120" w:after="0"/>
        <w:jc w:val="left"/>
        <w:rPr>
          <w:rFonts w:ascii="arial" w:hAnsi="arial"/>
          <w:sz w:val="16"/>
        </w:rPr>
      </w:pPr>
      <w:r>
        <w:rPr>
          <w:rFonts w:ascii="arial" w:hAnsi="arial"/>
          <w:sz w:val="16"/>
        </w:rPr>
        <w:t xml:space="preserve">The following is a reasonable estimate, prepared under applicable SEC rules, of the ratio of the annual total compensation of our Chief Executive Officer to the median of the annual total compensation of our other employees. In addition to our full-time U.S. workforce, our employee population includes a substantial percentage of part-time employees and employees in Mexico. Given the different methodologies that various public companies use to determine an estimate of their pay ratio and the differences in employee populations, the estimated ratio reported below should not be used as a basis for comparison between companies. </w:t>
      </w:r>
    </w:p>
    <w:p>
      <w:pPr>
        <w:pStyle w:val="TextBody"/>
        <w:spacing w:before="240" w:after="0"/>
        <w:jc w:val="left"/>
        <w:rPr>
          <w:rFonts w:ascii="arial" w:hAnsi="arial"/>
          <w:sz w:val="16"/>
        </w:rPr>
      </w:pPr>
      <w:r>
        <w:rPr>
          <w:rFonts w:ascii="arial" w:hAnsi="arial"/>
          <w:sz w:val="16"/>
        </w:rPr>
        <w:t xml:space="preserve">SEC rules allow us to identify our median employee once every three years unless there has been a change in our employee population or employee compensation arrangements that we reasonably believe would result in a significant change in our pay ratio disclosure. We used the same median employee for 2017-2019, after considering the changes to our employee population and compensation programs during 2018 and 2019, as well as the 2018 and 2019 compensation of the median employee. </w:t>
      </w:r>
    </w:p>
    <w:p>
      <w:pPr>
        <w:pStyle w:val="TextBody"/>
        <w:spacing w:before="240" w:after="0"/>
        <w:jc w:val="left"/>
        <w:rPr>
          <w:rFonts w:ascii="arial" w:hAnsi="arial"/>
          <w:sz w:val="16"/>
        </w:rPr>
      </w:pPr>
      <w:r>
        <w:rPr>
          <w:rFonts w:ascii="arial" w:hAnsi="arial"/>
          <w:sz w:val="16"/>
        </w:rPr>
        <w:t xml:space="preserve">In 2020, we determined a new median employee based on a measurement date of December 31, 2020. We did not exclude any of our international employees, all of which are located in Mexico or the Netherlands, and no cost-of-living adjustment was applied. We used a definition of compensation, or consistently applied compensation measure (CACM), that included 2020 base salary and 2020 target annual incentive award and selected the median employee from a group of employees who received compensation within plus or minus 1% of the median CACM. </w:t>
      </w:r>
    </w:p>
    <w:p>
      <w:pPr>
        <w:pStyle w:val="TextBody"/>
        <w:spacing w:before="240" w:after="0"/>
        <w:jc w:val="left"/>
        <w:rPr>
          <w:rFonts w:ascii="arial" w:hAnsi="arial"/>
          <w:sz w:val="16"/>
        </w:rPr>
      </w:pPr>
      <w:r>
        <w:rPr>
          <w:rFonts w:ascii="arial" w:hAnsi="arial"/>
          <w:sz w:val="16"/>
        </w:rPr>
        <w:t xml:space="preserve">To calculate the 2020 pay ratio, we calculated 2020 compensation for Mr. Martin and the median employee using the methodology used for the 2020 Summary Compensation Table plus health and welfare and other nondiscriminatory benefits, which are a key part of our total rewards program. Using this methodology, the 2020 total compensation of our median employee was $142,398 and the 2020 total compensation of our Chief Executive Officer was $23,203,920. For 2020, we estimate that the ratio of Chief Executive Officer pay to median employee pay was 163:1.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87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xml:space="preserve">  </w:t>
      </w:r>
    </w:p>
    <w:p>
      <w:pPr>
        <w:pStyle w:val="TextBody"/>
        <w:spacing w:before="0" w:after="0"/>
        <w:jc w:val="left"/>
        <w:rPr>
          <w:rFonts w:ascii="arial" w:hAnsi="arial"/>
          <w:b/>
          <w:color w:val="001C71"/>
          <w:sz w:val="44"/>
        </w:rPr>
      </w:pPr>
      <w:bookmarkStart w:id="46" w:name="toc108157_22"/>
      <w:bookmarkEnd w:id="46"/>
      <w:r>
        <w:rPr>
          <w:rFonts w:ascii="arial" w:hAnsi="arial"/>
          <w:b/>
          <w:color w:val="001C71"/>
          <w:sz w:val="44"/>
        </w:rPr>
        <w:t xml:space="preserve">About the Annual Shareholders Meeting and Voting </w:t>
      </w:r>
    </w:p>
    <w:p>
      <w:pPr>
        <w:pStyle w:val="TextBody"/>
        <w:spacing w:before="360" w:after="0"/>
        <w:jc w:val="left"/>
        <w:rPr>
          <w:rFonts w:ascii="arial" w:hAnsi="arial"/>
          <w:b/>
          <w:sz w:val="35"/>
        </w:rPr>
      </w:pPr>
      <w:bookmarkStart w:id="47" w:name="toc108157_23"/>
      <w:bookmarkEnd w:id="47"/>
      <w:r>
        <w:rPr>
          <w:rFonts w:ascii="arial" w:hAnsi="arial"/>
          <w:b/>
          <w:sz w:val="35"/>
        </w:rPr>
        <w:t xml:space="preserve">Attending the Annual Shareholders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2"/>
        <w:gridCol w:w="9493"/>
      </w:tblGrid>
      <w:tr>
        <w:trPr/>
        <w:tc>
          <w:tcPr>
            <w:tcW w:w="510" w:type="dxa"/>
            <w:tcBorders/>
            <w:shd w:fill="auto" w:val="clear"/>
          </w:tcPr>
          <w:p>
            <w:pPr>
              <w:pStyle w:val="TableContents"/>
              <w:spacing w:before="0" w:after="283"/>
              <w:jc w:val="left"/>
              <w:rPr>
                <w:color w:val="001C71"/>
              </w:rPr>
            </w:pPr>
            <w:r>
              <w:rPr>
                <w:color w:val="001C71"/>
              </w:rPr>
              <w:t>1.</w:t>
            </w:r>
          </w:p>
        </w:tc>
        <w:tc>
          <w:tcPr>
            <w:tcW w:w="2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What is the format of the Annual Shareholders Meeting, and what content will be covered?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To help protect the health and safety of our shareholders, employees and directors in light of the ongoing COVID-19 pandemic, and in compliance with guidance from applicable federal, state and local public health authorities, we are holding the Annual Shareholders Meeting in a virtual-only format using online tools. See Questions 3 and 4 below for information about attending and participating at the meeting. </w:t>
      </w:r>
    </w:p>
    <w:p>
      <w:pPr>
        <w:pStyle w:val="TextBody"/>
        <w:spacing w:before="160" w:after="0"/>
        <w:jc w:val="left"/>
        <w:rPr>
          <w:rFonts w:ascii="arial" w:hAnsi="arial"/>
          <w:sz w:val="16"/>
        </w:rPr>
      </w:pPr>
      <w:r>
        <w:rPr>
          <w:rFonts w:ascii="arial" w:hAnsi="arial"/>
          <w:sz w:val="16"/>
        </w:rPr>
        <w:t xml:space="preserve">We are very sensitive to concerns that, due to technical limitations, virtual meetings may diminish certain opportunities for shareholder participation. Accordingly, we have taken these concerns into account in designing the virtual format of our meeting. If you plan to attend the Annual Shareholders Meeting and would like more information about how the meeting will proceed, please review Question 3 below. </w:t>
      </w:r>
    </w:p>
    <w:p>
      <w:pPr>
        <w:pStyle w:val="TextBody"/>
        <w:spacing w:before="160" w:after="0"/>
        <w:jc w:val="left"/>
        <w:rPr>
          <w:rFonts w:ascii="arial" w:hAnsi="arial"/>
          <w:sz w:val="16"/>
        </w:rPr>
      </w:pPr>
      <w:r>
        <w:rPr>
          <w:rFonts w:ascii="arial" w:hAnsi="arial"/>
          <w:sz w:val="16"/>
        </w:rPr>
        <w:t xml:space="preserve">The content of the Annual Shareholders Meeting will consist of the formal shareholder meeting business items outlined in Question 13 below. We do not intend to hold a business update at this Annual Shareholders Meeting, but we will answer questions related to our business and operations following adjournment of the formal business portion of the meeting during a question-and-answer session. For information about our business, we encourage you to review our Annual Report to Shareholders, which is available on the Internet at www.sempra.com/2021-annual-meeting and www.proxyvote.com.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2"/>
        <w:gridCol w:w="9493"/>
      </w:tblGrid>
      <w:tr>
        <w:trPr/>
        <w:tc>
          <w:tcPr>
            <w:tcW w:w="510" w:type="dxa"/>
            <w:tcBorders/>
            <w:shd w:fill="auto" w:val="clear"/>
          </w:tcPr>
          <w:p>
            <w:pPr>
              <w:pStyle w:val="TableContents"/>
              <w:spacing w:before="0" w:after="283"/>
              <w:jc w:val="left"/>
              <w:rPr>
                <w:color w:val="001C71"/>
              </w:rPr>
            </w:pPr>
            <w:r>
              <w:rPr>
                <w:color w:val="001C71"/>
              </w:rPr>
              <w:t>2.</w:t>
            </w:r>
          </w:p>
        </w:tc>
        <w:tc>
          <w:tcPr>
            <w:tcW w:w="2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Who can attend, vote and ask questions at the virtual Annual Shareholders Meeting, and how do I attend the virtual meeting?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We will permit all persons, including shareholders of record, beneficial owners of shares held in street name through a bank, broker or other nominee and guests, to attend the Annual Shareholders Meeting via live audio webcast. Please visit www.virtualshareholdermeeting.com/SRE2021 at the date and time of the meeting to attend. You will be permitted to ask questions at the meeting or vote your shares at the meeting only if you were a shareholder as of March 19, 2021, the record date for the meeting. </w:t>
      </w:r>
    </w:p>
    <w:p>
      <w:pPr>
        <w:pStyle w:val="TextBody"/>
        <w:spacing w:before="160" w:after="0"/>
        <w:jc w:val="left"/>
        <w:rPr>
          <w:rFonts w:ascii="arial" w:hAnsi="arial"/>
          <w:sz w:val="16"/>
        </w:rPr>
      </w:pPr>
      <w:r>
        <w:rPr>
          <w:rFonts w:ascii="arial" w:hAnsi="arial"/>
          <w:sz w:val="16"/>
        </w:rPr>
        <w:t xml:space="preserve">To attend the meeting as a shareholder and access these capabilities, please follow the instructions in Questions 3 and 4 below. </w:t>
      </w:r>
    </w:p>
    <w:p>
      <w:pPr>
        <w:pStyle w:val="TextBody"/>
        <w:spacing w:before="160" w:after="0"/>
        <w:jc w:val="left"/>
        <w:rPr>
          <w:rFonts w:ascii="arial" w:hAnsi="arial"/>
          <w:sz w:val="16"/>
        </w:rPr>
      </w:pPr>
      <w:r>
        <w:rPr>
          <w:rFonts w:ascii="arial" w:hAnsi="arial"/>
          <w:sz w:val="16"/>
        </w:rPr>
        <w:t xml:space="preserve">The Annual Shareholders Meeting live audio webcast will begin promptly at 9 a.m. Pacific Time on Friday, May 14, 2021. We encourage you to access the meeting site prior to the start time. Online check-in will begin at 8:30 a.m. Pacific Time, and you should allow ample time for the check-in procedures the day of the Annual Shareholders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2"/>
        <w:gridCol w:w="9493"/>
      </w:tblGrid>
      <w:tr>
        <w:trPr/>
        <w:tc>
          <w:tcPr>
            <w:tcW w:w="510" w:type="dxa"/>
            <w:tcBorders/>
            <w:shd w:fill="auto" w:val="clear"/>
          </w:tcPr>
          <w:p>
            <w:pPr>
              <w:pStyle w:val="TableContents"/>
              <w:spacing w:before="0" w:after="283"/>
              <w:jc w:val="left"/>
              <w:rPr>
                <w:color w:val="001C71"/>
              </w:rPr>
            </w:pPr>
            <w:r>
              <w:rPr>
                <w:color w:val="001C71"/>
              </w:rPr>
              <w:t>3.</w:t>
            </w:r>
          </w:p>
        </w:tc>
        <w:tc>
          <w:tcPr>
            <w:tcW w:w="2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How do I participate in the virtual Annual Shareholders Meeting?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All shareholders of record and beneficial owners of shares of our common stock held through a bank, broker or other nominee, in each case who were shareholders as of the record date for the Annual Shareholders Meeting, will be able to attend the meeting, submit questions during the meeting and, except for shares in the Sempra Energy Employee Savings Plans which are discussed in Question 12 below, vote their shares electronically at the meeting by visiting www.virtualshareholdermeeting.com/SRE2021. To be able to submit questions and vote at the virtual meeting, you will need to log in with the 16-digit control number shown on your notice about the Internet availability of our proxy materials, voting instruction form or proxy card or, if you are a beneficial owner of shares held through a bank, broker or other nominee and your voting instruction form does </w:t>
      </w:r>
      <w:r>
        <w:rPr>
          <w:rFonts w:ascii="arial" w:hAnsi="arial"/>
          <w:i/>
          <w:sz w:val="16"/>
        </w:rPr>
        <w:t>not</w:t>
      </w:r>
      <w:r>
        <w:rPr>
          <w:rFonts w:ascii="arial" w:hAnsi="arial"/>
          <w:sz w:val="16"/>
        </w:rPr>
        <w:t xml:space="preserve"> indicate that you may vote your shares through www.proxyvote.com, you will need to obtain a legal proxy from your bank, broker or other nominee (preferably at least five days before the Annual Shareholders Meeting) to receive a 16-digit control number that may be used to log into the meeting site. If you need to obtain such a legal proxy to attend the meeting, please follow the specific instructions to do so provided by your bank, broker or other nominee. Shareholders of record needing assistance with control numbers may call the technical support numbers referenced in Question 4 below beginning April 15, 2021, and beneficial owners needing assistance with control numbers should contact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88</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About the Annual Shareholders Meeting and Voting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their bank, broker or other nominee. Each shareholder must also provide his or her name and email address upon logging into the meeting site in order for any submitted questions to be recognized during the meeting. Additional instructions on how to attend and participate in the virtual meeting are posted at www.proxyvote.com. </w:t>
      </w:r>
    </w:p>
    <w:p>
      <w:pPr>
        <w:pStyle w:val="TextBody"/>
        <w:spacing w:before="160" w:after="0"/>
        <w:jc w:val="left"/>
        <w:rPr>
          <w:rFonts w:ascii="arial" w:hAnsi="arial"/>
          <w:sz w:val="16"/>
        </w:rPr>
      </w:pPr>
      <w:r>
        <w:rPr>
          <w:rFonts w:ascii="arial" w:hAnsi="arial"/>
          <w:sz w:val="16"/>
        </w:rPr>
        <w:t xml:space="preserve">Just as we have done for in-person meetings in the past, representatives from the company generally will answer questions, as time permits, in the order they are received and as recognized by the Chair of the meeting in his or her sole discretion, except that questions not directly related to the business of the meeting will be reserved for a question-and-answer session to start immediately following adjournment of the formal business portion of the meeting and continue until a reasonable time as determined by the Chair of the meeting. Each question recognized by the Chair of the meeting, as well as the identity of the shareholder posing the question, will be read by the Chair so that all meeting attendees can hear the question and the response. If any shareholder submits questions that cannot be answered within the time available, due to technical difficulties or for any other reason, the shareholder may contact our investor relations department at investor@sempra.com or (619) 696-2901 after the meeting concludes to obtain responses to these questions. We generally will not restrict the content covered by the questions that may be asked; however, the meeting is not to be used as a forum to present general economic, political or other views that are not directly related to the matters properly before the meeting and questions should be limited to the formal business of the meeting or the business and operations of Sempra Energy, and we reserve the right to exclude questions regarding topics that are not pertinent to meeting matters or company business. For more information, please consult the Rules of Procedure for the Annual Shareholders Meeting, which will be available at www.sempra.com/2021-annual-meeting before the meeting and on the virtual meeting platform at www.virtualshareholdermeeting.com/SRE2021 during the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2"/>
        <w:gridCol w:w="9493"/>
      </w:tblGrid>
      <w:tr>
        <w:trPr/>
        <w:tc>
          <w:tcPr>
            <w:tcW w:w="510" w:type="dxa"/>
            <w:tcBorders/>
            <w:shd w:fill="auto" w:val="clear"/>
          </w:tcPr>
          <w:p>
            <w:pPr>
              <w:pStyle w:val="TableContents"/>
              <w:spacing w:before="0" w:after="283"/>
              <w:jc w:val="left"/>
              <w:rPr>
                <w:color w:val="001C71"/>
              </w:rPr>
            </w:pPr>
            <w:r>
              <w:rPr>
                <w:color w:val="001C71"/>
              </w:rPr>
              <w:t>4.</w:t>
            </w:r>
          </w:p>
        </w:tc>
        <w:tc>
          <w:tcPr>
            <w:tcW w:w="2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What if I have technical difficulties during the check-in time or during the virtual Annual Shareholders Meeting?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Instructions on how to attend and participate in the virtual meeting are posted at www.proxyvote.com. If you encounter any difficulties accessing the virtual meeting during the check-in or meeting time, please call (844) 976-0738 (U.S. and Canada) or +1 (303) 562-9301 (International) beginning April 15, 2021 for technical support, which numbers also will be posted on the login page at www.virtualshareholdermeeting.com/SRE2021. Please plan to check in before the start time of the meeting so that any technical difficulties may be addressed before the live audio webcast begins. The meeting may be recessed or adjourned at the sole discretion of the Chair of the meeting, including if we experience technical difficulties that prevent us from properly conducting the meeting. If technical issues with the meeting platform prevent the Chair from communicating with shareholders on the meeting web portal within 60 minutes after the time for which the meeting was called or in the event of a technical malfunction or other significant problem that disrupts our ability to continue the meeting before the polls are closed and the formal business portion of the meeting has been completed, the meeting will be adjourned and will reconvene at the same virtual location on May 18, 2021 at 9 a.m. Pacific Time, unless announced differently at the meeting. In such event, we expect an announcement will be made on www.virtualshareholdermeeting.com/SRE2021. </w:t>
      </w:r>
    </w:p>
    <w:p>
      <w:pPr>
        <w:pStyle w:val="TextBody"/>
        <w:spacing w:before="360" w:after="0"/>
        <w:jc w:val="left"/>
        <w:rPr>
          <w:rFonts w:ascii="arial" w:hAnsi="arial"/>
          <w:b/>
          <w:sz w:val="35"/>
        </w:rPr>
      </w:pPr>
      <w:bookmarkStart w:id="48" w:name="toc108157_24"/>
      <w:bookmarkEnd w:id="48"/>
      <w:r>
        <w:rPr>
          <w:rFonts w:ascii="arial" w:hAnsi="arial"/>
          <w:b/>
          <w:sz w:val="35"/>
        </w:rPr>
        <w:t xml:space="preserve">How You Can Vote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1"/>
        <w:gridCol w:w="9496"/>
      </w:tblGrid>
      <w:tr>
        <w:trPr/>
        <w:tc>
          <w:tcPr>
            <w:tcW w:w="508" w:type="dxa"/>
            <w:tcBorders/>
            <w:shd w:fill="auto" w:val="clear"/>
          </w:tcPr>
          <w:p>
            <w:pPr>
              <w:pStyle w:val="TableContents"/>
              <w:spacing w:before="0" w:after="283"/>
              <w:jc w:val="left"/>
              <w:rPr>
                <w:color w:val="001C71"/>
              </w:rPr>
            </w:pPr>
            <w:r>
              <w:rPr>
                <w:color w:val="001C71"/>
              </w:rPr>
              <w:t>5.</w:t>
            </w:r>
          </w:p>
        </w:tc>
        <w:tc>
          <w:tcPr>
            <w:tcW w:w="201"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pPr>
            <w:r>
              <w:rPr/>
              <w:t xml:space="preserve">Who is entitled to vote?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You are entitled to one vote on each director nominee and one vote on each of the other proposals to be voted on at the Annual Shareholders Meeting for each share of our common stock that you owned at the close of business on March 19, 2021, the record date for the meeting and any adjournment or postponement thereof. You may vote all shares owned by you on the record date, including (a) shares held directly in your name as the shareholder of record and (b) shares held for you as the beneficial owner through a bank, broker or other nominee. On the record date, 302,706,163 shares of our common stock were outstanding.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203"/>
        <w:gridCol w:w="9495"/>
      </w:tblGrid>
      <w:tr>
        <w:trPr/>
        <w:tc>
          <w:tcPr>
            <w:tcW w:w="507" w:type="dxa"/>
            <w:tcBorders/>
            <w:shd w:fill="auto" w:val="clear"/>
          </w:tcPr>
          <w:p>
            <w:pPr>
              <w:pStyle w:val="TableContents"/>
              <w:spacing w:before="0" w:after="283"/>
              <w:jc w:val="left"/>
              <w:rPr>
                <w:color w:val="001C71"/>
              </w:rPr>
            </w:pPr>
            <w:r>
              <w:rPr>
                <w:color w:val="001C71"/>
              </w:rPr>
              <w:t>6.</w:t>
            </w:r>
          </w:p>
        </w:tc>
        <w:tc>
          <w:tcPr>
            <w:tcW w:w="203"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pPr>
            <w:r>
              <w:rPr/>
              <w:t xml:space="preserve">What is the difference between holding shares as a beneficial owner and as a shareholder of record?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Most of our shareholders hold their shares beneficially through a bank, broker or other nominee rather than having the shares registered directly in their own name. Summarized below are some distinctions between shares held beneficially and those held of record. </w:t>
      </w:r>
    </w:p>
    <w:p>
      <w:pPr>
        <w:pStyle w:val="TextBody"/>
        <w:spacing w:before="280" w:after="0"/>
        <w:jc w:val="left"/>
        <w:rPr>
          <w:rFonts w:ascii="arial" w:hAnsi="arial"/>
          <w:b/>
          <w:color w:val="001C71"/>
          <w:sz w:val="24"/>
        </w:rPr>
      </w:pPr>
      <w:r>
        <w:rPr>
          <w:rFonts w:ascii="arial" w:hAnsi="arial"/>
          <w:b/>
          <w:color w:val="001C71"/>
          <w:sz w:val="24"/>
        </w:rPr>
        <w:t xml:space="preserve">Beneficial Owner </w:t>
      </w:r>
    </w:p>
    <w:p>
      <w:pPr>
        <w:pStyle w:val="TextBody"/>
        <w:spacing w:before="120" w:after="0"/>
        <w:jc w:val="left"/>
        <w:rPr>
          <w:rFonts w:ascii="arial" w:hAnsi="arial"/>
          <w:sz w:val="16"/>
        </w:rPr>
      </w:pPr>
      <w:r>
        <w:rPr>
          <w:rFonts w:ascii="arial" w:hAnsi="arial"/>
          <w:sz w:val="16"/>
        </w:rPr>
        <w:t xml:space="preserve">If your shares are held through a bank, broker or other nominee, it is likely that the shares are registered in the name of the nominee and you are the beneficial owner of such shares. You are also the beneficial owner of any shares you may own through the Sempra Energy Employee Savings Plans. Your bank, broker or other nominee has provided you with voting instructions describing how you may direct the registered holder to vote your shares.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89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About the Annual Shareholders Meeting and Voting </w:t>
      </w:r>
    </w:p>
    <w:p>
      <w:pPr>
        <w:pStyle w:val="TextBody"/>
        <w:spacing w:before="0" w:after="0"/>
        <w:jc w:val="left"/>
        <w:rPr/>
      </w:pPr>
      <w:r>
        <w:rPr/>
        <w:t> </w:t>
      </w:r>
    </w:p>
    <w:p>
      <w:pPr>
        <w:pStyle w:val="TextBody"/>
        <w:spacing w:before="0" w:after="0"/>
        <w:jc w:val="left"/>
        <w:rPr>
          <w:rFonts w:ascii="arial" w:hAnsi="arial"/>
          <w:b/>
          <w:color w:val="001C71"/>
          <w:sz w:val="24"/>
        </w:rPr>
      </w:pPr>
      <w:r>
        <w:rPr>
          <w:rFonts w:ascii="arial" w:hAnsi="arial"/>
          <w:b/>
          <w:color w:val="001C71"/>
          <w:sz w:val="24"/>
        </w:rPr>
        <w:t xml:space="preserve">Shareholder of Record </w:t>
      </w:r>
    </w:p>
    <w:p>
      <w:pPr>
        <w:pStyle w:val="TextBody"/>
        <w:spacing w:before="120" w:after="0"/>
        <w:jc w:val="left"/>
        <w:rPr>
          <w:rFonts w:ascii="arial" w:hAnsi="arial"/>
          <w:sz w:val="16"/>
        </w:rPr>
      </w:pPr>
      <w:r>
        <w:rPr>
          <w:rFonts w:ascii="arial" w:hAnsi="arial"/>
          <w:sz w:val="16"/>
        </w:rPr>
        <w:t xml:space="preserve">If your shares are registered directly in your name with our transfer agent, American Stock Transfer &amp; Trust Company, LLC (AST), you are the shareholder of record of such shares. We have provided you with either a proxy card to use in voting these shares or a notice about the Internet availability of our proxy materials, each of which instructs you on how you may access our proxy materials online and vote your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201"/>
        <w:gridCol w:w="9497"/>
      </w:tblGrid>
      <w:tr>
        <w:trPr/>
        <w:tc>
          <w:tcPr>
            <w:tcW w:w="507" w:type="dxa"/>
            <w:tcBorders/>
            <w:shd w:fill="auto" w:val="clear"/>
          </w:tcPr>
          <w:p>
            <w:pPr>
              <w:pStyle w:val="TableContents"/>
              <w:spacing w:before="0" w:after="283"/>
              <w:jc w:val="left"/>
              <w:rPr>
                <w:color w:val="001C71"/>
              </w:rPr>
            </w:pPr>
            <w:r>
              <w:rPr>
                <w:color w:val="001C71"/>
              </w:rPr>
              <w:t>7.</w:t>
            </w:r>
          </w:p>
        </w:tc>
        <w:tc>
          <w:tcPr>
            <w:tcW w:w="201" w:type="dxa"/>
            <w:tcBorders/>
            <w:shd w:fill="auto" w:val="clear"/>
          </w:tcPr>
          <w:p>
            <w:pPr>
              <w:pStyle w:val="TableContents"/>
              <w:spacing w:before="0" w:after="283"/>
              <w:rPr/>
            </w:pPr>
            <w:r>
              <w:rPr/>
              <w:t> </w:t>
            </w:r>
          </w:p>
        </w:tc>
        <w:tc>
          <w:tcPr>
            <w:tcW w:w="9497" w:type="dxa"/>
            <w:tcBorders/>
            <w:shd w:fill="auto" w:val="clear"/>
          </w:tcPr>
          <w:p>
            <w:pPr>
              <w:pStyle w:val="TableContents"/>
              <w:spacing w:before="0" w:after="283"/>
              <w:jc w:val="left"/>
              <w:rPr/>
            </w:pPr>
            <w:r>
              <w:rPr/>
              <w:t xml:space="preserve">How do I vote and how will my shares be voted?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The process for voting your shares depends on how your shares are held. As discussed above, you may hold your shares as a shareholder of record (registered in your own name) or as a beneficial owner (through a broker, bank or other nominee). Please see Question 12 below for voting instructions on how you may direct the voting of your shares held in the Sempra Energy Employee Savings Plans. </w:t>
      </w:r>
    </w:p>
    <w:p>
      <w:pPr>
        <w:pStyle w:val="TextBody"/>
        <w:spacing w:before="160" w:after="0"/>
        <w:jc w:val="left"/>
        <w:rPr>
          <w:rFonts w:ascii="arial" w:hAnsi="arial"/>
          <w:sz w:val="16"/>
        </w:rPr>
      </w:pPr>
      <w:r>
        <w:rPr>
          <w:rFonts w:ascii="arial" w:hAnsi="arial"/>
          <w:b/>
          <w:sz w:val="16"/>
        </w:rPr>
        <w:t xml:space="preserve">Voting by Shareholders of Record. </w:t>
      </w:r>
      <w:r>
        <w:rPr>
          <w:rFonts w:ascii="arial" w:hAnsi="arial"/>
          <w:sz w:val="16"/>
        </w:rPr>
        <w:t xml:space="preserve">If you are a shareholder of record, you may vote by proxy or you may vote by attending the virtual Annual Shareholders Meeting by visiting www.virtualshareholdermeeting.com/SRE2021, where you may vote and submit questions during the Annual Shareholders Meeting. Please have your notice about the Internet availability of our proxy materials or proxy card in hand when you visit the website in order to enter your 16-digit control number at the login page for the meeting. For more information on how to attend and vote at the Annual Shareholders Meeting, please see Questions 2, 3 and 4 above. </w:t>
      </w:r>
    </w:p>
    <w:p>
      <w:pPr>
        <w:pStyle w:val="TextBody"/>
        <w:spacing w:before="160" w:after="0"/>
        <w:jc w:val="left"/>
        <w:rPr>
          <w:rFonts w:ascii="arial" w:hAnsi="arial"/>
          <w:sz w:val="16"/>
        </w:rPr>
      </w:pPr>
      <w:r>
        <w:rPr>
          <w:rFonts w:ascii="arial" w:hAnsi="arial"/>
          <w:sz w:val="16"/>
        </w:rPr>
        <w:t xml:space="preserve">Even if you plan to attend the virtual Annual Shareholders Meeting, we recommend that you vote your shares in advance, so that your vote will be counted if you later decide not to attend the Annual Shareholders Meeting. </w:t>
      </w:r>
    </w:p>
    <w:p>
      <w:pPr>
        <w:pStyle w:val="TextBody"/>
        <w:spacing w:before="160" w:after="0"/>
        <w:jc w:val="left"/>
        <w:rPr>
          <w:rFonts w:ascii="arial" w:hAnsi="arial"/>
          <w:sz w:val="16"/>
        </w:rPr>
      </w:pPr>
      <w:r>
        <w:rPr>
          <w:rFonts w:ascii="arial" w:hAnsi="arial"/>
          <w:sz w:val="16"/>
        </w:rPr>
        <w:t xml:space="preserve">If you are a shareholder of record and would like to vote your shares by proxy in advance of the Annual Shareholders Meeting, you may vote in the following ways: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73"/>
        <w:gridCol w:w="120"/>
        <w:gridCol w:w="9212"/>
      </w:tblGrid>
      <w:tr>
        <w:trPr/>
        <w:tc>
          <w:tcPr>
            <w:tcW w:w="8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212" w:type="dxa"/>
            <w:tcBorders/>
            <w:shd w:fill="auto" w:val="clear"/>
            <w:vAlign w:val="center"/>
          </w:tcPr>
          <w:p>
            <w:pPr>
              <w:pStyle w:val="TableContents"/>
              <w:spacing w:before="0" w:after="283"/>
              <w:rPr>
                <w:sz w:val="4"/>
                <w:szCs w:val="4"/>
              </w:rPr>
            </w:pPr>
            <w:r>
              <w:rPr>
                <w:sz w:val="4"/>
                <w:szCs w:val="4"/>
              </w:rPr>
            </w:r>
          </w:p>
        </w:tc>
      </w:tr>
      <w:tr>
        <w:trPr/>
        <w:tc>
          <w:tcPr>
            <w:tcW w:w="873" w:type="dxa"/>
            <w:tcBorders/>
            <w:shd w:fill="auto" w:val="clear"/>
            <w:vAlign w:val="center"/>
          </w:tcPr>
          <w:p>
            <w:pPr>
              <w:pStyle w:val="TableContents"/>
              <w:spacing w:before="0" w:after="283"/>
              <w:rPr/>
            </w:pPr>
            <w:r>
              <w:rPr/>
              <w:drawing>
                <wp:inline distT="0" distB="0" distL="0" distR="0">
                  <wp:extent cx="46990" cy="46990"/>
                  <wp:effectExtent l="0" t="0" r="0" b="0"/>
                  <wp:docPr id="8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8" descr=""/>
                          <pic:cNvPicPr>
                            <a:picLocks noChangeAspect="1" noChangeArrowheads="1"/>
                          </pic:cNvPicPr>
                        </pic:nvPicPr>
                        <pic:blipFill>
                          <a:blip r:embed="rId69"/>
                          <a:stretch>
                            <a:fillRect/>
                          </a:stretch>
                        </pic:blipFill>
                        <pic:spPr bwMode="auto">
                          <a:xfrm>
                            <a:off x="0" y="0"/>
                            <a:ext cx="46990" cy="4699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9212" w:type="dxa"/>
            <w:tcBorders/>
            <w:shd w:fill="auto" w:val="clear"/>
          </w:tcPr>
          <w:p>
            <w:pPr>
              <w:pStyle w:val="TableContents"/>
              <w:spacing w:before="0" w:after="0"/>
              <w:rPr/>
            </w:pPr>
            <w:r>
              <w:rPr/>
              <w:t> </w:t>
            </w:r>
          </w:p>
          <w:p>
            <w:pPr>
              <w:pStyle w:val="TableContents"/>
              <w:spacing w:before="0" w:after="20"/>
              <w:rPr>
                <w:rFonts w:ascii="arial" w:hAnsi="arial"/>
                <w:sz w:val="16"/>
              </w:rPr>
            </w:pPr>
            <w:r>
              <w:rPr>
                <w:rFonts w:ascii="arial" w:hAnsi="arial"/>
                <w:sz w:val="16"/>
              </w:rPr>
              <w:t>Internet  by visiting proxyvote.com and following the other Internet voting instructions included in this proxy statement or on your notice about the Internet availability of our proxy materials or proxy card</w:t>
            </w:r>
          </w:p>
        </w:tc>
      </w:tr>
      <w:tr>
        <w:trPr>
          <w:trHeight w:val="510" w:hRule="atLeast"/>
        </w:trPr>
        <w:tc>
          <w:tcPr>
            <w:tcW w:w="873" w:type="dxa"/>
            <w:tcBorders/>
            <w:shd w:fill="auto" w:val="clear"/>
            <w:vAlign w:val="center"/>
          </w:tcPr>
          <w:p>
            <w:pPr>
              <w:pStyle w:val="TableContents"/>
              <w:spacing w:before="0" w:after="283"/>
              <w:rPr>
                <w:sz w:val="4"/>
                <w:szCs w:val="4"/>
              </w:rPr>
            </w:pPr>
            <w:r>
              <w:rPr>
                <w:sz w:val="4"/>
                <w:szCs w:val="4"/>
              </w:rPr>
            </w:r>
          </w:p>
        </w:tc>
        <w:tc>
          <w:tcPr>
            <w:tcW w:w="9332" w:type="dxa"/>
            <w:gridSpan w:val="2"/>
            <w:tcBorders/>
            <w:shd w:fill="auto" w:val="clear"/>
            <w:vAlign w:val="center"/>
          </w:tcPr>
          <w:p>
            <w:pPr>
              <w:pStyle w:val="TableContents"/>
              <w:spacing w:before="0" w:after="283"/>
              <w:rPr>
                <w:sz w:val="4"/>
                <w:szCs w:val="4"/>
              </w:rPr>
            </w:pPr>
            <w:r>
              <w:rPr>
                <w:sz w:val="4"/>
                <w:szCs w:val="4"/>
              </w:rPr>
            </w:r>
          </w:p>
        </w:tc>
      </w:tr>
      <w:tr>
        <w:trPr/>
        <w:tc>
          <w:tcPr>
            <w:tcW w:w="873" w:type="dxa"/>
            <w:tcBorders/>
            <w:shd w:fill="auto" w:val="clear"/>
            <w:vAlign w:val="bottom"/>
          </w:tcPr>
          <w:p>
            <w:pPr>
              <w:pStyle w:val="TableContents"/>
              <w:spacing w:before="0" w:after="283"/>
              <w:rPr/>
            </w:pPr>
            <w:r>
              <w:rPr/>
              <w:drawing>
                <wp:inline distT="0" distB="0" distL="0" distR="0">
                  <wp:extent cx="34290" cy="41910"/>
                  <wp:effectExtent l="0" t="0" r="0" b="0"/>
                  <wp:docPr id="8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9" descr=""/>
                          <pic:cNvPicPr>
                            <a:picLocks noChangeAspect="1" noChangeArrowheads="1"/>
                          </pic:cNvPicPr>
                        </pic:nvPicPr>
                        <pic:blipFill>
                          <a:blip r:embed="rId70"/>
                          <a:stretch>
                            <a:fillRect/>
                          </a:stretch>
                        </pic:blipFill>
                        <pic:spPr bwMode="auto">
                          <a:xfrm>
                            <a:off x="0" y="0"/>
                            <a:ext cx="34290" cy="4191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9212" w:type="dxa"/>
            <w:tcBorders/>
            <w:shd w:fill="auto" w:val="clear"/>
            <w:vAlign w:val="bottom"/>
          </w:tcPr>
          <w:p>
            <w:pPr>
              <w:pStyle w:val="TableContents"/>
              <w:spacing w:before="0" w:after="0"/>
              <w:rPr>
                <w:rFonts w:ascii="arial" w:hAnsi="arial"/>
                <w:sz w:val="16"/>
              </w:rPr>
            </w:pPr>
            <w:r>
              <w:rPr>
                <w:rFonts w:ascii="arial" w:hAnsi="arial"/>
                <w:sz w:val="16"/>
              </w:rPr>
              <w:t>Telephone  by calling 1-800-690-6903 and following the other telephone voting instructions included in this proxy statement or on your proxy card</w:t>
            </w:r>
          </w:p>
          <w:p>
            <w:pPr>
              <w:pStyle w:val="TableContents"/>
              <w:spacing w:before="0" w:after="0"/>
              <w:rPr/>
            </w:pPr>
            <w:r>
              <w:rPr/>
              <w:t> </w:t>
            </w:r>
          </w:p>
          <w:p>
            <w:pPr>
              <w:pStyle w:val="TableContents"/>
              <w:spacing w:before="0" w:after="20"/>
              <w:rPr/>
            </w:pPr>
            <w:r>
              <w:rPr/>
              <w:t> </w:t>
            </w:r>
          </w:p>
        </w:tc>
      </w:tr>
      <w:tr>
        <w:trPr>
          <w:trHeight w:val="510" w:hRule="atLeast"/>
        </w:trPr>
        <w:tc>
          <w:tcPr>
            <w:tcW w:w="873" w:type="dxa"/>
            <w:tcBorders/>
            <w:shd w:fill="auto" w:val="clear"/>
            <w:vAlign w:val="center"/>
          </w:tcPr>
          <w:p>
            <w:pPr>
              <w:pStyle w:val="TableContents"/>
              <w:spacing w:before="0" w:after="283"/>
              <w:rPr>
                <w:sz w:val="4"/>
                <w:szCs w:val="4"/>
              </w:rPr>
            </w:pPr>
            <w:r>
              <w:rPr>
                <w:sz w:val="4"/>
                <w:szCs w:val="4"/>
              </w:rPr>
            </w:r>
          </w:p>
        </w:tc>
        <w:tc>
          <w:tcPr>
            <w:tcW w:w="9332" w:type="dxa"/>
            <w:gridSpan w:val="2"/>
            <w:tcBorders/>
            <w:shd w:fill="auto" w:val="clear"/>
            <w:vAlign w:val="center"/>
          </w:tcPr>
          <w:p>
            <w:pPr>
              <w:pStyle w:val="TableContents"/>
              <w:spacing w:before="0" w:after="283"/>
              <w:rPr>
                <w:sz w:val="4"/>
                <w:szCs w:val="4"/>
              </w:rPr>
            </w:pPr>
            <w:r>
              <w:rPr>
                <w:sz w:val="4"/>
                <w:szCs w:val="4"/>
              </w:rPr>
            </w:r>
          </w:p>
        </w:tc>
      </w:tr>
      <w:tr>
        <w:trPr/>
        <w:tc>
          <w:tcPr>
            <w:tcW w:w="873" w:type="dxa"/>
            <w:tcBorders/>
            <w:shd w:fill="auto" w:val="clear"/>
            <w:vAlign w:val="bottom"/>
          </w:tcPr>
          <w:p>
            <w:pPr>
              <w:pStyle w:val="TableContents"/>
              <w:spacing w:before="0" w:after="283"/>
              <w:rPr/>
            </w:pPr>
            <w:r>
              <w:rPr/>
              <w:drawing>
                <wp:inline distT="0" distB="0" distL="0" distR="0">
                  <wp:extent cx="304800" cy="219075"/>
                  <wp:effectExtent l="0" t="0" r="0" b="0"/>
                  <wp:docPr id="8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0" descr=""/>
                          <pic:cNvPicPr>
                            <a:picLocks noChangeAspect="1" noChangeArrowheads="1"/>
                          </pic:cNvPicPr>
                        </pic:nvPicPr>
                        <pic:blipFill>
                          <a:blip r:embed="rId71"/>
                          <a:stretch>
                            <a:fillRect/>
                          </a:stretch>
                        </pic:blipFill>
                        <pic:spPr bwMode="auto">
                          <a:xfrm>
                            <a:off x="0" y="0"/>
                            <a:ext cx="304800" cy="219075"/>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9212" w:type="dxa"/>
            <w:tcBorders/>
            <w:shd w:fill="auto" w:val="clear"/>
            <w:vAlign w:val="bottom"/>
          </w:tcPr>
          <w:p>
            <w:pPr>
              <w:pStyle w:val="TableContents"/>
              <w:spacing w:before="0" w:after="283"/>
              <w:rPr/>
            </w:pPr>
            <w:r>
              <w:rPr/>
              <w:t>Mail  by marking, dating and signing your proxy card in accordance with the instructions on the card and returning it by mail in the pre-addressed reply envelope provided with our proxy materials (if you received our proxy materials by mail)</w:t>
            </w:r>
          </w:p>
        </w:tc>
      </w:tr>
      <w:tr>
        <w:trPr>
          <w:trHeight w:val="510" w:hRule="atLeast"/>
        </w:trPr>
        <w:tc>
          <w:tcPr>
            <w:tcW w:w="873" w:type="dxa"/>
            <w:tcBorders/>
            <w:shd w:fill="auto" w:val="clear"/>
            <w:vAlign w:val="center"/>
          </w:tcPr>
          <w:p>
            <w:pPr>
              <w:pStyle w:val="TableContents"/>
              <w:spacing w:before="0" w:after="283"/>
              <w:rPr>
                <w:sz w:val="4"/>
                <w:szCs w:val="4"/>
              </w:rPr>
            </w:pPr>
            <w:r>
              <w:rPr>
                <w:sz w:val="4"/>
                <w:szCs w:val="4"/>
              </w:rPr>
            </w:r>
          </w:p>
        </w:tc>
        <w:tc>
          <w:tcPr>
            <w:tcW w:w="9332" w:type="dxa"/>
            <w:gridSpan w:val="2"/>
            <w:tcBorders/>
            <w:shd w:fill="auto" w:val="clear"/>
            <w:vAlign w:val="center"/>
          </w:tcPr>
          <w:p>
            <w:pPr>
              <w:pStyle w:val="TableContents"/>
              <w:spacing w:before="0" w:after="283"/>
              <w:rPr>
                <w:sz w:val="4"/>
                <w:szCs w:val="4"/>
              </w:rPr>
            </w:pPr>
            <w:r>
              <w:rPr>
                <w:sz w:val="4"/>
                <w:szCs w:val="4"/>
              </w:rPr>
            </w:r>
          </w:p>
        </w:tc>
      </w:tr>
      <w:tr>
        <w:trPr/>
        <w:tc>
          <w:tcPr>
            <w:tcW w:w="873" w:type="dxa"/>
            <w:tcBorders/>
            <w:shd w:fill="auto" w:val="clear"/>
            <w:vAlign w:val="bottom"/>
          </w:tcPr>
          <w:p>
            <w:pPr>
              <w:pStyle w:val="TableContents"/>
              <w:spacing w:before="0" w:after="283"/>
              <w:rPr/>
            </w:pPr>
            <w:r>
              <w:rPr/>
              <w:drawing>
                <wp:inline distT="0" distB="0" distL="0" distR="0">
                  <wp:extent cx="219075" cy="381000"/>
                  <wp:effectExtent l="0" t="0" r="0" b="0"/>
                  <wp:docPr id="8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1" descr=""/>
                          <pic:cNvPicPr>
                            <a:picLocks noChangeAspect="1" noChangeArrowheads="1"/>
                          </pic:cNvPicPr>
                        </pic:nvPicPr>
                        <pic:blipFill>
                          <a:blip r:embed="rId72"/>
                          <a:stretch>
                            <a:fillRect/>
                          </a:stretch>
                        </pic:blipFill>
                        <pic:spPr bwMode="auto">
                          <a:xfrm>
                            <a:off x="0" y="0"/>
                            <a:ext cx="219075" cy="38100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9212" w:type="dxa"/>
            <w:tcBorders/>
            <w:shd w:fill="auto" w:val="cle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Mobile Device  by scanning the QR code on your notice about the Internet availability of our proxy materials or proxy card with your mobile device and following the instructions provided</w:t>
            </w:r>
          </w:p>
        </w:tc>
      </w:tr>
    </w:tbl>
    <w:p>
      <w:pPr>
        <w:pStyle w:val="TextBody"/>
        <w:spacing w:before="160" w:after="0"/>
        <w:jc w:val="left"/>
        <w:rPr>
          <w:rFonts w:ascii="arial" w:hAnsi="arial"/>
          <w:sz w:val="16"/>
        </w:rPr>
      </w:pPr>
      <w:r>
        <w:rPr>
          <w:rFonts w:ascii="arial" w:hAnsi="arial"/>
          <w:sz w:val="16"/>
        </w:rPr>
        <w:t xml:space="preserve">For Internet (including via a mobile device) and telephone voting, you will need to have your notice about the Internet availability of our proxy materials or proxy card available. Internet and telephone voting will close at 11:59 p.m. Eastern Time on May 13, 2021. If you wish to vote by completing and returning your proxy card by mail, your completed proxy card must be received before the polls close for voting at the Annual Shareholders Meeting or any adjournment or postponement thereof. </w:t>
      </w:r>
    </w:p>
    <w:p>
      <w:pPr>
        <w:pStyle w:val="TextBody"/>
        <w:spacing w:before="160" w:after="0"/>
        <w:jc w:val="left"/>
        <w:rPr>
          <w:rFonts w:ascii="arial" w:hAnsi="arial"/>
          <w:sz w:val="16"/>
        </w:rPr>
      </w:pPr>
      <w:r>
        <w:rPr>
          <w:rFonts w:ascii="arial" w:hAnsi="arial"/>
          <w:b/>
          <w:sz w:val="16"/>
        </w:rPr>
        <w:t xml:space="preserve">Voting by Beneficial Owners. </w:t>
      </w:r>
      <w:r>
        <w:rPr>
          <w:rFonts w:ascii="arial" w:hAnsi="arial"/>
          <w:sz w:val="16"/>
        </w:rPr>
        <w:t xml:space="preserve">If you hold your shares as a beneficial owner through a bank, broker or other nominee, you should receive separate voting instructions from that entity describing how you may direct the registered holder to vote your shares. You may also vote by attending the virtual Annual Shareholders Meeting by visiting www.virtualshareholdermeeting.com/SRE2021 where you may vote and submit questions during the Annual Shareholders Meeting. Please have in hand your voting instruction form or, if you obtained a legal proxy, the separate information provided to you, that in each case includes your 16-digit control number, when you visit the website in order to enter your 16-digit control number at the login page for the meeting. For more information on how to attend and vote at the Annual Shareholders Meeting, please see Questions 2, 3 and 4 above.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90</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About the Annual Shareholders Meeting and Voting </w:t>
      </w:r>
    </w:p>
    <w:p>
      <w:pPr>
        <w:pStyle w:val="TextBody"/>
        <w:spacing w:before="0" w:after="0"/>
        <w:jc w:val="left"/>
        <w:rPr/>
      </w:pPr>
      <w:r>
        <w:rPr/>
        <w:t> </w:t>
      </w:r>
    </w:p>
    <w:p>
      <w:pPr>
        <w:pStyle w:val="TextBody"/>
        <w:spacing w:before="0" w:after="0"/>
        <w:jc w:val="left"/>
        <w:rPr>
          <w:rFonts w:ascii="arial" w:hAnsi="arial"/>
          <w:sz w:val="16"/>
        </w:rPr>
      </w:pPr>
      <w:r>
        <w:rPr>
          <w:rFonts w:ascii="arial" w:hAnsi="arial"/>
          <w:b/>
          <w:sz w:val="16"/>
        </w:rPr>
        <w:t>Voting of Shares as Directed</w:t>
      </w:r>
      <w:r>
        <w:rPr>
          <w:rFonts w:ascii="arial" w:hAnsi="arial"/>
          <w:sz w:val="16"/>
        </w:rPr>
        <w:t xml:space="preserve">. Your shares will be voted as you instruct on your proxy card, your voting instruction form, or pursuant to the other methods to direct your vote described above. Except for shares in the Sempra Energy Employee Savings Plans, which are discussed in Question 12 below, if you submit your vote by telephone or via the Internet or sign and return your proxy card without giving specific instructions, such shares will be voted in accordance with the recommendations of our Board of Directors and in the discretion of the proxy holders on any other matters that properly come before the Annual Shareholders Meeting and any adjournment or postponement thereof.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2"/>
        <w:gridCol w:w="9493"/>
      </w:tblGrid>
      <w:tr>
        <w:trPr/>
        <w:tc>
          <w:tcPr>
            <w:tcW w:w="510" w:type="dxa"/>
            <w:tcBorders/>
            <w:shd w:fill="auto" w:val="clear"/>
          </w:tcPr>
          <w:p>
            <w:pPr>
              <w:pStyle w:val="TableContents"/>
              <w:spacing w:before="0" w:after="283"/>
              <w:jc w:val="left"/>
              <w:rPr>
                <w:color w:val="001C71"/>
              </w:rPr>
            </w:pPr>
            <w:r>
              <w:rPr>
                <w:color w:val="001C71"/>
              </w:rPr>
              <w:t>8.</w:t>
            </w:r>
          </w:p>
        </w:tc>
        <w:tc>
          <w:tcPr>
            <w:tcW w:w="2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How can I vote without attending the Annual Shareholders Meeting?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Whether you hold your shares as a shareholder of record or as a beneficial owner, it is not necessary for you to attend the virtual Annual Shareholders Meeting or any adjournment or postponement thereof in order to vote your shares. If you are a shareholder of record, you may vote by submitting a proxy. If you hold shares as a beneficial owner, you may vote by submitting voting instructions to the registered owner of your shares. </w:t>
      </w:r>
    </w:p>
    <w:p>
      <w:pPr>
        <w:pStyle w:val="TextBody"/>
        <w:spacing w:before="160" w:after="0"/>
        <w:jc w:val="left"/>
        <w:rPr>
          <w:rFonts w:ascii="arial" w:hAnsi="arial"/>
          <w:sz w:val="16"/>
        </w:rPr>
      </w:pPr>
      <w:r>
        <w:rPr>
          <w:rFonts w:ascii="arial" w:hAnsi="arial"/>
          <w:sz w:val="16"/>
        </w:rPr>
        <w:t xml:space="preserve">For directions on how you may vote, please refer to the instructions included in Question 7 above or in your proxy card, voting instruction form or notice about the Internet availability of our proxy materials. </w:t>
      </w:r>
    </w:p>
    <w:p>
      <w:pPr>
        <w:pStyle w:val="TextBody"/>
        <w:spacing w:before="160" w:after="0"/>
        <w:jc w:val="left"/>
        <w:rPr>
          <w:rFonts w:ascii="arial" w:hAnsi="arial"/>
          <w:sz w:val="16"/>
        </w:rPr>
      </w:pPr>
      <w:r>
        <w:rPr>
          <w:rFonts w:ascii="arial" w:hAnsi="arial"/>
          <w:sz w:val="16"/>
        </w:rPr>
        <w:t xml:space="preserve">Even if you plan to attend the virtual Annual Shareholders Meeting, we recommend that you also submit your proxy or voting instructions as described in Question 7 above so that your vote will be counted if you later decide not to attend.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2"/>
        <w:gridCol w:w="9493"/>
      </w:tblGrid>
      <w:tr>
        <w:trPr/>
        <w:tc>
          <w:tcPr>
            <w:tcW w:w="510" w:type="dxa"/>
            <w:tcBorders/>
            <w:shd w:fill="auto" w:val="clear"/>
          </w:tcPr>
          <w:p>
            <w:pPr>
              <w:pStyle w:val="TableContents"/>
              <w:spacing w:before="0" w:after="283"/>
              <w:jc w:val="left"/>
              <w:rPr>
                <w:color w:val="001C71"/>
              </w:rPr>
            </w:pPr>
            <w:r>
              <w:rPr>
                <w:color w:val="001C71"/>
              </w:rPr>
              <w:t>9.</w:t>
            </w:r>
          </w:p>
        </w:tc>
        <w:tc>
          <w:tcPr>
            <w:tcW w:w="2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What is the deadline to vote in advance of the Annual Shareholders Meeting?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If you hold shares as a shareholder of record and you wish to vote by Internet before the meeting or by telephone, you must do so before Internet and telephone voting closes at 11:59 p.m. Eastern Time on May 13, 2021. If you hold shares as a shareholder of record and wish to vote by mail, your completed proxy card must be received before the polls close for voting at the Annual Shareholders Meeting or any adjournment or postponement thereof. </w:t>
      </w:r>
    </w:p>
    <w:p>
      <w:pPr>
        <w:pStyle w:val="TextBody"/>
        <w:spacing w:before="160" w:after="0"/>
        <w:jc w:val="left"/>
        <w:rPr>
          <w:rFonts w:ascii="arial" w:hAnsi="arial"/>
          <w:sz w:val="16"/>
        </w:rPr>
      </w:pPr>
      <w:r>
        <w:rPr>
          <w:rFonts w:ascii="arial" w:hAnsi="arial"/>
          <w:sz w:val="16"/>
        </w:rPr>
        <w:t xml:space="preserve">If you hold shares in any of the Sempra Energy Employee Savings Plans, your voting instructions must be received by 8 a.m. Eastern Time on May 11, 2021, for the trustee of the plans to vote your shares in accordance with your instructions. See Question 12 below. </w:t>
      </w:r>
    </w:p>
    <w:p>
      <w:pPr>
        <w:pStyle w:val="TextBody"/>
        <w:spacing w:before="160" w:after="0"/>
        <w:jc w:val="left"/>
        <w:rPr>
          <w:rFonts w:ascii="arial" w:hAnsi="arial"/>
          <w:sz w:val="16"/>
        </w:rPr>
      </w:pPr>
      <w:r>
        <w:rPr>
          <w:rFonts w:ascii="arial" w:hAnsi="arial"/>
          <w:sz w:val="16"/>
        </w:rPr>
        <w:t xml:space="preserve">If you hold shares as a beneficial owner, you should follow the voting instructions provided by your bank, broker or other nominee.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2"/>
        <w:gridCol w:w="9493"/>
      </w:tblGrid>
      <w:tr>
        <w:trPr/>
        <w:tc>
          <w:tcPr>
            <w:tcW w:w="510" w:type="dxa"/>
            <w:tcBorders/>
            <w:shd w:fill="auto" w:val="clear"/>
          </w:tcPr>
          <w:p>
            <w:pPr>
              <w:pStyle w:val="TableContents"/>
              <w:spacing w:before="0" w:after="283"/>
              <w:jc w:val="left"/>
              <w:rPr>
                <w:color w:val="001C71"/>
              </w:rPr>
            </w:pPr>
            <w:r>
              <w:rPr>
                <w:color w:val="001C71"/>
              </w:rPr>
              <w:t>10.</w:t>
            </w:r>
          </w:p>
        </w:tc>
        <w:tc>
          <w:tcPr>
            <w:tcW w:w="2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May I change or revoke my vote?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If you are a shareholder of record, you may change your vote by granting a new proxy bearing a later date (which automatically revokes the earlier proxy), by providing a written notice of revocation to the attention of our Corporate Secretary at Sempra Energys principal executive offices at 488 8th Avenue, San Diego, California 92101 that is received before the polls close for voting at the Annual Shareholders Meeting or any adjournment or postponement thereof, or by attending the virtual Annual Shareholders Meeting and voting at the meeting. Please note that if you are a shareholder of record, you cannot change your vote using the Internet or telephone voting methods described in Question 7 above after 11:59 p.m. Eastern Time on May 13, 2021. If you are an owner of shares held in the Sempra Energy Employee Savings Plans, you cannot change your vote after 8 a.m. Eastern Time on May 11, 2021. </w:t>
      </w:r>
    </w:p>
    <w:p>
      <w:pPr>
        <w:pStyle w:val="TextBody"/>
        <w:spacing w:before="160" w:after="0"/>
        <w:jc w:val="left"/>
        <w:rPr>
          <w:rFonts w:ascii="arial" w:hAnsi="arial"/>
          <w:sz w:val="16"/>
        </w:rPr>
      </w:pPr>
      <w:r>
        <w:rPr>
          <w:rFonts w:ascii="arial" w:hAnsi="arial"/>
          <w:sz w:val="16"/>
        </w:rPr>
        <w:t xml:space="preserve">Attendance at the Annual Shareholders Meeting will not cause your previously granted proxy to be revoked unless you submit a new vote during the meeting. </w:t>
      </w:r>
    </w:p>
    <w:p>
      <w:pPr>
        <w:pStyle w:val="TextBody"/>
        <w:spacing w:before="160" w:after="0"/>
        <w:jc w:val="left"/>
        <w:rPr>
          <w:rFonts w:ascii="arial" w:hAnsi="arial"/>
          <w:sz w:val="16"/>
        </w:rPr>
      </w:pPr>
      <w:r>
        <w:rPr>
          <w:rFonts w:ascii="arial" w:hAnsi="arial"/>
          <w:sz w:val="16"/>
        </w:rPr>
        <w:t xml:space="preserve">For shares you hold as a beneficial owner, you may change your vote by timely submitting new voting instructions to your bank, broker or other nominee (which revokes your earlier instructions), or by attending the virtual Annual Shareholders Meeting and voting at the meeting as described in Questions 2 and 3 above. Beneficial owners of shares should follow the voting instructions provided by their bank, broker or other nominee.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9493"/>
      </w:tblGrid>
      <w:tr>
        <w:trPr/>
        <w:tc>
          <w:tcPr>
            <w:tcW w:w="509" w:type="dxa"/>
            <w:tcBorders/>
            <w:shd w:fill="auto" w:val="clear"/>
          </w:tcPr>
          <w:p>
            <w:pPr>
              <w:pStyle w:val="TableContents"/>
              <w:spacing w:before="0" w:after="283"/>
              <w:jc w:val="left"/>
              <w:rPr>
                <w:color w:val="001C71"/>
              </w:rPr>
            </w:pPr>
            <w:r>
              <w:rPr>
                <w:color w:val="001C71"/>
              </w:rPr>
              <w:t>11.</w:t>
            </w:r>
          </w:p>
        </w:tc>
        <w:tc>
          <w:tcPr>
            <w:tcW w:w="203"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Is my vote confidential?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The Sempra Energy Employee Savings Plans automatically provide for confidential voting for the shares in those plans, and votes by beneficial owners of our shares also will be confidential depending on the policies of the applicable bank, broker or other nominee. Shareholders of record may elect that their identity and individual vote be held confidential by making the appropriate selection when voting by telephone or via the Internet or by marking the appropriate box on their proxy card. Confidentiality elections will not apply to the extent that voting disclosure is required by law or is necessary or appropriate to assert or defend any claim relating to voting.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91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About the Annual Shareholders Meeting and Voting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9491"/>
      </w:tblGrid>
      <w:tr>
        <w:trPr/>
        <w:tc>
          <w:tcPr>
            <w:tcW w:w="510" w:type="dxa"/>
            <w:tcBorders/>
            <w:shd w:fill="auto" w:val="clear"/>
          </w:tcPr>
          <w:p>
            <w:pPr>
              <w:pStyle w:val="TableContents"/>
              <w:spacing w:before="0" w:after="283"/>
              <w:jc w:val="left"/>
              <w:rPr>
                <w:color w:val="001C71"/>
              </w:rPr>
            </w:pPr>
            <w:r>
              <w:rPr>
                <w:color w:val="001C71"/>
              </w:rPr>
              <w:t>12.</w:t>
            </w:r>
          </w:p>
        </w:tc>
        <w:tc>
          <w:tcPr>
            <w:tcW w:w="204"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pPr>
            <w:r>
              <w:rPr/>
              <w:t xml:space="preserve">How are shares held in the Sempra Energy Employee Savings Plans voted? What happens if I do not timely vote such shares?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If you hold shares through the Sempra Energy Employee Savings Plans, they will be voted as you instruct via the Internet (including with a mobile device) or by telephone or mail as described in Question 7 above. If you submit your vote without giving specific instructions or you do not timely submit your vote, your shares will be voted in the discretion of Newport Trust Company, the independent fiduciary and investment manager for the Sempra Energy Common Stock Fund under the Sempra Energy Employee Savings Plans. </w:t>
      </w:r>
    </w:p>
    <w:p>
      <w:pPr>
        <w:pStyle w:val="TextBody"/>
        <w:spacing w:before="160" w:after="0"/>
        <w:jc w:val="left"/>
        <w:rPr>
          <w:rFonts w:ascii="arial" w:hAnsi="arial"/>
          <w:sz w:val="16"/>
        </w:rPr>
      </w:pPr>
      <w:r>
        <w:rPr>
          <w:rFonts w:ascii="arial" w:hAnsi="arial"/>
          <w:sz w:val="16"/>
        </w:rPr>
        <w:t>Your voting instructions must be received by 8 a.m. Eastern Time on May 11, 2021 for Newport Trust Company to vote your shares in accordance with your instructions. You may not vote at the Annual Shareholders Meeting with respect to the shares you own through these plans, which also has been the case at our in-person meetings in past years, but such shareholders will be able to submit questions during the meeting in the same manner as our other shareholders.</w:t>
      </w:r>
    </w:p>
    <w:p>
      <w:pPr>
        <w:pStyle w:val="TextBody"/>
        <w:spacing w:before="360" w:after="0"/>
        <w:jc w:val="left"/>
        <w:rPr>
          <w:rFonts w:ascii="arial" w:hAnsi="arial"/>
          <w:b/>
          <w:sz w:val="35"/>
        </w:rPr>
      </w:pPr>
      <w:bookmarkStart w:id="49" w:name="toc108157_25"/>
      <w:bookmarkEnd w:id="49"/>
      <w:r>
        <w:rPr>
          <w:rFonts w:ascii="arial" w:hAnsi="arial"/>
          <w:b/>
          <w:sz w:val="35"/>
        </w:rPr>
        <w:t xml:space="preserve">Information About Proposals To Be Voted 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2"/>
        <w:gridCol w:w="9494"/>
      </w:tblGrid>
      <w:tr>
        <w:trPr/>
        <w:tc>
          <w:tcPr>
            <w:tcW w:w="509" w:type="dxa"/>
            <w:tcBorders/>
            <w:shd w:fill="auto" w:val="clear"/>
          </w:tcPr>
          <w:p>
            <w:pPr>
              <w:pStyle w:val="TableContents"/>
              <w:spacing w:before="0" w:after="283"/>
              <w:jc w:val="left"/>
              <w:rPr>
                <w:color w:val="001C71"/>
              </w:rPr>
            </w:pPr>
            <w:r>
              <w:rPr>
                <w:color w:val="001C71"/>
              </w:rPr>
              <w:t>13.</w:t>
            </w:r>
          </w:p>
        </w:tc>
        <w:tc>
          <w:tcPr>
            <w:tcW w:w="2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pPr>
            <w:r>
              <w:rPr/>
              <w:t xml:space="preserve">What items of business will be voted on at the Annual Shareholders Meeting?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The business items to be voted on at the Annual Shareholders Meeting are: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0205" w:type="dxa"/>
            <w:tcBorders/>
            <w:shd w:fill="001C71" w:val="clear"/>
            <w:vAlign w:val="center"/>
          </w:tcPr>
          <w:p>
            <w:pPr>
              <w:pStyle w:val="TableContents"/>
              <w:spacing w:before="0" w:after="283"/>
              <w:rPr>
                <w:sz w:val="4"/>
                <w:szCs w:val="4"/>
              </w:rPr>
            </w:pPr>
            <w:r>
              <w:rPr>
                <w:sz w:val="4"/>
                <w:szCs w:val="4"/>
              </w:rPr>
            </w:r>
          </w:p>
        </w:tc>
      </w:tr>
      <w:tr>
        <w:trPr/>
        <w:tc>
          <w:tcPr>
            <w:tcW w:w="10205" w:type="dxa"/>
            <w:tcBorders/>
            <w:shd w:fill="001C71" w:val="clear"/>
            <w:vAlign w:val="bottom"/>
          </w:tcPr>
          <w:p>
            <w:pPr>
              <w:pStyle w:val="TableContents"/>
              <w:spacing w:before="0" w:after="283"/>
              <w:rPr>
                <w:color w:val="FFFFFF"/>
              </w:rPr>
            </w:pPr>
            <w:r>
              <w:rPr>
                <w:color w:val="FFFFFF"/>
              </w:rPr>
              <w:t>  </w:t>
            </w:r>
            <w:r>
              <w:rPr>
                <w:b/>
                <w:color w:val="FFFFFF"/>
              </w:rPr>
              <w:t>Business Items</w:t>
            </w:r>
          </w:p>
        </w:tc>
      </w:tr>
      <w:tr>
        <w:trPr/>
        <w:tc>
          <w:tcPr>
            <w:tcW w:w="10205" w:type="dxa"/>
            <w:tcBorders>
              <w:bottom w:val="single" w:sz="2" w:space="0" w:color="001C71"/>
            </w:tcBorders>
            <w:shd w:fill="auto" w:val="clear"/>
            <w:tcMar>
              <w:bottom w:w="28" w:type="dxa"/>
            </w:tcMar>
          </w:tcPr>
          <w:p>
            <w:pPr>
              <w:pStyle w:val="TableContents"/>
              <w:spacing w:before="0" w:after="0"/>
              <w:rPr/>
            </w:pPr>
            <w:r>
              <w:rPr/>
              <w:t> </w:t>
            </w:r>
          </w:p>
          <w:p>
            <w:pPr>
              <w:pStyle w:val="TableContents"/>
              <w:spacing w:before="0" w:after="0"/>
              <w:rPr/>
            </w:pPr>
            <w:r>
              <w:rPr/>
              <w:t>  </w:t>
            </w:r>
            <w:r>
              <w:rPr>
                <w:rFonts w:ascii="arial" w:hAnsi="arial"/>
                <w:sz w:val="16"/>
              </w:rPr>
              <w:t>Proposal 1.  Election of directors.</w:t>
            </w:r>
          </w:p>
          <w:p>
            <w:pPr>
              <w:pStyle w:val="TableContents"/>
              <w:spacing w:before="0" w:after="20"/>
              <w:rPr/>
            </w:pPr>
            <w:r>
              <w:rPr/>
              <w:t> </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bottom w:val="single" w:sz="2" w:space="0" w:color="001C71"/>
            </w:tcBorders>
            <w:shd w:fill="auto" w:val="clear"/>
            <w:tcMar>
              <w:bottom w:w="28" w:type="dxa"/>
            </w:tcMar>
          </w:tcPr>
          <w:p>
            <w:pPr>
              <w:pStyle w:val="TableContents"/>
              <w:spacing w:before="0" w:after="0"/>
              <w:rPr/>
            </w:pPr>
            <w:r>
              <w:rPr/>
              <w:t>  </w:t>
            </w:r>
            <w:r>
              <w:rPr>
                <w:rFonts w:ascii="arial" w:hAnsi="arial"/>
                <w:sz w:val="16"/>
              </w:rPr>
              <w:t>Proposal 2. Ratification of appointment of Deloitte &amp; Touche LLP as our independent registered public accounting firm.</w:t>
            </w:r>
          </w:p>
          <w:p>
            <w:pPr>
              <w:pStyle w:val="TableContents"/>
              <w:spacing w:before="0" w:after="20"/>
              <w:rPr/>
            </w:pPr>
            <w:r>
              <w:rPr/>
              <w:t> </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bottom w:val="single" w:sz="2" w:space="0" w:color="001C71"/>
            </w:tcBorders>
            <w:shd w:fill="auto" w:val="clear"/>
            <w:tcMar>
              <w:bottom w:w="28" w:type="dxa"/>
            </w:tcMar>
          </w:tcPr>
          <w:p>
            <w:pPr>
              <w:pStyle w:val="TableContents"/>
              <w:spacing w:before="0" w:after="0"/>
              <w:rPr/>
            </w:pPr>
            <w:r>
              <w:rPr/>
              <w:t>  </w:t>
            </w:r>
            <w:r>
              <w:rPr>
                <w:rFonts w:ascii="arial" w:hAnsi="arial"/>
                <w:sz w:val="16"/>
              </w:rPr>
              <w:t>Proposal 3. Advisory approval of our executive compensation.</w:t>
            </w:r>
          </w:p>
          <w:p>
            <w:pPr>
              <w:pStyle w:val="TableContents"/>
              <w:spacing w:before="0" w:after="20"/>
              <w:rPr/>
            </w:pPr>
            <w:r>
              <w:rPr/>
              <w:t> </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bottom w:val="single" w:sz="2" w:space="0" w:color="001C71"/>
            </w:tcBorders>
            <w:shd w:fill="auto" w:val="clear"/>
            <w:tcMar>
              <w:bottom w:w="28" w:type="dxa"/>
            </w:tcMar>
          </w:tcPr>
          <w:p>
            <w:pPr>
              <w:pStyle w:val="TableContents"/>
              <w:spacing w:before="0" w:after="0"/>
              <w:rPr/>
            </w:pPr>
            <w:r>
              <w:rPr/>
              <w:t>  </w:t>
            </w:r>
            <w:r>
              <w:rPr>
                <w:rFonts w:ascii="arial" w:hAnsi="arial"/>
                <w:sz w:val="16"/>
              </w:rPr>
              <w:t>Proposal 4. A shareholder proposal requesting an amendment to our proxy access bylaw to eliminate the shareholder nominating group limit, if properly presented at the meeting.</w:t>
            </w:r>
          </w:p>
          <w:p>
            <w:pPr>
              <w:pStyle w:val="TableContents"/>
              <w:spacing w:before="0" w:after="20"/>
              <w:rPr/>
            </w:pPr>
            <w:r>
              <w:rPr/>
              <w:t> </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bottom w:val="single" w:sz="8" w:space="0" w:color="001C71"/>
            </w:tcBorders>
            <w:shd w:fill="auto" w:val="clear"/>
            <w:tcMar>
              <w:bottom w:w="28" w:type="dxa"/>
            </w:tcMar>
          </w:tcPr>
          <w:p>
            <w:pPr>
              <w:pStyle w:val="TableContents"/>
              <w:spacing w:before="0" w:after="0"/>
              <w:rPr/>
            </w:pPr>
            <w:r>
              <w:rPr/>
              <w:t>  </w:t>
            </w:r>
            <w:r>
              <w:rPr>
                <w:rFonts w:ascii="arial" w:hAnsi="arial"/>
                <w:sz w:val="16"/>
              </w:rPr>
              <w:t>Proposal 5. A shareholder proposal requesting a report on alignment of our lobbying activities with the Paris Agreement, if properly presented at the meeting.</w:t>
            </w:r>
          </w:p>
          <w:p>
            <w:pPr>
              <w:pStyle w:val="TableContents"/>
              <w:spacing w:before="0" w:after="2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9493"/>
      </w:tblGrid>
      <w:tr>
        <w:trPr/>
        <w:tc>
          <w:tcPr>
            <w:tcW w:w="509" w:type="dxa"/>
            <w:tcBorders/>
            <w:shd w:fill="auto" w:val="clear"/>
          </w:tcPr>
          <w:p>
            <w:pPr>
              <w:pStyle w:val="TableContents"/>
              <w:spacing w:before="0" w:after="283"/>
              <w:jc w:val="left"/>
              <w:rPr>
                <w:color w:val="001C71"/>
              </w:rPr>
            </w:pPr>
            <w:r>
              <w:rPr>
                <w:color w:val="001C71"/>
              </w:rPr>
              <w:t>14.</w:t>
            </w:r>
          </w:p>
        </w:tc>
        <w:tc>
          <w:tcPr>
            <w:tcW w:w="203"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What are my voting choices?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You may vote FOR or AGAINST the election of each of the director nominees or you may ABSTAIN from voting on one or more director nominees. You may vote FOR, AGAINST or ABSTAIN on each of the other proposals to be voted on at the Annual Shareholders Meeting.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92</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About the Annual Shareholders Meeting and Voting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9493"/>
      </w:tblGrid>
      <w:tr>
        <w:trPr/>
        <w:tc>
          <w:tcPr>
            <w:tcW w:w="509" w:type="dxa"/>
            <w:tcBorders/>
            <w:shd w:fill="auto" w:val="clear"/>
          </w:tcPr>
          <w:p>
            <w:pPr>
              <w:pStyle w:val="TableContents"/>
              <w:spacing w:before="0" w:after="283"/>
              <w:jc w:val="left"/>
              <w:rPr>
                <w:color w:val="001C71"/>
              </w:rPr>
            </w:pPr>
            <w:r>
              <w:rPr>
                <w:color w:val="001C71"/>
              </w:rPr>
              <w:t>15.</w:t>
            </w:r>
          </w:p>
        </w:tc>
        <w:tc>
          <w:tcPr>
            <w:tcW w:w="203"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How does the Board of Directors recommend that I vote?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Board of Directors recommends that you vote your shares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3"/>
        <w:gridCol w:w="101"/>
        <w:gridCol w:w="5001"/>
      </w:tblGrid>
      <w:tr>
        <w:trPr/>
        <w:tc>
          <w:tcPr>
            <w:tcW w:w="510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5103" w:type="dxa"/>
            <w:tcBorders/>
            <w:shd w:fill="001C71" w:val="clear"/>
            <w:vAlign w:val="center"/>
          </w:tcPr>
          <w:p>
            <w:pPr>
              <w:pStyle w:val="TableContents"/>
              <w:spacing w:before="0" w:after="283"/>
              <w:rPr>
                <w:sz w:val="4"/>
                <w:szCs w:val="4"/>
              </w:rPr>
            </w:pPr>
            <w:r>
              <w:rPr>
                <w:sz w:val="4"/>
                <w:szCs w:val="4"/>
              </w:rPr>
            </w:r>
          </w:p>
        </w:tc>
        <w:tc>
          <w:tcPr>
            <w:tcW w:w="5102" w:type="dxa"/>
            <w:gridSpan w:val="2"/>
            <w:tcBorders/>
            <w:shd w:fill="001C71" w:val="clear"/>
            <w:vAlign w:val="center"/>
          </w:tcPr>
          <w:p>
            <w:pPr>
              <w:pStyle w:val="TableContents"/>
              <w:spacing w:before="0" w:after="283"/>
              <w:rPr>
                <w:sz w:val="4"/>
                <w:szCs w:val="4"/>
              </w:rPr>
            </w:pPr>
            <w:r>
              <w:rPr>
                <w:sz w:val="4"/>
                <w:szCs w:val="4"/>
              </w:rPr>
            </w:r>
          </w:p>
        </w:tc>
      </w:tr>
      <w:tr>
        <w:trPr/>
        <w:tc>
          <w:tcPr>
            <w:tcW w:w="5103"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Proposal</w:t>
            </w:r>
          </w:p>
        </w:tc>
        <w:tc>
          <w:tcPr>
            <w:tcW w:w="101" w:type="dxa"/>
            <w:tcBorders/>
            <w:shd w:fill="001C71" w:val="clear"/>
            <w:vAlign w:val="bottom"/>
          </w:tcPr>
          <w:p>
            <w:pPr>
              <w:pStyle w:val="TableContents"/>
              <w:spacing w:before="0" w:after="283"/>
              <w:rPr/>
            </w:pPr>
            <w:r>
              <w:rPr/>
              <w:t> </w:t>
            </w:r>
          </w:p>
        </w:tc>
        <w:tc>
          <w:tcPr>
            <w:tcW w:w="5001" w:type="dxa"/>
            <w:tcBorders/>
            <w:shd w:fill="001C71" w:val="clear"/>
            <w:vAlign w:val="bottom"/>
          </w:tcPr>
          <w:p>
            <w:pPr>
              <w:pStyle w:val="TableContents"/>
              <w:spacing w:before="0" w:after="283"/>
              <w:rPr>
                <w:b/>
                <w:color w:val="FFFFFF"/>
              </w:rPr>
            </w:pPr>
            <w:r>
              <w:rPr>
                <w:b/>
                <w:color w:val="FFFFFF"/>
              </w:rPr>
              <w:t>Board Recommendation</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2" w:space="0" w:color="001C71"/>
            </w:tcBorders>
            <w:shd w:fill="auto" w:val="clear"/>
            <w:tcMar>
              <w:bottom w:w="120" w:type="dxa"/>
            </w:tcMar>
          </w:tcPr>
          <w:p>
            <w:pPr>
              <w:pStyle w:val="TableContents"/>
              <w:spacing w:before="0" w:after="0"/>
              <w:rPr>
                <w:rFonts w:ascii="arial" w:hAnsi="arial"/>
                <w:sz w:val="16"/>
              </w:rPr>
            </w:pPr>
            <w:r>
              <w:rPr>
                <w:rFonts w:ascii="arial" w:hAnsi="arial"/>
                <w:sz w:val="16"/>
              </w:rPr>
              <w:t>1.   Election of directors</w:t>
            </w:r>
          </w:p>
        </w:tc>
        <w:tc>
          <w:tcPr>
            <w:tcW w:w="101" w:type="dxa"/>
            <w:tcBorders>
              <w:bottom w:val="single" w:sz="2" w:space="0" w:color="001C71"/>
            </w:tcBorders>
            <w:shd w:fill="auto" w:val="clear"/>
            <w:tcMar>
              <w:bottom w:w="28" w:type="dxa"/>
            </w:tcMar>
            <w:vAlign w:val="bottom"/>
          </w:tcPr>
          <w:p>
            <w:pPr>
              <w:pStyle w:val="TableContents"/>
              <w:spacing w:before="0" w:after="283"/>
              <w:rPr/>
            </w:pPr>
            <w:r>
              <w:rPr/>
              <w:t> </w:t>
            </w:r>
          </w:p>
        </w:tc>
        <w:tc>
          <w:tcPr>
            <w:tcW w:w="5001" w:type="dxa"/>
            <w:tcBorders>
              <w:bottom w:val="single" w:sz="2" w:space="0" w:color="001C71"/>
            </w:tcBorders>
            <w:shd w:fill="auto" w:val="clear"/>
            <w:tcMar>
              <w:bottom w:w="120" w:type="dxa"/>
            </w:tcMar>
          </w:tcPr>
          <w:p>
            <w:pPr>
              <w:pStyle w:val="TableContents"/>
              <w:spacing w:before="0" w:after="283"/>
              <w:rPr/>
            </w:pPr>
            <w:r>
              <w:rPr>
                <w:b/>
              </w:rPr>
              <w:t>FOR</w:t>
            </w:r>
            <w:r>
              <w:rPr/>
              <w:t xml:space="preserve"> each director nominee</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2" w:space="0" w:color="001C71"/>
            </w:tcBorders>
            <w:shd w:fill="auto" w:val="clear"/>
            <w:tcMar>
              <w:bottom w:w="120" w:type="dxa"/>
            </w:tcMar>
          </w:tcPr>
          <w:p>
            <w:pPr>
              <w:pStyle w:val="TableContents"/>
              <w:spacing w:before="0" w:after="0"/>
              <w:rPr>
                <w:rFonts w:ascii="arial" w:hAnsi="arial"/>
                <w:sz w:val="16"/>
              </w:rPr>
            </w:pPr>
            <w:r>
              <w:rPr>
                <w:rFonts w:ascii="arial" w:hAnsi="arial"/>
                <w:sz w:val="16"/>
              </w:rPr>
              <w:t>2.   Ratification of appointment of independent registered public accounting firm</w:t>
            </w:r>
          </w:p>
        </w:tc>
        <w:tc>
          <w:tcPr>
            <w:tcW w:w="101" w:type="dxa"/>
            <w:tcBorders>
              <w:bottom w:val="single" w:sz="2" w:space="0" w:color="001C71"/>
            </w:tcBorders>
            <w:shd w:fill="auto" w:val="clear"/>
            <w:tcMar>
              <w:bottom w:w="28" w:type="dxa"/>
            </w:tcMar>
            <w:vAlign w:val="bottom"/>
          </w:tcPr>
          <w:p>
            <w:pPr>
              <w:pStyle w:val="TableContents"/>
              <w:spacing w:before="0" w:after="283"/>
              <w:rPr/>
            </w:pPr>
            <w:r>
              <w:rPr/>
              <w:t> </w:t>
            </w:r>
          </w:p>
        </w:tc>
        <w:tc>
          <w:tcPr>
            <w:tcW w:w="5001" w:type="dxa"/>
            <w:tcBorders>
              <w:bottom w:val="single" w:sz="2" w:space="0" w:color="001C71"/>
            </w:tcBorders>
            <w:shd w:fill="auto" w:val="clear"/>
            <w:tcMar>
              <w:bottom w:w="120" w:type="dxa"/>
            </w:tcMar>
          </w:tcPr>
          <w:p>
            <w:pPr>
              <w:pStyle w:val="TableContents"/>
              <w:spacing w:before="0" w:after="283"/>
              <w:rPr/>
            </w:pPr>
            <w:r>
              <w:rPr>
                <w:b/>
              </w:rPr>
              <w:t>FOR</w:t>
            </w:r>
            <w:r>
              <w:rPr/>
              <w:t xml:space="preserve"> ratification of appointment of independent registered public accounting firm</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2" w:space="0" w:color="001C71"/>
            </w:tcBorders>
            <w:shd w:fill="auto" w:val="clear"/>
            <w:tcMar>
              <w:bottom w:w="120" w:type="dxa"/>
            </w:tcMar>
          </w:tcPr>
          <w:p>
            <w:pPr>
              <w:pStyle w:val="TableContents"/>
              <w:spacing w:before="0" w:after="0"/>
              <w:rPr>
                <w:rFonts w:ascii="arial" w:hAnsi="arial"/>
                <w:sz w:val="16"/>
              </w:rPr>
            </w:pPr>
            <w:r>
              <w:rPr>
                <w:rFonts w:ascii="arial" w:hAnsi="arial"/>
                <w:sz w:val="16"/>
              </w:rPr>
              <w:t>3.   Advisory approval of our executive compensation</w:t>
            </w:r>
          </w:p>
        </w:tc>
        <w:tc>
          <w:tcPr>
            <w:tcW w:w="101" w:type="dxa"/>
            <w:tcBorders>
              <w:bottom w:val="single" w:sz="2" w:space="0" w:color="001C71"/>
            </w:tcBorders>
            <w:shd w:fill="auto" w:val="clear"/>
            <w:tcMar>
              <w:bottom w:w="28" w:type="dxa"/>
            </w:tcMar>
            <w:vAlign w:val="bottom"/>
          </w:tcPr>
          <w:p>
            <w:pPr>
              <w:pStyle w:val="TableContents"/>
              <w:spacing w:before="0" w:after="283"/>
              <w:rPr/>
            </w:pPr>
            <w:r>
              <w:rPr/>
              <w:t> </w:t>
            </w:r>
          </w:p>
        </w:tc>
        <w:tc>
          <w:tcPr>
            <w:tcW w:w="5001" w:type="dxa"/>
            <w:tcBorders>
              <w:bottom w:val="single" w:sz="2" w:space="0" w:color="001C71"/>
            </w:tcBorders>
            <w:shd w:fill="auto" w:val="clear"/>
            <w:tcMar>
              <w:bottom w:w="120" w:type="dxa"/>
            </w:tcMar>
          </w:tcPr>
          <w:p>
            <w:pPr>
              <w:pStyle w:val="TableContents"/>
              <w:spacing w:before="0" w:after="283"/>
              <w:rPr/>
            </w:pPr>
            <w:r>
              <w:rPr>
                <w:b/>
              </w:rPr>
              <w:t>FOR</w:t>
            </w:r>
            <w:r>
              <w:rPr/>
              <w:t xml:space="preserve"> advisory approval of our executive compensation</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2" w:space="0" w:color="001C71"/>
            </w:tcBorders>
            <w:shd w:fill="auto" w:val="clear"/>
            <w:tcMar>
              <w:bottom w:w="120" w:type="dxa"/>
            </w:tcMar>
          </w:tcPr>
          <w:p>
            <w:pPr>
              <w:pStyle w:val="TableContents"/>
              <w:spacing w:before="0" w:after="0"/>
              <w:rPr>
                <w:rFonts w:ascii="arial" w:hAnsi="arial"/>
                <w:sz w:val="16"/>
              </w:rPr>
            </w:pPr>
            <w:r>
              <w:rPr>
                <w:rFonts w:ascii="arial" w:hAnsi="arial"/>
                <w:sz w:val="16"/>
              </w:rPr>
              <w:t>4.   Shareholder proposal requesting an amendment to our proxy access bylaw to eliminate the shareholder nominating group limit</w:t>
            </w:r>
          </w:p>
        </w:tc>
        <w:tc>
          <w:tcPr>
            <w:tcW w:w="101" w:type="dxa"/>
            <w:tcBorders>
              <w:bottom w:val="single" w:sz="2" w:space="0" w:color="001C71"/>
            </w:tcBorders>
            <w:shd w:fill="auto" w:val="clear"/>
            <w:tcMar>
              <w:bottom w:w="28" w:type="dxa"/>
            </w:tcMar>
            <w:vAlign w:val="bottom"/>
          </w:tcPr>
          <w:p>
            <w:pPr>
              <w:pStyle w:val="TableContents"/>
              <w:spacing w:before="0" w:after="283"/>
              <w:rPr/>
            </w:pPr>
            <w:r>
              <w:rPr/>
              <w:t> </w:t>
            </w:r>
          </w:p>
        </w:tc>
        <w:tc>
          <w:tcPr>
            <w:tcW w:w="5001" w:type="dxa"/>
            <w:tcBorders>
              <w:bottom w:val="single" w:sz="2" w:space="0" w:color="001C71"/>
            </w:tcBorders>
            <w:shd w:fill="auto" w:val="clear"/>
            <w:tcMar>
              <w:bottom w:w="120" w:type="dxa"/>
            </w:tcMar>
          </w:tcPr>
          <w:p>
            <w:pPr>
              <w:pStyle w:val="TableContents"/>
              <w:spacing w:before="0" w:after="283"/>
              <w:rPr/>
            </w:pPr>
            <w:r>
              <w:rPr>
                <w:b/>
              </w:rPr>
              <w:t>AGAINST</w:t>
            </w:r>
            <w:r>
              <w:rPr/>
              <w:t xml:space="preserve"> shareholder proposal requesting an amendment to our proxy access bylaw to eliminate the shareholder nominating group limit</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8" w:space="0" w:color="001C71"/>
            </w:tcBorders>
            <w:shd w:fill="auto" w:val="clear"/>
            <w:tcMar>
              <w:bottom w:w="120" w:type="dxa"/>
            </w:tcMar>
          </w:tcPr>
          <w:p>
            <w:pPr>
              <w:pStyle w:val="TableContents"/>
              <w:spacing w:before="0" w:after="0"/>
              <w:rPr>
                <w:rFonts w:ascii="arial" w:hAnsi="arial"/>
                <w:sz w:val="16"/>
              </w:rPr>
            </w:pPr>
            <w:r>
              <w:rPr>
                <w:rFonts w:ascii="arial" w:hAnsi="arial"/>
                <w:sz w:val="16"/>
              </w:rPr>
              <w:t>5.   Shareholder proposal requesting a report on alignment of our lobbying activities with the Paris Agreement</w:t>
            </w:r>
          </w:p>
        </w:tc>
        <w:tc>
          <w:tcPr>
            <w:tcW w:w="101" w:type="dxa"/>
            <w:tcBorders>
              <w:bottom w:val="single" w:sz="8" w:space="0" w:color="001C71"/>
            </w:tcBorders>
            <w:shd w:fill="auto" w:val="clear"/>
            <w:tcMar>
              <w:bottom w:w="28" w:type="dxa"/>
            </w:tcMar>
            <w:vAlign w:val="bottom"/>
          </w:tcPr>
          <w:p>
            <w:pPr>
              <w:pStyle w:val="TableContents"/>
              <w:spacing w:before="0" w:after="283"/>
              <w:rPr/>
            </w:pPr>
            <w:r>
              <w:rPr/>
              <w:t> </w:t>
            </w:r>
          </w:p>
        </w:tc>
        <w:tc>
          <w:tcPr>
            <w:tcW w:w="5001" w:type="dxa"/>
            <w:tcBorders>
              <w:bottom w:val="single" w:sz="8" w:space="0" w:color="001C71"/>
            </w:tcBorders>
            <w:shd w:fill="auto" w:val="clear"/>
            <w:tcMar>
              <w:bottom w:w="120" w:type="dxa"/>
            </w:tcMar>
          </w:tcPr>
          <w:p>
            <w:pPr>
              <w:pStyle w:val="TableContents"/>
              <w:spacing w:before="0" w:after="283"/>
              <w:rPr/>
            </w:pPr>
            <w:r>
              <w:rPr>
                <w:b/>
              </w:rPr>
              <w:t xml:space="preserve">AGAINST </w:t>
            </w:r>
            <w:r>
              <w:rPr/>
              <w:t>shareholder proposal requesting a report on alignment of our lobbying activities with the Paris Agreement</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2"/>
        <w:gridCol w:w="9494"/>
      </w:tblGrid>
      <w:tr>
        <w:trPr/>
        <w:tc>
          <w:tcPr>
            <w:tcW w:w="509" w:type="dxa"/>
            <w:tcBorders/>
            <w:shd w:fill="auto" w:val="clear"/>
          </w:tcPr>
          <w:p>
            <w:pPr>
              <w:pStyle w:val="TableContents"/>
              <w:spacing w:before="0" w:after="283"/>
              <w:jc w:val="left"/>
              <w:rPr>
                <w:color w:val="001C71"/>
              </w:rPr>
            </w:pPr>
            <w:r>
              <w:rPr>
                <w:color w:val="001C71"/>
              </w:rPr>
              <w:t>16.</w:t>
            </w:r>
          </w:p>
        </w:tc>
        <w:tc>
          <w:tcPr>
            <w:tcW w:w="2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pPr>
            <w:r>
              <w:rPr/>
              <w:t xml:space="preserve">What vote is required to approve each item?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Assuming a quorum (as defined in Question 20 below) is present at the Annual Shareholders Meeting, the vote required to approve each item will be determined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3"/>
        <w:gridCol w:w="100"/>
        <w:gridCol w:w="5002"/>
      </w:tblGrid>
      <w:tr>
        <w:trPr/>
        <w:tc>
          <w:tcPr>
            <w:tcW w:w="510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5103" w:type="dxa"/>
            <w:tcBorders/>
            <w:shd w:fill="001C71" w:val="clear"/>
            <w:vAlign w:val="center"/>
          </w:tcPr>
          <w:p>
            <w:pPr>
              <w:pStyle w:val="TableContents"/>
              <w:spacing w:before="0" w:after="283"/>
              <w:rPr>
                <w:sz w:val="4"/>
                <w:szCs w:val="4"/>
              </w:rPr>
            </w:pPr>
            <w:r>
              <w:rPr>
                <w:sz w:val="4"/>
                <w:szCs w:val="4"/>
              </w:rPr>
            </w:r>
          </w:p>
        </w:tc>
        <w:tc>
          <w:tcPr>
            <w:tcW w:w="5102" w:type="dxa"/>
            <w:gridSpan w:val="2"/>
            <w:tcBorders/>
            <w:shd w:fill="001C71" w:val="clear"/>
            <w:vAlign w:val="center"/>
          </w:tcPr>
          <w:p>
            <w:pPr>
              <w:pStyle w:val="TableContents"/>
              <w:spacing w:before="0" w:after="283"/>
              <w:rPr>
                <w:sz w:val="4"/>
                <w:szCs w:val="4"/>
              </w:rPr>
            </w:pPr>
            <w:r>
              <w:rPr>
                <w:sz w:val="4"/>
                <w:szCs w:val="4"/>
              </w:rPr>
            </w:r>
          </w:p>
        </w:tc>
      </w:tr>
      <w:tr>
        <w:trPr/>
        <w:tc>
          <w:tcPr>
            <w:tcW w:w="5103"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Proposal</w:t>
            </w:r>
          </w:p>
        </w:tc>
        <w:tc>
          <w:tcPr>
            <w:tcW w:w="100" w:type="dxa"/>
            <w:tcBorders/>
            <w:shd w:fill="001C71" w:val="clear"/>
            <w:vAlign w:val="bottom"/>
          </w:tcPr>
          <w:p>
            <w:pPr>
              <w:pStyle w:val="TableContents"/>
              <w:spacing w:before="0" w:after="283"/>
              <w:rPr/>
            </w:pPr>
            <w:r>
              <w:rPr/>
              <w:t> </w:t>
            </w:r>
          </w:p>
        </w:tc>
        <w:tc>
          <w:tcPr>
            <w:tcW w:w="5002" w:type="dxa"/>
            <w:tcBorders/>
            <w:shd w:fill="001C71" w:val="clear"/>
            <w:vAlign w:val="bottom"/>
          </w:tcPr>
          <w:p>
            <w:pPr>
              <w:pStyle w:val="TableContents"/>
              <w:spacing w:before="0" w:after="283"/>
              <w:rPr>
                <w:b/>
                <w:color w:val="FFFFFF"/>
              </w:rPr>
            </w:pPr>
            <w:r>
              <w:rPr>
                <w:b/>
                <w:color w:val="FFFFFF"/>
              </w:rPr>
              <w:t>Vote Required for Approval</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2" w:space="0" w:color="001C71"/>
            </w:tcBorders>
            <w:shd w:fill="auto" w:val="clear"/>
            <w:tcMar>
              <w:bottom w:w="100" w:type="dxa"/>
            </w:tcMar>
          </w:tcPr>
          <w:p>
            <w:pPr>
              <w:pStyle w:val="TableContents"/>
              <w:spacing w:before="0" w:after="0"/>
              <w:rPr>
                <w:rFonts w:ascii="arial" w:hAnsi="arial"/>
                <w:sz w:val="16"/>
              </w:rPr>
            </w:pPr>
            <w:r>
              <w:rPr>
                <w:rFonts w:ascii="arial" w:hAnsi="arial"/>
                <w:sz w:val="16"/>
              </w:rPr>
              <w:t>1.  Election of directors</w:t>
            </w:r>
          </w:p>
        </w:tc>
        <w:tc>
          <w:tcPr>
            <w:tcW w:w="100" w:type="dxa"/>
            <w:tcBorders>
              <w:bottom w:val="single" w:sz="2" w:space="0" w:color="001C71"/>
            </w:tcBorders>
            <w:shd w:fill="auto" w:val="clear"/>
            <w:tcMar>
              <w:bottom w:w="28" w:type="dxa"/>
            </w:tcMar>
            <w:vAlign w:val="bottom"/>
          </w:tcPr>
          <w:p>
            <w:pPr>
              <w:pStyle w:val="TableContents"/>
              <w:spacing w:before="0" w:after="283"/>
              <w:rPr/>
            </w:pPr>
            <w:r>
              <w:rPr/>
              <w:t> </w:t>
            </w:r>
          </w:p>
        </w:tc>
        <w:tc>
          <w:tcPr>
            <w:tcW w:w="5002" w:type="dxa"/>
            <w:tcBorders>
              <w:bottom w:val="single" w:sz="2" w:space="0" w:color="001C71"/>
            </w:tcBorders>
            <w:shd w:fill="auto" w:val="clear"/>
            <w:tcMar>
              <w:bottom w:w="100" w:type="dxa"/>
            </w:tcMar>
          </w:tcPr>
          <w:p>
            <w:pPr>
              <w:pStyle w:val="TableContents"/>
              <w:spacing w:before="0" w:after="283"/>
              <w:rPr/>
            </w:pPr>
            <w:r>
              <w:rPr/>
              <w:t>Each director must receive FOR votes constituting a majority of the shares represented and voting at the Annual Shareholders Meeting, and the FOR votes also must represent more than 25% of our outstanding shares.</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2" w:space="0" w:color="001C71"/>
            </w:tcBorders>
            <w:shd w:fill="auto" w:val="clear"/>
            <w:tcMar>
              <w:bottom w:w="100" w:type="dxa"/>
            </w:tcMar>
          </w:tcPr>
          <w:p>
            <w:pPr>
              <w:pStyle w:val="TableContents"/>
              <w:spacing w:before="0" w:after="0"/>
              <w:rPr>
                <w:rFonts w:ascii="arial" w:hAnsi="arial"/>
                <w:sz w:val="16"/>
              </w:rPr>
            </w:pPr>
            <w:r>
              <w:rPr>
                <w:rFonts w:ascii="arial" w:hAnsi="arial"/>
                <w:sz w:val="16"/>
              </w:rPr>
              <w:t>2.   Ratification of appointment of independent registered public accounting firm</w:t>
            </w:r>
          </w:p>
        </w:tc>
        <w:tc>
          <w:tcPr>
            <w:tcW w:w="100" w:type="dxa"/>
            <w:tcBorders>
              <w:bottom w:val="single" w:sz="2" w:space="0" w:color="001C71"/>
            </w:tcBorders>
            <w:shd w:fill="auto" w:val="clear"/>
            <w:tcMar>
              <w:bottom w:w="28" w:type="dxa"/>
            </w:tcMar>
            <w:vAlign w:val="bottom"/>
          </w:tcPr>
          <w:p>
            <w:pPr>
              <w:pStyle w:val="TableContents"/>
              <w:spacing w:before="0" w:after="283"/>
              <w:rPr/>
            </w:pPr>
            <w:r>
              <w:rPr/>
              <w:t> </w:t>
            </w:r>
          </w:p>
        </w:tc>
        <w:tc>
          <w:tcPr>
            <w:tcW w:w="5002" w:type="dxa"/>
            <w:tcBorders>
              <w:bottom w:val="single" w:sz="2" w:space="0" w:color="001C71"/>
            </w:tcBorders>
            <w:shd w:fill="auto" w:val="clear"/>
            <w:tcMar>
              <w:bottom w:w="100" w:type="dxa"/>
            </w:tcMar>
          </w:tcPr>
          <w:p>
            <w:pPr>
              <w:pStyle w:val="TableContents"/>
              <w:spacing w:before="0" w:after="283"/>
              <w:rPr/>
            </w:pPr>
            <w:r>
              <w:rPr/>
              <w:t>Requires FOR votes constituting a majority of the shares represented and voting at the Annual Shareholders Meeting, and the FOR votes also must represent more than 25% of our outstanding shares. While this is an advisory vote and non-binding, our Audit Committee may reconsider the appointment if it were not ratified.</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2" w:space="0" w:color="001C71"/>
            </w:tcBorders>
            <w:shd w:fill="auto" w:val="clear"/>
            <w:tcMar>
              <w:bottom w:w="100" w:type="dxa"/>
            </w:tcMar>
          </w:tcPr>
          <w:p>
            <w:pPr>
              <w:pStyle w:val="TableContents"/>
              <w:spacing w:before="0" w:after="0"/>
              <w:rPr>
                <w:rFonts w:ascii="arial" w:hAnsi="arial"/>
                <w:sz w:val="16"/>
              </w:rPr>
            </w:pPr>
            <w:r>
              <w:rPr>
                <w:rFonts w:ascii="arial" w:hAnsi="arial"/>
                <w:sz w:val="16"/>
              </w:rPr>
              <w:t>3.   Advisory approval of our executive compensation</w:t>
            </w:r>
          </w:p>
        </w:tc>
        <w:tc>
          <w:tcPr>
            <w:tcW w:w="100" w:type="dxa"/>
            <w:tcBorders>
              <w:bottom w:val="single" w:sz="2" w:space="0" w:color="001C71"/>
            </w:tcBorders>
            <w:shd w:fill="auto" w:val="clear"/>
            <w:tcMar>
              <w:bottom w:w="28" w:type="dxa"/>
            </w:tcMar>
            <w:vAlign w:val="bottom"/>
          </w:tcPr>
          <w:p>
            <w:pPr>
              <w:pStyle w:val="TableContents"/>
              <w:spacing w:before="0" w:after="283"/>
              <w:rPr/>
            </w:pPr>
            <w:r>
              <w:rPr/>
              <w:t> </w:t>
            </w:r>
          </w:p>
        </w:tc>
        <w:tc>
          <w:tcPr>
            <w:tcW w:w="5002" w:type="dxa"/>
            <w:tcBorders>
              <w:bottom w:val="single" w:sz="2" w:space="0" w:color="001C71"/>
            </w:tcBorders>
            <w:shd w:fill="auto" w:val="clear"/>
            <w:tcMar>
              <w:bottom w:w="100" w:type="dxa"/>
            </w:tcMar>
          </w:tcPr>
          <w:p>
            <w:pPr>
              <w:pStyle w:val="TableContents"/>
              <w:spacing w:before="0" w:after="283"/>
              <w:rPr/>
            </w:pPr>
            <w:r>
              <w:rPr/>
              <w:t>Requires FOR votes constituting a majority of the shares represented and voting at the Annual Shareholders Meeting, and the FOR votes also must represent more than 25% of our outstanding shares. While this is an advisory vote and non-binding, our Compensation and Talent Development Committee will take the voting results on this proposal into consideration when making future executive compensation decisions.</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2" w:space="0" w:color="001C71"/>
            </w:tcBorders>
            <w:shd w:fill="auto" w:val="clear"/>
            <w:tcMar>
              <w:bottom w:w="100" w:type="dxa"/>
            </w:tcMar>
          </w:tcPr>
          <w:p>
            <w:pPr>
              <w:pStyle w:val="TableContents"/>
              <w:spacing w:before="0" w:after="0"/>
              <w:rPr>
                <w:rFonts w:ascii="arial" w:hAnsi="arial"/>
                <w:sz w:val="16"/>
              </w:rPr>
            </w:pPr>
            <w:r>
              <w:rPr>
                <w:rFonts w:ascii="arial" w:hAnsi="arial"/>
                <w:sz w:val="16"/>
              </w:rPr>
              <w:t>4.   Shareholder proposal requesting an amendment to our proxy access bylaw to eliminate the shareholder nominating group limit</w:t>
            </w:r>
          </w:p>
        </w:tc>
        <w:tc>
          <w:tcPr>
            <w:tcW w:w="100" w:type="dxa"/>
            <w:tcBorders>
              <w:bottom w:val="single" w:sz="2" w:space="0" w:color="001C71"/>
            </w:tcBorders>
            <w:shd w:fill="auto" w:val="clear"/>
            <w:tcMar>
              <w:bottom w:w="28" w:type="dxa"/>
            </w:tcMar>
            <w:vAlign w:val="bottom"/>
          </w:tcPr>
          <w:p>
            <w:pPr>
              <w:pStyle w:val="TableContents"/>
              <w:spacing w:before="0" w:after="283"/>
              <w:rPr/>
            </w:pPr>
            <w:r>
              <w:rPr/>
              <w:t> </w:t>
            </w:r>
          </w:p>
        </w:tc>
        <w:tc>
          <w:tcPr>
            <w:tcW w:w="5002" w:type="dxa"/>
            <w:tcBorders>
              <w:bottom w:val="single" w:sz="2" w:space="0" w:color="001C71"/>
            </w:tcBorders>
            <w:shd w:fill="auto" w:val="clear"/>
            <w:tcMar>
              <w:bottom w:w="100" w:type="dxa"/>
            </w:tcMar>
          </w:tcPr>
          <w:p>
            <w:pPr>
              <w:pStyle w:val="TableContents"/>
              <w:spacing w:before="0" w:after="283"/>
              <w:rPr/>
            </w:pPr>
            <w:r>
              <w:rPr/>
              <w:t>Requires FOR votes constituting a majority of the shares represented and voting at the Annual Shareholders Meeting, and the FOR votes also must represent more than 25% of our outstanding shares.</w:t>
            </w:r>
          </w:p>
        </w:tc>
      </w:tr>
      <w:tr>
        <w:trPr>
          <w:trHeight w:val="120" w:hRule="atLeast"/>
        </w:trPr>
        <w:tc>
          <w:tcPr>
            <w:tcW w:w="5103" w:type="dxa"/>
            <w:tcBorders/>
            <w:shd w:fill="auto" w:val="clear"/>
            <w:vAlign w:val="center"/>
          </w:tcPr>
          <w:p>
            <w:pPr>
              <w:pStyle w:val="TableContents"/>
              <w:spacing w:before="0" w:after="283"/>
              <w:rPr>
                <w:sz w:val="4"/>
                <w:szCs w:val="4"/>
              </w:rPr>
            </w:pPr>
            <w:r>
              <w:rPr>
                <w:sz w:val="4"/>
                <w:szCs w:val="4"/>
              </w:rPr>
            </w:r>
          </w:p>
        </w:tc>
        <w:tc>
          <w:tcPr>
            <w:tcW w:w="5102" w:type="dxa"/>
            <w:gridSpan w:val="2"/>
            <w:tcBorders/>
            <w:shd w:fill="auto" w:val="clear"/>
            <w:vAlign w:val="center"/>
          </w:tcPr>
          <w:p>
            <w:pPr>
              <w:pStyle w:val="TableContents"/>
              <w:spacing w:before="0" w:after="283"/>
              <w:rPr>
                <w:sz w:val="4"/>
                <w:szCs w:val="4"/>
              </w:rPr>
            </w:pPr>
            <w:r>
              <w:rPr>
                <w:sz w:val="4"/>
                <w:szCs w:val="4"/>
              </w:rPr>
            </w:r>
          </w:p>
        </w:tc>
      </w:tr>
      <w:tr>
        <w:trPr/>
        <w:tc>
          <w:tcPr>
            <w:tcW w:w="5103" w:type="dxa"/>
            <w:tcBorders>
              <w:bottom w:val="single" w:sz="8" w:space="0" w:color="001C71"/>
            </w:tcBorders>
            <w:shd w:fill="auto" w:val="clear"/>
            <w:tcMar>
              <w:bottom w:w="100" w:type="dxa"/>
            </w:tcMar>
          </w:tcPr>
          <w:p>
            <w:pPr>
              <w:pStyle w:val="TableContents"/>
              <w:spacing w:before="0" w:after="0"/>
              <w:rPr>
                <w:rFonts w:ascii="arial" w:hAnsi="arial"/>
                <w:sz w:val="16"/>
              </w:rPr>
            </w:pPr>
            <w:r>
              <w:rPr>
                <w:rFonts w:ascii="arial" w:hAnsi="arial"/>
                <w:sz w:val="16"/>
              </w:rPr>
              <w:t>5.   Shareholder proposal requesting a report on alignment of our lobbying activities with the Paris Agreement</w:t>
            </w:r>
          </w:p>
        </w:tc>
        <w:tc>
          <w:tcPr>
            <w:tcW w:w="100" w:type="dxa"/>
            <w:tcBorders>
              <w:bottom w:val="single" w:sz="8" w:space="0" w:color="001C71"/>
            </w:tcBorders>
            <w:shd w:fill="auto" w:val="clear"/>
            <w:tcMar>
              <w:bottom w:w="28" w:type="dxa"/>
            </w:tcMar>
            <w:vAlign w:val="bottom"/>
          </w:tcPr>
          <w:p>
            <w:pPr>
              <w:pStyle w:val="TableContents"/>
              <w:spacing w:before="0" w:after="283"/>
              <w:rPr/>
            </w:pPr>
            <w:r>
              <w:rPr/>
              <w:t> </w:t>
            </w:r>
          </w:p>
        </w:tc>
        <w:tc>
          <w:tcPr>
            <w:tcW w:w="5002" w:type="dxa"/>
            <w:tcBorders>
              <w:bottom w:val="single" w:sz="8" w:space="0" w:color="001C71"/>
            </w:tcBorders>
            <w:shd w:fill="auto" w:val="clear"/>
            <w:tcMar>
              <w:bottom w:w="100" w:type="dxa"/>
            </w:tcMar>
          </w:tcPr>
          <w:p>
            <w:pPr>
              <w:pStyle w:val="TableContents"/>
              <w:spacing w:before="0" w:after="283"/>
              <w:rPr/>
            </w:pPr>
            <w:r>
              <w:rPr/>
              <w:t>Requires FOR votes constituting a majority of the shares represented and voting at the Annual Shareholders Meeting, and the FOR votes also must represent more than 25% of our outstanding shares.</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93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About the Annual Shareholders Meeting and Voting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2"/>
        <w:gridCol w:w="9494"/>
      </w:tblGrid>
      <w:tr>
        <w:trPr/>
        <w:tc>
          <w:tcPr>
            <w:tcW w:w="509" w:type="dxa"/>
            <w:tcBorders/>
            <w:shd w:fill="auto" w:val="clear"/>
          </w:tcPr>
          <w:p>
            <w:pPr>
              <w:pStyle w:val="TableContents"/>
              <w:spacing w:before="0" w:after="283"/>
              <w:jc w:val="left"/>
              <w:rPr>
                <w:color w:val="001C71"/>
              </w:rPr>
            </w:pPr>
            <w:r>
              <w:rPr>
                <w:color w:val="001C71"/>
              </w:rPr>
              <w:t>17.</w:t>
            </w:r>
          </w:p>
        </w:tc>
        <w:tc>
          <w:tcPr>
            <w:tcW w:w="2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pPr>
            <w:r>
              <w:rPr/>
              <w:t xml:space="preserve">What happens if additional items are presented at the Annual Shareholders Meeting?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We are not aware of any item that may be voted on at the Annual Shareholders Meeting that is not described in this proxy statement, nor have we received notice of any such item by the deadline prescribed by Rule 14a-4(c)(1) under the Exchange Act. However, the holders of the proxies that we are soliciting will have the discretion to vote them in accordance with their best judgment on any additional matters that may be voted on at the Annual Shareholders Meeting and any adjournment or postponement thereof, including matters incidental to the conduct of the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9492"/>
      </w:tblGrid>
      <w:tr>
        <w:trPr/>
        <w:tc>
          <w:tcPr>
            <w:tcW w:w="509" w:type="dxa"/>
            <w:tcBorders/>
            <w:shd w:fill="auto" w:val="clear"/>
          </w:tcPr>
          <w:p>
            <w:pPr>
              <w:pStyle w:val="TableContents"/>
              <w:spacing w:before="0" w:after="283"/>
              <w:jc w:val="left"/>
              <w:rPr>
                <w:color w:val="001C71"/>
              </w:rPr>
            </w:pPr>
            <w:r>
              <w:rPr>
                <w:color w:val="001C71"/>
              </w:rPr>
              <w:t>18.</w:t>
            </w:r>
          </w:p>
        </w:tc>
        <w:tc>
          <w:tcPr>
            <w:tcW w:w="204"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pPr>
            <w:r>
              <w:rPr/>
              <w:t xml:space="preserve">How are votes counted?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You may vote FOR or AGAINST or you may ABSTAIN from voting on any or all nominees for election as directors and on any other matter to be voted on at the Annual Shareholders Meeting. </w:t>
      </w:r>
    </w:p>
    <w:p>
      <w:pPr>
        <w:pStyle w:val="TextBody"/>
        <w:spacing w:before="160" w:after="0"/>
        <w:jc w:val="left"/>
        <w:rPr>
          <w:rFonts w:ascii="arial" w:hAnsi="arial"/>
          <w:sz w:val="16"/>
        </w:rPr>
      </w:pPr>
      <w:r>
        <w:rPr>
          <w:rFonts w:ascii="arial" w:hAnsi="arial"/>
          <w:sz w:val="16"/>
        </w:rPr>
        <w:t xml:space="preserve">If you indicate ABSTAIN on any or all nominees or proposals, your vote will be counted for purposes of determining the presence or absence of a quorum for the transaction of business at the Annual Shareholders Meeting and any adjournment or postponement thereof (see Question 20 below), but will not be considered a vote cast with respect to the director nominee(s) or other proposal on which you abstain from voting. </w:t>
      </w:r>
    </w:p>
    <w:p>
      <w:pPr>
        <w:pStyle w:val="TextBody"/>
        <w:spacing w:before="160" w:after="0"/>
        <w:jc w:val="left"/>
        <w:rPr>
          <w:rFonts w:ascii="arial" w:hAnsi="arial"/>
          <w:sz w:val="16"/>
        </w:rPr>
      </w:pPr>
      <w:r>
        <w:rPr>
          <w:rFonts w:ascii="arial" w:hAnsi="arial"/>
          <w:sz w:val="16"/>
        </w:rPr>
        <w:t xml:space="preserve">Broker non-votes (see Question 19 below) will be counted for determining the presence or absence of a quorum for the transaction of business at the Annual Shareholders Meeting, but will not be considered votes cast with respect to the election of any director nominee or any other proposal for which they occur.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9492"/>
      </w:tblGrid>
      <w:tr>
        <w:trPr/>
        <w:tc>
          <w:tcPr>
            <w:tcW w:w="509" w:type="dxa"/>
            <w:tcBorders/>
            <w:shd w:fill="auto" w:val="clear"/>
          </w:tcPr>
          <w:p>
            <w:pPr>
              <w:pStyle w:val="TableContents"/>
              <w:spacing w:before="0" w:after="283"/>
              <w:jc w:val="left"/>
              <w:rPr>
                <w:color w:val="001C71"/>
              </w:rPr>
            </w:pPr>
            <w:r>
              <w:rPr>
                <w:color w:val="001C71"/>
              </w:rPr>
              <w:t>19.</w:t>
            </w:r>
          </w:p>
        </w:tc>
        <w:tc>
          <w:tcPr>
            <w:tcW w:w="204"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pPr>
            <w:r>
              <w:rPr/>
              <w:t xml:space="preserve">What is a broker non-vote?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On matters on which a broker, bank or other nominee is permitted to exercise discretionary voting authority (routine matters), your broker, bank or other nominee may vote your shares for which you do not provide timely voting instructions in its discretion. Because the ratification of the appointment of our independent registered public accounting firm is considered a routine matter, your broker, bank or other nominee may exercise discretionary voting authority on that proposal if you do not provide timely instructions as to how to vote your shares. All other proposals on the agenda for the Annual Shareholders Meeting are considered non-routine, and accordingly, your broker, bank or other nominee may not exercise discretionary voting authority on those proposals. As a result, if you hold your shares with a broker, bank or other nominee and you do not provide timely voting instructions for the non-routine proposals, your shares will not be voted on those proposals at the Annual Shareholders Meeting and will be considered broker non-votes on those proposals. If you have any questions about the proxy voting process, please contact the broker, bank or other nominee that holds your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9492"/>
      </w:tblGrid>
      <w:tr>
        <w:trPr/>
        <w:tc>
          <w:tcPr>
            <w:tcW w:w="510" w:type="dxa"/>
            <w:tcBorders/>
            <w:shd w:fill="auto" w:val="clear"/>
          </w:tcPr>
          <w:p>
            <w:pPr>
              <w:pStyle w:val="TableContents"/>
              <w:spacing w:before="0" w:after="283"/>
              <w:jc w:val="left"/>
              <w:rPr>
                <w:color w:val="001C71"/>
              </w:rPr>
            </w:pPr>
            <w:r>
              <w:rPr>
                <w:color w:val="001C71"/>
              </w:rPr>
              <w:t>20.</w:t>
            </w:r>
          </w:p>
        </w:tc>
        <w:tc>
          <w:tcPr>
            <w:tcW w:w="203"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pPr>
            <w:r>
              <w:rPr/>
              <w:t xml:space="preserve">What constitutes a quorum?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A majority of the outstanding shares of common stock entitled to vote at the Annual Shareholders Meeting or any adjournment or postponement thereof, attending the meeting or represented by proxy, constitutes a quorum for the transaction of business at the meeting. Broker non-votes and abstentions will be counted for purposes of determining whether a quorum is present at the Annual Shareholders Meeting or any adjournment or postponement thereof.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9493"/>
      </w:tblGrid>
      <w:tr>
        <w:trPr/>
        <w:tc>
          <w:tcPr>
            <w:tcW w:w="508" w:type="dxa"/>
            <w:tcBorders/>
            <w:shd w:fill="auto" w:val="clear"/>
          </w:tcPr>
          <w:p>
            <w:pPr>
              <w:pStyle w:val="TableContents"/>
              <w:spacing w:before="0" w:after="283"/>
              <w:jc w:val="left"/>
              <w:rPr>
                <w:color w:val="001C71"/>
              </w:rPr>
            </w:pPr>
            <w:r>
              <w:rPr>
                <w:color w:val="001C71"/>
              </w:rPr>
              <w:t>21.</w:t>
            </w:r>
          </w:p>
        </w:tc>
        <w:tc>
          <w:tcPr>
            <w:tcW w:w="204"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Will shares that I hold in my brokerage account be voted if I do not provide timely voting instructions?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If you do not provide timely instructions as to how to vote your shares held through a brokerage firm, your broker will have the discretionary voting authority to vote your shares only on the proposal to ratify the appointment of our independent registered public accounting firm. In that case, your broker will be prohibited from voting your shares on all other proposals on the agenda for the Annual Shareholders Meeting and your shares will be considered broker non-votes with respect to those proposals (see Question 19 above).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94</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About the Annual Shareholders Meeting and Voting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9493"/>
      </w:tblGrid>
      <w:tr>
        <w:trPr/>
        <w:tc>
          <w:tcPr>
            <w:tcW w:w="508" w:type="dxa"/>
            <w:tcBorders/>
            <w:shd w:fill="auto" w:val="clear"/>
          </w:tcPr>
          <w:p>
            <w:pPr>
              <w:pStyle w:val="TableContents"/>
              <w:spacing w:before="0" w:after="283"/>
              <w:jc w:val="left"/>
              <w:rPr>
                <w:color w:val="001C71"/>
              </w:rPr>
            </w:pPr>
            <w:r>
              <w:rPr>
                <w:color w:val="001C71"/>
              </w:rPr>
              <w:t>22.</w:t>
            </w:r>
          </w:p>
        </w:tc>
        <w:tc>
          <w:tcPr>
            <w:tcW w:w="204"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Will shares that I own as a shareholder of record be voted if I do not timely submit voting instructions?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Your shares that you own as a shareholder of record will be voted as you instruct by telephone, via the Internet or on your proxy card. If you submit your vote by telephone or via the Internet or sign and return your proxy card without giving specific instructions, such shares will be voted in accordance with the recommendations of our Board of Directors and in the discretion of the proxy holders on any other matters that properly come before the Annual Shareholders Meeting and any adjournment or postponement thereof. </w:t>
      </w:r>
    </w:p>
    <w:p>
      <w:pPr>
        <w:pStyle w:val="TextBody"/>
        <w:spacing w:before="160" w:after="0"/>
        <w:jc w:val="left"/>
        <w:rPr>
          <w:rFonts w:ascii="arial" w:hAnsi="arial"/>
          <w:sz w:val="16"/>
        </w:rPr>
      </w:pPr>
      <w:r>
        <w:rPr>
          <w:rFonts w:ascii="arial" w:hAnsi="arial"/>
          <w:sz w:val="16"/>
        </w:rPr>
        <w:t xml:space="preserve">If you do not timely vote by one of the voting methods described in Question 7 above, your shares will not be voted unless you, or your proxy holder(s), vote your shares at the virtual Annual Shareholders Meeting by attending the meeting and any adjournment or postponement thereof.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9493"/>
      </w:tblGrid>
      <w:tr>
        <w:trPr/>
        <w:tc>
          <w:tcPr>
            <w:tcW w:w="509" w:type="dxa"/>
            <w:tcBorders/>
            <w:shd w:fill="auto" w:val="clear"/>
          </w:tcPr>
          <w:p>
            <w:pPr>
              <w:pStyle w:val="TableContents"/>
              <w:spacing w:before="0" w:after="283"/>
              <w:jc w:val="left"/>
              <w:rPr>
                <w:color w:val="001C71"/>
              </w:rPr>
            </w:pPr>
            <w:r>
              <w:rPr>
                <w:color w:val="001C71"/>
              </w:rPr>
              <w:t>23.</w:t>
            </w:r>
          </w:p>
        </w:tc>
        <w:tc>
          <w:tcPr>
            <w:tcW w:w="203"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Where can I find the voting results?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We expect to announce preliminary voting results at the Annual Shareholders Meeting and to publish final results in a Current Report on Form 8-K that we will file with the SEC following the meeting. The report will be available on our website at www.sempra.com under the Investors and SEC Filings tabs. </w:t>
      </w:r>
    </w:p>
    <w:p>
      <w:pPr>
        <w:pStyle w:val="TextBody"/>
        <w:spacing w:before="360" w:after="0"/>
        <w:jc w:val="left"/>
        <w:rPr>
          <w:rFonts w:ascii="arial" w:hAnsi="arial"/>
          <w:b/>
          <w:sz w:val="35"/>
        </w:rPr>
      </w:pPr>
      <w:bookmarkStart w:id="50" w:name="toc108157_26"/>
      <w:bookmarkEnd w:id="50"/>
      <w:r>
        <w:rPr>
          <w:rFonts w:ascii="arial" w:hAnsi="arial"/>
          <w:b/>
          <w:sz w:val="35"/>
        </w:rPr>
        <w:t xml:space="preserve">Proxy Materials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9493"/>
      </w:tblGrid>
      <w:tr>
        <w:trPr/>
        <w:tc>
          <w:tcPr>
            <w:tcW w:w="509" w:type="dxa"/>
            <w:tcBorders/>
            <w:shd w:fill="auto" w:val="clear"/>
          </w:tcPr>
          <w:p>
            <w:pPr>
              <w:pStyle w:val="TableContents"/>
              <w:spacing w:before="0" w:after="283"/>
              <w:jc w:val="left"/>
              <w:rPr>
                <w:color w:val="001C71"/>
              </w:rPr>
            </w:pPr>
            <w:r>
              <w:rPr>
                <w:color w:val="001C71"/>
              </w:rPr>
              <w:t>24.</w:t>
            </w:r>
          </w:p>
        </w:tc>
        <w:tc>
          <w:tcPr>
            <w:tcW w:w="203"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Why did I receive a notice in the mail about the Internet availability of the proxy materials instead of a paper copy of the materials?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We distribute our proxy materials over the Internet to shareholders who have not requested a paper copy. On or about March 26, 2021, we mailed a notice about the Internet availability of our proxy materials for the Annual Shareholders Meeting, containing instructions on how to access our proxy materials on the Internet and how to request a paper copy by mail or an electronic copy by email. The notice also contains instructions on how you may request our proxy materials by mail (paper copy) or email on an ongoing basis. If you are a shareholder of record and wish to receive paper copies of our current and/or future proxy materials, you may request them via the Internet by visiting www.proxyvote.com and clicking Request Printed Materials for this Meeting, by telephone at 1-800-579-1639 or by email at sendmaterial@proxyvote.com (if requesting by email, please include in the subject line your 16-digit control number shown on your notice about the Internet availability of our proxy materials or proxy card). If you are a beneficial holder of shares held by a bank, broker or other nominee and wish to receive paper copies of our current and/or future proxy materials, please contact your bank, broker or other nominee directly. We encourage shareholders to take advantage of the availability of our proxy materials online to help reduce the environmental impact of our annual shareholders meetings and reduce our printing and mailing costs.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9493"/>
      </w:tblGrid>
      <w:tr>
        <w:trPr/>
        <w:tc>
          <w:tcPr>
            <w:tcW w:w="509" w:type="dxa"/>
            <w:tcBorders/>
            <w:shd w:fill="auto" w:val="clear"/>
          </w:tcPr>
          <w:p>
            <w:pPr>
              <w:pStyle w:val="TableContents"/>
              <w:spacing w:before="0" w:after="283"/>
              <w:jc w:val="left"/>
              <w:rPr>
                <w:color w:val="001C71"/>
              </w:rPr>
            </w:pPr>
            <w:r>
              <w:rPr>
                <w:color w:val="001C71"/>
              </w:rPr>
              <w:t>25.</w:t>
            </w:r>
          </w:p>
        </w:tc>
        <w:tc>
          <w:tcPr>
            <w:tcW w:w="203"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Why didnt I receive a notice in the mail about the Internet availability of the proxy materials?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We are providing some of our shareholders, including those who previously have requested a paper copy, with a paper copy of our proxy materials instead of a notice about the Internet availability of our proxy materials. </w:t>
      </w:r>
    </w:p>
    <w:p>
      <w:pPr>
        <w:pStyle w:val="TextBody"/>
        <w:spacing w:before="160" w:after="0"/>
        <w:jc w:val="left"/>
        <w:rPr>
          <w:rFonts w:ascii="arial" w:hAnsi="arial"/>
          <w:sz w:val="16"/>
        </w:rPr>
      </w:pPr>
      <w:r>
        <w:rPr>
          <w:rFonts w:ascii="arial" w:hAnsi="arial"/>
          <w:sz w:val="16"/>
        </w:rPr>
        <w:t xml:space="preserve">In addition, we are providing a notice about the Internet availability of our proxy materials by email to our shareholders who previously have elected electronic delivery. The email contains a link to the website where our proxy materials are available and a link to the proxy voting website.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9492"/>
      </w:tblGrid>
      <w:tr>
        <w:trPr/>
        <w:tc>
          <w:tcPr>
            <w:tcW w:w="509" w:type="dxa"/>
            <w:tcBorders/>
            <w:shd w:fill="auto" w:val="clear"/>
          </w:tcPr>
          <w:p>
            <w:pPr>
              <w:pStyle w:val="TableContents"/>
              <w:spacing w:before="0" w:after="283"/>
              <w:jc w:val="left"/>
              <w:rPr>
                <w:color w:val="001C71"/>
              </w:rPr>
            </w:pPr>
            <w:r>
              <w:rPr>
                <w:color w:val="001C71"/>
              </w:rPr>
              <w:t>26.</w:t>
            </w:r>
          </w:p>
        </w:tc>
        <w:tc>
          <w:tcPr>
            <w:tcW w:w="204"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pPr>
            <w:r>
              <w:rPr/>
              <w:t xml:space="preserve">How can I access the proxy materials over the Internet?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You can view our proxy materials on the Internet at www.proxyvote.com. To view our proxy materials at this site, you will be asked to enter the 16-digit control number shown on your notice about the Internet availability of our proxy materials, voting instruction form, proxy card or, if you obtained a legal proxy, the separate information provided to you, that in each case includes your 16-digit control number, each of which contains additional instructions on how to view our proxy materials on the Internet. In the alternative, if you do not have your 16-digit control number in hand, you may view our proxy materials at www.sempra.com/2021-annual-meeting or https://materials.proxyvote.com/816851.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95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About the Annual Shareholders Meeting and Voting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2"/>
        <w:gridCol w:w="9494"/>
      </w:tblGrid>
      <w:tr>
        <w:trPr/>
        <w:tc>
          <w:tcPr>
            <w:tcW w:w="509" w:type="dxa"/>
            <w:tcBorders/>
            <w:shd w:fill="auto" w:val="clear"/>
          </w:tcPr>
          <w:p>
            <w:pPr>
              <w:pStyle w:val="TableContents"/>
              <w:spacing w:before="0" w:after="283"/>
              <w:jc w:val="left"/>
              <w:rPr>
                <w:color w:val="001C71"/>
              </w:rPr>
            </w:pPr>
            <w:r>
              <w:rPr>
                <w:color w:val="001C71"/>
              </w:rPr>
              <w:t>27.</w:t>
            </w:r>
          </w:p>
        </w:tc>
        <w:tc>
          <w:tcPr>
            <w:tcW w:w="2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pPr>
            <w:r>
              <w:rPr/>
              <w:t xml:space="preserve">How can I elect to receive future proxy materials electronically?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If you are a shareholder of record and wish to request electronic delivery of our proxy materials in the future, please access your account at www.astfinancial.com/login on the Internet to enroll. Please click on Shareholder Central to log into your account, then select Receive Company Mailings Via Email and provide your email address. If you choose to access our future proxy materials electronically, we will discontinue mailing our proxy materials to you beginning next year, and we will instead send you an email with instructions containing a link to the website where our proxy materials are available and a link to the proxy voting website. You may discontinue electronic delivery at any time. </w:t>
      </w:r>
    </w:p>
    <w:p>
      <w:pPr>
        <w:pStyle w:val="TextBody"/>
        <w:spacing w:before="160" w:after="0"/>
        <w:jc w:val="left"/>
        <w:rPr>
          <w:rFonts w:ascii="arial" w:hAnsi="arial"/>
          <w:sz w:val="16"/>
        </w:rPr>
      </w:pPr>
      <w:r>
        <w:rPr>
          <w:rFonts w:ascii="arial" w:hAnsi="arial"/>
          <w:sz w:val="16"/>
        </w:rPr>
        <w:t xml:space="preserve">If you are a beneficial holder of shares held by a bank, broker or other nominee and wish to receive electronic delivery of our proxy materials in the future, please contact your bank, broker or other nominee directly.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9494"/>
      </w:tblGrid>
      <w:tr>
        <w:trPr/>
        <w:tc>
          <w:tcPr>
            <w:tcW w:w="508" w:type="dxa"/>
            <w:tcBorders/>
            <w:shd w:fill="auto" w:val="clear"/>
          </w:tcPr>
          <w:p>
            <w:pPr>
              <w:pStyle w:val="TableContents"/>
              <w:spacing w:before="0" w:after="283"/>
              <w:jc w:val="left"/>
              <w:rPr>
                <w:color w:val="001C71"/>
              </w:rPr>
            </w:pPr>
            <w:r>
              <w:rPr>
                <w:color w:val="001C71"/>
              </w:rPr>
              <w:t>28.</w:t>
            </w:r>
          </w:p>
        </w:tc>
        <w:tc>
          <w:tcPr>
            <w:tcW w:w="203"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pPr>
            <w:r>
              <w:rPr/>
              <w:t xml:space="preserve">I share an address with another shareholder, and we received only one paper copy of the proxy materials. How may I obtain an additional copy?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If you share an address with another shareholder, you may receive only one set of our proxy materials unless you or the other shareholder have provided contrary instructions. If you are a shareholder of record and you wish to receive a separate set of the materials, please request the additional copy by contacting our proxy solicitor, Morrow Sodali LLC, at: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3"/>
        <w:gridCol w:w="203"/>
        <w:gridCol w:w="9289"/>
      </w:tblGrid>
      <w:tr>
        <w:trPr/>
        <w:tc>
          <w:tcPr>
            <w:tcW w:w="71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9289"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pPr>
            <w:r>
              <w:rPr/>
              <w:drawing>
                <wp:inline distT="0" distB="0" distL="0" distR="0">
                  <wp:extent cx="34290" cy="41910"/>
                  <wp:effectExtent l="0" t="0" r="0" b="0"/>
                  <wp:docPr id="8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2" descr=""/>
                          <pic:cNvPicPr>
                            <a:picLocks noChangeAspect="1" noChangeArrowheads="1"/>
                          </pic:cNvPicPr>
                        </pic:nvPicPr>
                        <pic:blipFill>
                          <a:blip r:embed="rId73"/>
                          <a:stretch>
                            <a:fillRect/>
                          </a:stretch>
                        </pic:blipFill>
                        <pic:spPr bwMode="auto">
                          <a:xfrm>
                            <a:off x="0" y="0"/>
                            <a:ext cx="34290" cy="4191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9289" w:type="dxa"/>
            <w:tcBorders/>
            <w:shd w:fill="auto" w:val="clear"/>
          </w:tcPr>
          <w:p>
            <w:pPr>
              <w:pStyle w:val="TableContents"/>
              <w:spacing w:before="0" w:after="0"/>
              <w:rPr/>
            </w:pPr>
            <w:r>
              <w:rPr/>
              <w:t> </w:t>
            </w:r>
          </w:p>
          <w:p>
            <w:pPr>
              <w:pStyle w:val="TableContents"/>
              <w:spacing w:before="0" w:after="0"/>
              <w:rPr>
                <w:rFonts w:ascii="arial" w:hAnsi="arial"/>
                <w:sz w:val="16"/>
              </w:rPr>
            </w:pPr>
            <w:r>
              <w:rPr>
                <w:rFonts w:ascii="arial" w:hAnsi="arial"/>
                <w:sz w:val="16"/>
              </w:rPr>
              <w:t>(800) 662-5200 (U.S. and Canada)</w:t>
            </w:r>
          </w:p>
          <w:p>
            <w:pPr>
              <w:pStyle w:val="TableContents"/>
              <w:spacing w:before="0" w:after="20"/>
              <w:rPr>
                <w:rFonts w:ascii="arial" w:hAnsi="arial"/>
                <w:sz w:val="16"/>
              </w:rPr>
            </w:pPr>
            <w:r>
              <w:rPr>
                <w:rFonts w:ascii="arial" w:hAnsi="arial"/>
                <w:sz w:val="16"/>
              </w:rPr>
              <w:t>+1 (203) 658-9400 (International)</w:t>
            </w:r>
          </w:p>
        </w:tc>
      </w:tr>
      <w:tr>
        <w:trPr>
          <w:trHeight w:val="24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0"/>
              <w:rPr/>
            </w:pPr>
            <w:r>
              <w:rPr/>
              <w:t> </w:t>
            </w:r>
          </w:p>
          <w:p>
            <w:pPr>
              <w:pStyle w:val="TableContents"/>
              <w:spacing w:before="0" w:after="20"/>
              <w:rPr/>
            </w:pPr>
            <w:r>
              <w:rPr/>
              <w:drawing>
                <wp:inline distT="0" distB="0" distL="0" distR="0">
                  <wp:extent cx="46990" cy="46990"/>
                  <wp:effectExtent l="0" t="0" r="0" b="0"/>
                  <wp:docPr id="8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3" descr=""/>
                          <pic:cNvPicPr>
                            <a:picLocks noChangeAspect="1" noChangeArrowheads="1"/>
                          </pic:cNvPicPr>
                        </pic:nvPicPr>
                        <pic:blipFill>
                          <a:blip r:embed="rId74"/>
                          <a:stretch>
                            <a:fillRect/>
                          </a:stretch>
                        </pic:blipFill>
                        <pic:spPr bwMode="auto">
                          <a:xfrm>
                            <a:off x="0" y="0"/>
                            <a:ext cx="46990" cy="4699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9289" w:type="dxa"/>
            <w:tcBorders/>
            <w:shd w:fill="auto" w:val="clear"/>
          </w:tcPr>
          <w:p>
            <w:pPr>
              <w:pStyle w:val="TableContents"/>
              <w:spacing w:before="0" w:after="0"/>
              <w:rPr/>
            </w:pPr>
            <w:r>
              <w:rPr/>
              <w:t> </w:t>
            </w:r>
          </w:p>
          <w:p>
            <w:pPr>
              <w:pStyle w:val="TableContents"/>
              <w:spacing w:before="0" w:after="20"/>
              <w:rPr>
                <w:rFonts w:ascii="arial" w:hAnsi="arial"/>
                <w:sz w:val="16"/>
              </w:rPr>
            </w:pPr>
            <w:r>
              <w:rPr>
                <w:rFonts w:ascii="arial" w:hAnsi="arial"/>
                <w:sz w:val="16"/>
              </w:rPr>
              <w:t>SRE.info@investor.morrowsodali.com</w:t>
            </w:r>
          </w:p>
        </w:tc>
      </w:tr>
    </w:tbl>
    <w:p>
      <w:pPr>
        <w:pStyle w:val="TextBody"/>
        <w:spacing w:before="160" w:after="0"/>
        <w:jc w:val="left"/>
        <w:rPr>
          <w:rFonts w:ascii="arial" w:hAnsi="arial"/>
          <w:sz w:val="16"/>
        </w:rPr>
      </w:pPr>
      <w:r>
        <w:rPr>
          <w:rFonts w:ascii="arial" w:hAnsi="arial"/>
          <w:sz w:val="16"/>
        </w:rPr>
        <w:t xml:space="preserve">A separate set of the materials will be sent promptly following receipt of your request. </w:t>
      </w:r>
    </w:p>
    <w:p>
      <w:pPr>
        <w:pStyle w:val="TextBody"/>
        <w:spacing w:before="160" w:after="0"/>
        <w:jc w:val="left"/>
        <w:rPr>
          <w:rFonts w:ascii="arial" w:hAnsi="arial"/>
          <w:sz w:val="16"/>
        </w:rPr>
      </w:pPr>
      <w:r>
        <w:rPr>
          <w:rFonts w:ascii="arial" w:hAnsi="arial"/>
          <w:sz w:val="16"/>
        </w:rPr>
        <w:t xml:space="preserve">If you are a shareholder of record and wish to receive a separate set of our proxy materials in the future, or if you have received multiple sets of our proxy materials and would like to receive only one set in the future, please write to or call our transfer agent, AST, at: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4"/>
        <w:gridCol w:w="204"/>
        <w:gridCol w:w="9287"/>
      </w:tblGrid>
      <w:tr>
        <w:trPr/>
        <w:tc>
          <w:tcPr>
            <w:tcW w:w="71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287" w:type="dxa"/>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vAlign w:val="center"/>
          </w:tcPr>
          <w:p>
            <w:pPr>
              <w:pStyle w:val="TableContents"/>
              <w:spacing w:before="0" w:after="0"/>
              <w:rPr/>
            </w:pPr>
            <w:r>
              <w:rPr/>
              <w:t> </w:t>
            </w:r>
          </w:p>
          <w:p>
            <w:pPr>
              <w:pStyle w:val="TableContents"/>
              <w:spacing w:before="0" w:after="20"/>
              <w:rPr/>
            </w:pPr>
            <w:r>
              <w:rPr/>
              <w:drawing>
                <wp:inline distT="0" distB="0" distL="0" distR="0">
                  <wp:extent cx="304800" cy="219075"/>
                  <wp:effectExtent l="0" t="0" r="0" b="0"/>
                  <wp:docPr id="9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4" descr=""/>
                          <pic:cNvPicPr>
                            <a:picLocks noChangeAspect="1" noChangeArrowheads="1"/>
                          </pic:cNvPicPr>
                        </pic:nvPicPr>
                        <pic:blipFill>
                          <a:blip r:embed="rId75"/>
                          <a:stretch>
                            <a:fillRect/>
                          </a:stretch>
                        </pic:blipFill>
                        <pic:spPr bwMode="auto">
                          <a:xfrm>
                            <a:off x="0" y="0"/>
                            <a:ext cx="304800" cy="219075"/>
                          </a:xfrm>
                          <a:prstGeom prst="rect">
                            <a:avLst/>
                          </a:prstGeom>
                        </pic:spPr>
                      </pic:pic>
                    </a:graphicData>
                  </a:graphic>
                </wp:inline>
              </w:drawing>
            </w:r>
            <w:r>
              <w:rPr/>
              <w:t xml:space="preserve"> </w:t>
            </w:r>
          </w:p>
        </w:tc>
        <w:tc>
          <w:tcPr>
            <w:tcW w:w="204" w:type="dxa"/>
            <w:tcBorders/>
            <w:shd w:fill="auto" w:val="clear"/>
            <w:vAlign w:val="bottom"/>
          </w:tcPr>
          <w:p>
            <w:pPr>
              <w:pStyle w:val="TableContents"/>
              <w:spacing w:before="0" w:after="283"/>
              <w:rPr/>
            </w:pPr>
            <w:r>
              <w:rPr/>
              <w:t>  </w:t>
            </w:r>
          </w:p>
        </w:tc>
        <w:tc>
          <w:tcPr>
            <w:tcW w:w="9287" w:type="dxa"/>
            <w:tcBorders/>
            <w:shd w:fill="auto" w:val="clear"/>
            <w:vAlign w:val="center"/>
          </w:tcPr>
          <w:p>
            <w:pPr>
              <w:pStyle w:val="TableContents"/>
              <w:spacing w:before="0" w:after="0"/>
              <w:rPr>
                <w:rFonts w:ascii="arial" w:hAnsi="arial"/>
                <w:sz w:val="16"/>
              </w:rPr>
            </w:pPr>
            <w:r>
              <w:rPr>
                <w:rFonts w:ascii="arial" w:hAnsi="arial"/>
                <w:sz w:val="16"/>
              </w:rPr>
              <w:t>American Stock Transfer &amp; Trust Company, LLC</w:t>
            </w:r>
          </w:p>
          <w:p>
            <w:pPr>
              <w:pStyle w:val="TableContents"/>
              <w:spacing w:before="0" w:after="0"/>
              <w:rPr>
                <w:rFonts w:ascii="arial" w:hAnsi="arial"/>
                <w:sz w:val="16"/>
              </w:rPr>
            </w:pPr>
            <w:r>
              <w:rPr>
                <w:rFonts w:ascii="arial" w:hAnsi="arial"/>
                <w:sz w:val="16"/>
              </w:rPr>
              <w:t>Attn: Sempra Energy</w:t>
            </w:r>
          </w:p>
          <w:p>
            <w:pPr>
              <w:pStyle w:val="TableContents"/>
              <w:spacing w:before="0" w:after="0"/>
              <w:rPr>
                <w:rFonts w:ascii="arial" w:hAnsi="arial"/>
                <w:sz w:val="16"/>
              </w:rPr>
            </w:pPr>
            <w:r>
              <w:rPr>
                <w:rFonts w:ascii="arial" w:hAnsi="arial"/>
                <w:sz w:val="16"/>
              </w:rPr>
              <w:t>6201 15th Avenue</w:t>
            </w:r>
          </w:p>
          <w:p>
            <w:pPr>
              <w:pStyle w:val="TableContents"/>
              <w:spacing w:before="0" w:after="20"/>
              <w:rPr>
                <w:rFonts w:ascii="arial" w:hAnsi="arial"/>
                <w:sz w:val="16"/>
              </w:rPr>
            </w:pPr>
            <w:r>
              <w:rPr>
                <w:rFonts w:ascii="arial" w:hAnsi="arial"/>
                <w:sz w:val="16"/>
              </w:rPr>
              <w:t>Brooklyn, NY 11219</w:t>
            </w:r>
          </w:p>
        </w:tc>
      </w:tr>
      <w:tr>
        <w:trPr>
          <w:trHeight w:val="15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vAlign w:val="center"/>
          </w:tcPr>
          <w:p>
            <w:pPr>
              <w:pStyle w:val="TableContents"/>
              <w:spacing w:before="0" w:after="0"/>
              <w:rPr/>
            </w:pPr>
            <w:r>
              <w:rPr/>
              <w:t> </w:t>
            </w:r>
          </w:p>
          <w:p>
            <w:pPr>
              <w:pStyle w:val="TableContents"/>
              <w:spacing w:before="0" w:after="20"/>
              <w:rPr/>
            </w:pPr>
            <w:r>
              <w:rPr/>
              <w:drawing>
                <wp:inline distT="0" distB="0" distL="0" distR="0">
                  <wp:extent cx="34290" cy="41910"/>
                  <wp:effectExtent l="0" t="0" r="0" b="0"/>
                  <wp:docPr id="9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5" descr=""/>
                          <pic:cNvPicPr>
                            <a:picLocks noChangeAspect="1" noChangeArrowheads="1"/>
                          </pic:cNvPicPr>
                        </pic:nvPicPr>
                        <pic:blipFill>
                          <a:blip r:embed="rId76"/>
                          <a:stretch>
                            <a:fillRect/>
                          </a:stretch>
                        </pic:blipFill>
                        <pic:spPr bwMode="auto">
                          <a:xfrm>
                            <a:off x="0" y="0"/>
                            <a:ext cx="34290" cy="41910"/>
                          </a:xfrm>
                          <a:prstGeom prst="rect">
                            <a:avLst/>
                          </a:prstGeom>
                        </pic:spPr>
                      </pic:pic>
                    </a:graphicData>
                  </a:graphic>
                </wp:inline>
              </w:drawing>
            </w:r>
            <w:r>
              <w:rPr/>
              <w:t xml:space="preserve"> </w:t>
            </w:r>
          </w:p>
        </w:tc>
        <w:tc>
          <w:tcPr>
            <w:tcW w:w="204" w:type="dxa"/>
            <w:tcBorders/>
            <w:shd w:fill="auto" w:val="clear"/>
            <w:vAlign w:val="bottom"/>
          </w:tcPr>
          <w:p>
            <w:pPr>
              <w:pStyle w:val="TableContents"/>
              <w:spacing w:before="0" w:after="283"/>
              <w:rPr/>
            </w:pPr>
            <w:r>
              <w:rPr/>
              <w:t>  </w:t>
            </w:r>
          </w:p>
        </w:tc>
        <w:tc>
          <w:tcPr>
            <w:tcW w:w="9287" w:type="dxa"/>
            <w:tcBorders/>
            <w:shd w:fill="auto" w:val="clear"/>
            <w:vAlign w:val="center"/>
          </w:tcPr>
          <w:p>
            <w:pPr>
              <w:pStyle w:val="TableContents"/>
              <w:spacing w:before="0" w:after="0"/>
              <w:rPr>
                <w:rFonts w:ascii="arial" w:hAnsi="arial"/>
                <w:sz w:val="16"/>
              </w:rPr>
            </w:pPr>
            <w:r>
              <w:rPr>
                <w:rFonts w:ascii="arial" w:hAnsi="arial"/>
                <w:sz w:val="16"/>
              </w:rPr>
              <w:t>(877) 773-6772 (U.S. and Canada)</w:t>
            </w:r>
          </w:p>
          <w:p>
            <w:pPr>
              <w:pStyle w:val="TableContents"/>
              <w:spacing w:before="0" w:after="0"/>
              <w:rPr>
                <w:rFonts w:ascii="arial" w:hAnsi="arial"/>
                <w:sz w:val="16"/>
              </w:rPr>
            </w:pPr>
            <w:r>
              <w:rPr>
                <w:rFonts w:ascii="arial" w:hAnsi="arial"/>
                <w:sz w:val="16"/>
              </w:rPr>
              <w:t>+1 (718) 921-8124 (International)</w:t>
            </w:r>
          </w:p>
          <w:p>
            <w:pPr>
              <w:pStyle w:val="TableContents"/>
              <w:spacing w:before="0" w:after="20"/>
              <w:rPr/>
            </w:pPr>
            <w:r>
              <w:rPr/>
              <w:t> </w:t>
            </w:r>
          </w:p>
        </w:tc>
      </w:tr>
    </w:tbl>
    <w:p>
      <w:pPr>
        <w:pStyle w:val="TextBody"/>
        <w:spacing w:before="160" w:after="0"/>
        <w:jc w:val="left"/>
        <w:rPr>
          <w:rFonts w:ascii="arial" w:hAnsi="arial"/>
          <w:sz w:val="16"/>
        </w:rPr>
      </w:pPr>
      <w:r>
        <w:rPr>
          <w:rFonts w:ascii="arial" w:hAnsi="arial"/>
          <w:sz w:val="16"/>
        </w:rPr>
        <w:t xml:space="preserve">If you are a beneficial owner of shares held by a bank, broker or other nominee and you wish to receive a separate set of these or our future proxy materials, or if you have received multiple sets of these proxy materials and would like to receive only one set in the future, please contact your bank, broker or other nominee directly.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9492"/>
      </w:tblGrid>
      <w:tr>
        <w:trPr/>
        <w:tc>
          <w:tcPr>
            <w:tcW w:w="509" w:type="dxa"/>
            <w:tcBorders/>
            <w:shd w:fill="auto" w:val="clear"/>
          </w:tcPr>
          <w:p>
            <w:pPr>
              <w:pStyle w:val="TableContents"/>
              <w:spacing w:before="0" w:after="283"/>
              <w:jc w:val="left"/>
              <w:rPr>
                <w:color w:val="001C71"/>
              </w:rPr>
            </w:pPr>
            <w:r>
              <w:rPr>
                <w:color w:val="001C71"/>
              </w:rPr>
              <w:t>29.</w:t>
            </w:r>
          </w:p>
        </w:tc>
        <w:tc>
          <w:tcPr>
            <w:tcW w:w="204"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pPr>
            <w:r>
              <w:rPr/>
              <w:t xml:space="preserve">What is included in the proxy materials?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proxy materials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0"/>
              <w:jc w:val="left"/>
              <w:rPr>
                <w:rFonts w:ascii="arial" w:hAnsi="arial"/>
                <w:sz w:val="16"/>
              </w:rPr>
            </w:pPr>
            <w:r>
              <w:rPr>
                <w:rFonts w:ascii="arial" w:hAnsi="arial"/>
                <w:sz w:val="16"/>
              </w:rPr>
              <w:t xml:space="preserve">Our Notice of Annual Shareholders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Our proxy statement for the Annual Shareholders Meeting, which contains descriptions of the proposals to be voted on at the Annual Shareholders Meeting, the voting process, our Board of Directors and board committees, our corporate governance, the compensation of our directors and certain executive officers, and other information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0"/>
              <w:jc w:val="left"/>
              <w:rPr>
                <w:rFonts w:ascii="arial" w:hAnsi="arial"/>
                <w:sz w:val="16"/>
              </w:rPr>
            </w:pPr>
            <w:r>
              <w:rPr>
                <w:rFonts w:ascii="arial" w:hAnsi="arial"/>
                <w:sz w:val="16"/>
              </w:rPr>
              <w:t xml:space="preserve">Our 2020 Annual Report to Shareholders </w:t>
            </w:r>
          </w:p>
        </w:tc>
      </w:tr>
    </w:tbl>
    <w:p>
      <w:pPr>
        <w:pStyle w:val="TextBody"/>
        <w:spacing w:before="160" w:after="0"/>
        <w:jc w:val="left"/>
        <w:rPr>
          <w:rFonts w:ascii="arial" w:hAnsi="arial"/>
          <w:sz w:val="16"/>
        </w:rPr>
      </w:pPr>
      <w:r>
        <w:rPr>
          <w:rFonts w:ascii="arial" w:hAnsi="arial"/>
          <w:sz w:val="16"/>
        </w:rPr>
        <w:t xml:space="preserve">If you received a paper copy of these materials by mail, our proxy materials also include a proxy card or voting instruction form. Otherwise, you received a notice about the Internet availability of our proxy materials, which includes instructions on how to access these materials online and submit your vote.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96</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1C71"/>
          <w:sz w:val="44"/>
        </w:rPr>
      </w:pPr>
      <w:bookmarkStart w:id="51" w:name="toc108157_27"/>
      <w:bookmarkEnd w:id="51"/>
      <w:r>
        <w:rPr>
          <w:rFonts w:ascii="arial" w:hAnsi="arial"/>
          <w:b/>
          <w:color w:val="001C71"/>
          <w:sz w:val="44"/>
        </w:rPr>
        <w:t xml:space="preserve">Information About 2022 Shareholder Proposals and Director Nominations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9493"/>
      </w:tblGrid>
      <w:tr>
        <w:trPr/>
        <w:tc>
          <w:tcPr>
            <w:tcW w:w="508" w:type="dxa"/>
            <w:tcBorders/>
            <w:shd w:fill="auto" w:val="clear"/>
          </w:tcPr>
          <w:p>
            <w:pPr>
              <w:pStyle w:val="TableContents"/>
              <w:spacing w:before="0" w:after="283"/>
              <w:jc w:val="left"/>
              <w:rPr>
                <w:color w:val="001C71"/>
              </w:rPr>
            </w:pPr>
            <w:r>
              <w:rPr>
                <w:color w:val="001C71"/>
              </w:rPr>
              <w:t>30.</w:t>
            </w:r>
          </w:p>
        </w:tc>
        <w:tc>
          <w:tcPr>
            <w:tcW w:w="204"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How can shareholders submit shareholder proposals to be included in our proxy materials for our annual shareholders meeting in 2022? What is the deadline for submitting any such proposals?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Shareholder proponents who desire to submit shareholder proposals to be included in our proxy materials for our annual shareholders meeting in 2022 must meet the eligibility requirements of the SECs shareholder proposal rule (Rule 14a-8 under the Exchange Act), and their proposals must comply with the requirements of that rule to be included in our proxy materials. </w:t>
      </w:r>
    </w:p>
    <w:p>
      <w:pPr>
        <w:pStyle w:val="TextBody"/>
        <w:spacing w:before="160" w:after="0"/>
        <w:jc w:val="left"/>
        <w:rPr>
          <w:rFonts w:ascii="arial" w:hAnsi="arial"/>
          <w:sz w:val="16"/>
        </w:rPr>
      </w:pPr>
      <w:r>
        <w:rPr>
          <w:rFonts w:ascii="arial" w:hAnsi="arial"/>
          <w:sz w:val="16"/>
        </w:rPr>
        <w:t xml:space="preserve">Shareholder proposals that are intended to be included in our proxy materials for our annual shareholders meeting in 2022 must be received by our Corporate Secretary no later than 5:00 p.m. Pacific Time on November 26, 2021, and must be submitted to the following address: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3"/>
        <w:gridCol w:w="204"/>
        <w:gridCol w:w="9288"/>
      </w:tblGrid>
      <w:tr>
        <w:trPr/>
        <w:tc>
          <w:tcPr>
            <w:tcW w:w="71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288"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drawing>
                <wp:inline distT="0" distB="0" distL="0" distR="0">
                  <wp:extent cx="304800" cy="219075"/>
                  <wp:effectExtent l="0" t="0" r="0" b="0"/>
                  <wp:docPr id="9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6" descr=""/>
                          <pic:cNvPicPr>
                            <a:picLocks noChangeAspect="1" noChangeArrowheads="1"/>
                          </pic:cNvPicPr>
                        </pic:nvPicPr>
                        <pic:blipFill>
                          <a:blip r:embed="rId77"/>
                          <a:stretch>
                            <a:fillRect/>
                          </a:stretch>
                        </pic:blipFill>
                        <pic:spPr bwMode="auto">
                          <a:xfrm>
                            <a:off x="0" y="0"/>
                            <a:ext cx="304800" cy="219075"/>
                          </a:xfrm>
                          <a:prstGeom prst="rect">
                            <a:avLst/>
                          </a:prstGeom>
                        </pic:spPr>
                      </pic:pic>
                    </a:graphicData>
                  </a:graphic>
                </wp:inline>
              </w:drawing>
            </w:r>
            <w:r>
              <w:rPr/>
              <w:t xml:space="preserve"> </w:t>
            </w:r>
          </w:p>
        </w:tc>
        <w:tc>
          <w:tcPr>
            <w:tcW w:w="204"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0"/>
              <w:rPr>
                <w:rFonts w:ascii="arial" w:hAnsi="arial"/>
                <w:sz w:val="16"/>
              </w:rPr>
            </w:pPr>
            <w:r>
              <w:rPr>
                <w:rFonts w:ascii="arial" w:hAnsi="arial"/>
                <w:sz w:val="16"/>
              </w:rPr>
              <w:t>Attn: Corporate Secretary</w:t>
            </w:r>
          </w:p>
          <w:p>
            <w:pPr>
              <w:pStyle w:val="TableContents"/>
              <w:spacing w:before="0" w:after="0"/>
              <w:rPr>
                <w:rFonts w:ascii="arial" w:hAnsi="arial"/>
                <w:sz w:val="16"/>
              </w:rPr>
            </w:pPr>
            <w:r>
              <w:rPr>
                <w:rFonts w:ascii="arial" w:hAnsi="arial"/>
                <w:sz w:val="16"/>
              </w:rPr>
              <w:t>Sempra Energy</w:t>
            </w:r>
          </w:p>
          <w:p>
            <w:pPr>
              <w:pStyle w:val="TableContents"/>
              <w:spacing w:before="0" w:after="0"/>
              <w:rPr>
                <w:rFonts w:ascii="arial" w:hAnsi="arial"/>
                <w:sz w:val="16"/>
              </w:rPr>
            </w:pPr>
            <w:r>
              <w:rPr>
                <w:rFonts w:ascii="arial" w:hAnsi="arial"/>
                <w:sz w:val="16"/>
              </w:rPr>
              <w:t>488 8th Avenue</w:t>
            </w:r>
          </w:p>
          <w:p>
            <w:pPr>
              <w:pStyle w:val="TableContents"/>
              <w:spacing w:before="0" w:after="20"/>
              <w:rPr>
                <w:rFonts w:ascii="arial" w:hAnsi="arial"/>
                <w:sz w:val="16"/>
              </w:rPr>
            </w:pPr>
            <w:r>
              <w:rPr>
                <w:rFonts w:ascii="arial" w:hAnsi="arial"/>
                <w:sz w:val="16"/>
              </w:rPr>
              <w:t>San Diego, CA 92101</w:t>
            </w:r>
          </w:p>
        </w:tc>
      </w:tr>
    </w:tbl>
    <w:p>
      <w:pPr>
        <w:pStyle w:val="TextBody"/>
        <w:spacing w:before="160" w:after="0"/>
        <w:jc w:val="left"/>
        <w:rPr>
          <w:rFonts w:ascii="arial" w:hAnsi="arial"/>
          <w:sz w:val="16"/>
        </w:rPr>
      </w:pPr>
      <w:r>
        <w:rPr>
          <w:rFonts w:ascii="arial" w:hAnsi="arial"/>
          <w:sz w:val="16"/>
        </w:rPr>
        <w:t xml:space="preserve">Proposals that are not timely submitted or are submitted to the incorrect address or other than to the attention of our Corporate Secretary may, at our discretion, be excluded from our proxy materials. </w:t>
      </w:r>
    </w:p>
    <w:p>
      <w:pPr>
        <w:pStyle w:val="TextBody"/>
        <w:spacing w:before="160" w:after="0"/>
        <w:jc w:val="left"/>
        <w:rPr>
          <w:rFonts w:ascii="arial" w:hAnsi="arial"/>
          <w:sz w:val="16"/>
        </w:rPr>
      </w:pPr>
      <w:r>
        <w:rPr>
          <w:rFonts w:ascii="arial" w:hAnsi="arial"/>
          <w:sz w:val="16"/>
        </w:rPr>
        <w:t xml:space="preserve">Question 31 below describes the procedures set forth in our bylaws through which shareholders may nominate and include director candidates in our proxy statement, and the related deadlines for submission. Question 32 below describes the procedures set forth in our bylaws through which shareholders may nominate director candidates or present other items of business directly at our Annual Shareholders Meeting (meaning that they are not seeking to include such matters in our proxy materials), and the related deadlines for submission.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9493"/>
      </w:tblGrid>
      <w:tr>
        <w:trPr/>
        <w:tc>
          <w:tcPr>
            <w:tcW w:w="508" w:type="dxa"/>
            <w:tcBorders/>
            <w:shd w:fill="auto" w:val="clear"/>
          </w:tcPr>
          <w:p>
            <w:pPr>
              <w:pStyle w:val="TableContents"/>
              <w:spacing w:before="0" w:after="283"/>
              <w:jc w:val="left"/>
              <w:rPr>
                <w:color w:val="001C71"/>
              </w:rPr>
            </w:pPr>
            <w:r>
              <w:rPr>
                <w:color w:val="001C71"/>
              </w:rPr>
              <w:t>31.</w:t>
            </w:r>
          </w:p>
        </w:tc>
        <w:tc>
          <w:tcPr>
            <w:tcW w:w="204"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How may shareholders nominate and include director candidates in our proxy materials for our annual shareholders meeting in 2022? What is the deadline for submitting any such nominations?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Shareholders who wish to submit director nominees for inclusion in our proxy materials for our annual shareholders meeting in 2022 must give written notice of their intention to do so to our Corporate Secretary in accordance with the requirements and deadlines described below. </w:t>
      </w:r>
    </w:p>
    <w:p>
      <w:pPr>
        <w:pStyle w:val="TextBody"/>
        <w:spacing w:before="160" w:after="0"/>
        <w:jc w:val="left"/>
        <w:rPr>
          <w:rFonts w:ascii="arial" w:hAnsi="arial"/>
          <w:sz w:val="16"/>
        </w:rPr>
      </w:pPr>
      <w:r>
        <w:rPr>
          <w:rFonts w:ascii="arial" w:hAnsi="arial"/>
          <w:sz w:val="16"/>
        </w:rPr>
        <w:t xml:space="preserve">Our bylaws give a shareholder, or a group of no more than 20 shareholders, who have continuously owned at least 3% of our outstanding shares entitled to vote in the election of directors for at least three years, the ability to nominate and include in our proxy statement up to the greater of two directors or 20% of the number of the companys directors then in office, if the shareholder(s) and the nominee(s) satisfy the requirements specified in our bylaws. Notice of director nominees submitted under these proxy access provisions must be received at least 120 days but not more than 150 days prior to the first anniversary of the date the proxy statement was first sent to shareholders in connection with our last annual shareholders meeting. The period for the receipt from shareholders of any such notice for our 2022 annual shareholders meeting will begin on October 27, 2021, and end on November 26, 2021. Any such notice must include the information required by our proxy access bylaw provisions (which may be obtained as provided in Question 35 below) and also must be updated and supplemented as required by those bylaw provisions. Any such notice must be timely delivered in writing to the attention of our Corporate Secretary at Sempra Energys principal executive offices at 488 8th Avenue, San Diego, California 92101. We will not include any shareholder-submitted director nominees in our proxy materials for our annual shareholders meeting in 2022 that do not meet the requirements set forth in our bylaws. </w:t>
      </w:r>
    </w:p>
    <w:p>
      <w:pPr>
        <w:pStyle w:val="TextBody"/>
        <w:spacing w:before="160" w:after="0"/>
        <w:jc w:val="left"/>
        <w:rPr>
          <w:rFonts w:ascii="arial" w:hAnsi="arial"/>
          <w:sz w:val="16"/>
        </w:rPr>
      </w:pPr>
      <w:r>
        <w:rPr>
          <w:rFonts w:ascii="arial" w:hAnsi="arial"/>
          <w:sz w:val="16"/>
        </w:rPr>
        <w:t xml:space="preserve">These notice requirements applicable under our proxy access bylaw provisions do not apply to shareholder proposals intended for inclusion in our proxy materials under SEC Rule 14a-8. The requirements and the deadline for submitting those proposals are set forth in Question 30 above. In addition, the notice requirements applicable under our proxy access bylaw provisions do not apply to shareholder proposals or director nominations to be presented directly at an annual meeting of our shareholders (meaning that the proponent is not seeking to include the proposal or nomination in our proxy materials), the procedures and deadlines for which are described in Question 32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97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Information About 2022 Shareholder Proposals and Director Nominations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2"/>
        <w:gridCol w:w="9494"/>
      </w:tblGrid>
      <w:tr>
        <w:trPr/>
        <w:tc>
          <w:tcPr>
            <w:tcW w:w="509" w:type="dxa"/>
            <w:tcBorders/>
            <w:shd w:fill="auto" w:val="clear"/>
          </w:tcPr>
          <w:p>
            <w:pPr>
              <w:pStyle w:val="TableContents"/>
              <w:spacing w:before="0" w:after="283"/>
              <w:jc w:val="left"/>
              <w:rPr>
                <w:color w:val="001C71"/>
              </w:rPr>
            </w:pPr>
            <w:r>
              <w:rPr>
                <w:color w:val="001C71"/>
              </w:rPr>
              <w:t>32.</w:t>
            </w:r>
          </w:p>
        </w:tc>
        <w:tc>
          <w:tcPr>
            <w:tcW w:w="2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pPr>
            <w:r>
              <w:rPr/>
              <w:t xml:space="preserve">How may shareholders nominate director candidates or present other items of business for consideration at our annual shareholders meeting in 2022 (if they are not seeking to include such matters in our proxy materials for the meeting)? What is the deadline for submitting any such nominations or proposals?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Shareholders who wish to nominate director candidates (outside of our proxy access bylaw provisions) or who wish to present other items of business (outside of the SEC Rule 14a-8 process) directly at our annual shareholders meeting in 2022 must give written notice of their intention to do so to our Corporate Secretary in accordance with the requirements and deadlines described below. </w:t>
      </w:r>
    </w:p>
    <w:p>
      <w:pPr>
        <w:pStyle w:val="TextBody"/>
        <w:spacing w:before="160" w:after="0"/>
        <w:jc w:val="left"/>
        <w:rPr>
          <w:rFonts w:ascii="arial" w:hAnsi="arial"/>
          <w:sz w:val="16"/>
        </w:rPr>
      </w:pPr>
      <w:r>
        <w:rPr>
          <w:rFonts w:ascii="arial" w:hAnsi="arial"/>
          <w:sz w:val="16"/>
        </w:rPr>
        <w:t xml:space="preserve">For any director nominations or proposed items of business that are submitted by shareholders and are not intended to be included in our proxy materials for our annual shareholders meeting in 2022, we must receive notice thereof at least 90 days but not more than 120 days before the first anniversary of the date of our last annual shareholders meeting. The period for the receipt from shareholders of any such notice of nominations or proposals for our 2022 annual shareholders meeting will begin on January 14, 2022, and end on February 13, 2022. Any such notice must include the information required by our advance notice bylaw provisions (which may be obtained as provided in Question 35 below) and also must be updated and supplemented as required by those bylaw provisions. Any such notice must be timely delivered in writing to the attention of our Corporate Secretary at Sempra Energys principal executive offices at 488 8th Avenue, San Diego, California 92101. We will not entertain any director nominations or other proposals from our shareholders at our annual shareholders meeting in 2022 that do not meet the requirements set forth in our bylaws. </w:t>
      </w:r>
    </w:p>
    <w:p>
      <w:pPr>
        <w:pStyle w:val="TextBody"/>
        <w:spacing w:before="160" w:after="0"/>
        <w:jc w:val="left"/>
        <w:rPr>
          <w:rFonts w:ascii="arial" w:hAnsi="arial"/>
          <w:sz w:val="16"/>
        </w:rPr>
      </w:pPr>
      <w:r>
        <w:rPr>
          <w:rFonts w:ascii="arial" w:hAnsi="arial"/>
          <w:sz w:val="16"/>
        </w:rPr>
        <w:t xml:space="preserve">These notice requirements applicable under our advance notice bylaw provisions do not apply to shareholder proposals intended for inclusion in our proxy materials under SEC Rule 14a-8. The requirements and the deadline for submitting those proposals are set forth in Question 30 above. In addition, the notice requirements applicable under our advance notice bylaw provisions do not apply to shareholder nominations of director candidates that are to be included in our proxy statement, the procedures and deadlines for which are described in Question 31 above. </w:t>
      </w:r>
    </w:p>
    <w:p>
      <w:pPr>
        <w:pStyle w:val="TextBody"/>
        <w:spacing w:before="160" w:after="0"/>
        <w:jc w:val="left"/>
        <w:rPr>
          <w:rFonts w:ascii="arial" w:hAnsi="arial"/>
          <w:sz w:val="16"/>
        </w:rPr>
      </w:pPr>
      <w:r>
        <w:rPr>
          <w:rFonts w:ascii="arial" w:hAnsi="arial"/>
          <w:sz w:val="16"/>
        </w:rPr>
        <w:t xml:space="preserve">None of the advance notice requirements described in this Question 32 or in Questions 30 or 31 above apply to questions that a shareholder may wish to ask at the Annual Shareholders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9493"/>
      </w:tblGrid>
      <w:tr>
        <w:trPr/>
        <w:tc>
          <w:tcPr>
            <w:tcW w:w="508" w:type="dxa"/>
            <w:tcBorders/>
            <w:shd w:fill="auto" w:val="clear"/>
          </w:tcPr>
          <w:p>
            <w:pPr>
              <w:pStyle w:val="TableContents"/>
              <w:spacing w:before="0" w:after="283"/>
              <w:jc w:val="left"/>
              <w:rPr>
                <w:color w:val="001C71"/>
              </w:rPr>
            </w:pPr>
            <w:r>
              <w:rPr>
                <w:color w:val="001C71"/>
              </w:rPr>
              <w:t>33.</w:t>
            </w:r>
          </w:p>
        </w:tc>
        <w:tc>
          <w:tcPr>
            <w:tcW w:w="204"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May shareholders recommend director candidates to be considered for nomination by the Board of Directors?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Shareholders may recommend director candidates for consideration by the Corporate Governance Committee of our Board of Directors by writing to the attention of our Corporate Secretary at Sempra Energys principal executive offices at 488 8th Avenue, San Diego, California 92101. Any such recommendation must be accompanied by a statement from the proposed candidate that he or she would give favorable consideration to serving on the board and should include sufficient biographical and other information concerning the proposed candidate and his or her qualifications to permit the Corporate Governance Committee to make an informed decision as to whether further consideration of the candidate would be warranted.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98</w:t>
            </w:r>
          </w:p>
        </w:tc>
        <w:tc>
          <w:tcPr>
            <w:tcW w:w="102" w:type="dxa"/>
            <w:tcBorders/>
            <w:shd w:fill="auto" w:val="clear"/>
            <w:vAlign w:val="bottom"/>
          </w:tcPr>
          <w:p>
            <w:pPr>
              <w:pStyle w:val="TableContents"/>
              <w:spacing w:before="0" w:after="283"/>
              <w:rPr/>
            </w:pPr>
            <w:r>
              <w:rPr/>
              <w:t> </w:t>
            </w:r>
          </w:p>
        </w:tc>
        <w:tc>
          <w:tcPr>
            <w:tcW w:w="9798"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1C71"/>
          <w:sz w:val="44"/>
        </w:rPr>
      </w:pPr>
      <w:bookmarkStart w:id="52" w:name="toc108157_28"/>
      <w:bookmarkEnd w:id="52"/>
      <w:r>
        <w:rPr>
          <w:rFonts w:ascii="arial" w:hAnsi="arial"/>
          <w:b/>
          <w:color w:val="001C71"/>
          <w:sz w:val="44"/>
        </w:rPr>
        <w:t xml:space="preserve">Other Information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9493"/>
      </w:tblGrid>
      <w:tr>
        <w:trPr/>
        <w:tc>
          <w:tcPr>
            <w:tcW w:w="509" w:type="dxa"/>
            <w:tcBorders/>
            <w:shd w:fill="auto" w:val="clear"/>
          </w:tcPr>
          <w:p>
            <w:pPr>
              <w:pStyle w:val="TableContents"/>
              <w:spacing w:before="0" w:after="283"/>
              <w:jc w:val="left"/>
              <w:rPr>
                <w:color w:val="001C71"/>
              </w:rPr>
            </w:pPr>
            <w:r>
              <w:rPr>
                <w:color w:val="001C71"/>
              </w:rPr>
              <w:t>34.</w:t>
            </w:r>
          </w:p>
        </w:tc>
        <w:tc>
          <w:tcPr>
            <w:tcW w:w="203"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Who is making and paying for this proxy solicitation?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Sempra Energy is making this solicitation and will pay the entire cost of preparing, assembling, printing, mailing and distributing our proxy materials and of soliciting proxies. We will reimburse brokerage houses and other custodians, nominees and fiduciaries for forwarding our proxy materials to beneficial shareholders. </w:t>
      </w:r>
    </w:p>
    <w:p>
      <w:pPr>
        <w:pStyle w:val="TextBody"/>
        <w:spacing w:before="160" w:after="0"/>
        <w:jc w:val="left"/>
        <w:rPr>
          <w:rFonts w:ascii="arial" w:hAnsi="arial"/>
          <w:sz w:val="16"/>
        </w:rPr>
      </w:pPr>
      <w:r>
        <w:rPr>
          <w:rFonts w:ascii="arial" w:hAnsi="arial"/>
          <w:sz w:val="16"/>
        </w:rPr>
        <w:t xml:space="preserve">Our directors, officers and employees may solicit proxies in person, by telephone or by electronic communication. They will not receive any additional compensation for these activities. </w:t>
      </w:r>
    </w:p>
    <w:p>
      <w:pPr>
        <w:pStyle w:val="TextBody"/>
        <w:spacing w:before="160" w:after="0"/>
        <w:jc w:val="left"/>
        <w:rPr>
          <w:rFonts w:ascii="arial" w:hAnsi="arial"/>
          <w:sz w:val="16"/>
        </w:rPr>
      </w:pPr>
      <w:r>
        <w:rPr>
          <w:rFonts w:ascii="arial" w:hAnsi="arial"/>
          <w:sz w:val="16"/>
        </w:rPr>
        <w:t xml:space="preserve">We also have engaged Morrow Sodali LLC to provide proxy solicitation services, including assisting us in distributing our proxy materials and soliciting proxies for the Annual Shareholders Meeting. We will pay a base fee of $25,000, plus customary costs and expenses, for these services.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9493"/>
      </w:tblGrid>
      <w:tr>
        <w:trPr/>
        <w:tc>
          <w:tcPr>
            <w:tcW w:w="508" w:type="dxa"/>
            <w:tcBorders/>
            <w:shd w:fill="auto" w:val="clear"/>
          </w:tcPr>
          <w:p>
            <w:pPr>
              <w:pStyle w:val="TableContents"/>
              <w:spacing w:before="0" w:after="283"/>
              <w:jc w:val="left"/>
              <w:rPr>
                <w:color w:val="001C71"/>
              </w:rPr>
            </w:pPr>
            <w:r>
              <w:rPr>
                <w:color w:val="001C71"/>
              </w:rPr>
              <w:t>35.</w:t>
            </w:r>
          </w:p>
        </w:tc>
        <w:tc>
          <w:tcPr>
            <w:tcW w:w="204"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pPr>
            <w:r>
              <w:rPr/>
              <w:t xml:space="preserve">Where can I find more information about Sempra Energy?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Our consolidated financial statements and additional information regarding the company are included in our 2020 Annual Report to Shareholders that accompanies this proxy statement, which includes our 2020 Form 10-K. We filed our 2020 Form 10-K with the SEC on February 25, 2021. Our 2020 Form 10-K, as well as other information that we file with the SEC, can be viewed online on the SECs website at www.sec.gov. In addition, our 2020 Form 10-K and other information that we file with the SEC are available on our website at www.sempra.com under the Investors and SEC Filings tabs. We also will furnish a copy of our 2020 Form 10-K (excluding exhibits, except those that are specifically requested) without charge to any shareholder who so requests by writing to the attention of our Corporate Secretary at Sempra Energys principal executive offices at 488 8th Avenue, San Diego, California 92101. </w:t>
      </w:r>
    </w:p>
    <w:p>
      <w:pPr>
        <w:pStyle w:val="TextBody"/>
        <w:spacing w:before="160" w:after="0"/>
        <w:jc w:val="left"/>
        <w:rPr>
          <w:rFonts w:ascii="arial" w:hAnsi="arial"/>
          <w:sz w:val="16"/>
        </w:rPr>
      </w:pPr>
      <w:r>
        <w:rPr>
          <w:rFonts w:ascii="arial" w:hAnsi="arial"/>
          <w:sz w:val="16"/>
        </w:rPr>
        <w:t xml:space="preserve">By writing to us, shareholders also may obtain, without charge, copies of our bylaws, Corporate Governance Guidelines, codes of conduct and charters of our standing board committees. These materials also are available on the Internet on our website at www.sempra.com under the Investors and Governance tabs.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9492"/>
      </w:tblGrid>
      <w:tr>
        <w:trPr/>
        <w:tc>
          <w:tcPr>
            <w:tcW w:w="510" w:type="dxa"/>
            <w:tcBorders/>
            <w:shd w:fill="auto" w:val="clear"/>
          </w:tcPr>
          <w:p>
            <w:pPr>
              <w:pStyle w:val="TableContents"/>
              <w:spacing w:before="0" w:after="283"/>
              <w:jc w:val="left"/>
              <w:rPr>
                <w:color w:val="001C71"/>
              </w:rPr>
            </w:pPr>
            <w:r>
              <w:rPr>
                <w:color w:val="001C71"/>
              </w:rPr>
              <w:t>36.</w:t>
            </w:r>
          </w:p>
        </w:tc>
        <w:tc>
          <w:tcPr>
            <w:tcW w:w="203"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pPr>
            <w:r>
              <w:rPr/>
              <w:t xml:space="preserve">Who is Sempra Energys transfer agent and how do I contact them?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If you are a shareholder of record and have questions concerning share certificates, dividend checks, ownership transfer or other matters relating to your share account, please contact AST, our transfer agent, at the following address or phone numbers: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4"/>
        <w:gridCol w:w="204"/>
        <w:gridCol w:w="9287"/>
      </w:tblGrid>
      <w:tr>
        <w:trPr/>
        <w:tc>
          <w:tcPr>
            <w:tcW w:w="71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287" w:type="dxa"/>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0"/>
              <w:rPr/>
            </w:pPr>
            <w:r>
              <w:rPr/>
              <w:t> </w:t>
            </w:r>
          </w:p>
          <w:p>
            <w:pPr>
              <w:pStyle w:val="TableContents"/>
              <w:spacing w:before="0" w:after="20"/>
              <w:rPr/>
            </w:pPr>
            <w:r>
              <w:rPr/>
              <w:drawing>
                <wp:inline distT="0" distB="0" distL="0" distR="0">
                  <wp:extent cx="304800" cy="219075"/>
                  <wp:effectExtent l="0" t="0" r="0" b="0"/>
                  <wp:docPr id="9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7" descr=""/>
                          <pic:cNvPicPr>
                            <a:picLocks noChangeAspect="1" noChangeArrowheads="1"/>
                          </pic:cNvPicPr>
                        </pic:nvPicPr>
                        <pic:blipFill>
                          <a:blip r:embed="rId78"/>
                          <a:stretch>
                            <a:fillRect/>
                          </a:stretch>
                        </pic:blipFill>
                        <pic:spPr bwMode="auto">
                          <a:xfrm>
                            <a:off x="0" y="0"/>
                            <a:ext cx="304800" cy="219075"/>
                          </a:xfrm>
                          <a:prstGeom prst="rect">
                            <a:avLst/>
                          </a:prstGeom>
                        </pic:spPr>
                      </pic:pic>
                    </a:graphicData>
                  </a:graphic>
                </wp:inline>
              </w:drawing>
            </w:r>
            <w:r>
              <w:rPr/>
              <w:t xml:space="preserve"> </w:t>
            </w:r>
          </w:p>
        </w:tc>
        <w:tc>
          <w:tcPr>
            <w:tcW w:w="204" w:type="dxa"/>
            <w:tcBorders/>
            <w:shd w:fill="auto" w:val="clear"/>
            <w:vAlign w:val="bottom"/>
          </w:tcPr>
          <w:p>
            <w:pPr>
              <w:pStyle w:val="TableContents"/>
              <w:spacing w:before="0" w:after="283"/>
              <w:rPr/>
            </w:pPr>
            <w:r>
              <w:rPr/>
              <w:t>  </w:t>
            </w:r>
          </w:p>
        </w:tc>
        <w:tc>
          <w:tcPr>
            <w:tcW w:w="9287" w:type="dxa"/>
            <w:tcBorders/>
            <w:shd w:fill="auto" w:val="clear"/>
            <w:vAlign w:val="bottom"/>
          </w:tcPr>
          <w:p>
            <w:pPr>
              <w:pStyle w:val="TableContents"/>
              <w:spacing w:before="0" w:after="0"/>
              <w:rPr>
                <w:rFonts w:ascii="arial" w:hAnsi="arial"/>
                <w:sz w:val="16"/>
              </w:rPr>
            </w:pPr>
            <w:r>
              <w:rPr>
                <w:rFonts w:ascii="arial" w:hAnsi="arial"/>
                <w:sz w:val="16"/>
              </w:rPr>
              <w:t>American Stock Transfer &amp; Trust Company, LLC</w:t>
            </w:r>
          </w:p>
          <w:p>
            <w:pPr>
              <w:pStyle w:val="TableContents"/>
              <w:spacing w:before="0" w:after="0"/>
              <w:rPr>
                <w:rFonts w:ascii="arial" w:hAnsi="arial"/>
                <w:sz w:val="16"/>
              </w:rPr>
            </w:pPr>
            <w:r>
              <w:rPr>
                <w:rFonts w:ascii="arial" w:hAnsi="arial"/>
                <w:sz w:val="16"/>
              </w:rPr>
              <w:t>Attn: Sempra Energy</w:t>
            </w:r>
          </w:p>
          <w:p>
            <w:pPr>
              <w:pStyle w:val="TableContents"/>
              <w:spacing w:before="0" w:after="0"/>
              <w:rPr>
                <w:rFonts w:ascii="arial" w:hAnsi="arial"/>
                <w:sz w:val="16"/>
              </w:rPr>
            </w:pPr>
            <w:r>
              <w:rPr>
                <w:rFonts w:ascii="arial" w:hAnsi="arial"/>
                <w:sz w:val="16"/>
              </w:rPr>
              <w:t>6201 15th Avenue</w:t>
            </w:r>
          </w:p>
          <w:p>
            <w:pPr>
              <w:pStyle w:val="TableContents"/>
              <w:spacing w:before="0" w:after="20"/>
              <w:rPr>
                <w:rFonts w:ascii="arial" w:hAnsi="arial"/>
                <w:sz w:val="16"/>
              </w:rPr>
            </w:pPr>
            <w:r>
              <w:rPr>
                <w:rFonts w:ascii="arial" w:hAnsi="arial"/>
                <w:sz w:val="16"/>
              </w:rPr>
              <w:t>Brooklyn, NY 11219</w:t>
            </w:r>
          </w:p>
        </w:tc>
      </w:tr>
      <w:tr>
        <w:trPr>
          <w:trHeight w:val="24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vAlign w:val="bottom"/>
          </w:tcPr>
          <w:p>
            <w:pPr>
              <w:pStyle w:val="TableContents"/>
              <w:spacing w:before="0" w:after="283"/>
              <w:rPr/>
            </w:pPr>
            <w:r>
              <w:rPr/>
              <w:drawing>
                <wp:inline distT="0" distB="0" distL="0" distR="0">
                  <wp:extent cx="34290" cy="41910"/>
                  <wp:effectExtent l="0" t="0" r="0" b="0"/>
                  <wp:docPr id="9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8" descr=""/>
                          <pic:cNvPicPr>
                            <a:picLocks noChangeAspect="1" noChangeArrowheads="1"/>
                          </pic:cNvPicPr>
                        </pic:nvPicPr>
                        <pic:blipFill>
                          <a:blip r:embed="rId79"/>
                          <a:stretch>
                            <a:fillRect/>
                          </a:stretch>
                        </pic:blipFill>
                        <pic:spPr bwMode="auto">
                          <a:xfrm>
                            <a:off x="0" y="0"/>
                            <a:ext cx="34290" cy="41910"/>
                          </a:xfrm>
                          <a:prstGeom prst="rect">
                            <a:avLst/>
                          </a:prstGeom>
                        </pic:spPr>
                      </pic:pic>
                    </a:graphicData>
                  </a:graphic>
                </wp:inline>
              </w:drawing>
            </w:r>
            <w:r>
              <w:rPr/>
              <w:t xml:space="preserve"> </w:t>
            </w:r>
          </w:p>
        </w:tc>
        <w:tc>
          <w:tcPr>
            <w:tcW w:w="204" w:type="dxa"/>
            <w:tcBorders/>
            <w:shd w:fill="auto" w:val="clear"/>
            <w:vAlign w:val="bottom"/>
          </w:tcPr>
          <w:p>
            <w:pPr>
              <w:pStyle w:val="TableContents"/>
              <w:spacing w:before="0" w:after="283"/>
              <w:rPr/>
            </w:pPr>
            <w:r>
              <w:rPr/>
              <w:t>  </w:t>
            </w:r>
          </w:p>
        </w:tc>
        <w:tc>
          <w:tcPr>
            <w:tcW w:w="9287" w:type="dxa"/>
            <w:tcBorders/>
            <w:shd w:fill="auto" w:val="clear"/>
            <w:vAlign w:val="bottom"/>
          </w:tcPr>
          <w:p>
            <w:pPr>
              <w:pStyle w:val="TableContents"/>
              <w:spacing w:before="0" w:after="0"/>
              <w:rPr>
                <w:rFonts w:ascii="arial" w:hAnsi="arial"/>
                <w:sz w:val="16"/>
              </w:rPr>
            </w:pPr>
            <w:r>
              <w:rPr>
                <w:rFonts w:ascii="arial" w:hAnsi="arial"/>
                <w:sz w:val="16"/>
              </w:rPr>
              <w:t>(877) 773-6772 (U.S. and Canada)</w:t>
            </w:r>
          </w:p>
          <w:p>
            <w:pPr>
              <w:pStyle w:val="TableContents"/>
              <w:spacing w:before="0" w:after="0"/>
              <w:rPr>
                <w:rFonts w:ascii="arial" w:hAnsi="arial"/>
                <w:sz w:val="16"/>
              </w:rPr>
            </w:pPr>
            <w:r>
              <w:rPr>
                <w:rFonts w:ascii="arial" w:hAnsi="arial"/>
                <w:sz w:val="16"/>
              </w:rPr>
              <w:t>+1 (718) 921-8124 (International)</w:t>
            </w:r>
          </w:p>
          <w:p>
            <w:pPr>
              <w:pStyle w:val="TableContents"/>
              <w:spacing w:before="0" w:after="20"/>
              <w:rPr/>
            </w:pPr>
            <w:r>
              <w:rPr/>
              <w:t> </w:t>
            </w:r>
          </w:p>
        </w:tc>
      </w:tr>
    </w:tbl>
    <w:p>
      <w:pPr>
        <w:pStyle w:val="TextBody"/>
        <w:spacing w:before="160" w:after="0"/>
        <w:jc w:val="left"/>
        <w:rPr>
          <w:rFonts w:ascii="arial" w:hAnsi="arial"/>
          <w:sz w:val="16"/>
        </w:rPr>
      </w:pPr>
      <w:r>
        <w:rPr>
          <w:rFonts w:ascii="arial" w:hAnsi="arial"/>
          <w:sz w:val="16"/>
        </w:rPr>
        <w:t xml:space="preserve">We have a dividend reinvestment and Direct Stock Purchase Program under which you may have all or a portion of your dividends (but not less than 10% of each dividend) automatically reinvested to purchase our shares. You also may elect to purchase additional shares through optional cash payments. This program is offered only by means of a prospectus. For information about this program or to obtain a copy of the applicable prospectus, please contact our transfer agent at the address or the phone numbers listed above.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97"/>
        <w:gridCol w:w="102"/>
        <w:gridCol w:w="306"/>
      </w:tblGrid>
      <w:tr>
        <w:trPr/>
        <w:tc>
          <w:tcPr>
            <w:tcW w:w="97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797"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right"/>
              <w:rPr/>
            </w:pPr>
            <w:r>
              <w:rPr/>
              <w:t>99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Other Information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9492"/>
      </w:tblGrid>
      <w:tr>
        <w:trPr/>
        <w:tc>
          <w:tcPr>
            <w:tcW w:w="509" w:type="dxa"/>
            <w:tcBorders/>
            <w:shd w:fill="auto" w:val="clear"/>
          </w:tcPr>
          <w:p>
            <w:pPr>
              <w:pStyle w:val="TableContents"/>
              <w:spacing w:before="0" w:after="283"/>
              <w:jc w:val="left"/>
              <w:rPr>
                <w:color w:val="001C71"/>
              </w:rPr>
            </w:pPr>
            <w:r>
              <w:rPr>
                <w:color w:val="001C71"/>
              </w:rPr>
              <w:t>37.</w:t>
            </w:r>
          </w:p>
        </w:tc>
        <w:tc>
          <w:tcPr>
            <w:tcW w:w="204"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pPr>
            <w:r>
              <w:rPr/>
              <w:t xml:space="preserve">How can I get copies of the proxy materials?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If you need a copy of our proxy materials for the Annual Shareholders Meeting, please contact our proxy solicitor by email, mail or phone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50"/>
        <w:gridCol w:w="122"/>
        <w:gridCol w:w="9233"/>
      </w:tblGrid>
      <w:tr>
        <w:trPr/>
        <w:tc>
          <w:tcPr>
            <w:tcW w:w="85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9233" w:type="dxa"/>
            <w:tcBorders/>
            <w:shd w:fill="auto" w:val="clear"/>
            <w:vAlign w:val="center"/>
          </w:tcPr>
          <w:p>
            <w:pPr>
              <w:pStyle w:val="TableContents"/>
              <w:spacing w:before="0" w:after="283"/>
              <w:rPr>
                <w:sz w:val="4"/>
                <w:szCs w:val="4"/>
              </w:rPr>
            </w:pPr>
            <w:r>
              <w:rPr>
                <w:sz w:val="4"/>
                <w:szCs w:val="4"/>
              </w:rPr>
            </w:r>
          </w:p>
        </w:tc>
      </w:tr>
      <w:tr>
        <w:trPr/>
        <w:tc>
          <w:tcPr>
            <w:tcW w:w="850" w:type="dxa"/>
            <w:tcBorders/>
            <w:shd w:fill="auto" w:val="clear"/>
            <w:vAlign w:val="center"/>
          </w:tcPr>
          <w:p>
            <w:pPr>
              <w:pStyle w:val="TableContents"/>
              <w:spacing w:before="0" w:after="283"/>
              <w:rPr/>
            </w:pPr>
            <w:r>
              <w:rPr/>
              <w:drawing>
                <wp:inline distT="0" distB="0" distL="0" distR="0">
                  <wp:extent cx="46990" cy="46990"/>
                  <wp:effectExtent l="0" t="0" r="0" b="0"/>
                  <wp:docPr id="9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9" descr=""/>
                          <pic:cNvPicPr>
                            <a:picLocks noChangeAspect="1" noChangeArrowheads="1"/>
                          </pic:cNvPicPr>
                        </pic:nvPicPr>
                        <pic:blipFill>
                          <a:blip r:embed="rId80"/>
                          <a:stretch>
                            <a:fillRect/>
                          </a:stretch>
                        </pic:blipFill>
                        <pic:spPr bwMode="auto">
                          <a:xfrm>
                            <a:off x="0" y="0"/>
                            <a:ext cx="46990" cy="46990"/>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9233" w:type="dxa"/>
            <w:tcBorders/>
            <w:shd w:fill="auto" w:val="clear"/>
            <w:vAlign w:val="center"/>
          </w:tcPr>
          <w:p>
            <w:pPr>
              <w:pStyle w:val="TableContents"/>
              <w:spacing w:before="0" w:after="283"/>
              <w:rPr/>
            </w:pPr>
            <w:r>
              <w:rPr/>
              <w:t>SRE.info@investor.morrowsodali.com</w:t>
            </w:r>
          </w:p>
        </w:tc>
      </w:tr>
      <w:tr>
        <w:trPr>
          <w:trHeight w:val="240" w:hRule="atLeast"/>
        </w:trPr>
        <w:tc>
          <w:tcPr>
            <w:tcW w:w="850" w:type="dxa"/>
            <w:tcBorders/>
            <w:shd w:fill="auto" w:val="clear"/>
            <w:vAlign w:val="center"/>
          </w:tcPr>
          <w:p>
            <w:pPr>
              <w:pStyle w:val="TableContents"/>
              <w:spacing w:before="0" w:after="283"/>
              <w:rPr>
                <w:sz w:val="4"/>
                <w:szCs w:val="4"/>
              </w:rPr>
            </w:pPr>
            <w:r>
              <w:rPr>
                <w:sz w:val="4"/>
                <w:szCs w:val="4"/>
              </w:rPr>
            </w:r>
          </w:p>
        </w:tc>
        <w:tc>
          <w:tcPr>
            <w:tcW w:w="9355" w:type="dxa"/>
            <w:gridSpan w:val="2"/>
            <w:tcBorders/>
            <w:shd w:fill="auto" w:val="clear"/>
            <w:vAlign w:val="center"/>
          </w:tcPr>
          <w:p>
            <w:pPr>
              <w:pStyle w:val="TableContents"/>
              <w:spacing w:before="0" w:after="283"/>
              <w:rPr>
                <w:sz w:val="4"/>
                <w:szCs w:val="4"/>
              </w:rPr>
            </w:pPr>
            <w:r>
              <w:rPr>
                <w:sz w:val="4"/>
                <w:szCs w:val="4"/>
              </w:rPr>
            </w:r>
          </w:p>
        </w:tc>
      </w:tr>
      <w:tr>
        <w:trPr/>
        <w:tc>
          <w:tcPr>
            <w:tcW w:w="850" w:type="dxa"/>
            <w:tcBorders/>
            <w:shd w:fill="auto" w:val="clear"/>
          </w:tcPr>
          <w:p>
            <w:pPr>
              <w:pStyle w:val="TableContents"/>
              <w:spacing w:before="0" w:after="283"/>
              <w:rPr/>
            </w:pPr>
            <w:r>
              <w:rPr/>
              <w:drawing>
                <wp:inline distT="0" distB="0" distL="0" distR="0">
                  <wp:extent cx="304800" cy="219075"/>
                  <wp:effectExtent l="0" t="0" r="0" b="0"/>
                  <wp:docPr id="9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0" descr=""/>
                          <pic:cNvPicPr>
                            <a:picLocks noChangeAspect="1" noChangeArrowheads="1"/>
                          </pic:cNvPicPr>
                        </pic:nvPicPr>
                        <pic:blipFill>
                          <a:blip r:embed="rId81"/>
                          <a:stretch>
                            <a:fillRect/>
                          </a:stretch>
                        </pic:blipFill>
                        <pic:spPr bwMode="auto">
                          <a:xfrm>
                            <a:off x="0" y="0"/>
                            <a:ext cx="304800" cy="219075"/>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9233" w:type="dxa"/>
            <w:tcBorders/>
            <w:shd w:fill="auto" w:val="clear"/>
            <w:vAlign w:val="center"/>
          </w:tcPr>
          <w:p>
            <w:pPr>
              <w:pStyle w:val="TableContents"/>
              <w:spacing w:before="0" w:after="0"/>
              <w:rPr>
                <w:rFonts w:ascii="arial" w:hAnsi="arial"/>
                <w:sz w:val="16"/>
              </w:rPr>
            </w:pPr>
            <w:r>
              <w:rPr>
                <w:rFonts w:ascii="arial" w:hAnsi="arial"/>
                <w:sz w:val="16"/>
              </w:rPr>
              <w:t>Morrow Sodali LLC</w:t>
            </w:r>
          </w:p>
          <w:p>
            <w:pPr>
              <w:pStyle w:val="TableContents"/>
              <w:spacing w:before="0" w:after="0"/>
              <w:rPr>
                <w:rFonts w:ascii="arial" w:hAnsi="arial"/>
                <w:sz w:val="16"/>
              </w:rPr>
            </w:pPr>
            <w:r>
              <w:rPr>
                <w:rFonts w:ascii="arial" w:hAnsi="arial"/>
                <w:sz w:val="16"/>
              </w:rPr>
              <w:t>470 West Avenue</w:t>
            </w:r>
          </w:p>
          <w:p>
            <w:pPr>
              <w:pStyle w:val="TableContents"/>
              <w:spacing w:before="0" w:after="20"/>
              <w:rPr>
                <w:rFonts w:ascii="arial" w:hAnsi="arial"/>
                <w:sz w:val="16"/>
              </w:rPr>
            </w:pPr>
            <w:r>
              <w:rPr>
                <w:rFonts w:ascii="arial" w:hAnsi="arial"/>
                <w:sz w:val="16"/>
              </w:rPr>
              <w:t>Stamford, CT 06902</w:t>
            </w:r>
          </w:p>
        </w:tc>
      </w:tr>
      <w:tr>
        <w:trPr>
          <w:trHeight w:val="240" w:hRule="atLeast"/>
        </w:trPr>
        <w:tc>
          <w:tcPr>
            <w:tcW w:w="850" w:type="dxa"/>
            <w:tcBorders/>
            <w:shd w:fill="auto" w:val="clear"/>
            <w:vAlign w:val="center"/>
          </w:tcPr>
          <w:p>
            <w:pPr>
              <w:pStyle w:val="TableContents"/>
              <w:spacing w:before="0" w:after="283"/>
              <w:rPr>
                <w:sz w:val="4"/>
                <w:szCs w:val="4"/>
              </w:rPr>
            </w:pPr>
            <w:r>
              <w:rPr>
                <w:sz w:val="4"/>
                <w:szCs w:val="4"/>
              </w:rPr>
            </w:r>
          </w:p>
        </w:tc>
        <w:tc>
          <w:tcPr>
            <w:tcW w:w="9355" w:type="dxa"/>
            <w:gridSpan w:val="2"/>
            <w:tcBorders/>
            <w:shd w:fill="auto" w:val="clear"/>
            <w:vAlign w:val="center"/>
          </w:tcPr>
          <w:p>
            <w:pPr>
              <w:pStyle w:val="TableContents"/>
              <w:spacing w:before="0" w:after="283"/>
              <w:rPr>
                <w:sz w:val="4"/>
                <w:szCs w:val="4"/>
              </w:rPr>
            </w:pPr>
            <w:r>
              <w:rPr>
                <w:sz w:val="4"/>
                <w:szCs w:val="4"/>
              </w:rPr>
            </w:r>
          </w:p>
        </w:tc>
      </w:tr>
      <w:tr>
        <w:trPr/>
        <w:tc>
          <w:tcPr>
            <w:tcW w:w="850" w:type="dxa"/>
            <w:tcBorders/>
            <w:shd w:fill="auto" w:val="clear"/>
            <w:vAlign w:val="center"/>
          </w:tcPr>
          <w:p>
            <w:pPr>
              <w:pStyle w:val="TableContents"/>
              <w:spacing w:before="0" w:after="283"/>
              <w:rPr/>
            </w:pPr>
            <w:r>
              <w:rPr/>
              <w:drawing>
                <wp:inline distT="0" distB="0" distL="0" distR="0">
                  <wp:extent cx="34290" cy="41910"/>
                  <wp:effectExtent l="0" t="0" r="0" b="0"/>
                  <wp:docPr id="9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1" descr=""/>
                          <pic:cNvPicPr>
                            <a:picLocks noChangeAspect="1" noChangeArrowheads="1"/>
                          </pic:cNvPicPr>
                        </pic:nvPicPr>
                        <pic:blipFill>
                          <a:blip r:embed="rId82"/>
                          <a:stretch>
                            <a:fillRect/>
                          </a:stretch>
                        </pic:blipFill>
                        <pic:spPr bwMode="auto">
                          <a:xfrm>
                            <a:off x="0" y="0"/>
                            <a:ext cx="34290" cy="41910"/>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9233" w:type="dxa"/>
            <w:tcBorders/>
            <w:shd w:fill="auto" w:val="clear"/>
            <w:vAlign w:val="center"/>
          </w:tcPr>
          <w:p>
            <w:pPr>
              <w:pStyle w:val="TableContents"/>
              <w:spacing w:before="0" w:after="0"/>
              <w:rPr>
                <w:rFonts w:ascii="arial" w:hAnsi="arial"/>
                <w:sz w:val="16"/>
              </w:rPr>
            </w:pPr>
            <w:r>
              <w:rPr>
                <w:rFonts w:ascii="arial" w:hAnsi="arial"/>
                <w:sz w:val="16"/>
              </w:rPr>
              <w:t>(800) 662-5200 (U.S. and Canada)</w:t>
            </w:r>
          </w:p>
          <w:p>
            <w:pPr>
              <w:pStyle w:val="TableContents"/>
              <w:spacing w:before="0" w:after="0"/>
              <w:rPr>
                <w:rFonts w:ascii="arial" w:hAnsi="arial"/>
                <w:sz w:val="16"/>
              </w:rPr>
            </w:pPr>
            <w:r>
              <w:rPr>
                <w:rFonts w:ascii="arial" w:hAnsi="arial"/>
                <w:sz w:val="16"/>
              </w:rPr>
              <w:t>+1 (203) 658-9400 (International)</w:t>
            </w:r>
          </w:p>
          <w:p>
            <w:pPr>
              <w:pStyle w:val="TableContents"/>
              <w:spacing w:before="0" w:after="20"/>
              <w:rPr/>
            </w:pPr>
            <w:r>
              <w:rPr/>
              <w:t> </w:t>
            </w:r>
          </w:p>
        </w:tc>
      </w:tr>
    </w:tbl>
    <w:p>
      <w:pPr>
        <w:pStyle w:val="TextBody"/>
        <w:spacing w:before="240" w:after="0"/>
        <w:jc w:val="left"/>
        <w:rPr>
          <w:rFonts w:ascii="arial" w:hAnsi="arial"/>
          <w:sz w:val="16"/>
        </w:rPr>
      </w:pPr>
      <w:r>
        <w:rPr>
          <w:rFonts w:ascii="arial" w:hAnsi="arial"/>
          <w:sz w:val="16"/>
        </w:rPr>
        <w:t xml:space="preserve">Shareholders also may write to or email us at the following addresses to request a copy of our proxy materials for the Annual Shareholders Meeting: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72"/>
        <w:gridCol w:w="120"/>
        <w:gridCol w:w="9213"/>
      </w:tblGrid>
      <w:tr>
        <w:trPr/>
        <w:tc>
          <w:tcPr>
            <w:tcW w:w="8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213" w:type="dxa"/>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tcPr>
          <w:p>
            <w:pPr>
              <w:pStyle w:val="TableContents"/>
              <w:spacing w:before="0" w:after="0"/>
              <w:rPr/>
            </w:pPr>
            <w:r>
              <w:rPr/>
              <w:t> </w:t>
            </w:r>
          </w:p>
          <w:p>
            <w:pPr>
              <w:pStyle w:val="TableContents"/>
              <w:spacing w:before="0" w:after="20"/>
              <w:rPr/>
            </w:pPr>
            <w:r>
              <w:rPr/>
              <w:drawing>
                <wp:inline distT="0" distB="0" distL="0" distR="0">
                  <wp:extent cx="304800" cy="219075"/>
                  <wp:effectExtent l="0" t="0" r="0" b="0"/>
                  <wp:docPr id="9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2" descr=""/>
                          <pic:cNvPicPr>
                            <a:picLocks noChangeAspect="1" noChangeArrowheads="1"/>
                          </pic:cNvPicPr>
                        </pic:nvPicPr>
                        <pic:blipFill>
                          <a:blip r:embed="rId83"/>
                          <a:stretch>
                            <a:fillRect/>
                          </a:stretch>
                        </pic:blipFill>
                        <pic:spPr bwMode="auto">
                          <a:xfrm>
                            <a:off x="0" y="0"/>
                            <a:ext cx="304800" cy="219075"/>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9213" w:type="dxa"/>
            <w:tcBorders/>
            <w:shd w:fill="auto" w:val="clear"/>
            <w:vAlign w:val="bottom"/>
          </w:tcPr>
          <w:p>
            <w:pPr>
              <w:pStyle w:val="TableContents"/>
              <w:spacing w:before="0" w:after="0"/>
              <w:rPr>
                <w:rFonts w:ascii="arial" w:hAnsi="arial"/>
                <w:sz w:val="16"/>
              </w:rPr>
            </w:pPr>
            <w:r>
              <w:rPr>
                <w:rFonts w:ascii="arial" w:hAnsi="arial"/>
                <w:sz w:val="16"/>
              </w:rPr>
              <w:t>Attn: Corporate Secretary</w:t>
            </w:r>
          </w:p>
          <w:p>
            <w:pPr>
              <w:pStyle w:val="TableContents"/>
              <w:spacing w:before="0" w:after="0"/>
              <w:rPr>
                <w:rFonts w:ascii="arial" w:hAnsi="arial"/>
                <w:sz w:val="16"/>
              </w:rPr>
            </w:pPr>
            <w:r>
              <w:rPr>
                <w:rFonts w:ascii="arial" w:hAnsi="arial"/>
                <w:sz w:val="16"/>
              </w:rPr>
              <w:t>Sempra Energy</w:t>
            </w:r>
          </w:p>
          <w:p>
            <w:pPr>
              <w:pStyle w:val="TableContents"/>
              <w:spacing w:before="0" w:after="0"/>
              <w:rPr>
                <w:rFonts w:ascii="arial" w:hAnsi="arial"/>
                <w:sz w:val="16"/>
              </w:rPr>
            </w:pPr>
            <w:r>
              <w:rPr>
                <w:rFonts w:ascii="arial" w:hAnsi="arial"/>
                <w:sz w:val="16"/>
              </w:rPr>
              <w:t>488 8th Avenue</w:t>
            </w:r>
          </w:p>
          <w:p>
            <w:pPr>
              <w:pStyle w:val="TableContents"/>
              <w:spacing w:before="0" w:after="20"/>
              <w:rPr>
                <w:rFonts w:ascii="arial" w:hAnsi="arial"/>
                <w:sz w:val="16"/>
              </w:rPr>
            </w:pPr>
            <w:r>
              <w:rPr>
                <w:rFonts w:ascii="arial" w:hAnsi="arial"/>
                <w:sz w:val="16"/>
              </w:rPr>
              <w:t>San Diego, CA 92101</w:t>
            </w:r>
          </w:p>
        </w:tc>
      </w:tr>
      <w:tr>
        <w:trPr>
          <w:trHeight w:val="240" w:hRule="atLeast"/>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drawing>
                <wp:inline distT="0" distB="0" distL="0" distR="0">
                  <wp:extent cx="46990" cy="46990"/>
                  <wp:effectExtent l="0" t="0" r="0" b="0"/>
                  <wp:docPr id="9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3" descr=""/>
                          <pic:cNvPicPr>
                            <a:picLocks noChangeAspect="1" noChangeArrowheads="1"/>
                          </pic:cNvPicPr>
                        </pic:nvPicPr>
                        <pic:blipFill>
                          <a:blip r:embed="rId84"/>
                          <a:stretch>
                            <a:fillRect/>
                          </a:stretch>
                        </pic:blipFill>
                        <pic:spPr bwMode="auto">
                          <a:xfrm>
                            <a:off x="0" y="0"/>
                            <a:ext cx="46990" cy="4699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9213" w:type="dxa"/>
            <w:tcBorders/>
            <w:shd w:fill="auto" w:val="clear"/>
            <w:vAlign w:val="center"/>
          </w:tcPr>
          <w:p>
            <w:pPr>
              <w:pStyle w:val="TableContents"/>
              <w:spacing w:before="0" w:after="0"/>
              <w:rPr>
                <w:rFonts w:ascii="arial" w:hAnsi="arial"/>
                <w:sz w:val="16"/>
              </w:rPr>
            </w:pPr>
            <w:r>
              <w:rPr>
                <w:rFonts w:ascii="arial" w:hAnsi="arial"/>
                <w:sz w:val="16"/>
              </w:rPr>
              <w:t>Investor@sempra.com</w:t>
            </w:r>
          </w:p>
          <w:p>
            <w:pPr>
              <w:pStyle w:val="TableContents"/>
              <w:spacing w:before="0" w:after="2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2"/>
        <w:gridCol w:w="9494"/>
      </w:tblGrid>
      <w:tr>
        <w:trPr/>
        <w:tc>
          <w:tcPr>
            <w:tcW w:w="509" w:type="dxa"/>
            <w:tcBorders/>
            <w:shd w:fill="auto" w:val="clear"/>
          </w:tcPr>
          <w:p>
            <w:pPr>
              <w:pStyle w:val="TableContents"/>
              <w:spacing w:before="0" w:after="283"/>
              <w:jc w:val="left"/>
              <w:rPr>
                <w:color w:val="001C71"/>
              </w:rPr>
            </w:pPr>
            <w:r>
              <w:rPr>
                <w:color w:val="001C71"/>
              </w:rPr>
              <w:t>38.</w:t>
            </w:r>
          </w:p>
        </w:tc>
        <w:tc>
          <w:tcPr>
            <w:tcW w:w="2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pPr>
            <w:r>
              <w:rPr/>
              <w:t xml:space="preserve">Who do I contact with any additional questions? </w:t>
            </w:r>
          </w:p>
        </w:tc>
      </w:tr>
    </w:tbl>
    <w:p>
      <w:pPr>
        <w:pStyle w:val="TextBody"/>
        <w:pBdr>
          <w:bottom w:val="single" w:sz="2" w:space="1" w:color="001C71"/>
        </w:pBdr>
        <w:spacing w:lineRule="atLeast" w:line="180" w:before="0" w:after="40"/>
        <w:jc w:val="left"/>
        <w:rPr/>
      </w:pPr>
      <w:r>
        <w:rPr/>
        <w:t> </w:t>
      </w:r>
    </w:p>
    <w:p>
      <w:pPr>
        <w:pStyle w:val="TextBody"/>
        <w:spacing w:before="80" w:after="0"/>
        <w:jc w:val="left"/>
        <w:rPr>
          <w:rFonts w:ascii="arial" w:hAnsi="arial"/>
          <w:sz w:val="16"/>
        </w:rPr>
      </w:pPr>
      <w:r>
        <w:rPr>
          <w:rFonts w:ascii="arial" w:hAnsi="arial"/>
          <w:sz w:val="16"/>
        </w:rPr>
        <w:t xml:space="preserve">If you have any additional questions about the Annual Shareholders Meeting or how you may vote, or how to change or revoke your vote, you should contact our proxy solicitor, Morrow Sodali LLC, at the addresses or phone numbers set forth in Question 37 above. </w:t>
      </w:r>
    </w:p>
    <w:p>
      <w:pPr>
        <w:pStyle w:val="TextBody"/>
        <w:spacing w:before="1200" w:after="0"/>
        <w:jc w:val="left"/>
        <w:rPr>
          <w:rFonts w:ascii="arial" w:hAnsi="arial"/>
          <w:sz w:val="16"/>
        </w:rPr>
      </w:pPr>
      <w:r>
        <w:rPr>
          <w:rFonts w:ascii="arial" w:hAnsi="arial"/>
          <w:sz w:val="16"/>
        </w:rPr>
        <w:t xml:space="preserve">This Notice of Annual Shareholders Meeting and proxy statement are sent by order of the Sempra Energy Board of Directors.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rFonts w:ascii="arial" w:hAnsi="arial"/>
          <w:b/>
          <w:sz w:val="18"/>
        </w:rPr>
      </w:pPr>
      <w:r>
        <w:rPr>
          <w:rFonts w:ascii="arial" w:hAnsi="arial"/>
          <w:b/>
          <w:sz w:val="18"/>
        </w:rPr>
        <w:t xml:space="preserve">Jennifer F. Jett </w:t>
      </w:r>
    </w:p>
    <w:p>
      <w:pPr>
        <w:pStyle w:val="TextBody"/>
        <w:spacing w:before="0" w:after="0"/>
        <w:jc w:val="left"/>
        <w:rPr>
          <w:rFonts w:ascii="arial" w:hAnsi="arial"/>
          <w:sz w:val="18"/>
        </w:rPr>
      </w:pPr>
      <w:r>
        <w:rPr>
          <w:rFonts w:ascii="arial" w:hAnsi="arial"/>
          <w:sz w:val="18"/>
        </w:rPr>
        <w:t xml:space="preserve">Corporate Secretary </w:t>
      </w:r>
    </w:p>
    <w:p>
      <w:pPr>
        <w:pStyle w:val="TextBody"/>
        <w:spacing w:before="240" w:after="0"/>
        <w:jc w:val="left"/>
        <w:rPr>
          <w:rFonts w:ascii="arial" w:hAnsi="arial"/>
          <w:sz w:val="16"/>
        </w:rPr>
      </w:pPr>
      <w:r>
        <w:rPr>
          <w:rFonts w:ascii="arial" w:hAnsi="arial"/>
          <w:sz w:val="16"/>
        </w:rPr>
        <w:t xml:space="preserve">Dated: March 26,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5"/>
        <w:gridCol w:w="115"/>
        <w:gridCol w:w="9685"/>
      </w:tblGrid>
      <w:tr>
        <w:trPr/>
        <w:tc>
          <w:tcPr>
            <w:tcW w:w="40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9685"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100</w:t>
            </w:r>
          </w:p>
        </w:tc>
        <w:tc>
          <w:tcPr>
            <w:tcW w:w="115" w:type="dxa"/>
            <w:tcBorders/>
            <w:shd w:fill="auto" w:val="clear"/>
            <w:vAlign w:val="bottom"/>
          </w:tcPr>
          <w:p>
            <w:pPr>
              <w:pStyle w:val="TableContents"/>
              <w:spacing w:before="0" w:after="283"/>
              <w:rPr/>
            </w:pPr>
            <w:r>
              <w:rPr/>
              <w:t> </w:t>
            </w:r>
          </w:p>
        </w:tc>
        <w:tc>
          <w:tcPr>
            <w:tcW w:w="9685"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1C71"/>
          <w:sz w:val="44"/>
        </w:rPr>
      </w:pPr>
      <w:bookmarkStart w:id="53" w:name="toc108157_29"/>
      <w:bookmarkEnd w:id="53"/>
      <w:r>
        <w:rPr>
          <w:rFonts w:ascii="arial" w:hAnsi="arial"/>
          <w:b/>
          <w:color w:val="001C71"/>
          <w:sz w:val="44"/>
        </w:rPr>
        <w:t xml:space="preserve">Appendix A </w:t>
      </w:r>
    </w:p>
    <w:p>
      <w:pPr>
        <w:pStyle w:val="TextBody"/>
        <w:spacing w:before="360" w:after="0"/>
        <w:jc w:val="left"/>
        <w:rPr>
          <w:rFonts w:ascii="arial" w:hAnsi="arial"/>
          <w:color w:val="001C71"/>
          <w:sz w:val="16"/>
        </w:rPr>
      </w:pPr>
      <w:r>
        <w:rPr>
          <w:rFonts w:ascii="arial" w:hAnsi="arial"/>
          <w:color w:val="001C71"/>
          <w:sz w:val="16"/>
        </w:rPr>
        <w:t xml:space="preserve">RECONCILIATION OF NON-GAAP FINANCIAL MEASURES </w:t>
      </w:r>
    </w:p>
    <w:p>
      <w:pPr>
        <w:pStyle w:val="TextBody"/>
        <w:spacing w:before="160" w:after="0"/>
        <w:jc w:val="left"/>
        <w:rPr>
          <w:rFonts w:ascii="arial" w:hAnsi="arial"/>
          <w:sz w:val="16"/>
        </w:rPr>
      </w:pPr>
      <w:r>
        <w:rPr>
          <w:rFonts w:ascii="arial" w:hAnsi="arial"/>
          <w:sz w:val="16"/>
        </w:rPr>
        <w:t xml:space="preserve">RECONCILIATION OF SEMPRA ENERGY ADJUSTED EARNINGS TO SEMPRA ENERGY GAAP EARNINGS (Unaudited)(1) </w:t>
      </w:r>
    </w:p>
    <w:p>
      <w:pPr>
        <w:pStyle w:val="TextBody"/>
        <w:spacing w:before="160" w:after="0"/>
        <w:jc w:val="left"/>
        <w:rPr>
          <w:rFonts w:ascii="arial" w:hAnsi="arial"/>
          <w:b/>
          <w:sz w:val="16"/>
        </w:rPr>
      </w:pPr>
      <w:r>
        <w:rPr>
          <w:rFonts w:ascii="arial" w:hAnsi="arial"/>
          <w:b/>
          <w:sz w:val="16"/>
        </w:rPr>
        <w:t xml:space="preserve">Sempra Energy Adjusted Earnings and Adjusted Earnings Per Common Share (EPS) exclude items (after the effects of income taxes and, if applicable, noncontrolling interests) in 2020, 2019, 2015 and 2010 as follows: </w:t>
      </w:r>
    </w:p>
    <w:p>
      <w:pPr>
        <w:pStyle w:val="TextBody"/>
        <w:spacing w:before="160" w:after="0"/>
        <w:jc w:val="left"/>
        <w:rPr>
          <w:rFonts w:ascii="arial" w:hAnsi="arial"/>
          <w:sz w:val="16"/>
        </w:rPr>
      </w:pPr>
      <w:r>
        <w:rPr>
          <w:rFonts w:ascii="arial" w:hAnsi="arial"/>
          <w:sz w:val="16"/>
        </w:rPr>
        <w:t xml:space="preserve">In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9"/>
        <w:gridCol w:w="9871"/>
      </w:tblGrid>
      <w:tr>
        <w:trPr/>
        <w:tc>
          <w:tcPr>
            <w:tcW w:w="205" w:type="dxa"/>
            <w:tcBorders/>
            <w:shd w:fill="auto" w:val="clear"/>
          </w:tcPr>
          <w:p>
            <w:pPr>
              <w:pStyle w:val="TableContents"/>
              <w:spacing w:before="0" w:after="283"/>
              <w:jc w:val="left"/>
              <w:rPr>
                <w:color w:val="001C71"/>
                <w:sz w:val="22"/>
              </w:rPr>
            </w:pPr>
            <w:r>
              <w:rPr>
                <w:color w:val="001C71"/>
                <w:sz w:val="22"/>
              </w:rPr>
              <w:t></w:t>
            </w:r>
          </w:p>
        </w:tc>
        <w:tc>
          <w:tcPr>
            <w:tcW w:w="129" w:type="dxa"/>
            <w:tcBorders/>
            <w:shd w:fill="auto" w:val="clear"/>
          </w:tcPr>
          <w:p>
            <w:pPr>
              <w:pStyle w:val="TableContents"/>
              <w:spacing w:before="0" w:after="283"/>
              <w:rPr/>
            </w:pPr>
            <w:r>
              <w:rPr/>
              <w:t> </w:t>
            </w:r>
          </w:p>
        </w:tc>
        <w:tc>
          <w:tcPr>
            <w:tcW w:w="9871" w:type="dxa"/>
            <w:tcBorders/>
            <w:shd w:fill="auto" w:val="clear"/>
          </w:tcPr>
          <w:p>
            <w:pPr>
              <w:pStyle w:val="TableContents"/>
              <w:spacing w:before="0" w:after="0"/>
              <w:jc w:val="left"/>
              <w:rPr>
                <w:rFonts w:ascii="arial" w:hAnsi="arial"/>
                <w:sz w:val="16"/>
              </w:rPr>
            </w:pPr>
            <w:r>
              <w:rPr>
                <w:rFonts w:ascii="arial" w:hAnsi="arial"/>
                <w:sz w:val="16"/>
              </w:rPr>
              <w:t xml:space="preserve">$(233) million from impacts associated with Aliso Canyon natural gas storage facility litigation and regulatory matters at SoCalGas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0"/>
        <w:gridCol w:w="127"/>
        <w:gridCol w:w="9878"/>
      </w:tblGrid>
      <w:tr>
        <w:trPr/>
        <w:tc>
          <w:tcPr>
            <w:tcW w:w="200" w:type="dxa"/>
            <w:tcBorders/>
            <w:shd w:fill="auto" w:val="clear"/>
          </w:tcPr>
          <w:p>
            <w:pPr>
              <w:pStyle w:val="TableContents"/>
              <w:spacing w:before="0" w:after="283"/>
              <w:jc w:val="left"/>
              <w:rPr>
                <w:color w:val="001C71"/>
                <w:sz w:val="22"/>
              </w:rPr>
            </w:pPr>
            <w:r>
              <w:rPr>
                <w:color w:val="001C71"/>
                <w:sz w:val="22"/>
              </w:rPr>
              <w:t></w:t>
            </w:r>
          </w:p>
        </w:tc>
        <w:tc>
          <w:tcPr>
            <w:tcW w:w="127" w:type="dxa"/>
            <w:tcBorders/>
            <w:shd w:fill="auto" w:val="clear"/>
          </w:tcPr>
          <w:p>
            <w:pPr>
              <w:pStyle w:val="TableContents"/>
              <w:spacing w:before="0" w:after="283"/>
              <w:rPr/>
            </w:pPr>
            <w:r>
              <w:rPr/>
              <w:t> </w:t>
            </w:r>
          </w:p>
        </w:tc>
        <w:tc>
          <w:tcPr>
            <w:tcW w:w="9878" w:type="dxa"/>
            <w:tcBorders/>
            <w:shd w:fill="auto" w:val="clear"/>
          </w:tcPr>
          <w:p>
            <w:pPr>
              <w:pStyle w:val="TableContents"/>
              <w:spacing w:before="0" w:after="0"/>
              <w:jc w:val="left"/>
              <w:rPr>
                <w:rFonts w:ascii="arial" w:hAnsi="arial"/>
                <w:sz w:val="16"/>
              </w:rPr>
            </w:pPr>
            <w:r>
              <w:rPr>
                <w:rFonts w:ascii="arial" w:hAnsi="arial"/>
                <w:sz w:val="16"/>
              </w:rPr>
              <w:t xml:space="preserve">$(100) million equity losses at RBS Sempra Commodities LLP, which represent an estimate of our obligations to settle pending tax matters and related legal costs at our equity method investment at Parent and Other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color w:val="001C71"/>
                <w:sz w:val="22"/>
              </w:rPr>
            </w:pPr>
            <w:r>
              <w:rPr>
                <w:color w:val="001C71"/>
                <w:sz w:val="22"/>
              </w:rPr>
              <w:t></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0"/>
              <w:jc w:val="left"/>
              <w:rPr>
                <w:rFonts w:ascii="arial" w:hAnsi="arial"/>
                <w:sz w:val="16"/>
              </w:rPr>
            </w:pPr>
            <w:r>
              <w:rPr>
                <w:rFonts w:ascii="arial" w:hAnsi="arial"/>
                <w:sz w:val="16"/>
              </w:rPr>
              <w:t xml:space="preserve">$1,747 million gain on the sale of our South American businesses </w:t>
            </w:r>
          </w:p>
        </w:tc>
      </w:tr>
    </w:tbl>
    <w:p>
      <w:pPr>
        <w:pStyle w:val="TextBody"/>
        <w:spacing w:before="160" w:after="0"/>
        <w:jc w:val="left"/>
        <w:rPr>
          <w:rFonts w:ascii="arial" w:hAnsi="arial"/>
          <w:sz w:val="16"/>
        </w:rPr>
      </w:pPr>
      <w:r>
        <w:rPr>
          <w:rFonts w:ascii="arial" w:hAnsi="arial"/>
          <w:sz w:val="16"/>
        </w:rPr>
        <w:t xml:space="preserve">In 2019: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3"/>
        <w:gridCol w:w="130"/>
        <w:gridCol w:w="9862"/>
      </w:tblGrid>
      <w:tr>
        <w:trPr/>
        <w:tc>
          <w:tcPr>
            <w:tcW w:w="213" w:type="dxa"/>
            <w:tcBorders/>
            <w:shd w:fill="auto" w:val="clear"/>
          </w:tcPr>
          <w:p>
            <w:pPr>
              <w:pStyle w:val="TableContents"/>
              <w:spacing w:before="0" w:after="283"/>
              <w:jc w:val="left"/>
              <w:rPr>
                <w:color w:val="001C71"/>
                <w:sz w:val="22"/>
              </w:rPr>
            </w:pPr>
            <w:r>
              <w:rPr>
                <w:color w:val="001C71"/>
                <w:sz w:val="22"/>
              </w:rPr>
              <w:t></w:t>
            </w:r>
          </w:p>
        </w:tc>
        <w:tc>
          <w:tcPr>
            <w:tcW w:w="130" w:type="dxa"/>
            <w:tcBorders/>
            <w:shd w:fill="auto" w:val="clear"/>
          </w:tcPr>
          <w:p>
            <w:pPr>
              <w:pStyle w:val="TableContents"/>
              <w:spacing w:before="0" w:after="283"/>
              <w:rPr/>
            </w:pPr>
            <w:r>
              <w:rPr/>
              <w:t> </w:t>
            </w:r>
          </w:p>
        </w:tc>
        <w:tc>
          <w:tcPr>
            <w:tcW w:w="9862" w:type="dxa"/>
            <w:tcBorders/>
            <w:shd w:fill="auto" w:val="clear"/>
          </w:tcPr>
          <w:p>
            <w:pPr>
              <w:pStyle w:val="TableContents"/>
              <w:spacing w:before="0" w:after="0"/>
              <w:jc w:val="left"/>
              <w:rPr>
                <w:rFonts w:ascii="arial" w:hAnsi="arial"/>
                <w:sz w:val="16"/>
              </w:rPr>
            </w:pPr>
            <w:r>
              <w:rPr>
                <w:rFonts w:ascii="arial" w:hAnsi="arial"/>
                <w:sz w:val="16"/>
              </w:rPr>
              <w:t xml:space="preserve">$45 million gain on the sale of certain Sempra Renewables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130"/>
        <w:gridCol w:w="9866"/>
      </w:tblGrid>
      <w:tr>
        <w:trPr/>
        <w:tc>
          <w:tcPr>
            <w:tcW w:w="209" w:type="dxa"/>
            <w:tcBorders/>
            <w:shd w:fill="auto" w:val="clear"/>
          </w:tcPr>
          <w:p>
            <w:pPr>
              <w:pStyle w:val="TableContents"/>
              <w:spacing w:before="0" w:after="283"/>
              <w:jc w:val="left"/>
              <w:rPr>
                <w:color w:val="001C71"/>
                <w:sz w:val="22"/>
              </w:rPr>
            </w:pPr>
            <w:r>
              <w:rPr>
                <w:color w:val="001C71"/>
                <w:sz w:val="22"/>
              </w:rPr>
              <w:t></w:t>
            </w:r>
          </w:p>
        </w:tc>
        <w:tc>
          <w:tcPr>
            <w:tcW w:w="130" w:type="dxa"/>
            <w:tcBorders/>
            <w:shd w:fill="auto" w:val="clear"/>
          </w:tcPr>
          <w:p>
            <w:pPr>
              <w:pStyle w:val="TableContents"/>
              <w:spacing w:before="0" w:after="283"/>
              <w:rPr/>
            </w:pPr>
            <w:r>
              <w:rPr/>
              <w:t> </w:t>
            </w:r>
          </w:p>
        </w:tc>
        <w:tc>
          <w:tcPr>
            <w:tcW w:w="9866" w:type="dxa"/>
            <w:tcBorders/>
            <w:shd w:fill="auto" w:val="clear"/>
          </w:tcPr>
          <w:p>
            <w:pPr>
              <w:pStyle w:val="TableContents"/>
              <w:spacing w:before="0" w:after="0"/>
              <w:jc w:val="left"/>
              <w:rPr>
                <w:rFonts w:ascii="arial" w:hAnsi="arial"/>
                <w:sz w:val="16"/>
              </w:rPr>
            </w:pPr>
            <w:r>
              <w:rPr>
                <w:rFonts w:ascii="arial" w:hAnsi="arial"/>
                <w:sz w:val="16"/>
              </w:rPr>
              <w:t xml:space="preserve">Associated with holding the South American businesses for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22"/>
        <w:gridCol w:w="206"/>
        <w:gridCol w:w="128"/>
        <w:gridCol w:w="9649"/>
      </w:tblGrid>
      <w:tr>
        <w:trPr/>
        <w:tc>
          <w:tcPr>
            <w:tcW w:w="2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649" w:type="dxa"/>
            <w:tcBorders/>
            <w:shd w:fill="auto" w:val="clear"/>
          </w:tcPr>
          <w:p>
            <w:pPr>
              <w:pStyle w:val="TableContents"/>
              <w:spacing w:before="0" w:after="0"/>
              <w:jc w:val="left"/>
              <w:rPr>
                <w:rFonts w:ascii="arial" w:hAnsi="arial"/>
                <w:sz w:val="16"/>
              </w:rPr>
            </w:pPr>
            <w:r>
              <w:rPr>
                <w:rFonts w:ascii="arial" w:hAnsi="arial"/>
                <w:sz w:val="16"/>
              </w:rPr>
              <w:t xml:space="preserve">$89 million income tax benefit from outside basis differences in our South American businesses primarily related to the change in our indefinite reinvestment assertion from our decision in January 2019 to hold those businesses for sale and a change in the anticipated structure of the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24"/>
        <w:gridCol w:w="214"/>
        <w:gridCol w:w="130"/>
        <w:gridCol w:w="9637"/>
      </w:tblGrid>
      <w:tr>
        <w:trPr/>
        <w:tc>
          <w:tcPr>
            <w:tcW w:w="224" w:type="dxa"/>
            <w:tcBorders/>
            <w:shd w:fill="auto" w:val="clear"/>
            <w:vAlign w:val="center"/>
          </w:tcPr>
          <w:p>
            <w:pPr>
              <w:pStyle w:val="TableContents"/>
              <w:spacing w:before="0" w:after="283"/>
              <w:rPr/>
            </w:pPr>
            <w:r>
              <w:rPr/>
              <w:t> </w:t>
            </w:r>
          </w:p>
        </w:tc>
        <w:tc>
          <w:tcPr>
            <w:tcW w:w="214"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637" w:type="dxa"/>
            <w:tcBorders/>
            <w:shd w:fill="auto" w:val="clear"/>
          </w:tcPr>
          <w:p>
            <w:pPr>
              <w:pStyle w:val="TableContents"/>
              <w:spacing w:before="0" w:after="0"/>
              <w:jc w:val="left"/>
              <w:rPr>
                <w:rFonts w:ascii="arial" w:hAnsi="arial"/>
                <w:sz w:val="16"/>
              </w:rPr>
            </w:pPr>
            <w:r>
              <w:rPr>
                <w:rFonts w:ascii="arial" w:hAnsi="arial"/>
                <w:sz w:val="16"/>
              </w:rPr>
              <w:t xml:space="preserve">$10 million income tax benefit to reduce a valuation allowance against certain net operating loss (NOL) carryforwards as a result of our decision to sell our South American businesses </w:t>
            </w:r>
          </w:p>
        </w:tc>
      </w:tr>
    </w:tbl>
    <w:p>
      <w:pPr>
        <w:pStyle w:val="TextBody"/>
        <w:spacing w:before="160" w:after="0"/>
        <w:jc w:val="left"/>
        <w:rPr>
          <w:rFonts w:ascii="arial" w:hAnsi="arial"/>
          <w:sz w:val="16"/>
        </w:rPr>
      </w:pPr>
      <w:r>
        <w:rPr>
          <w:rFonts w:ascii="arial" w:hAnsi="arial"/>
          <w:sz w:val="16"/>
        </w:rPr>
        <w:t xml:space="preserve">In 2015: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1"/>
        <w:gridCol w:w="128"/>
        <w:gridCol w:w="9876"/>
      </w:tblGrid>
      <w:tr>
        <w:trPr/>
        <w:tc>
          <w:tcPr>
            <w:tcW w:w="201" w:type="dxa"/>
            <w:tcBorders/>
            <w:shd w:fill="auto" w:val="clear"/>
          </w:tcPr>
          <w:p>
            <w:pPr>
              <w:pStyle w:val="TableContents"/>
              <w:spacing w:before="0" w:after="283"/>
              <w:jc w:val="left"/>
              <w:rPr>
                <w:color w:val="001C71"/>
                <w:sz w:val="22"/>
              </w:rPr>
            </w:pPr>
            <w:r>
              <w:rPr>
                <w:color w:val="001C71"/>
                <w:sz w:val="22"/>
              </w:rPr>
              <w:t></w:t>
            </w:r>
          </w:p>
        </w:tc>
        <w:tc>
          <w:tcPr>
            <w:tcW w:w="128" w:type="dxa"/>
            <w:tcBorders/>
            <w:shd w:fill="auto" w:val="clear"/>
          </w:tcPr>
          <w:p>
            <w:pPr>
              <w:pStyle w:val="TableContents"/>
              <w:spacing w:before="0" w:after="283"/>
              <w:rPr/>
            </w:pPr>
            <w:r>
              <w:rPr/>
              <w:t> </w:t>
            </w:r>
          </w:p>
        </w:tc>
        <w:tc>
          <w:tcPr>
            <w:tcW w:w="9876" w:type="dxa"/>
            <w:tcBorders/>
            <w:shd w:fill="auto" w:val="clear"/>
          </w:tcPr>
          <w:p>
            <w:pPr>
              <w:pStyle w:val="TableContents"/>
              <w:spacing w:before="0" w:after="0"/>
              <w:jc w:val="left"/>
              <w:rPr>
                <w:rFonts w:ascii="arial" w:hAnsi="arial"/>
                <w:sz w:val="16"/>
              </w:rPr>
            </w:pPr>
            <w:r>
              <w:rPr>
                <w:rFonts w:ascii="arial" w:hAnsi="arial"/>
                <w:sz w:val="16"/>
              </w:rPr>
              <w:t xml:space="preserve">$36 million gain on the sale of the remaining block of the Mesquite Power plant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3"/>
        <w:gridCol w:w="130"/>
        <w:gridCol w:w="9862"/>
      </w:tblGrid>
      <w:tr>
        <w:trPr/>
        <w:tc>
          <w:tcPr>
            <w:tcW w:w="213" w:type="dxa"/>
            <w:tcBorders/>
            <w:shd w:fill="auto" w:val="clear"/>
          </w:tcPr>
          <w:p>
            <w:pPr>
              <w:pStyle w:val="TableContents"/>
              <w:spacing w:before="0" w:after="283"/>
              <w:jc w:val="left"/>
              <w:rPr>
                <w:color w:val="001C71"/>
                <w:sz w:val="22"/>
              </w:rPr>
            </w:pPr>
            <w:r>
              <w:rPr>
                <w:color w:val="001C71"/>
                <w:sz w:val="22"/>
              </w:rPr>
              <w:t></w:t>
            </w:r>
          </w:p>
        </w:tc>
        <w:tc>
          <w:tcPr>
            <w:tcW w:w="130" w:type="dxa"/>
            <w:tcBorders/>
            <w:shd w:fill="auto" w:val="clear"/>
          </w:tcPr>
          <w:p>
            <w:pPr>
              <w:pStyle w:val="TableContents"/>
              <w:spacing w:before="0" w:after="283"/>
              <w:rPr/>
            </w:pPr>
            <w:r>
              <w:rPr/>
              <w:t> </w:t>
            </w:r>
          </w:p>
        </w:tc>
        <w:tc>
          <w:tcPr>
            <w:tcW w:w="9862" w:type="dxa"/>
            <w:tcBorders/>
            <w:shd w:fill="auto" w:val="clear"/>
          </w:tcPr>
          <w:p>
            <w:pPr>
              <w:pStyle w:val="TableContents"/>
              <w:spacing w:before="0" w:after="0"/>
              <w:jc w:val="left"/>
              <w:rPr>
                <w:rFonts w:ascii="arial" w:hAnsi="arial"/>
                <w:sz w:val="16"/>
              </w:rPr>
            </w:pPr>
            <w:r>
              <w:rPr>
                <w:rFonts w:ascii="arial" w:hAnsi="arial"/>
                <w:sz w:val="16"/>
              </w:rPr>
              <w:t xml:space="preserve">$15 million reduction in the plant closure loss related to the San Onofre Nuclear Generating Station (SONGS), primarily due to California Public Utilities Commission approval of SDG&amp;Es compliance filing for authorized recovery of its investment in SONGS </w:t>
            </w:r>
          </w:p>
        </w:tc>
      </w:tr>
    </w:tbl>
    <w:p>
      <w:pPr>
        <w:pStyle w:val="TextBody"/>
        <w:spacing w:before="160" w:after="0"/>
        <w:jc w:val="left"/>
        <w:rPr>
          <w:rFonts w:ascii="arial" w:hAnsi="arial"/>
          <w:sz w:val="16"/>
        </w:rPr>
      </w:pPr>
      <w:r>
        <w:rPr>
          <w:rFonts w:ascii="arial" w:hAnsi="arial"/>
          <w:sz w:val="16"/>
        </w:rPr>
        <w:t xml:space="preserve">In 2010: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0"/>
        <w:gridCol w:w="127"/>
        <w:gridCol w:w="9878"/>
      </w:tblGrid>
      <w:tr>
        <w:trPr/>
        <w:tc>
          <w:tcPr>
            <w:tcW w:w="200" w:type="dxa"/>
            <w:tcBorders/>
            <w:shd w:fill="auto" w:val="clear"/>
          </w:tcPr>
          <w:p>
            <w:pPr>
              <w:pStyle w:val="TableContents"/>
              <w:spacing w:before="0" w:after="283"/>
              <w:jc w:val="left"/>
              <w:rPr>
                <w:color w:val="001C71"/>
                <w:sz w:val="22"/>
              </w:rPr>
            </w:pPr>
            <w:r>
              <w:rPr>
                <w:color w:val="001C71"/>
                <w:sz w:val="22"/>
              </w:rPr>
              <w:t></w:t>
            </w:r>
          </w:p>
        </w:tc>
        <w:tc>
          <w:tcPr>
            <w:tcW w:w="127" w:type="dxa"/>
            <w:tcBorders/>
            <w:shd w:fill="auto" w:val="clear"/>
          </w:tcPr>
          <w:p>
            <w:pPr>
              <w:pStyle w:val="TableContents"/>
              <w:spacing w:before="0" w:after="283"/>
              <w:rPr/>
            </w:pPr>
            <w:r>
              <w:rPr/>
              <w:t> </w:t>
            </w:r>
          </w:p>
        </w:tc>
        <w:tc>
          <w:tcPr>
            <w:tcW w:w="9878" w:type="dxa"/>
            <w:tcBorders/>
            <w:shd w:fill="auto" w:val="clear"/>
          </w:tcPr>
          <w:p>
            <w:pPr>
              <w:pStyle w:val="TableContents"/>
              <w:spacing w:before="0" w:after="0"/>
              <w:jc w:val="left"/>
              <w:rPr>
                <w:rFonts w:ascii="arial" w:hAnsi="arial"/>
                <w:sz w:val="16"/>
              </w:rPr>
            </w:pPr>
            <w:r>
              <w:rPr>
                <w:rFonts w:ascii="arial" w:hAnsi="arial"/>
                <w:sz w:val="16"/>
              </w:rPr>
              <w:t xml:space="preserve">$(139) million write-down of our investment in RBS Sempra Commodities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1"/>
        <w:gridCol w:w="128"/>
        <w:gridCol w:w="9876"/>
      </w:tblGrid>
      <w:tr>
        <w:trPr/>
        <w:tc>
          <w:tcPr>
            <w:tcW w:w="201" w:type="dxa"/>
            <w:tcBorders/>
            <w:shd w:fill="auto" w:val="clear"/>
          </w:tcPr>
          <w:p>
            <w:pPr>
              <w:pStyle w:val="TableContents"/>
              <w:spacing w:before="0" w:after="283"/>
              <w:jc w:val="left"/>
              <w:rPr>
                <w:color w:val="001C71"/>
                <w:sz w:val="22"/>
              </w:rPr>
            </w:pPr>
            <w:r>
              <w:rPr>
                <w:color w:val="001C71"/>
                <w:sz w:val="22"/>
              </w:rPr>
              <w:t></w:t>
            </w:r>
          </w:p>
        </w:tc>
        <w:tc>
          <w:tcPr>
            <w:tcW w:w="128" w:type="dxa"/>
            <w:tcBorders/>
            <w:shd w:fill="auto" w:val="clear"/>
          </w:tcPr>
          <w:p>
            <w:pPr>
              <w:pStyle w:val="TableContents"/>
              <w:spacing w:before="0" w:after="283"/>
              <w:rPr/>
            </w:pPr>
            <w:r>
              <w:rPr/>
              <w:t> </w:t>
            </w:r>
          </w:p>
        </w:tc>
        <w:tc>
          <w:tcPr>
            <w:tcW w:w="9876" w:type="dxa"/>
            <w:tcBorders/>
            <w:shd w:fill="auto" w:val="clear"/>
          </w:tcPr>
          <w:p>
            <w:pPr>
              <w:pStyle w:val="TableContents"/>
              <w:spacing w:before="0" w:after="0"/>
              <w:jc w:val="left"/>
              <w:rPr>
                <w:rFonts w:ascii="arial" w:hAnsi="arial"/>
                <w:sz w:val="16"/>
              </w:rPr>
            </w:pPr>
            <w:r>
              <w:rPr>
                <w:rFonts w:ascii="arial" w:hAnsi="arial"/>
                <w:sz w:val="16"/>
              </w:rPr>
              <w:t xml:space="preserve">$(93) million charge for a litigation settlement related to the 2000-2001 California energy crisis </w:t>
            </w:r>
          </w:p>
        </w:tc>
      </w:tr>
    </w:tbl>
    <w:p>
      <w:pPr>
        <w:pStyle w:val="TextBody"/>
        <w:spacing w:before="160" w:after="0"/>
        <w:jc w:val="left"/>
        <w:rPr>
          <w:rFonts w:ascii="arial" w:hAnsi="arial"/>
          <w:sz w:val="16"/>
        </w:rPr>
      </w:pPr>
      <w:r>
        <w:rPr>
          <w:rFonts w:ascii="arial" w:hAnsi="arial"/>
          <w:sz w:val="16"/>
        </w:rPr>
        <w:t xml:space="preserve">Sempra Energy Adjusted Earnings, Weighted-Average Common Shares Outstanding  Adjusted and Adjusted EPS are non-GAAP financial measures (GAAP represents accounting principles generally accepted in the United States of America). Because of the significance and/or nature of the excluded items, management believes that these non-GAAP financial measures provide a meaningful comparison of the performance of Sempra Energys business operations to prior and future periods. Non-GAAP financial measures are supplementary information that should be considered in addition to, but not as a substitute for, the information prepared in accordance with GAAP. The table below reconciles for historical periods these non-GAAP financial measures to Sempra Energy GAAP Earnings, Weighted-Average Common Shares Outstanding  GAAP and GAAP EPS, which we consider to be the most directly comparable financial measures calculated in accordance with GAAP.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i/>
              </w:rPr>
            </w:pPr>
            <w:r>
              <w:rPr>
                <w:i/>
              </w:rPr>
              <w:t>(1)</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This description and reconciliation are different than the predefined adjustments to earnings for annual bonus plan purposes. Please see Appendix D for information about those adjustments.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82"/>
        <w:gridCol w:w="115"/>
        <w:gridCol w:w="408"/>
      </w:tblGrid>
      <w:tr>
        <w:trPr/>
        <w:tc>
          <w:tcPr>
            <w:tcW w:w="96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r>
      <w:tr>
        <w:trPr/>
        <w:tc>
          <w:tcPr>
            <w:tcW w:w="9682"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15"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right"/>
              <w:rPr/>
            </w:pPr>
            <w:r>
              <w:rPr/>
              <w:t>101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Appendix 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876"/>
        <w:gridCol w:w="23"/>
        <w:gridCol w:w="23"/>
        <w:gridCol w:w="140"/>
        <w:gridCol w:w="665"/>
        <w:gridCol w:w="95"/>
        <w:gridCol w:w="23"/>
        <w:gridCol w:w="33"/>
        <w:gridCol w:w="206"/>
        <w:gridCol w:w="890"/>
        <w:gridCol w:w="142"/>
        <w:gridCol w:w="22"/>
        <w:gridCol w:w="23"/>
        <w:gridCol w:w="140"/>
        <w:gridCol w:w="805"/>
        <w:gridCol w:w="99"/>
      </w:tblGrid>
      <w:tr>
        <w:trPr/>
        <w:tc>
          <w:tcPr>
            <w:tcW w:w="687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r>
      <w:tr>
        <w:trPr>
          <w:trHeight w:val="90" w:hRule="atLeast"/>
        </w:trPr>
        <w:tc>
          <w:tcPr>
            <w:tcW w:w="6876" w:type="dxa"/>
            <w:tcBorders>
              <w:top w:val="single" w:sz="16" w:space="0" w:color="001C71"/>
            </w:tcBorders>
            <w:shd w:fill="001C71" w:val="clear"/>
            <w:tcMar>
              <w:top w:w="28" w:type="dxa"/>
            </w:tcMar>
            <w:vAlign w:val="center"/>
          </w:tcPr>
          <w:p>
            <w:pPr>
              <w:pStyle w:val="TableContents"/>
              <w:spacing w:before="0" w:after="283"/>
              <w:rPr/>
            </w:pPr>
            <w:r>
              <w:rPr/>
              <w:t> </w:t>
            </w:r>
          </w:p>
        </w:tc>
        <w:tc>
          <w:tcPr>
            <w:tcW w:w="946" w:type="dxa"/>
            <w:gridSpan w:val="5"/>
            <w:tcBorders>
              <w:top w:val="single" w:sz="16" w:space="0" w:color="001C71"/>
            </w:tcBorders>
            <w:shd w:fill="001C71" w:val="clear"/>
            <w:tcMar>
              <w:top w:w="28" w:type="dxa"/>
            </w:tcMar>
            <w:vAlign w:val="center"/>
          </w:tcPr>
          <w:p>
            <w:pPr>
              <w:pStyle w:val="TableContents"/>
              <w:spacing w:before="0" w:after="283"/>
              <w:rPr/>
            </w:pPr>
            <w:r>
              <w:rPr/>
              <w:t> </w:t>
            </w:r>
          </w:p>
        </w:tc>
        <w:tc>
          <w:tcPr>
            <w:tcW w:w="1294" w:type="dxa"/>
            <w:gridSpan w:val="5"/>
            <w:tcBorders>
              <w:top w:val="single" w:sz="16" w:space="0" w:color="001C71"/>
            </w:tcBorders>
            <w:shd w:fill="001C71" w:val="clear"/>
            <w:tcMar>
              <w:top w:w="28" w:type="dxa"/>
            </w:tcMar>
            <w:vAlign w:val="center"/>
          </w:tcPr>
          <w:p>
            <w:pPr>
              <w:pStyle w:val="TableContents"/>
              <w:spacing w:before="0" w:after="283"/>
              <w:rPr/>
            </w:pPr>
            <w:r>
              <w:rPr/>
              <w:t> </w:t>
            </w:r>
          </w:p>
        </w:tc>
        <w:tc>
          <w:tcPr>
            <w:tcW w:w="1089" w:type="dxa"/>
            <w:gridSpan w:val="5"/>
            <w:tcBorders>
              <w:top w:val="single" w:sz="16" w:space="0" w:color="001C71"/>
              <w:right w:val="single" w:sz="2" w:space="0" w:color="001C71"/>
            </w:tcBorders>
            <w:shd w:fill="001C71" w:val="clear"/>
            <w:tcMar>
              <w:top w:w="28" w:type="dxa"/>
              <w:right w:w="28" w:type="dxa"/>
            </w:tcMar>
            <w:vAlign w:val="center"/>
          </w:tcPr>
          <w:p>
            <w:pPr>
              <w:pStyle w:val="TableContents"/>
              <w:spacing w:before="0" w:after="283"/>
              <w:rPr/>
            </w:pPr>
            <w:r>
              <w:rPr/>
              <w:t> </w:t>
            </w:r>
          </w:p>
        </w:tc>
      </w:tr>
      <w:tr>
        <w:trPr/>
        <w:tc>
          <w:tcPr>
            <w:tcW w:w="6876" w:type="dxa"/>
            <w:tcBorders>
              <w:bottom w:val="single" w:sz="16" w:space="0" w:color="001C71"/>
            </w:tcBorders>
            <w:shd w:fill="001C71" w:val="clear"/>
            <w:tcMar>
              <w:bottom w:w="100" w:type="dxa"/>
            </w:tcMar>
            <w:vAlign w:val="bottom"/>
          </w:tcPr>
          <w:p>
            <w:pPr>
              <w:pStyle w:val="TableContents"/>
              <w:spacing w:before="0" w:after="283"/>
              <w:rPr>
                <w:color w:val="FFFFFF"/>
              </w:rPr>
            </w:pPr>
            <w:r>
              <w:rPr>
                <w:color w:val="FFFFFF"/>
              </w:rPr>
              <w:t>  </w:t>
            </w:r>
            <w:r>
              <w:rPr>
                <w:b/>
                <w:color w:val="FFFFFF"/>
              </w:rPr>
              <w:t>(Dollars in millions, except per share amounts; shares in thousands)</w:t>
            </w:r>
          </w:p>
        </w:tc>
        <w:tc>
          <w:tcPr>
            <w:tcW w:w="23" w:type="dxa"/>
            <w:tcBorders>
              <w:bottom w:val="single" w:sz="16" w:space="0" w:color="001C71"/>
            </w:tcBorders>
            <w:shd w:fill="001C71" w:val="clear"/>
            <w:tcMar>
              <w:bottom w:w="28" w:type="dxa"/>
            </w:tcMar>
            <w:vAlign w:val="bottom"/>
          </w:tcPr>
          <w:p>
            <w:pPr>
              <w:pStyle w:val="TableContents"/>
              <w:spacing w:before="0" w:after="283"/>
              <w:rPr>
                <w:sz w:val="4"/>
                <w:szCs w:val="4"/>
              </w:rPr>
            </w:pPr>
            <w:r>
              <w:rPr>
                <w:sz w:val="4"/>
                <w:szCs w:val="4"/>
              </w:rPr>
            </w:r>
          </w:p>
        </w:tc>
        <w:tc>
          <w:tcPr>
            <w:tcW w:w="923" w:type="dxa"/>
            <w:gridSpan w:val="4"/>
            <w:tcBorders>
              <w:bottom w:val="single" w:sz="16" w:space="0" w:color="001C71"/>
            </w:tcBorders>
            <w:shd w:fill="001C71" w:val="clear"/>
            <w:tcMar>
              <w:bottom w:w="100" w:type="dxa"/>
            </w:tcMar>
            <w:vAlign w:val="bottom"/>
          </w:tcPr>
          <w:p>
            <w:pPr>
              <w:pStyle w:val="TableContents"/>
              <w:spacing w:before="0" w:after="283"/>
              <w:jc w:val="center"/>
              <w:rPr>
                <w:b/>
                <w:color w:val="FFFFFF"/>
              </w:rPr>
            </w:pPr>
            <w:r>
              <w:rPr>
                <w:b/>
                <w:color w:val="FFFFFF"/>
              </w:rPr>
              <w:t>Pretax</w:t>
              <w:br/>
              <w:t>amount</w:t>
            </w:r>
          </w:p>
        </w:tc>
        <w:tc>
          <w:tcPr>
            <w:tcW w:w="23" w:type="dxa"/>
            <w:tcBorders>
              <w:bottom w:val="single" w:sz="16" w:space="0" w:color="001C71"/>
            </w:tcBorders>
            <w:shd w:fill="001C71" w:val="clear"/>
            <w:tcMar>
              <w:bottom w:w="28" w:type="dxa"/>
            </w:tcMar>
            <w:vAlign w:val="bottom"/>
          </w:tcPr>
          <w:p>
            <w:pPr>
              <w:pStyle w:val="TableContents"/>
              <w:spacing w:before="0" w:after="283"/>
              <w:rPr>
                <w:sz w:val="4"/>
                <w:szCs w:val="4"/>
              </w:rPr>
            </w:pPr>
            <w:r>
              <w:rPr>
                <w:sz w:val="4"/>
                <w:szCs w:val="4"/>
              </w:rPr>
            </w:r>
          </w:p>
        </w:tc>
        <w:tc>
          <w:tcPr>
            <w:tcW w:w="1271" w:type="dxa"/>
            <w:gridSpan w:val="4"/>
            <w:tcBorders>
              <w:bottom w:val="single" w:sz="16" w:space="0" w:color="001C71"/>
            </w:tcBorders>
            <w:shd w:fill="001C71" w:val="clear"/>
            <w:tcMar>
              <w:bottom w:w="100" w:type="dxa"/>
            </w:tcMar>
            <w:vAlign w:val="bottom"/>
          </w:tcPr>
          <w:p>
            <w:pPr>
              <w:pStyle w:val="TableContents"/>
              <w:spacing w:before="0" w:after="283"/>
              <w:jc w:val="center"/>
              <w:rPr>
                <w:b/>
                <w:color w:val="FFFFFF"/>
              </w:rPr>
            </w:pPr>
            <w:r>
              <w:rPr>
                <w:b/>
                <w:color w:val="FFFFFF"/>
              </w:rPr>
              <w:t>Income  tax</w:t>
              <w:br/>
              <w:t>(benefit)</w:t>
              <w:br/>
              <w:t>expense(1)</w:t>
            </w:r>
          </w:p>
        </w:tc>
        <w:tc>
          <w:tcPr>
            <w:tcW w:w="22" w:type="dxa"/>
            <w:tcBorders>
              <w:bottom w:val="single" w:sz="16" w:space="0" w:color="001C71"/>
            </w:tcBorders>
            <w:shd w:fill="001C71" w:val="clear"/>
            <w:tcMar>
              <w:bottom w:w="28" w:type="dxa"/>
            </w:tcMar>
            <w:vAlign w:val="bottom"/>
          </w:tcPr>
          <w:p>
            <w:pPr>
              <w:pStyle w:val="TableContents"/>
              <w:spacing w:before="0" w:after="283"/>
              <w:rPr>
                <w:sz w:val="4"/>
                <w:szCs w:val="4"/>
              </w:rPr>
            </w:pPr>
            <w:r>
              <w:rPr>
                <w:sz w:val="4"/>
                <w:szCs w:val="4"/>
              </w:rPr>
            </w:r>
          </w:p>
        </w:tc>
        <w:tc>
          <w:tcPr>
            <w:tcW w:w="1067" w:type="dxa"/>
            <w:gridSpan w:val="4"/>
            <w:tcBorders>
              <w:bottom w:val="single" w:sz="16" w:space="0" w:color="001C71"/>
              <w:right w:val="single" w:sz="2" w:space="0" w:color="001C71"/>
            </w:tcBorders>
            <w:shd w:fill="001C71" w:val="clear"/>
            <w:tcMar>
              <w:bottom w:w="100" w:type="dxa"/>
              <w:right w:w="28" w:type="dxa"/>
            </w:tcMar>
            <w:vAlign w:val="bottom"/>
          </w:tcPr>
          <w:p>
            <w:pPr>
              <w:pStyle w:val="TableContents"/>
              <w:spacing w:before="0" w:after="283"/>
              <w:jc w:val="center"/>
              <w:rPr>
                <w:b/>
                <w:color w:val="FFFFFF"/>
              </w:rPr>
            </w:pPr>
            <w:r>
              <w:rPr>
                <w:b/>
                <w:color w:val="FFFFFF"/>
              </w:rPr>
              <w:t>Earnings</w:t>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3329" w:type="dxa"/>
            <w:gridSpan w:val="1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vAlign w:val="bottom"/>
          </w:tcPr>
          <w:p>
            <w:pPr>
              <w:pStyle w:val="TableContents"/>
              <w:spacing w:before="0" w:after="283"/>
              <w:rPr/>
            </w:pPr>
            <w:r>
              <w:rPr/>
              <w:t> </w:t>
            </w:r>
          </w:p>
        </w:tc>
        <w:tc>
          <w:tcPr>
            <w:tcW w:w="23" w:type="dxa"/>
            <w:tcBorders>
              <w:bottom w:val="single" w:sz="2" w:space="0" w:color="000000"/>
            </w:tcBorders>
            <w:shd w:fill="E5E5E5" w:val="clear"/>
            <w:tcMar>
              <w:bottom w:w="28" w:type="dxa"/>
            </w:tcMar>
            <w:vAlign w:val="bottom"/>
          </w:tcPr>
          <w:p>
            <w:pPr>
              <w:pStyle w:val="TableContents"/>
              <w:spacing w:before="0" w:after="283"/>
              <w:rPr>
                <w:sz w:val="4"/>
                <w:szCs w:val="4"/>
              </w:rPr>
            </w:pPr>
            <w:r>
              <w:rPr>
                <w:sz w:val="4"/>
                <w:szCs w:val="4"/>
              </w:rPr>
            </w:r>
          </w:p>
        </w:tc>
        <w:tc>
          <w:tcPr>
            <w:tcW w:w="3306" w:type="dxa"/>
            <w:gridSpan w:val="14"/>
            <w:tcBorders>
              <w:bottom w:val="single" w:sz="2" w:space="0" w:color="000000"/>
            </w:tcBorders>
            <w:shd w:fill="E5E5E5" w:val="clear"/>
            <w:tcMar>
              <w:bottom w:w="28" w:type="dxa"/>
            </w:tcMar>
            <w:vAlign w:val="bottom"/>
          </w:tcPr>
          <w:p>
            <w:pPr>
              <w:pStyle w:val="TableContents"/>
              <w:spacing w:before="0" w:after="0"/>
              <w:jc w:val="center"/>
              <w:rPr>
                <w:rFonts w:ascii="arial" w:hAnsi="arial"/>
                <w:b/>
                <w:sz w:val="16"/>
              </w:rPr>
            </w:pPr>
            <w:r>
              <w:rPr>
                <w:rFonts w:ascii="arial" w:hAnsi="arial"/>
                <w:b/>
                <w:sz w:val="16"/>
              </w:rPr>
              <w:t>Year ended December 31, 2020</w:t>
            </w:r>
          </w:p>
          <w:p>
            <w:pPr>
              <w:pStyle w:val="TableContents"/>
              <w:spacing w:before="0" w:after="20"/>
              <w:jc w:val="left"/>
              <w:rPr/>
            </w:pPr>
            <w:r>
              <w:rPr/>
              <w:t> </w:t>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b/>
                <w:sz w:val="16"/>
              </w:rPr>
            </w:pPr>
            <w:r>
              <w:rPr>
                <w:rFonts w:ascii="arial" w:hAnsi="arial"/>
                <w:b/>
                <w:sz w:val="16"/>
              </w:rPr>
              <w:t>Sempra Energy GAAP Earnings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3,764</w:t>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Excluded items: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805" w:type="dxa"/>
            <w:tcBorders/>
            <w:shd w:fill="E5E5E5" w:val="clear"/>
            <w:vAlign w:val="bottom"/>
          </w:tcPr>
          <w:p>
            <w:pPr>
              <w:pStyle w:val="TableContents"/>
              <w:spacing w:before="0" w:after="283"/>
              <w:rPr>
                <w:sz w:val="4"/>
                <w:szCs w:val="4"/>
              </w:rPr>
            </w:pPr>
            <w:r>
              <w:rPr>
                <w:sz w:val="4"/>
                <w:szCs w:val="4"/>
              </w:rPr>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Impacts associated with Aliso Canyon litigation and regulatory matters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w:t>
            </w:r>
          </w:p>
        </w:tc>
        <w:tc>
          <w:tcPr>
            <w:tcW w:w="665" w:type="dxa"/>
            <w:tcBorders/>
            <w:shd w:fill="auto" w:val="clear"/>
            <w:vAlign w:val="bottom"/>
          </w:tcPr>
          <w:p>
            <w:pPr>
              <w:pStyle w:val="TableContents"/>
              <w:spacing w:before="0" w:after="283"/>
              <w:jc w:val="right"/>
              <w:rPr/>
            </w:pPr>
            <w:r>
              <w:rPr/>
              <w:t>307</w:t>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w:t>
            </w:r>
          </w:p>
        </w:tc>
        <w:tc>
          <w:tcPr>
            <w:tcW w:w="890" w:type="dxa"/>
            <w:tcBorders/>
            <w:shd w:fill="auto" w:val="clear"/>
            <w:vAlign w:val="bottom"/>
          </w:tcPr>
          <w:p>
            <w:pPr>
              <w:pStyle w:val="TableContents"/>
              <w:spacing w:before="0" w:after="283"/>
              <w:jc w:val="right"/>
              <w:rPr/>
            </w:pPr>
            <w:r>
              <w:rPr/>
              <w:t>(74</w:t>
            </w:r>
          </w:p>
        </w:tc>
        <w:tc>
          <w:tcPr>
            <w:tcW w:w="142" w:type="dxa"/>
            <w:tcBorders/>
            <w:shd w:fill="auto" w:val="clear"/>
            <w:vAlign w:val="bottom"/>
          </w:tcPr>
          <w:p>
            <w:pPr>
              <w:pStyle w:val="TableContents"/>
              <w:spacing w:before="0" w:after="283"/>
              <w:rPr/>
            </w:pPr>
            <w:r>
              <w:rPr/>
              <w:t>)</w:t>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233</w:t>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Losses from investment in RBS Sempra Commodities LLP</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665" w:type="dxa"/>
            <w:tcBorders/>
            <w:shd w:fill="E5E5E5" w:val="clear"/>
            <w:vAlign w:val="bottom"/>
          </w:tcPr>
          <w:p>
            <w:pPr>
              <w:pStyle w:val="TableContents"/>
              <w:spacing w:before="0" w:after="283"/>
              <w:jc w:val="right"/>
              <w:rPr/>
            </w:pPr>
            <w:r>
              <w:rPr/>
              <w:t>100</w:t>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pPr>
            <w:r>
              <w:rPr/>
              <w:t> </w:t>
            </w:r>
          </w:p>
        </w:tc>
        <w:tc>
          <w:tcPr>
            <w:tcW w:w="890" w:type="dxa"/>
            <w:tcBorders/>
            <w:shd w:fill="E5E5E5" w:val="clear"/>
            <w:vAlign w:val="bottom"/>
          </w:tcPr>
          <w:p>
            <w:pPr>
              <w:pStyle w:val="TableContents"/>
              <w:spacing w:before="0" w:after="283"/>
              <w:jc w:val="right"/>
              <w:rPr/>
            </w:pPr>
            <w:r>
              <w:rPr/>
              <w:t></w:t>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100</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Gain on sale of South American businesses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pPr>
            <w:r>
              <w:rPr/>
              <w:t>(2,899</w:t>
            </w:r>
          </w:p>
        </w:tc>
        <w:tc>
          <w:tcPr>
            <w:tcW w:w="9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1,152</w:t>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23"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140" w:type="dxa"/>
            <w:tcBorders>
              <w:bottom w:val="single" w:sz="2" w:space="0" w:color="001C71"/>
            </w:tcBorders>
            <w:shd w:fill="auto" w:val="clear"/>
            <w:tcMar>
              <w:bottom w:w="60" w:type="dxa"/>
            </w:tcMar>
            <w:vAlign w:val="bottom"/>
          </w:tcPr>
          <w:p>
            <w:pPr>
              <w:pStyle w:val="TableContents"/>
              <w:spacing w:before="0" w:after="283"/>
              <w:rPr/>
            </w:pPr>
            <w:r>
              <w:rPr/>
              <w:t> </w:t>
            </w:r>
          </w:p>
        </w:tc>
        <w:tc>
          <w:tcPr>
            <w:tcW w:w="805" w:type="dxa"/>
            <w:tcBorders>
              <w:bottom w:val="single" w:sz="2" w:space="0" w:color="001C71"/>
            </w:tcBorders>
            <w:shd w:fill="auto" w:val="clear"/>
            <w:tcMar>
              <w:bottom w:w="60" w:type="dxa"/>
            </w:tcMar>
            <w:vAlign w:val="bottom"/>
          </w:tcPr>
          <w:p>
            <w:pPr>
              <w:pStyle w:val="TableContents"/>
              <w:spacing w:before="0" w:after="283"/>
              <w:jc w:val="right"/>
              <w:rPr/>
            </w:pPr>
            <w:r>
              <w:rPr/>
              <w:t>(1,747</w:t>
            </w:r>
          </w:p>
        </w:tc>
        <w:tc>
          <w:tcPr>
            <w:tcW w:w="99" w:type="dxa"/>
            <w:tcBorders>
              <w:bottom w:val="single" w:sz="2" w:space="0" w:color="001C71"/>
            </w:tcBorders>
            <w:shd w:fill="auto" w:val="clear"/>
            <w:tcMar>
              <w:bottom w:w="60" w:type="dxa"/>
            </w:tcMar>
            <w:vAlign w:val="bottom"/>
          </w:tcPr>
          <w:p>
            <w:pPr>
              <w:pStyle w:val="TableContents"/>
              <w:spacing w:before="0" w:after="283"/>
              <w:rPr/>
            </w:pPr>
            <w:r>
              <w:rPr/>
              <w:t>)</w:t>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b/>
                <w:sz w:val="16"/>
              </w:rPr>
            </w:pPr>
            <w:r>
              <w:rPr>
                <w:rFonts w:ascii="arial" w:hAnsi="arial"/>
                <w:b/>
                <w:sz w:val="16"/>
              </w:rPr>
              <w:t>Sempra Energy Adjusted Earnings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60" w:type="dxa"/>
            </w:tcMar>
            <w:vAlign w:val="bottom"/>
          </w:tcPr>
          <w:p>
            <w:pPr>
              <w:pStyle w:val="TableContents"/>
              <w:spacing w:before="0" w:after="283"/>
              <w:rPr/>
            </w:pPr>
            <w:r>
              <w:rPr/>
              <w:t>$</w:t>
            </w:r>
          </w:p>
        </w:tc>
        <w:tc>
          <w:tcPr>
            <w:tcW w:w="805" w:type="dxa"/>
            <w:tcBorders>
              <w:bottom w:val="single" w:sz="8" w:space="0" w:color="001C71"/>
            </w:tcBorders>
            <w:shd w:fill="E5E5E5" w:val="clear"/>
            <w:tcMar>
              <w:bottom w:w="60" w:type="dxa"/>
            </w:tcMar>
            <w:vAlign w:val="bottom"/>
          </w:tcPr>
          <w:p>
            <w:pPr>
              <w:pStyle w:val="TableContents"/>
              <w:spacing w:before="0" w:after="283"/>
              <w:jc w:val="right"/>
              <w:rPr/>
            </w:pPr>
            <w:r>
              <w:rPr/>
              <w:t>2,350</w:t>
            </w:r>
          </w:p>
        </w:tc>
        <w:tc>
          <w:tcPr>
            <w:tcW w:w="9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Diluted EPS: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Weighted-average common shares outstanding, diluted  GAAP</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292,252</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Sempra Energy GAAP EPS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auto" w:val="clear"/>
            <w:tcMar>
              <w:bottom w:w="60" w:type="dxa"/>
            </w:tcMar>
            <w:vAlign w:val="bottom"/>
          </w:tcPr>
          <w:p>
            <w:pPr>
              <w:pStyle w:val="TableContents"/>
              <w:spacing w:before="0" w:after="283"/>
              <w:rPr/>
            </w:pPr>
            <w:r>
              <w:rPr/>
              <w:t>$</w:t>
            </w:r>
          </w:p>
        </w:tc>
        <w:tc>
          <w:tcPr>
            <w:tcW w:w="805" w:type="dxa"/>
            <w:tcBorders>
              <w:bottom w:val="single" w:sz="8" w:space="0" w:color="001C71"/>
            </w:tcBorders>
            <w:shd w:fill="auto" w:val="clear"/>
            <w:tcMar>
              <w:bottom w:w="60" w:type="dxa"/>
            </w:tcMar>
            <w:vAlign w:val="bottom"/>
          </w:tcPr>
          <w:p>
            <w:pPr>
              <w:pStyle w:val="TableContents"/>
              <w:spacing w:before="0" w:after="283"/>
              <w:jc w:val="right"/>
              <w:rPr/>
            </w:pPr>
            <w:r>
              <w:rPr/>
              <w:t>12.88</w:t>
            </w:r>
          </w:p>
        </w:tc>
        <w:tc>
          <w:tcPr>
            <w:tcW w:w="99" w:type="dxa"/>
            <w:tcBorders>
              <w:bottom w:val="single" w:sz="8" w:space="0" w:color="001C71"/>
            </w:tcBorders>
            <w:shd w:fill="auto"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Sempra Energy Adjusted Earnings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w:t>
            </w:r>
          </w:p>
        </w:tc>
        <w:tc>
          <w:tcPr>
            <w:tcW w:w="805" w:type="dxa"/>
            <w:tcBorders/>
            <w:shd w:fill="E5E5E5" w:val="clear"/>
            <w:vAlign w:val="bottom"/>
          </w:tcPr>
          <w:p>
            <w:pPr>
              <w:pStyle w:val="TableContents"/>
              <w:spacing w:before="0" w:after="283"/>
              <w:jc w:val="right"/>
              <w:rPr/>
            </w:pPr>
            <w:r>
              <w:rPr/>
              <w:t>2,350</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Add back dividends for dilutive series A preferred stock</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23"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140" w:type="dxa"/>
            <w:tcBorders>
              <w:bottom w:val="single" w:sz="2" w:space="0" w:color="001C71"/>
            </w:tcBorders>
            <w:shd w:fill="auto" w:val="clear"/>
            <w:tcMar>
              <w:bottom w:w="60" w:type="dxa"/>
            </w:tcMar>
            <w:vAlign w:val="bottom"/>
          </w:tcPr>
          <w:p>
            <w:pPr>
              <w:pStyle w:val="TableContents"/>
              <w:spacing w:before="0" w:after="283"/>
              <w:rPr/>
            </w:pPr>
            <w:r>
              <w:rPr/>
              <w:t> </w:t>
            </w:r>
          </w:p>
        </w:tc>
        <w:tc>
          <w:tcPr>
            <w:tcW w:w="805" w:type="dxa"/>
            <w:tcBorders>
              <w:bottom w:val="single" w:sz="2" w:space="0" w:color="001C71"/>
            </w:tcBorders>
            <w:shd w:fill="auto" w:val="clear"/>
            <w:tcMar>
              <w:bottom w:w="60" w:type="dxa"/>
            </w:tcMar>
            <w:vAlign w:val="bottom"/>
          </w:tcPr>
          <w:p>
            <w:pPr>
              <w:pStyle w:val="TableContents"/>
              <w:spacing w:before="0" w:after="283"/>
              <w:jc w:val="right"/>
              <w:rPr/>
            </w:pPr>
            <w:r>
              <w:rPr/>
              <w:t>104</w:t>
            </w:r>
          </w:p>
        </w:tc>
        <w:tc>
          <w:tcPr>
            <w:tcW w:w="99" w:type="dxa"/>
            <w:tcBorders>
              <w:bottom w:val="single" w:sz="2" w:space="0" w:color="001C71"/>
            </w:tcBorders>
            <w:shd w:fill="auto"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Sempra Energy Adjusted Earnings for Adjusted EPS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60" w:type="dxa"/>
            </w:tcMar>
            <w:vAlign w:val="bottom"/>
          </w:tcPr>
          <w:p>
            <w:pPr>
              <w:pStyle w:val="TableContents"/>
              <w:spacing w:before="0" w:after="283"/>
              <w:rPr/>
            </w:pPr>
            <w:r>
              <w:rPr/>
              <w:t>$</w:t>
            </w:r>
          </w:p>
        </w:tc>
        <w:tc>
          <w:tcPr>
            <w:tcW w:w="805" w:type="dxa"/>
            <w:tcBorders>
              <w:bottom w:val="single" w:sz="8" w:space="0" w:color="001C71"/>
            </w:tcBorders>
            <w:shd w:fill="E5E5E5" w:val="clear"/>
            <w:tcMar>
              <w:bottom w:w="60" w:type="dxa"/>
            </w:tcMar>
            <w:vAlign w:val="bottom"/>
          </w:tcPr>
          <w:p>
            <w:pPr>
              <w:pStyle w:val="TableContents"/>
              <w:spacing w:before="0" w:after="283"/>
              <w:jc w:val="right"/>
              <w:rPr/>
            </w:pPr>
            <w:r>
              <w:rPr/>
              <w:t>2,454</w:t>
            </w:r>
          </w:p>
        </w:tc>
        <w:tc>
          <w:tcPr>
            <w:tcW w:w="9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Weighted-average common shares outstanding, diluted  Adjusted(2)</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auto" w:val="clear"/>
            <w:tcMar>
              <w:bottom w:w="60" w:type="dxa"/>
            </w:tcMar>
            <w:vAlign w:val="bottom"/>
          </w:tcPr>
          <w:p>
            <w:pPr>
              <w:pStyle w:val="TableContents"/>
              <w:spacing w:before="0" w:after="283"/>
              <w:rPr/>
            </w:pPr>
            <w:r>
              <w:rPr/>
              <w:t> </w:t>
            </w:r>
          </w:p>
        </w:tc>
        <w:tc>
          <w:tcPr>
            <w:tcW w:w="805" w:type="dxa"/>
            <w:tcBorders>
              <w:bottom w:val="single" w:sz="8" w:space="0" w:color="001C71"/>
            </w:tcBorders>
            <w:shd w:fill="auto" w:val="clear"/>
            <w:tcMar>
              <w:bottom w:w="60" w:type="dxa"/>
            </w:tcMar>
            <w:vAlign w:val="bottom"/>
          </w:tcPr>
          <w:p>
            <w:pPr>
              <w:pStyle w:val="TableContents"/>
              <w:spacing w:before="0" w:after="283"/>
              <w:jc w:val="right"/>
              <w:rPr/>
            </w:pPr>
            <w:r>
              <w:rPr/>
              <w:t>305,669</w:t>
            </w:r>
          </w:p>
        </w:tc>
        <w:tc>
          <w:tcPr>
            <w:tcW w:w="99" w:type="dxa"/>
            <w:tcBorders>
              <w:bottom w:val="single" w:sz="8" w:space="0" w:color="001C71"/>
            </w:tcBorders>
            <w:shd w:fill="auto"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Sempra Energy Adjusted EPS</w:t>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65"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95"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3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06"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89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60" w:type="dxa"/>
            </w:tcMar>
            <w:vAlign w:val="bottom"/>
          </w:tcPr>
          <w:p>
            <w:pPr>
              <w:pStyle w:val="TableContents"/>
              <w:spacing w:before="0" w:after="283"/>
              <w:rPr/>
            </w:pPr>
            <w:r>
              <w:rPr/>
              <w:t>$</w:t>
            </w:r>
          </w:p>
        </w:tc>
        <w:tc>
          <w:tcPr>
            <w:tcW w:w="805" w:type="dxa"/>
            <w:tcBorders>
              <w:bottom w:val="single" w:sz="8" w:space="0" w:color="001C71"/>
            </w:tcBorders>
            <w:shd w:fill="E5E5E5" w:val="clear"/>
            <w:tcMar>
              <w:bottom w:w="60" w:type="dxa"/>
            </w:tcMar>
            <w:vAlign w:val="bottom"/>
          </w:tcPr>
          <w:p>
            <w:pPr>
              <w:pStyle w:val="TableContents"/>
              <w:spacing w:before="0" w:after="283"/>
              <w:jc w:val="right"/>
              <w:rPr/>
            </w:pPr>
            <w:r>
              <w:rPr/>
              <w:t>8.03</w:t>
            </w:r>
          </w:p>
        </w:tc>
        <w:tc>
          <w:tcPr>
            <w:tcW w:w="9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3329" w:type="dxa"/>
            <w:gridSpan w:val="1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vAlign w:val="bottom"/>
          </w:tcPr>
          <w:p>
            <w:pPr>
              <w:pStyle w:val="TableContents"/>
              <w:spacing w:before="0" w:after="283"/>
              <w:rPr/>
            </w:pPr>
            <w:r>
              <w:rPr/>
              <w:t> </w:t>
            </w:r>
          </w:p>
        </w:tc>
        <w:tc>
          <w:tcPr>
            <w:tcW w:w="23" w:type="dxa"/>
            <w:tcBorders>
              <w:bottom w:val="single" w:sz="2"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3306" w:type="dxa"/>
            <w:gridSpan w:val="14"/>
            <w:tcBorders>
              <w:bottom w:val="single" w:sz="2" w:space="0" w:color="000000"/>
            </w:tcBorders>
            <w:shd w:fill="auto" w:val="clear"/>
            <w:tcMar>
              <w:bottom w:w="28" w:type="dxa"/>
            </w:tcMar>
            <w:vAlign w:val="bottom"/>
          </w:tcPr>
          <w:p>
            <w:pPr>
              <w:pStyle w:val="TableContents"/>
              <w:spacing w:before="0" w:after="0"/>
              <w:jc w:val="center"/>
              <w:rPr>
                <w:rFonts w:ascii="arial" w:hAnsi="arial"/>
                <w:b/>
                <w:sz w:val="16"/>
              </w:rPr>
            </w:pPr>
            <w:r>
              <w:rPr>
                <w:rFonts w:ascii="arial" w:hAnsi="arial"/>
                <w:b/>
                <w:sz w:val="16"/>
              </w:rPr>
              <w:t>Year ended December 31, 2019</w:t>
            </w:r>
          </w:p>
          <w:p>
            <w:pPr>
              <w:pStyle w:val="TableContents"/>
              <w:spacing w:before="0" w:after="20"/>
              <w:jc w:val="left"/>
              <w:rPr/>
            </w:pPr>
            <w:r>
              <w:rPr/>
              <w:t> </w:t>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b/>
                <w:sz w:val="16"/>
              </w:rPr>
            </w:pPr>
            <w:r>
              <w:rPr>
                <w:rFonts w:ascii="arial" w:hAnsi="arial"/>
                <w:b/>
                <w:sz w:val="16"/>
              </w:rPr>
              <w:t>Sempra Energy GAAP Earnings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w:t>
            </w:r>
          </w:p>
        </w:tc>
        <w:tc>
          <w:tcPr>
            <w:tcW w:w="805" w:type="dxa"/>
            <w:tcBorders/>
            <w:shd w:fill="E5E5E5" w:val="clear"/>
            <w:vAlign w:val="bottom"/>
          </w:tcPr>
          <w:p>
            <w:pPr>
              <w:pStyle w:val="TableContents"/>
              <w:spacing w:before="0" w:after="283"/>
              <w:jc w:val="right"/>
              <w:rPr/>
            </w:pPr>
            <w:r>
              <w:rPr/>
              <w:t>2,055</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Excluded items: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Gain on sale of certain Sempra Renewables assets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w:t>
            </w:r>
          </w:p>
        </w:tc>
        <w:tc>
          <w:tcPr>
            <w:tcW w:w="665" w:type="dxa"/>
            <w:tcBorders/>
            <w:shd w:fill="E5E5E5" w:val="clear"/>
            <w:vAlign w:val="bottom"/>
          </w:tcPr>
          <w:p>
            <w:pPr>
              <w:pStyle w:val="TableContents"/>
              <w:spacing w:before="0" w:after="283"/>
              <w:jc w:val="right"/>
              <w:rPr/>
            </w:pPr>
            <w:r>
              <w:rPr/>
              <w:t>(61</w:t>
            </w:r>
          </w:p>
        </w:tc>
        <w:tc>
          <w:tcPr>
            <w:tcW w:w="95" w:type="dxa"/>
            <w:tcBorders/>
            <w:shd w:fill="E5E5E5" w:val="clear"/>
            <w:vAlign w:val="bottom"/>
          </w:tcPr>
          <w:p>
            <w:pPr>
              <w:pStyle w:val="TableContents"/>
              <w:spacing w:before="0" w:after="283"/>
              <w:rPr/>
            </w:pPr>
            <w:r>
              <w:rPr/>
              <w:t>)</w:t>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pPr>
            <w:r>
              <w:rPr/>
              <w:t>$</w:t>
            </w:r>
          </w:p>
        </w:tc>
        <w:tc>
          <w:tcPr>
            <w:tcW w:w="890" w:type="dxa"/>
            <w:tcBorders/>
            <w:shd w:fill="E5E5E5" w:val="clear"/>
            <w:vAlign w:val="bottom"/>
          </w:tcPr>
          <w:p>
            <w:pPr>
              <w:pStyle w:val="TableContents"/>
              <w:spacing w:before="0" w:after="283"/>
              <w:jc w:val="right"/>
              <w:rPr/>
            </w:pPr>
            <w:r>
              <w:rPr/>
              <w:t>16</w:t>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(45</w:t>
            </w:r>
          </w:p>
        </w:tc>
        <w:tc>
          <w:tcPr>
            <w:tcW w:w="99" w:type="dxa"/>
            <w:tcBorders/>
            <w:shd w:fill="E5E5E5" w:val="clear"/>
            <w:vAlign w:val="bottom"/>
          </w:tcPr>
          <w:p>
            <w:pPr>
              <w:pStyle w:val="TableContents"/>
              <w:spacing w:before="0" w:after="283"/>
              <w:rPr/>
            </w:pPr>
            <w:r>
              <w:rPr/>
              <w:t>)</w:t>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Associated with holding the South American businesses for sale:</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Change in indefinite reinvestment assertion of basis differences and structure of sale of discontinued operations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665" w:type="dxa"/>
            <w:tcBorders/>
            <w:shd w:fill="E5E5E5" w:val="clear"/>
            <w:vAlign w:val="bottom"/>
          </w:tcPr>
          <w:p>
            <w:pPr>
              <w:pStyle w:val="TableContents"/>
              <w:spacing w:before="0" w:after="283"/>
              <w:jc w:val="right"/>
              <w:rPr/>
            </w:pPr>
            <w:r>
              <w:rPr/>
              <w:t></w:t>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pPr>
            <w:r>
              <w:rPr/>
              <w:t> </w:t>
            </w:r>
          </w:p>
        </w:tc>
        <w:tc>
          <w:tcPr>
            <w:tcW w:w="890" w:type="dxa"/>
            <w:tcBorders/>
            <w:shd w:fill="E5E5E5" w:val="clear"/>
            <w:vAlign w:val="bottom"/>
          </w:tcPr>
          <w:p>
            <w:pPr>
              <w:pStyle w:val="TableContents"/>
              <w:spacing w:before="0" w:after="283"/>
              <w:jc w:val="right"/>
              <w:rPr/>
            </w:pPr>
            <w:r>
              <w:rPr/>
              <w:t>(89</w:t>
            </w:r>
          </w:p>
        </w:tc>
        <w:tc>
          <w:tcPr>
            <w:tcW w:w="142" w:type="dxa"/>
            <w:tcBorders/>
            <w:shd w:fill="E5E5E5" w:val="clear"/>
            <w:vAlign w:val="bottom"/>
          </w:tcPr>
          <w:p>
            <w:pPr>
              <w:pStyle w:val="TableContents"/>
              <w:spacing w:before="0" w:after="283"/>
              <w:rPr/>
            </w:pPr>
            <w:r>
              <w:rPr/>
              <w:t>)</w:t>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(89</w:t>
            </w:r>
          </w:p>
        </w:tc>
        <w:tc>
          <w:tcPr>
            <w:tcW w:w="99" w:type="dxa"/>
            <w:tcBorders/>
            <w:shd w:fill="E5E5E5" w:val="clear"/>
            <w:vAlign w:val="bottom"/>
          </w:tcPr>
          <w:p>
            <w:pPr>
              <w:pStyle w:val="TableContents"/>
              <w:spacing w:before="0" w:after="283"/>
              <w:rPr/>
            </w:pPr>
            <w:r>
              <w:rPr/>
              <w:t>)</w:t>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Reduction in tax valuation allowance against certain NOL carryforwards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(10</w:t>
            </w:r>
          </w:p>
        </w:tc>
        <w:tc>
          <w:tcPr>
            <w:tcW w:w="142" w:type="dxa"/>
            <w:tcBorders/>
            <w:shd w:fill="auto" w:val="clear"/>
            <w:vAlign w:val="bottom"/>
          </w:tcPr>
          <w:p>
            <w:pPr>
              <w:pStyle w:val="TableContents"/>
              <w:spacing w:before="0" w:after="283"/>
              <w:rPr/>
            </w:pPr>
            <w:r>
              <w:rPr/>
              <w:t>)</w:t>
            </w:r>
          </w:p>
        </w:tc>
        <w:tc>
          <w:tcPr>
            <w:tcW w:w="22"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23"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140" w:type="dxa"/>
            <w:tcBorders>
              <w:bottom w:val="single" w:sz="2" w:space="0" w:color="001C71"/>
            </w:tcBorders>
            <w:shd w:fill="auto" w:val="clear"/>
            <w:tcMar>
              <w:bottom w:w="60" w:type="dxa"/>
            </w:tcMar>
            <w:vAlign w:val="bottom"/>
          </w:tcPr>
          <w:p>
            <w:pPr>
              <w:pStyle w:val="TableContents"/>
              <w:spacing w:before="0" w:after="283"/>
              <w:rPr/>
            </w:pPr>
            <w:r>
              <w:rPr/>
              <w:t> </w:t>
            </w:r>
          </w:p>
        </w:tc>
        <w:tc>
          <w:tcPr>
            <w:tcW w:w="805" w:type="dxa"/>
            <w:tcBorders>
              <w:bottom w:val="single" w:sz="2" w:space="0" w:color="001C71"/>
            </w:tcBorders>
            <w:shd w:fill="auto" w:val="clear"/>
            <w:tcMar>
              <w:bottom w:w="60" w:type="dxa"/>
            </w:tcMar>
            <w:vAlign w:val="bottom"/>
          </w:tcPr>
          <w:p>
            <w:pPr>
              <w:pStyle w:val="TableContents"/>
              <w:spacing w:before="0" w:after="283"/>
              <w:jc w:val="right"/>
              <w:rPr/>
            </w:pPr>
            <w:r>
              <w:rPr/>
              <w:t>(10</w:t>
            </w:r>
          </w:p>
        </w:tc>
        <w:tc>
          <w:tcPr>
            <w:tcW w:w="99" w:type="dxa"/>
            <w:tcBorders>
              <w:bottom w:val="single" w:sz="2" w:space="0" w:color="001C71"/>
            </w:tcBorders>
            <w:shd w:fill="auto" w:val="clear"/>
            <w:tcMar>
              <w:bottom w:w="60" w:type="dxa"/>
            </w:tcMar>
            <w:vAlign w:val="bottom"/>
          </w:tcPr>
          <w:p>
            <w:pPr>
              <w:pStyle w:val="TableContents"/>
              <w:spacing w:before="0" w:after="283"/>
              <w:rPr/>
            </w:pPr>
            <w:r>
              <w:rPr/>
              <w:t>)</w:t>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b/>
                <w:sz w:val="16"/>
              </w:rPr>
            </w:pPr>
            <w:r>
              <w:rPr>
                <w:rFonts w:ascii="arial" w:hAnsi="arial"/>
                <w:b/>
                <w:sz w:val="16"/>
              </w:rPr>
              <w:t>Sempra Energy Adjusted Earnings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60" w:type="dxa"/>
            </w:tcMar>
            <w:vAlign w:val="bottom"/>
          </w:tcPr>
          <w:p>
            <w:pPr>
              <w:pStyle w:val="TableContents"/>
              <w:spacing w:before="0" w:after="283"/>
              <w:rPr/>
            </w:pPr>
            <w:r>
              <w:rPr/>
              <w:t>$</w:t>
            </w:r>
          </w:p>
        </w:tc>
        <w:tc>
          <w:tcPr>
            <w:tcW w:w="805" w:type="dxa"/>
            <w:tcBorders>
              <w:bottom w:val="single" w:sz="8" w:space="0" w:color="001C71"/>
            </w:tcBorders>
            <w:shd w:fill="E5E5E5" w:val="clear"/>
            <w:tcMar>
              <w:bottom w:w="60" w:type="dxa"/>
            </w:tcMar>
            <w:vAlign w:val="bottom"/>
          </w:tcPr>
          <w:p>
            <w:pPr>
              <w:pStyle w:val="TableContents"/>
              <w:spacing w:before="0" w:after="283"/>
              <w:jc w:val="right"/>
              <w:rPr/>
            </w:pPr>
            <w:r>
              <w:rPr/>
              <w:t>1,911</w:t>
            </w:r>
          </w:p>
        </w:tc>
        <w:tc>
          <w:tcPr>
            <w:tcW w:w="9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Diluted EPS: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Weighted-average common shares outstanding, diluted  GAAP</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282,033</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Sempra Energy GAAP EPS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7.29</w:t>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Sempra Energy Adjusted EPS</w:t>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65"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95"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3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06"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89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60" w:type="dxa"/>
            </w:tcMar>
            <w:vAlign w:val="bottom"/>
          </w:tcPr>
          <w:p>
            <w:pPr>
              <w:pStyle w:val="TableContents"/>
              <w:spacing w:before="0" w:after="283"/>
              <w:rPr/>
            </w:pPr>
            <w:r>
              <w:rPr/>
              <w:t>$</w:t>
            </w:r>
          </w:p>
        </w:tc>
        <w:tc>
          <w:tcPr>
            <w:tcW w:w="805" w:type="dxa"/>
            <w:tcBorders>
              <w:bottom w:val="single" w:sz="8" w:space="0" w:color="001C71"/>
            </w:tcBorders>
            <w:shd w:fill="E5E5E5" w:val="clear"/>
            <w:tcMar>
              <w:bottom w:w="60" w:type="dxa"/>
            </w:tcMar>
            <w:vAlign w:val="bottom"/>
          </w:tcPr>
          <w:p>
            <w:pPr>
              <w:pStyle w:val="TableContents"/>
              <w:spacing w:before="0" w:after="283"/>
              <w:jc w:val="right"/>
              <w:rPr/>
            </w:pPr>
            <w:r>
              <w:rPr/>
              <w:t>6.78</w:t>
            </w:r>
          </w:p>
        </w:tc>
        <w:tc>
          <w:tcPr>
            <w:tcW w:w="9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3329" w:type="dxa"/>
            <w:gridSpan w:val="1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vAlign w:val="bottom"/>
          </w:tcPr>
          <w:p>
            <w:pPr>
              <w:pStyle w:val="TableContents"/>
              <w:spacing w:before="0" w:after="283"/>
              <w:rPr/>
            </w:pPr>
            <w:r>
              <w:rPr/>
              <w:t> </w:t>
            </w:r>
          </w:p>
        </w:tc>
        <w:tc>
          <w:tcPr>
            <w:tcW w:w="23" w:type="dxa"/>
            <w:tcBorders>
              <w:bottom w:val="single" w:sz="2"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3306" w:type="dxa"/>
            <w:gridSpan w:val="14"/>
            <w:tcBorders>
              <w:bottom w:val="single" w:sz="2" w:space="0" w:color="000000"/>
            </w:tcBorders>
            <w:shd w:fill="auto" w:val="clear"/>
            <w:tcMar>
              <w:bottom w:w="28" w:type="dxa"/>
            </w:tcMar>
            <w:vAlign w:val="bottom"/>
          </w:tcPr>
          <w:p>
            <w:pPr>
              <w:pStyle w:val="TableContents"/>
              <w:spacing w:before="0" w:after="0"/>
              <w:jc w:val="center"/>
              <w:rPr>
                <w:rFonts w:ascii="arial" w:hAnsi="arial"/>
                <w:b/>
                <w:sz w:val="16"/>
              </w:rPr>
            </w:pPr>
            <w:r>
              <w:rPr>
                <w:rFonts w:ascii="arial" w:hAnsi="arial"/>
                <w:b/>
                <w:sz w:val="16"/>
              </w:rPr>
              <w:t>Year ended December 31, 2015</w:t>
            </w:r>
          </w:p>
          <w:p>
            <w:pPr>
              <w:pStyle w:val="TableContents"/>
              <w:spacing w:before="0" w:after="20"/>
              <w:jc w:val="left"/>
              <w:rPr/>
            </w:pPr>
            <w:r>
              <w:rPr/>
              <w:t> </w:t>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b/>
                <w:sz w:val="16"/>
              </w:rPr>
            </w:pPr>
            <w:r>
              <w:rPr>
                <w:rFonts w:ascii="arial" w:hAnsi="arial"/>
                <w:b/>
                <w:sz w:val="16"/>
              </w:rPr>
              <w:t>Sempra Energy GAAP Earnings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w:t>
            </w:r>
          </w:p>
        </w:tc>
        <w:tc>
          <w:tcPr>
            <w:tcW w:w="805" w:type="dxa"/>
            <w:tcBorders/>
            <w:shd w:fill="E5E5E5" w:val="clear"/>
            <w:vAlign w:val="bottom"/>
          </w:tcPr>
          <w:p>
            <w:pPr>
              <w:pStyle w:val="TableContents"/>
              <w:spacing w:before="0" w:after="283"/>
              <w:jc w:val="right"/>
              <w:rPr/>
            </w:pPr>
            <w:r>
              <w:rPr/>
              <w:t>1,349</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Excluded items: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Gain on sale of Mesquite Power block 2</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w:t>
            </w:r>
          </w:p>
        </w:tc>
        <w:tc>
          <w:tcPr>
            <w:tcW w:w="665" w:type="dxa"/>
            <w:tcBorders/>
            <w:shd w:fill="E5E5E5" w:val="clear"/>
            <w:vAlign w:val="bottom"/>
          </w:tcPr>
          <w:p>
            <w:pPr>
              <w:pStyle w:val="TableContents"/>
              <w:spacing w:before="0" w:after="283"/>
              <w:jc w:val="right"/>
              <w:rPr/>
            </w:pPr>
            <w:r>
              <w:rPr/>
              <w:t>(61</w:t>
            </w:r>
          </w:p>
        </w:tc>
        <w:tc>
          <w:tcPr>
            <w:tcW w:w="95" w:type="dxa"/>
            <w:tcBorders/>
            <w:shd w:fill="E5E5E5" w:val="clear"/>
            <w:vAlign w:val="bottom"/>
          </w:tcPr>
          <w:p>
            <w:pPr>
              <w:pStyle w:val="TableContents"/>
              <w:spacing w:before="0" w:after="283"/>
              <w:rPr/>
            </w:pPr>
            <w:r>
              <w:rPr/>
              <w:t>)</w:t>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pPr>
            <w:r>
              <w:rPr/>
              <w:t>$</w:t>
            </w:r>
          </w:p>
        </w:tc>
        <w:tc>
          <w:tcPr>
            <w:tcW w:w="890" w:type="dxa"/>
            <w:tcBorders/>
            <w:shd w:fill="E5E5E5" w:val="clear"/>
            <w:vAlign w:val="bottom"/>
          </w:tcPr>
          <w:p>
            <w:pPr>
              <w:pStyle w:val="TableContents"/>
              <w:spacing w:before="0" w:after="283"/>
              <w:jc w:val="right"/>
              <w:rPr/>
            </w:pPr>
            <w:r>
              <w:rPr/>
              <w:t>25</w:t>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(36</w:t>
            </w:r>
          </w:p>
        </w:tc>
        <w:tc>
          <w:tcPr>
            <w:tcW w:w="99" w:type="dxa"/>
            <w:tcBorders/>
            <w:shd w:fill="E5E5E5" w:val="clear"/>
            <w:vAlign w:val="bottom"/>
          </w:tcPr>
          <w:p>
            <w:pPr>
              <w:pStyle w:val="TableContents"/>
              <w:spacing w:before="0" w:after="283"/>
              <w:rPr/>
            </w:pPr>
            <w:r>
              <w:rPr/>
              <w:t>)</w:t>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SONGS plant closure adjustment</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pPr>
            <w:r>
              <w:rPr/>
              <w:t>(26</w:t>
            </w:r>
          </w:p>
        </w:tc>
        <w:tc>
          <w:tcPr>
            <w:tcW w:w="9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11</w:t>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23"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140" w:type="dxa"/>
            <w:tcBorders>
              <w:bottom w:val="single" w:sz="2" w:space="0" w:color="001C71"/>
            </w:tcBorders>
            <w:shd w:fill="auto" w:val="clear"/>
            <w:tcMar>
              <w:bottom w:w="60" w:type="dxa"/>
            </w:tcMar>
            <w:vAlign w:val="bottom"/>
          </w:tcPr>
          <w:p>
            <w:pPr>
              <w:pStyle w:val="TableContents"/>
              <w:spacing w:before="0" w:after="283"/>
              <w:rPr/>
            </w:pPr>
            <w:r>
              <w:rPr/>
              <w:t> </w:t>
            </w:r>
          </w:p>
        </w:tc>
        <w:tc>
          <w:tcPr>
            <w:tcW w:w="805" w:type="dxa"/>
            <w:tcBorders>
              <w:bottom w:val="single" w:sz="2" w:space="0" w:color="001C71"/>
            </w:tcBorders>
            <w:shd w:fill="auto" w:val="clear"/>
            <w:tcMar>
              <w:bottom w:w="60" w:type="dxa"/>
            </w:tcMar>
            <w:vAlign w:val="bottom"/>
          </w:tcPr>
          <w:p>
            <w:pPr>
              <w:pStyle w:val="TableContents"/>
              <w:spacing w:before="0" w:after="283"/>
              <w:jc w:val="right"/>
              <w:rPr/>
            </w:pPr>
            <w:r>
              <w:rPr/>
              <w:t>(15</w:t>
            </w:r>
          </w:p>
        </w:tc>
        <w:tc>
          <w:tcPr>
            <w:tcW w:w="99" w:type="dxa"/>
            <w:tcBorders>
              <w:bottom w:val="single" w:sz="2" w:space="0" w:color="001C71"/>
            </w:tcBorders>
            <w:shd w:fill="auto" w:val="clear"/>
            <w:tcMar>
              <w:bottom w:w="60" w:type="dxa"/>
            </w:tcMar>
            <w:vAlign w:val="bottom"/>
          </w:tcPr>
          <w:p>
            <w:pPr>
              <w:pStyle w:val="TableContents"/>
              <w:spacing w:before="0" w:after="283"/>
              <w:rPr/>
            </w:pPr>
            <w:r>
              <w:rPr/>
              <w:t>)</w:t>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b/>
                <w:sz w:val="16"/>
              </w:rPr>
            </w:pPr>
            <w:r>
              <w:rPr>
                <w:rFonts w:ascii="arial" w:hAnsi="arial"/>
                <w:b/>
                <w:sz w:val="16"/>
              </w:rPr>
              <w:t>Sempra Energy Adjusted Earnings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60" w:type="dxa"/>
            </w:tcMar>
            <w:vAlign w:val="bottom"/>
          </w:tcPr>
          <w:p>
            <w:pPr>
              <w:pStyle w:val="TableContents"/>
              <w:spacing w:before="0" w:after="283"/>
              <w:rPr/>
            </w:pPr>
            <w:r>
              <w:rPr/>
              <w:t>$</w:t>
            </w:r>
          </w:p>
        </w:tc>
        <w:tc>
          <w:tcPr>
            <w:tcW w:w="805" w:type="dxa"/>
            <w:tcBorders>
              <w:bottom w:val="single" w:sz="8" w:space="0" w:color="001C71"/>
            </w:tcBorders>
            <w:shd w:fill="E5E5E5" w:val="clear"/>
            <w:tcMar>
              <w:bottom w:w="60" w:type="dxa"/>
            </w:tcMar>
            <w:vAlign w:val="bottom"/>
          </w:tcPr>
          <w:p>
            <w:pPr>
              <w:pStyle w:val="TableContents"/>
              <w:spacing w:before="0" w:after="283"/>
              <w:jc w:val="right"/>
              <w:rPr/>
            </w:pPr>
            <w:r>
              <w:rPr/>
              <w:t>1,298</w:t>
            </w:r>
          </w:p>
        </w:tc>
        <w:tc>
          <w:tcPr>
            <w:tcW w:w="9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Diluted EPS: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Weighted-average common shares outstanding, diluted  GAAP</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250,923</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Sempra Energy GAAP EPS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5.37</w:t>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Sempra Energy Adjusted EPS</w:t>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65"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95"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3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06"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89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60" w:type="dxa"/>
            </w:tcMar>
            <w:vAlign w:val="bottom"/>
          </w:tcPr>
          <w:p>
            <w:pPr>
              <w:pStyle w:val="TableContents"/>
              <w:spacing w:before="0" w:after="283"/>
              <w:rPr/>
            </w:pPr>
            <w:r>
              <w:rPr/>
              <w:t>$</w:t>
            </w:r>
          </w:p>
        </w:tc>
        <w:tc>
          <w:tcPr>
            <w:tcW w:w="805" w:type="dxa"/>
            <w:tcBorders>
              <w:bottom w:val="single" w:sz="8" w:space="0" w:color="001C71"/>
            </w:tcBorders>
            <w:shd w:fill="E5E5E5" w:val="clear"/>
            <w:tcMar>
              <w:bottom w:w="60" w:type="dxa"/>
            </w:tcMar>
            <w:vAlign w:val="bottom"/>
          </w:tcPr>
          <w:p>
            <w:pPr>
              <w:pStyle w:val="TableContents"/>
              <w:spacing w:before="0" w:after="283"/>
              <w:jc w:val="right"/>
              <w:rPr/>
            </w:pPr>
            <w:r>
              <w:rPr/>
              <w:t>5.17</w:t>
            </w:r>
          </w:p>
        </w:tc>
        <w:tc>
          <w:tcPr>
            <w:tcW w:w="9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3329" w:type="dxa"/>
            <w:gridSpan w:val="1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vAlign w:val="bottom"/>
          </w:tcPr>
          <w:p>
            <w:pPr>
              <w:pStyle w:val="TableContents"/>
              <w:spacing w:before="0" w:after="283"/>
              <w:rPr/>
            </w:pPr>
            <w:r>
              <w:rPr/>
              <w:t> </w:t>
            </w:r>
          </w:p>
        </w:tc>
        <w:tc>
          <w:tcPr>
            <w:tcW w:w="23" w:type="dxa"/>
            <w:tcBorders>
              <w:bottom w:val="single" w:sz="2"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3306" w:type="dxa"/>
            <w:gridSpan w:val="14"/>
            <w:tcBorders>
              <w:bottom w:val="single" w:sz="2" w:space="0" w:color="000000"/>
            </w:tcBorders>
            <w:shd w:fill="auto" w:val="clear"/>
            <w:tcMar>
              <w:bottom w:w="28" w:type="dxa"/>
            </w:tcMar>
            <w:vAlign w:val="bottom"/>
          </w:tcPr>
          <w:p>
            <w:pPr>
              <w:pStyle w:val="TableContents"/>
              <w:spacing w:before="0" w:after="0"/>
              <w:jc w:val="center"/>
              <w:rPr>
                <w:rFonts w:ascii="arial" w:hAnsi="arial"/>
                <w:b/>
                <w:sz w:val="16"/>
              </w:rPr>
            </w:pPr>
            <w:r>
              <w:rPr>
                <w:rFonts w:ascii="arial" w:hAnsi="arial"/>
                <w:b/>
                <w:sz w:val="16"/>
              </w:rPr>
              <w:t>Year ended December 31, 2010</w:t>
            </w:r>
          </w:p>
          <w:p>
            <w:pPr>
              <w:pStyle w:val="TableContents"/>
              <w:spacing w:before="0" w:after="20"/>
              <w:jc w:val="left"/>
              <w:rPr/>
            </w:pPr>
            <w:r>
              <w:rPr/>
              <w:t> </w:t>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b/>
                <w:sz w:val="16"/>
              </w:rPr>
            </w:pPr>
            <w:r>
              <w:rPr>
                <w:rFonts w:ascii="arial" w:hAnsi="arial"/>
                <w:b/>
                <w:sz w:val="16"/>
              </w:rPr>
              <w:t>Sempra Energy GAAP Earnings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w:t>
            </w:r>
          </w:p>
        </w:tc>
        <w:tc>
          <w:tcPr>
            <w:tcW w:w="805" w:type="dxa"/>
            <w:tcBorders/>
            <w:shd w:fill="E5E5E5" w:val="clear"/>
            <w:vAlign w:val="bottom"/>
          </w:tcPr>
          <w:p>
            <w:pPr>
              <w:pStyle w:val="TableContents"/>
              <w:spacing w:before="0" w:after="283"/>
              <w:jc w:val="right"/>
              <w:rPr/>
            </w:pPr>
            <w:r>
              <w:rPr/>
              <w:t>709</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Excluded items: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Energy crisis litigation settlement</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w:t>
            </w:r>
          </w:p>
        </w:tc>
        <w:tc>
          <w:tcPr>
            <w:tcW w:w="665" w:type="dxa"/>
            <w:tcBorders/>
            <w:shd w:fill="E5E5E5" w:val="clear"/>
            <w:vAlign w:val="bottom"/>
          </w:tcPr>
          <w:p>
            <w:pPr>
              <w:pStyle w:val="TableContents"/>
              <w:spacing w:before="0" w:after="283"/>
              <w:jc w:val="right"/>
              <w:rPr/>
            </w:pPr>
            <w:r>
              <w:rPr/>
              <w:t>148</w:t>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pPr>
            <w:r>
              <w:rPr/>
              <w:t>$</w:t>
            </w:r>
          </w:p>
        </w:tc>
        <w:tc>
          <w:tcPr>
            <w:tcW w:w="890" w:type="dxa"/>
            <w:tcBorders/>
            <w:shd w:fill="E5E5E5" w:val="clear"/>
            <w:vAlign w:val="bottom"/>
          </w:tcPr>
          <w:p>
            <w:pPr>
              <w:pStyle w:val="TableContents"/>
              <w:spacing w:before="0" w:after="283"/>
              <w:jc w:val="right"/>
              <w:rPr/>
            </w:pPr>
            <w:r>
              <w:rPr/>
              <w:t>(55</w:t>
            </w:r>
          </w:p>
        </w:tc>
        <w:tc>
          <w:tcPr>
            <w:tcW w:w="142" w:type="dxa"/>
            <w:tcBorders/>
            <w:shd w:fill="E5E5E5" w:val="clear"/>
            <w:vAlign w:val="bottom"/>
          </w:tcPr>
          <w:p>
            <w:pPr>
              <w:pStyle w:val="TableContents"/>
              <w:spacing w:before="0" w:after="283"/>
              <w:rPr/>
            </w:pPr>
            <w:r>
              <w:rPr/>
              <w:t>)</w:t>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93</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RBS Sempra Commodities LLP losses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pPr>
            <w:r>
              <w:rPr/>
              <w:t>305</w:t>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(166</w:t>
            </w:r>
          </w:p>
        </w:tc>
        <w:tc>
          <w:tcPr>
            <w:tcW w:w="142" w:type="dxa"/>
            <w:tcBorders/>
            <w:shd w:fill="auto" w:val="clear"/>
            <w:vAlign w:val="bottom"/>
          </w:tcPr>
          <w:p>
            <w:pPr>
              <w:pStyle w:val="TableContents"/>
              <w:spacing w:before="0" w:after="283"/>
              <w:rPr/>
            </w:pPr>
            <w:r>
              <w:rPr/>
              <w:t>)</w:t>
            </w:r>
          </w:p>
        </w:tc>
        <w:tc>
          <w:tcPr>
            <w:tcW w:w="22"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23" w:type="dxa"/>
            <w:tcBorders>
              <w:bottom w:val="single" w:sz="2" w:space="0" w:color="001C71"/>
            </w:tcBorders>
            <w:shd w:fill="auto" w:val="clear"/>
            <w:tcMar>
              <w:bottom w:w="28" w:type="dxa"/>
            </w:tcMar>
            <w:vAlign w:val="bottom"/>
          </w:tcPr>
          <w:p>
            <w:pPr>
              <w:pStyle w:val="TableContents"/>
              <w:spacing w:before="0" w:after="283"/>
              <w:rPr>
                <w:sz w:val="4"/>
                <w:szCs w:val="4"/>
              </w:rPr>
            </w:pPr>
            <w:r>
              <w:rPr>
                <w:sz w:val="4"/>
                <w:szCs w:val="4"/>
              </w:rPr>
            </w:r>
          </w:p>
        </w:tc>
        <w:tc>
          <w:tcPr>
            <w:tcW w:w="140" w:type="dxa"/>
            <w:tcBorders>
              <w:bottom w:val="single" w:sz="2" w:space="0" w:color="001C71"/>
            </w:tcBorders>
            <w:shd w:fill="auto" w:val="clear"/>
            <w:tcMar>
              <w:bottom w:w="60" w:type="dxa"/>
            </w:tcMar>
            <w:vAlign w:val="bottom"/>
          </w:tcPr>
          <w:p>
            <w:pPr>
              <w:pStyle w:val="TableContents"/>
              <w:spacing w:before="0" w:after="283"/>
              <w:rPr/>
            </w:pPr>
            <w:r>
              <w:rPr/>
              <w:t> </w:t>
            </w:r>
          </w:p>
        </w:tc>
        <w:tc>
          <w:tcPr>
            <w:tcW w:w="805" w:type="dxa"/>
            <w:tcBorders>
              <w:bottom w:val="single" w:sz="2" w:space="0" w:color="001C71"/>
            </w:tcBorders>
            <w:shd w:fill="auto" w:val="clear"/>
            <w:tcMar>
              <w:bottom w:w="60" w:type="dxa"/>
            </w:tcMar>
            <w:vAlign w:val="bottom"/>
          </w:tcPr>
          <w:p>
            <w:pPr>
              <w:pStyle w:val="TableContents"/>
              <w:spacing w:before="0" w:after="283"/>
              <w:jc w:val="right"/>
              <w:rPr/>
            </w:pPr>
            <w:r>
              <w:rPr/>
              <w:t>139</w:t>
            </w:r>
          </w:p>
        </w:tc>
        <w:tc>
          <w:tcPr>
            <w:tcW w:w="99" w:type="dxa"/>
            <w:tcBorders>
              <w:bottom w:val="single" w:sz="2" w:space="0" w:color="001C71"/>
            </w:tcBorders>
            <w:shd w:fill="auto"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b/>
                <w:sz w:val="16"/>
              </w:rPr>
            </w:pPr>
            <w:r>
              <w:rPr>
                <w:rFonts w:ascii="arial" w:hAnsi="arial"/>
                <w:b/>
                <w:sz w:val="16"/>
              </w:rPr>
              <w:t>Sempra Energy Adjusted Earnings</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60" w:type="dxa"/>
            </w:tcMar>
            <w:vAlign w:val="bottom"/>
          </w:tcPr>
          <w:p>
            <w:pPr>
              <w:pStyle w:val="TableContents"/>
              <w:spacing w:before="0" w:after="283"/>
              <w:rPr/>
            </w:pPr>
            <w:r>
              <w:rPr/>
              <w:t>$</w:t>
            </w:r>
          </w:p>
        </w:tc>
        <w:tc>
          <w:tcPr>
            <w:tcW w:w="805" w:type="dxa"/>
            <w:tcBorders>
              <w:bottom w:val="single" w:sz="8" w:space="0" w:color="001C71"/>
            </w:tcBorders>
            <w:shd w:fill="E5E5E5" w:val="clear"/>
            <w:tcMar>
              <w:bottom w:w="60" w:type="dxa"/>
            </w:tcMar>
            <w:vAlign w:val="bottom"/>
          </w:tcPr>
          <w:p>
            <w:pPr>
              <w:pStyle w:val="TableContents"/>
              <w:spacing w:before="0" w:after="283"/>
              <w:jc w:val="right"/>
              <w:rPr/>
            </w:pPr>
            <w:r>
              <w:rPr/>
              <w:t>941</w:t>
            </w:r>
          </w:p>
        </w:tc>
        <w:tc>
          <w:tcPr>
            <w:tcW w:w="9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Diluted EPS: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shd w:fill="E5E5E5" w:val="clear"/>
          </w:tcPr>
          <w:p>
            <w:pPr>
              <w:pStyle w:val="TableContents"/>
              <w:spacing w:before="0" w:after="0"/>
              <w:rPr>
                <w:rFonts w:ascii="arial" w:hAnsi="arial"/>
                <w:sz w:val="16"/>
              </w:rPr>
            </w:pPr>
            <w:r>
              <w:rPr>
                <w:rFonts w:ascii="arial" w:hAnsi="arial"/>
                <w:sz w:val="16"/>
              </w:rPr>
              <w:t>Weighted-average common shares outstanding, diluted  GAAP</w:t>
            </w:r>
          </w:p>
        </w:tc>
        <w:tc>
          <w:tcPr>
            <w:tcW w:w="23"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sz w:val="4"/>
                <w:szCs w:val="4"/>
              </w:rPr>
            </w:pPr>
            <w:r>
              <w:rPr>
                <w:sz w:val="4"/>
                <w:szCs w:val="4"/>
              </w:rPr>
            </w:r>
          </w:p>
        </w:tc>
        <w:tc>
          <w:tcPr>
            <w:tcW w:w="665" w:type="dxa"/>
            <w:tcBorders/>
            <w:shd w:fill="E5E5E5" w:val="clear"/>
            <w:vAlign w:val="bottom"/>
          </w:tcPr>
          <w:p>
            <w:pPr>
              <w:pStyle w:val="TableContents"/>
              <w:spacing w:before="0" w:after="283"/>
              <w:rPr>
                <w:sz w:val="4"/>
                <w:szCs w:val="4"/>
              </w:rPr>
            </w:pPr>
            <w:r>
              <w:rPr>
                <w:sz w:val="4"/>
                <w:szCs w:val="4"/>
              </w:rPr>
            </w:r>
          </w:p>
        </w:tc>
        <w:tc>
          <w:tcPr>
            <w:tcW w:w="95"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33" w:type="dxa"/>
            <w:tcBorders/>
            <w:shd w:fill="E5E5E5" w:val="clear"/>
            <w:vAlign w:val="bottom"/>
          </w:tcPr>
          <w:p>
            <w:pPr>
              <w:pStyle w:val="TableContents"/>
              <w:spacing w:before="0" w:after="283"/>
              <w:rPr>
                <w:sz w:val="4"/>
                <w:szCs w:val="4"/>
              </w:rPr>
            </w:pPr>
            <w:r>
              <w:rPr>
                <w:sz w:val="4"/>
                <w:szCs w:val="4"/>
              </w:rPr>
            </w:r>
          </w:p>
        </w:tc>
        <w:tc>
          <w:tcPr>
            <w:tcW w:w="206" w:type="dxa"/>
            <w:tcBorders/>
            <w:shd w:fill="E5E5E5" w:val="clear"/>
            <w:vAlign w:val="bottom"/>
          </w:tcPr>
          <w:p>
            <w:pPr>
              <w:pStyle w:val="TableContents"/>
              <w:spacing w:before="0" w:after="283"/>
              <w:rPr>
                <w:sz w:val="4"/>
                <w:szCs w:val="4"/>
              </w:rPr>
            </w:pPr>
            <w:r>
              <w:rPr>
                <w:sz w:val="4"/>
                <w:szCs w:val="4"/>
              </w:rPr>
            </w:r>
          </w:p>
        </w:tc>
        <w:tc>
          <w:tcPr>
            <w:tcW w:w="890" w:type="dxa"/>
            <w:tcBorders/>
            <w:shd w:fill="E5E5E5" w:val="clear"/>
            <w:vAlign w:val="bottom"/>
          </w:tcPr>
          <w:p>
            <w:pPr>
              <w:pStyle w:val="TableContents"/>
              <w:spacing w:before="0" w:after="283"/>
              <w:rPr>
                <w:sz w:val="4"/>
                <w:szCs w:val="4"/>
              </w:rPr>
            </w:pPr>
            <w:r>
              <w:rPr>
                <w:sz w:val="4"/>
                <w:szCs w:val="4"/>
              </w:rPr>
            </w:r>
          </w:p>
        </w:tc>
        <w:tc>
          <w:tcPr>
            <w:tcW w:w="142" w:type="dxa"/>
            <w:tcBorders/>
            <w:shd w:fill="E5E5E5" w:val="clear"/>
            <w:vAlign w:val="bottom"/>
          </w:tcPr>
          <w:p>
            <w:pPr>
              <w:pStyle w:val="TableContents"/>
              <w:spacing w:before="0" w:after="283"/>
              <w:rPr>
                <w:sz w:val="4"/>
                <w:szCs w:val="4"/>
              </w:rPr>
            </w:pPr>
            <w:r>
              <w:rPr>
                <w:sz w:val="4"/>
                <w:szCs w:val="4"/>
              </w:rPr>
            </w:r>
          </w:p>
        </w:tc>
        <w:tc>
          <w:tcPr>
            <w:tcW w:w="22" w:type="dxa"/>
            <w:tcBorders/>
            <w:shd w:fill="E5E5E5" w:val="clear"/>
            <w:vAlign w:val="bottom"/>
          </w:tcPr>
          <w:p>
            <w:pPr>
              <w:pStyle w:val="TableContents"/>
              <w:spacing w:before="0" w:after="283"/>
              <w:rPr>
                <w:sz w:val="4"/>
                <w:szCs w:val="4"/>
              </w:rPr>
            </w:pPr>
            <w:r>
              <w:rPr>
                <w:sz w:val="4"/>
                <w:szCs w:val="4"/>
              </w:rPr>
            </w:r>
          </w:p>
        </w:tc>
        <w:tc>
          <w:tcPr>
            <w:tcW w:w="23" w:type="dxa"/>
            <w:tcBorders/>
            <w:shd w:fill="E5E5E5" w:val="clear"/>
            <w:vAlign w:val="bottom"/>
          </w:tcPr>
          <w:p>
            <w:pPr>
              <w:pStyle w:val="TableContents"/>
              <w:spacing w:before="0" w:after="283"/>
              <w:rPr>
                <w:sz w:val="4"/>
                <w:szCs w:val="4"/>
              </w:rPr>
            </w:pPr>
            <w:r>
              <w:rPr>
                <w:sz w:val="4"/>
                <w:szCs w:val="4"/>
              </w:rPr>
            </w:r>
          </w:p>
        </w:tc>
        <w:tc>
          <w:tcPr>
            <w:tcW w:w="140" w:type="dxa"/>
            <w:tcBorders/>
            <w:shd w:fill="E5E5E5" w:val="clear"/>
            <w:vAlign w:val="bottom"/>
          </w:tcPr>
          <w:p>
            <w:pPr>
              <w:pStyle w:val="TableContents"/>
              <w:spacing w:before="0" w:after="283"/>
              <w:rPr/>
            </w:pPr>
            <w:r>
              <w:rPr/>
              <w:t> </w:t>
            </w:r>
          </w:p>
        </w:tc>
        <w:tc>
          <w:tcPr>
            <w:tcW w:w="805" w:type="dxa"/>
            <w:tcBorders/>
            <w:shd w:fill="E5E5E5" w:val="clear"/>
            <w:vAlign w:val="bottom"/>
          </w:tcPr>
          <w:p>
            <w:pPr>
              <w:pStyle w:val="TableContents"/>
              <w:spacing w:before="0" w:after="283"/>
              <w:jc w:val="right"/>
              <w:rPr/>
            </w:pPr>
            <w:r>
              <w:rPr/>
              <w:t>247,942</w:t>
            </w:r>
          </w:p>
        </w:tc>
        <w:tc>
          <w:tcPr>
            <w:tcW w:w="99"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auto" w:val="clear"/>
            <w:vAlign w:val="center"/>
          </w:tcPr>
          <w:p>
            <w:pPr>
              <w:pStyle w:val="TableContents"/>
              <w:spacing w:before="0" w:after="283"/>
              <w:rPr>
                <w:sz w:val="4"/>
                <w:szCs w:val="4"/>
              </w:rPr>
            </w:pPr>
            <w:r>
              <w:rPr>
                <w:sz w:val="4"/>
                <w:szCs w:val="4"/>
              </w:rPr>
            </w:r>
          </w:p>
        </w:tc>
        <w:tc>
          <w:tcPr>
            <w:tcW w:w="946" w:type="dxa"/>
            <w:gridSpan w:val="5"/>
            <w:tcBorders/>
            <w:shd w:fill="auto" w:val="clear"/>
            <w:vAlign w:val="center"/>
          </w:tcPr>
          <w:p>
            <w:pPr>
              <w:pStyle w:val="TableContents"/>
              <w:spacing w:before="0" w:after="283"/>
              <w:rPr>
                <w:sz w:val="4"/>
                <w:szCs w:val="4"/>
              </w:rPr>
            </w:pPr>
            <w:r>
              <w:rPr>
                <w:sz w:val="4"/>
                <w:szCs w:val="4"/>
              </w:rPr>
            </w:r>
          </w:p>
        </w:tc>
        <w:tc>
          <w:tcPr>
            <w:tcW w:w="1294" w:type="dxa"/>
            <w:gridSpan w:val="5"/>
            <w:tcBorders/>
            <w:shd w:fill="auto" w:val="clear"/>
            <w:vAlign w:val="center"/>
          </w:tcPr>
          <w:p>
            <w:pPr>
              <w:pStyle w:val="TableContents"/>
              <w:spacing w:before="0" w:after="283"/>
              <w:rPr>
                <w:sz w:val="4"/>
                <w:szCs w:val="4"/>
              </w:rPr>
            </w:pPr>
            <w:r>
              <w:rPr>
                <w:sz w:val="4"/>
                <w:szCs w:val="4"/>
              </w:rPr>
            </w:r>
          </w:p>
        </w:tc>
        <w:tc>
          <w:tcPr>
            <w:tcW w:w="1089" w:type="dxa"/>
            <w:gridSpan w:val="5"/>
            <w:tcBorders/>
            <w:shd w:fill="auto" w:val="clear"/>
            <w:vAlign w:val="center"/>
          </w:tcPr>
          <w:p>
            <w:pPr>
              <w:pStyle w:val="TableContents"/>
              <w:spacing w:before="0" w:after="283"/>
              <w:rPr>
                <w:sz w:val="4"/>
                <w:szCs w:val="4"/>
              </w:rPr>
            </w:pPr>
            <w:r>
              <w:rPr>
                <w:sz w:val="4"/>
                <w:szCs w:val="4"/>
              </w:rPr>
            </w:r>
          </w:p>
        </w:tc>
      </w:tr>
      <w:tr>
        <w:trPr/>
        <w:tc>
          <w:tcPr>
            <w:tcW w:w="6876" w:type="dxa"/>
            <w:tcBorders/>
            <w:shd w:fill="auto" w:val="clear"/>
          </w:tcPr>
          <w:p>
            <w:pPr>
              <w:pStyle w:val="TableContents"/>
              <w:spacing w:before="0" w:after="0"/>
              <w:rPr>
                <w:rFonts w:ascii="arial" w:hAnsi="arial"/>
                <w:sz w:val="16"/>
              </w:rPr>
            </w:pPr>
            <w:r>
              <w:rPr>
                <w:rFonts w:ascii="arial" w:hAnsi="arial"/>
                <w:sz w:val="16"/>
              </w:rPr>
              <w:t>Sempra Energy GAAP EPS</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3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22"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2.86</w:t>
            </w:r>
          </w:p>
        </w:tc>
        <w:tc>
          <w:tcPr>
            <w:tcW w:w="99"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876" w:type="dxa"/>
            <w:tcBorders/>
            <w:shd w:fill="E5E5E5" w:val="clear"/>
            <w:vAlign w:val="center"/>
          </w:tcPr>
          <w:p>
            <w:pPr>
              <w:pStyle w:val="TableContents"/>
              <w:spacing w:before="0" w:after="283"/>
              <w:rPr>
                <w:sz w:val="4"/>
                <w:szCs w:val="4"/>
              </w:rPr>
            </w:pPr>
            <w:r>
              <w:rPr>
                <w:sz w:val="4"/>
                <w:szCs w:val="4"/>
              </w:rPr>
            </w:r>
          </w:p>
        </w:tc>
        <w:tc>
          <w:tcPr>
            <w:tcW w:w="946" w:type="dxa"/>
            <w:gridSpan w:val="5"/>
            <w:tcBorders/>
            <w:shd w:fill="E5E5E5" w:val="clear"/>
            <w:vAlign w:val="center"/>
          </w:tcPr>
          <w:p>
            <w:pPr>
              <w:pStyle w:val="TableContents"/>
              <w:spacing w:before="0" w:after="283"/>
              <w:rPr>
                <w:sz w:val="4"/>
                <w:szCs w:val="4"/>
              </w:rPr>
            </w:pPr>
            <w:r>
              <w:rPr>
                <w:sz w:val="4"/>
                <w:szCs w:val="4"/>
              </w:rPr>
            </w:r>
          </w:p>
        </w:tc>
        <w:tc>
          <w:tcPr>
            <w:tcW w:w="1294" w:type="dxa"/>
            <w:gridSpan w:val="5"/>
            <w:tcBorders/>
            <w:shd w:fill="E5E5E5" w:val="clear"/>
            <w:vAlign w:val="center"/>
          </w:tcPr>
          <w:p>
            <w:pPr>
              <w:pStyle w:val="TableContents"/>
              <w:spacing w:before="0" w:after="283"/>
              <w:rPr>
                <w:sz w:val="4"/>
                <w:szCs w:val="4"/>
              </w:rPr>
            </w:pPr>
            <w:r>
              <w:rPr>
                <w:sz w:val="4"/>
                <w:szCs w:val="4"/>
              </w:rPr>
            </w:r>
          </w:p>
        </w:tc>
        <w:tc>
          <w:tcPr>
            <w:tcW w:w="1089" w:type="dxa"/>
            <w:gridSpan w:val="5"/>
            <w:tcBorders/>
            <w:shd w:fill="E5E5E5" w:val="clear"/>
            <w:vAlign w:val="center"/>
          </w:tcPr>
          <w:p>
            <w:pPr>
              <w:pStyle w:val="TableContents"/>
              <w:spacing w:before="0" w:after="283"/>
              <w:rPr>
                <w:sz w:val="4"/>
                <w:szCs w:val="4"/>
              </w:rPr>
            </w:pPr>
            <w:r>
              <w:rPr>
                <w:sz w:val="4"/>
                <w:szCs w:val="4"/>
              </w:rPr>
            </w:r>
          </w:p>
        </w:tc>
      </w:tr>
      <w:tr>
        <w:trPr/>
        <w:tc>
          <w:tcPr>
            <w:tcW w:w="6876"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Sempra Energy Adjusted EPS</w:t>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665"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95"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3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06"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890"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2"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23" w:type="dxa"/>
            <w:tcBorders>
              <w:bottom w:val="single" w:sz="8" w:space="0" w:color="001C71"/>
            </w:tcBorders>
            <w:shd w:fill="E5E5E5" w:val="clear"/>
            <w:tcMar>
              <w:bottom w:w="28" w:type="dxa"/>
            </w:tcMar>
            <w:vAlign w:val="bottom"/>
          </w:tcPr>
          <w:p>
            <w:pPr>
              <w:pStyle w:val="TableContents"/>
              <w:spacing w:before="0" w:after="283"/>
              <w:rPr>
                <w:sz w:val="4"/>
                <w:szCs w:val="4"/>
              </w:rPr>
            </w:pPr>
            <w:r>
              <w:rPr>
                <w:sz w:val="4"/>
                <w:szCs w:val="4"/>
              </w:rPr>
            </w:r>
          </w:p>
        </w:tc>
        <w:tc>
          <w:tcPr>
            <w:tcW w:w="140" w:type="dxa"/>
            <w:tcBorders>
              <w:bottom w:val="single" w:sz="8" w:space="0" w:color="001C71"/>
            </w:tcBorders>
            <w:shd w:fill="E5E5E5" w:val="clear"/>
            <w:tcMar>
              <w:bottom w:w="60" w:type="dxa"/>
            </w:tcMar>
            <w:vAlign w:val="bottom"/>
          </w:tcPr>
          <w:p>
            <w:pPr>
              <w:pStyle w:val="TableContents"/>
              <w:spacing w:before="0" w:after="283"/>
              <w:rPr/>
            </w:pPr>
            <w:r>
              <w:rPr/>
              <w:t>$</w:t>
            </w:r>
          </w:p>
        </w:tc>
        <w:tc>
          <w:tcPr>
            <w:tcW w:w="805" w:type="dxa"/>
            <w:tcBorders>
              <w:bottom w:val="single" w:sz="8" w:space="0" w:color="001C71"/>
            </w:tcBorders>
            <w:shd w:fill="E5E5E5" w:val="clear"/>
            <w:tcMar>
              <w:bottom w:w="60" w:type="dxa"/>
            </w:tcMar>
            <w:vAlign w:val="bottom"/>
          </w:tcPr>
          <w:p>
            <w:pPr>
              <w:pStyle w:val="TableContents"/>
              <w:spacing w:before="0" w:after="283"/>
              <w:jc w:val="right"/>
              <w:rPr/>
            </w:pPr>
            <w:r>
              <w:rPr/>
              <w:t>3.80</w:t>
            </w:r>
          </w:p>
        </w:tc>
        <w:tc>
          <w:tcPr>
            <w:tcW w:w="99" w:type="dxa"/>
            <w:tcBorders>
              <w:bottom w:val="single" w:sz="8" w:space="0" w:color="001C71"/>
            </w:tcBorders>
            <w:shd w:fill="E5E5E5" w:val="clear"/>
            <w:tcMar>
              <w:bottom w:w="60" w:type="dxa"/>
            </w:tcM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Except for adjustments that are solely income tax and tax related to outside basis differences, income taxes on pretax amounts were primarily calculated based on applicable statutory tax rates. We did not record an income tax benefit for the equity losses from our investment in RBS Sempra Commodities LLP in 2020 because, even though a portion of the liabilities may be deductible under United Kingdom tax law, it is not probable that the deduction will reduce United Kingdom taxes.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i/>
              </w:rPr>
            </w:pPr>
            <w:r>
              <w:rPr>
                <w:i/>
              </w:rPr>
              <w:t>(2)</w:t>
            </w:r>
          </w:p>
        </w:tc>
        <w:tc>
          <w:tcPr>
            <w:tcW w:w="9899" w:type="dxa"/>
            <w:tcBorders/>
            <w:shd w:fill="auto" w:val="clear"/>
          </w:tcPr>
          <w:p>
            <w:pPr>
              <w:pStyle w:val="TableContents"/>
              <w:spacing w:before="0" w:after="0"/>
              <w:jc w:val="left"/>
              <w:rPr>
                <w:rFonts w:ascii="arial" w:hAnsi="arial"/>
                <w:i/>
                <w:sz w:val="14"/>
              </w:rPr>
            </w:pPr>
            <w:r>
              <w:rPr>
                <w:rFonts w:ascii="arial" w:hAnsi="arial"/>
                <w:i/>
                <w:sz w:val="14"/>
              </w:rPr>
              <w:t xml:space="preserve">In the year ended December 31, 2020, because the assumed conversion of the 6% Mandatory Convertible Preferred Stock, Series A (series A preferred stock) is dilutive for Adjusted Earnings, 13,417 series A preferred stock shares are added back to the denominator used to calculate Adjusted EPS.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5"/>
        <w:gridCol w:w="115"/>
        <w:gridCol w:w="9685"/>
      </w:tblGrid>
      <w:tr>
        <w:trPr/>
        <w:tc>
          <w:tcPr>
            <w:tcW w:w="40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9685"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102</w:t>
            </w:r>
          </w:p>
        </w:tc>
        <w:tc>
          <w:tcPr>
            <w:tcW w:w="115" w:type="dxa"/>
            <w:tcBorders/>
            <w:shd w:fill="auto" w:val="clear"/>
            <w:vAlign w:val="bottom"/>
          </w:tcPr>
          <w:p>
            <w:pPr>
              <w:pStyle w:val="TableContents"/>
              <w:spacing w:before="0" w:after="283"/>
              <w:rPr/>
            </w:pPr>
            <w:r>
              <w:rPr/>
              <w:t> </w:t>
            </w:r>
          </w:p>
        </w:tc>
        <w:tc>
          <w:tcPr>
            <w:tcW w:w="9685"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xml:space="preserve">  </w:t>
      </w:r>
    </w:p>
    <w:p>
      <w:pPr>
        <w:pStyle w:val="TextBody"/>
        <w:spacing w:before="0" w:after="0"/>
        <w:jc w:val="left"/>
        <w:rPr>
          <w:rFonts w:ascii="arial" w:hAnsi="arial"/>
          <w:b/>
          <w:color w:val="001C71"/>
          <w:sz w:val="44"/>
        </w:rPr>
      </w:pPr>
      <w:bookmarkStart w:id="54" w:name="toc108157_30"/>
      <w:bookmarkEnd w:id="54"/>
      <w:r>
        <w:rPr>
          <w:rFonts w:ascii="arial" w:hAnsi="arial"/>
          <w:b/>
          <w:color w:val="001C71"/>
          <w:sz w:val="44"/>
        </w:rPr>
        <w:t xml:space="preserve">Appendix B </w:t>
      </w:r>
    </w:p>
    <w:p>
      <w:pPr>
        <w:pStyle w:val="TextBody"/>
        <w:spacing w:before="360" w:after="0"/>
        <w:jc w:val="left"/>
        <w:rPr>
          <w:rFonts w:ascii="arial" w:hAnsi="arial"/>
          <w:color w:val="001C71"/>
          <w:sz w:val="16"/>
        </w:rPr>
      </w:pPr>
      <w:r>
        <w:rPr>
          <w:rFonts w:ascii="arial" w:hAnsi="arial"/>
          <w:color w:val="001C71"/>
          <w:sz w:val="16"/>
        </w:rPr>
        <w:t xml:space="preserve">COMPANIES INCLUDED IN NOVEMBER 2019 GENERAL INDUSTRY BENCHMARKING REVIEW (NON-FINANCIAL SERVICES FORTUNE 500 COMPANIES IN AON HEWITTS TCM DATABASE WITH REVENUES BETWEEN $6.25 BILLION AND $25 BILLION)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67"/>
        <w:gridCol w:w="102"/>
        <w:gridCol w:w="3368"/>
        <w:gridCol w:w="102"/>
        <w:gridCol w:w="3266"/>
      </w:tblGrid>
      <w:tr>
        <w:trPr/>
        <w:tc>
          <w:tcPr>
            <w:tcW w:w="33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367" w:type="dxa"/>
            <w:tcBorders/>
            <w:shd w:fill="001C71" w:val="clear"/>
            <w:vAlign w:val="center"/>
          </w:tcPr>
          <w:p>
            <w:pPr>
              <w:pStyle w:val="TableContents"/>
              <w:spacing w:before="0" w:after="283"/>
              <w:rPr>
                <w:sz w:val="4"/>
                <w:szCs w:val="4"/>
              </w:rPr>
            </w:pPr>
            <w:r>
              <w:rPr>
                <w:sz w:val="4"/>
                <w:szCs w:val="4"/>
              </w:rPr>
            </w:r>
          </w:p>
        </w:tc>
        <w:tc>
          <w:tcPr>
            <w:tcW w:w="3470" w:type="dxa"/>
            <w:gridSpan w:val="2"/>
            <w:tcBorders/>
            <w:shd w:fill="001C71" w:val="clear"/>
            <w:vAlign w:val="center"/>
          </w:tcPr>
          <w:p>
            <w:pPr>
              <w:pStyle w:val="TableContents"/>
              <w:spacing w:before="0" w:after="283"/>
              <w:rPr>
                <w:sz w:val="4"/>
                <w:szCs w:val="4"/>
              </w:rPr>
            </w:pPr>
            <w:r>
              <w:rPr>
                <w:sz w:val="4"/>
                <w:szCs w:val="4"/>
              </w:rPr>
            </w:r>
          </w:p>
        </w:tc>
        <w:tc>
          <w:tcPr>
            <w:tcW w:w="3368" w:type="dxa"/>
            <w:gridSpan w:val="2"/>
            <w:tcBorders/>
            <w:shd w:fill="001C71" w:val="clear"/>
            <w:vAlign w:val="center"/>
          </w:tcPr>
          <w:p>
            <w:pPr>
              <w:pStyle w:val="TableContents"/>
              <w:spacing w:before="0" w:after="283"/>
              <w:rPr>
                <w:sz w:val="4"/>
                <w:szCs w:val="4"/>
              </w:rPr>
            </w:pPr>
            <w:r>
              <w:rPr>
                <w:sz w:val="4"/>
                <w:szCs w:val="4"/>
              </w:rPr>
            </w:r>
          </w:p>
        </w:tc>
      </w:tr>
      <w:tr>
        <w:trPr/>
        <w:tc>
          <w:tcPr>
            <w:tcW w:w="3367"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Company</w:t>
            </w:r>
          </w:p>
        </w:tc>
        <w:tc>
          <w:tcPr>
            <w:tcW w:w="102" w:type="dxa"/>
            <w:tcBorders/>
            <w:shd w:fill="001C71" w:val="clear"/>
            <w:vAlign w:val="bottom"/>
          </w:tcPr>
          <w:p>
            <w:pPr>
              <w:pStyle w:val="TableContents"/>
              <w:spacing w:before="0" w:after="283"/>
              <w:rPr/>
            </w:pPr>
            <w:r>
              <w:rPr/>
              <w:t> </w:t>
            </w:r>
          </w:p>
        </w:tc>
        <w:tc>
          <w:tcPr>
            <w:tcW w:w="3368" w:type="dxa"/>
            <w:tcBorders/>
            <w:shd w:fill="001C71" w:val="clear"/>
            <w:vAlign w:val="bottom"/>
          </w:tcPr>
          <w:p>
            <w:pPr>
              <w:pStyle w:val="TableContents"/>
              <w:spacing w:before="0" w:after="283"/>
              <w:rPr>
                <w:b/>
                <w:color w:val="FFFFFF"/>
              </w:rPr>
            </w:pPr>
            <w:r>
              <w:rPr>
                <w:b/>
                <w:color w:val="FFFFFF"/>
              </w:rPr>
              <w:t>Company</w:t>
            </w:r>
          </w:p>
        </w:tc>
        <w:tc>
          <w:tcPr>
            <w:tcW w:w="102" w:type="dxa"/>
            <w:tcBorders/>
            <w:shd w:fill="001C71" w:val="clear"/>
            <w:vAlign w:val="bottom"/>
          </w:tcPr>
          <w:p>
            <w:pPr>
              <w:pStyle w:val="TableContents"/>
              <w:spacing w:before="0" w:after="283"/>
              <w:rPr/>
            </w:pPr>
            <w:r>
              <w:rPr/>
              <w:t> </w:t>
            </w:r>
          </w:p>
        </w:tc>
        <w:tc>
          <w:tcPr>
            <w:tcW w:w="3266" w:type="dxa"/>
            <w:tcBorders/>
            <w:shd w:fill="001C71" w:val="clear"/>
            <w:vAlign w:val="bottom"/>
          </w:tcPr>
          <w:p>
            <w:pPr>
              <w:pStyle w:val="TableContents"/>
              <w:spacing w:before="0" w:after="283"/>
              <w:rPr>
                <w:b/>
                <w:color w:val="FFFFFF"/>
              </w:rPr>
            </w:pPr>
            <w:r>
              <w:rPr>
                <w:b/>
                <w:color w:val="FFFFFF"/>
              </w:rPr>
              <w:t>Company</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Adobe Systems Incorporated</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Eastman Chemical Company</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PACCAR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AECOM Technology Corporation</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Ebay Inc.</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Packaging Corporation of America</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Altria Group,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Ecolab Inc.</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Parker-Hannifin Corporation</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American Electric Power Company,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Edison International</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Performance Food Group Company</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Amgen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Eli Lilly and Company</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PG&amp;E Corporation</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Applied Materials,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Emerson Electric Co.</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PPG Industries, Inc.</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Arconic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Enlink Midstream, Inc.</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Public Service Enterprise Group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Asbury Automotive Group,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Entergy Corporation</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PVH Corp.</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Automatic Data Processing,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Eversource Energy</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Qualcomm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AutoNation,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Expedia, Inc.</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R. R. Donnelley &amp; Sons Company</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AutoZone,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FedEx Ground Package System, Inc.</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Republic Services,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Avis Budget Group,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FirstEnergy Corp.</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Rite Aid Corporation</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Ball Corporation</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Fluor Corporation</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Rockwell Automation,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Baxter International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Fortive Corporation</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Ross Stores, Inc.</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Becton Dickinson and Company</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General Mills, Inc.</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Ryder System,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Borg Warner</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Genuine Parts Company</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Starbucks Corporation</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Boston Scientific Corporation</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Hanesbrands Inc.</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Texas Instruments Incorporated</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Bristol-Myers Squibb Company</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Harris Corporation</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Textron Inc.</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Builders FirstSource,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Hollyfrontier Corporation</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The AES Corporation</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Caesars Entertainment,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Hormel Foods Corporation</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The Chemours Company</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Calpine Corporation</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Huntington Ingalls Incorporated</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The Estee Lauder Companies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Campbell Soup Company</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Illinois Tool Works Inc.</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The Goodyear Tire &amp; Rubber Company</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CBRE</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International Paper Company</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The J. M. Smucker Company</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CenterPoint Energy,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IQVIA</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The Mosaic Company</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Cheniere Energy,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Kellogg Company</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The Sherwin-Williams Company</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Cintas Corporation</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Keurig Dr Pepper</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The Southern Company Services</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CMS Energy Corporation</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Kimberly-Clark Corporation</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Ulta Beauty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Colgate-Palmolive Company</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Kinder Morgan Inc</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Union Pacific Railroad Company Inc</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Conagra Brands,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Kohls Corporation</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Universal Health Services,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Consolidated Edison</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Land OLakes, Inc.</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US Foods, Inc.</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Corning Incorporated</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Leidos Holdings, Inc.</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V.F. Corporation</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Coty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Masco Corporation</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Veritiv Corporation</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Cummins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McDonalds Corporation</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Visa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Danaher Corporation</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Mohawk Industries, Inc.</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VISTRA Energy</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Darden Restaurants,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Navistar International Corporation</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W.W. Grainger, Inc.</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Dean Foods Company</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Nordstrom, Inc.</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Waste Management, Inc.</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Dicks Sporting Goods, Inc.</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Olin Corporation</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Wayfair</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Dominion Energy,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ONEOK, Inc.</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WestRock Company</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shd w:fill="E5E5E5" w:val="clear"/>
            <w:vAlign w:val="center"/>
          </w:tcPr>
          <w:p>
            <w:pPr>
              <w:pStyle w:val="TableContents"/>
              <w:spacing w:before="0" w:after="0"/>
              <w:rPr>
                <w:rFonts w:ascii="arial" w:hAnsi="arial"/>
                <w:sz w:val="16"/>
              </w:rPr>
            </w:pPr>
            <w:r>
              <w:rPr>
                <w:rFonts w:ascii="arial" w:hAnsi="arial"/>
                <w:sz w:val="16"/>
              </w:rPr>
              <w:t>Dover Corporation</w:t>
            </w:r>
          </w:p>
        </w:tc>
        <w:tc>
          <w:tcPr>
            <w:tcW w:w="102" w:type="dxa"/>
            <w:tcBorders/>
            <w:shd w:fill="E5E5E5" w:val="clear"/>
            <w:vAlign w:val="bottom"/>
          </w:tcPr>
          <w:p>
            <w:pPr>
              <w:pStyle w:val="TableContents"/>
              <w:spacing w:before="0" w:after="283"/>
              <w:rPr/>
            </w:pPr>
            <w:r>
              <w:rPr/>
              <w:t> </w:t>
            </w:r>
          </w:p>
        </w:tc>
        <w:tc>
          <w:tcPr>
            <w:tcW w:w="3368" w:type="dxa"/>
            <w:tcBorders/>
            <w:shd w:fill="E5E5E5" w:val="clear"/>
            <w:vAlign w:val="center"/>
          </w:tcPr>
          <w:p>
            <w:pPr>
              <w:pStyle w:val="TableContents"/>
              <w:spacing w:before="0" w:after="283"/>
              <w:rPr/>
            </w:pPr>
            <w:r>
              <w:rPr/>
              <w:t>Oshkosh Truck Corporation</w:t>
            </w:r>
          </w:p>
        </w:tc>
        <w:tc>
          <w:tcPr>
            <w:tcW w:w="102" w:type="dxa"/>
            <w:tcBorders/>
            <w:shd w:fill="E5E5E5" w:val="clear"/>
            <w:vAlign w:val="bottom"/>
          </w:tcPr>
          <w:p>
            <w:pPr>
              <w:pStyle w:val="TableContents"/>
              <w:spacing w:before="0" w:after="283"/>
              <w:rPr/>
            </w:pPr>
            <w:r>
              <w:rPr/>
              <w:t> </w:t>
            </w:r>
          </w:p>
        </w:tc>
        <w:tc>
          <w:tcPr>
            <w:tcW w:w="3266" w:type="dxa"/>
            <w:tcBorders/>
            <w:shd w:fill="E5E5E5" w:val="clear"/>
            <w:vAlign w:val="center"/>
          </w:tcPr>
          <w:p>
            <w:pPr>
              <w:pStyle w:val="TableContents"/>
              <w:spacing w:before="0" w:after="283"/>
              <w:rPr/>
            </w:pPr>
            <w:r>
              <w:rPr/>
              <w:t>Whirlpool Corporation</w:t>
            </w:r>
          </w:p>
        </w:tc>
      </w:tr>
      <w:tr>
        <w:trPr>
          <w:trHeight w:val="3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center"/>
          </w:tcPr>
          <w:p>
            <w:pPr>
              <w:pStyle w:val="TableContents"/>
              <w:spacing w:before="0" w:after="0"/>
              <w:rPr>
                <w:rFonts w:ascii="arial" w:hAnsi="arial"/>
                <w:sz w:val="16"/>
              </w:rPr>
            </w:pPr>
            <w:r>
              <w:rPr>
                <w:rFonts w:ascii="arial" w:hAnsi="arial"/>
                <w:sz w:val="16"/>
              </w:rPr>
              <w:t>DTE Energy Company</w:t>
            </w:r>
          </w:p>
        </w:tc>
        <w:tc>
          <w:tcPr>
            <w:tcW w:w="102" w:type="dxa"/>
            <w:tcBorders/>
            <w:shd w:fill="auto" w:val="clear"/>
            <w:vAlign w:val="bottom"/>
          </w:tcPr>
          <w:p>
            <w:pPr>
              <w:pStyle w:val="TableContents"/>
              <w:spacing w:before="0" w:after="283"/>
              <w:rPr/>
            </w:pPr>
            <w:r>
              <w:rPr/>
              <w:t> </w:t>
            </w:r>
          </w:p>
        </w:tc>
        <w:tc>
          <w:tcPr>
            <w:tcW w:w="3368" w:type="dxa"/>
            <w:tcBorders/>
            <w:shd w:fill="auto" w:val="clear"/>
            <w:vAlign w:val="center"/>
          </w:tcPr>
          <w:p>
            <w:pPr>
              <w:pStyle w:val="TableContents"/>
              <w:spacing w:before="0" w:after="283"/>
              <w:rPr/>
            </w:pPr>
            <w:r>
              <w:rPr/>
              <w:t>Owens Corning</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rPr/>
            </w:pPr>
            <w:r>
              <w:rPr/>
              <w:t>Wisconsin Electric Power Company</w:t>
            </w:r>
          </w:p>
        </w:tc>
      </w:tr>
      <w:tr>
        <w:trPr>
          <w:trHeight w:val="30" w:hRule="atLeast"/>
        </w:trPr>
        <w:tc>
          <w:tcPr>
            <w:tcW w:w="3367" w:type="dxa"/>
            <w:tcBorders/>
            <w:shd w:fill="E5E5E5" w:val="clear"/>
            <w:vAlign w:val="center"/>
          </w:tcPr>
          <w:p>
            <w:pPr>
              <w:pStyle w:val="TableContents"/>
              <w:spacing w:before="0" w:after="283"/>
              <w:rPr>
                <w:sz w:val="4"/>
                <w:szCs w:val="4"/>
              </w:rPr>
            </w:pPr>
            <w:r>
              <w:rPr>
                <w:sz w:val="4"/>
                <w:szCs w:val="4"/>
              </w:rPr>
            </w:r>
          </w:p>
        </w:tc>
        <w:tc>
          <w:tcPr>
            <w:tcW w:w="3470" w:type="dxa"/>
            <w:gridSpan w:val="2"/>
            <w:tcBorders/>
            <w:shd w:fill="E5E5E5" w:val="clear"/>
            <w:vAlign w:val="center"/>
          </w:tcPr>
          <w:p>
            <w:pPr>
              <w:pStyle w:val="TableContents"/>
              <w:spacing w:before="0" w:after="283"/>
              <w:rPr>
                <w:sz w:val="4"/>
                <w:szCs w:val="4"/>
              </w:rPr>
            </w:pPr>
            <w:r>
              <w:rPr>
                <w:sz w:val="4"/>
                <w:szCs w:val="4"/>
              </w:rPr>
            </w:r>
          </w:p>
        </w:tc>
        <w:tc>
          <w:tcPr>
            <w:tcW w:w="3368" w:type="dxa"/>
            <w:gridSpan w:val="2"/>
            <w:tcBorders/>
            <w:shd w:fill="E5E5E5" w:val="clear"/>
            <w:vAlign w:val="center"/>
          </w:tcPr>
          <w:p>
            <w:pPr>
              <w:pStyle w:val="TableContents"/>
              <w:spacing w:before="0" w:after="283"/>
              <w:rPr>
                <w:sz w:val="4"/>
                <w:szCs w:val="4"/>
              </w:rPr>
            </w:pPr>
            <w:r>
              <w:rPr>
                <w:sz w:val="4"/>
                <w:szCs w:val="4"/>
              </w:rPr>
            </w:r>
          </w:p>
        </w:tc>
      </w:tr>
      <w:tr>
        <w:trPr/>
        <w:tc>
          <w:tcPr>
            <w:tcW w:w="3367" w:type="dxa"/>
            <w:tcBorders>
              <w:bottom w:val="single" w:sz="8" w:space="0" w:color="001C71"/>
            </w:tcBorders>
            <w:shd w:fill="E5E5E5" w:val="clear"/>
            <w:tcMar>
              <w:bottom w:w="28" w:type="dxa"/>
            </w:tcMar>
            <w:vAlign w:val="center"/>
          </w:tcPr>
          <w:p>
            <w:pPr>
              <w:pStyle w:val="TableContents"/>
              <w:spacing w:before="0" w:after="0"/>
              <w:rPr>
                <w:rFonts w:ascii="arial" w:hAnsi="arial"/>
                <w:sz w:val="16"/>
              </w:rPr>
            </w:pPr>
            <w:r>
              <w:rPr>
                <w:rFonts w:ascii="arial" w:hAnsi="arial"/>
                <w:sz w:val="16"/>
              </w:rPr>
              <w:t>Duke Energy Corporation</w:t>
            </w:r>
          </w:p>
        </w:tc>
        <w:tc>
          <w:tcPr>
            <w:tcW w:w="102" w:type="dxa"/>
            <w:tcBorders>
              <w:bottom w:val="single" w:sz="8" w:space="0" w:color="001C71"/>
            </w:tcBorders>
            <w:shd w:fill="E5E5E5" w:val="clear"/>
            <w:tcMar>
              <w:bottom w:w="28" w:type="dxa"/>
            </w:tcMar>
            <w:vAlign w:val="bottom"/>
          </w:tcPr>
          <w:p>
            <w:pPr>
              <w:pStyle w:val="TableContents"/>
              <w:spacing w:before="0" w:after="283"/>
              <w:rPr/>
            </w:pPr>
            <w:r>
              <w:rPr/>
              <w:t> </w:t>
            </w:r>
          </w:p>
        </w:tc>
        <w:tc>
          <w:tcPr>
            <w:tcW w:w="3368" w:type="dxa"/>
            <w:tcBorders>
              <w:bottom w:val="single" w:sz="8" w:space="0" w:color="001C71"/>
            </w:tcBorders>
            <w:shd w:fill="E5E5E5" w:val="clear"/>
            <w:tcMar>
              <w:bottom w:w="28" w:type="dxa"/>
            </w:tcMar>
            <w:vAlign w:val="center"/>
          </w:tcPr>
          <w:p>
            <w:pPr>
              <w:pStyle w:val="TableContents"/>
              <w:spacing w:before="0" w:after="283"/>
              <w:rPr/>
            </w:pPr>
            <w:r>
              <w:rPr/>
              <w:t>Owens-Illinois, Inc.</w:t>
            </w:r>
          </w:p>
        </w:tc>
        <w:tc>
          <w:tcPr>
            <w:tcW w:w="102" w:type="dxa"/>
            <w:tcBorders>
              <w:bottom w:val="single" w:sz="8" w:space="0" w:color="001C71"/>
            </w:tcBorders>
            <w:shd w:fill="E5E5E5" w:val="clear"/>
            <w:tcMar>
              <w:bottom w:w="28" w:type="dxa"/>
            </w:tcMar>
            <w:vAlign w:val="bottom"/>
          </w:tcPr>
          <w:p>
            <w:pPr>
              <w:pStyle w:val="TableContents"/>
              <w:spacing w:before="0" w:after="283"/>
              <w:rPr/>
            </w:pPr>
            <w:r>
              <w:rPr/>
              <w:t> </w:t>
            </w:r>
          </w:p>
        </w:tc>
        <w:tc>
          <w:tcPr>
            <w:tcW w:w="3266" w:type="dxa"/>
            <w:tcBorders>
              <w:bottom w:val="single" w:sz="8" w:space="0" w:color="001C71"/>
            </w:tcBorders>
            <w:shd w:fill="E5E5E5" w:val="clear"/>
            <w:tcMar>
              <w:bottom w:w="28" w:type="dxa"/>
            </w:tcMar>
            <w:vAlign w:val="center"/>
          </w:tcPr>
          <w:p>
            <w:pPr>
              <w:pStyle w:val="TableContents"/>
              <w:spacing w:before="0" w:after="283"/>
              <w:rPr/>
            </w:pPr>
            <w:r>
              <w:rPr/>
              <w:t>Xcel Energy Inc.</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i/>
              </w:rPr>
            </w:pPr>
            <w:r>
              <w:rPr>
                <w:i/>
              </w:rPr>
              <w:t>Note:</w:t>
            </w:r>
          </w:p>
        </w:tc>
        <w:tc>
          <w:tcPr>
            <w:tcW w:w="9696" w:type="dxa"/>
            <w:tcBorders/>
            <w:shd w:fill="auto" w:val="clear"/>
          </w:tcPr>
          <w:p>
            <w:pPr>
              <w:pStyle w:val="TableContents"/>
              <w:spacing w:before="0" w:after="0"/>
              <w:jc w:val="left"/>
              <w:rPr>
                <w:rFonts w:ascii="arial" w:hAnsi="arial"/>
                <w:i/>
                <w:sz w:val="16"/>
              </w:rPr>
            </w:pPr>
            <w:r>
              <w:rPr>
                <w:rFonts w:ascii="arial" w:hAnsi="arial"/>
                <w:i/>
                <w:sz w:val="16"/>
              </w:rPr>
              <w:t xml:space="preserve">Revenue data for Dean Foods, Dicks Sporting Goods, PVH Corp., Rite Aid Corporation, Ross Stores, and Ulta Beauty, Inc. are based on fiscal year 2019. Information for all other companies is based on fiscal year 2020. Market capitalization, earnings and revenue data was not available for the following companies that were acquired, privately held, insolvent or operated as a subsidiary of a larger company: Calpine Corporation, Enlink Midstream, Inc., FedEx Ground Package System, Inc., Land OLakes, Inc., Southern Company Services, Inc., Union Pacific Railroad Company, Inc., and Wisconsin Electric Power Company.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82"/>
        <w:gridCol w:w="115"/>
        <w:gridCol w:w="408"/>
      </w:tblGrid>
      <w:tr>
        <w:trPr/>
        <w:tc>
          <w:tcPr>
            <w:tcW w:w="96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r>
      <w:tr>
        <w:trPr/>
        <w:tc>
          <w:tcPr>
            <w:tcW w:w="9682"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15"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right"/>
              <w:rPr/>
            </w:pPr>
            <w:r>
              <w:rPr/>
              <w:t>103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xml:space="preserve">  </w:t>
      </w:r>
    </w:p>
    <w:p>
      <w:pPr>
        <w:pStyle w:val="TextBody"/>
        <w:spacing w:before="0" w:after="0"/>
        <w:jc w:val="left"/>
        <w:rPr>
          <w:rFonts w:ascii="arial" w:hAnsi="arial"/>
          <w:b/>
          <w:color w:val="001C71"/>
          <w:sz w:val="44"/>
        </w:rPr>
      </w:pPr>
      <w:bookmarkStart w:id="55" w:name="toc108157_31"/>
      <w:bookmarkEnd w:id="55"/>
      <w:r>
        <w:rPr>
          <w:rFonts w:ascii="arial" w:hAnsi="arial"/>
          <w:b/>
          <w:color w:val="001C71"/>
          <w:sz w:val="44"/>
        </w:rPr>
        <w:t xml:space="preserve">Appendix C </w:t>
      </w:r>
    </w:p>
    <w:p>
      <w:pPr>
        <w:pStyle w:val="TextBody"/>
        <w:spacing w:before="360" w:after="0"/>
        <w:jc w:val="left"/>
        <w:rPr>
          <w:rFonts w:ascii="arial" w:hAnsi="arial"/>
          <w:color w:val="001C71"/>
          <w:sz w:val="16"/>
        </w:rPr>
      </w:pPr>
      <w:r>
        <w:rPr>
          <w:rFonts w:ascii="arial" w:hAnsi="arial"/>
          <w:color w:val="001C71"/>
          <w:sz w:val="16"/>
        </w:rPr>
        <w:t xml:space="preserve">COMPANIES INCLUDED IN NOVEMBER 2019 UTILITIES INDUSTRY BENCHMARKING REVIEW (S&amp;P 500 UTILITIES INDEX COMPANIES)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0"/>
        <w:gridCol w:w="216"/>
        <w:gridCol w:w="3293"/>
        <w:gridCol w:w="120"/>
        <w:gridCol w:w="3006"/>
      </w:tblGrid>
      <w:tr>
        <w:trPr/>
        <w:tc>
          <w:tcPr>
            <w:tcW w:w="357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32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06"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570" w:type="dxa"/>
            <w:tcBorders/>
            <w:shd w:fill="001C71" w:val="clear"/>
            <w:vAlign w:val="center"/>
          </w:tcPr>
          <w:p>
            <w:pPr>
              <w:pStyle w:val="TableContents"/>
              <w:spacing w:before="0" w:after="283"/>
              <w:rPr>
                <w:sz w:val="4"/>
                <w:szCs w:val="4"/>
              </w:rPr>
            </w:pPr>
            <w:r>
              <w:rPr>
                <w:sz w:val="4"/>
                <w:szCs w:val="4"/>
              </w:rPr>
            </w:r>
          </w:p>
        </w:tc>
        <w:tc>
          <w:tcPr>
            <w:tcW w:w="3509" w:type="dxa"/>
            <w:gridSpan w:val="2"/>
            <w:tcBorders/>
            <w:shd w:fill="001C71" w:val="clear"/>
            <w:vAlign w:val="center"/>
          </w:tcPr>
          <w:p>
            <w:pPr>
              <w:pStyle w:val="TableContents"/>
              <w:spacing w:before="0" w:after="283"/>
              <w:rPr>
                <w:sz w:val="4"/>
                <w:szCs w:val="4"/>
              </w:rPr>
            </w:pPr>
            <w:r>
              <w:rPr>
                <w:sz w:val="4"/>
                <w:szCs w:val="4"/>
              </w:rPr>
            </w:r>
          </w:p>
        </w:tc>
        <w:tc>
          <w:tcPr>
            <w:tcW w:w="3126" w:type="dxa"/>
            <w:gridSpan w:val="2"/>
            <w:tcBorders/>
            <w:shd w:fill="001C71" w:val="clear"/>
            <w:vAlign w:val="center"/>
          </w:tcPr>
          <w:p>
            <w:pPr>
              <w:pStyle w:val="TableContents"/>
              <w:spacing w:before="0" w:after="283"/>
              <w:rPr>
                <w:sz w:val="4"/>
                <w:szCs w:val="4"/>
              </w:rPr>
            </w:pPr>
            <w:r>
              <w:rPr>
                <w:sz w:val="4"/>
                <w:szCs w:val="4"/>
              </w:rPr>
            </w:r>
          </w:p>
        </w:tc>
      </w:tr>
      <w:tr>
        <w:trPr/>
        <w:tc>
          <w:tcPr>
            <w:tcW w:w="3570" w:type="dxa"/>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Company</w:t>
            </w:r>
          </w:p>
        </w:tc>
        <w:tc>
          <w:tcPr>
            <w:tcW w:w="216" w:type="dxa"/>
            <w:tcBorders/>
            <w:shd w:fill="001C71" w:val="clear"/>
            <w:vAlign w:val="bottom"/>
          </w:tcPr>
          <w:p>
            <w:pPr>
              <w:pStyle w:val="TableContents"/>
              <w:spacing w:before="0" w:after="283"/>
              <w:rPr/>
            </w:pPr>
            <w:r>
              <w:rPr/>
              <w:t>  </w:t>
            </w:r>
          </w:p>
        </w:tc>
        <w:tc>
          <w:tcPr>
            <w:tcW w:w="3293" w:type="dxa"/>
            <w:tcBorders/>
            <w:shd w:fill="001C71" w:val="clear"/>
            <w:vAlign w:val="bottom"/>
          </w:tcPr>
          <w:p>
            <w:pPr>
              <w:pStyle w:val="TableContents"/>
              <w:spacing w:before="0" w:after="283"/>
              <w:rPr>
                <w:b/>
                <w:color w:val="FFFFFF"/>
              </w:rPr>
            </w:pPr>
            <w:r>
              <w:rPr>
                <w:b/>
                <w:color w:val="FFFFFF"/>
              </w:rPr>
              <w:t>Company</w:t>
            </w:r>
          </w:p>
        </w:tc>
        <w:tc>
          <w:tcPr>
            <w:tcW w:w="120" w:type="dxa"/>
            <w:tcBorders/>
            <w:shd w:fill="001C71" w:val="clear"/>
            <w:vAlign w:val="bottom"/>
          </w:tcPr>
          <w:p>
            <w:pPr>
              <w:pStyle w:val="TableContents"/>
              <w:spacing w:before="0" w:after="283"/>
              <w:rPr/>
            </w:pPr>
            <w:r>
              <w:rPr/>
              <w:t>  </w:t>
            </w:r>
          </w:p>
        </w:tc>
        <w:tc>
          <w:tcPr>
            <w:tcW w:w="3006" w:type="dxa"/>
            <w:tcBorders/>
            <w:shd w:fill="001C71" w:val="clear"/>
            <w:vAlign w:val="bottom"/>
          </w:tcPr>
          <w:p>
            <w:pPr>
              <w:pStyle w:val="TableContents"/>
              <w:spacing w:before="0" w:after="283"/>
              <w:rPr>
                <w:b/>
                <w:color w:val="FFFFFF"/>
              </w:rPr>
            </w:pPr>
            <w:r>
              <w:rPr>
                <w:b/>
                <w:color w:val="FFFFFF"/>
              </w:rPr>
              <w:t>Company</w:t>
            </w:r>
          </w:p>
        </w:tc>
      </w:tr>
      <w:tr>
        <w:trPr>
          <w:trHeight w:val="60" w:hRule="atLeast"/>
        </w:trPr>
        <w:tc>
          <w:tcPr>
            <w:tcW w:w="3570" w:type="dxa"/>
            <w:tcBorders/>
            <w:shd w:fill="E5E5E5" w:val="clear"/>
            <w:vAlign w:val="center"/>
          </w:tcPr>
          <w:p>
            <w:pPr>
              <w:pStyle w:val="TableContents"/>
              <w:spacing w:before="0" w:after="283"/>
              <w:rPr>
                <w:sz w:val="4"/>
                <w:szCs w:val="4"/>
              </w:rPr>
            </w:pPr>
            <w:r>
              <w:rPr>
                <w:sz w:val="4"/>
                <w:szCs w:val="4"/>
              </w:rPr>
            </w:r>
          </w:p>
        </w:tc>
        <w:tc>
          <w:tcPr>
            <w:tcW w:w="3509" w:type="dxa"/>
            <w:gridSpan w:val="2"/>
            <w:tcBorders/>
            <w:shd w:fill="E5E5E5" w:val="clear"/>
            <w:vAlign w:val="center"/>
          </w:tcPr>
          <w:p>
            <w:pPr>
              <w:pStyle w:val="TableContents"/>
              <w:spacing w:before="0" w:after="283"/>
              <w:rPr>
                <w:sz w:val="4"/>
                <w:szCs w:val="4"/>
              </w:rPr>
            </w:pPr>
            <w:r>
              <w:rPr>
                <w:sz w:val="4"/>
                <w:szCs w:val="4"/>
              </w:rPr>
            </w:r>
          </w:p>
        </w:tc>
        <w:tc>
          <w:tcPr>
            <w:tcW w:w="3126" w:type="dxa"/>
            <w:gridSpan w:val="2"/>
            <w:tcBorders/>
            <w:shd w:fill="E5E5E5" w:val="clear"/>
            <w:vAlign w:val="center"/>
          </w:tcPr>
          <w:p>
            <w:pPr>
              <w:pStyle w:val="TableContents"/>
              <w:spacing w:before="0" w:after="283"/>
              <w:rPr>
                <w:sz w:val="4"/>
                <w:szCs w:val="4"/>
              </w:rPr>
            </w:pPr>
            <w:r>
              <w:rPr>
                <w:sz w:val="4"/>
                <w:szCs w:val="4"/>
              </w:rPr>
            </w:r>
          </w:p>
        </w:tc>
      </w:tr>
      <w:tr>
        <w:trPr/>
        <w:tc>
          <w:tcPr>
            <w:tcW w:w="3570" w:type="dxa"/>
            <w:tcBorders/>
            <w:shd w:fill="E5E5E5" w:val="clear"/>
            <w:vAlign w:val="center"/>
          </w:tcPr>
          <w:p>
            <w:pPr>
              <w:pStyle w:val="TableContents"/>
              <w:spacing w:lineRule="atLeast" w:line="200" w:before="0" w:after="0"/>
              <w:rPr>
                <w:rFonts w:ascii="arial" w:hAnsi="arial"/>
                <w:sz w:val="16"/>
              </w:rPr>
            </w:pPr>
            <w:r>
              <w:rPr>
                <w:rFonts w:ascii="arial" w:hAnsi="arial"/>
                <w:sz w:val="16"/>
              </w:rPr>
              <w:t>The AES Corporation</w:t>
            </w:r>
          </w:p>
        </w:tc>
        <w:tc>
          <w:tcPr>
            <w:tcW w:w="216" w:type="dxa"/>
            <w:tcBorders/>
            <w:shd w:fill="E5E5E5" w:val="clear"/>
            <w:vAlign w:val="bottom"/>
          </w:tcPr>
          <w:p>
            <w:pPr>
              <w:pStyle w:val="TableContents"/>
              <w:spacing w:before="0" w:after="283"/>
              <w:rPr/>
            </w:pPr>
            <w:r>
              <w:rPr/>
              <w:t>  </w:t>
            </w:r>
          </w:p>
        </w:tc>
        <w:tc>
          <w:tcPr>
            <w:tcW w:w="3293" w:type="dxa"/>
            <w:tcBorders/>
            <w:shd w:fill="E5E5E5" w:val="clear"/>
            <w:vAlign w:val="center"/>
          </w:tcPr>
          <w:p>
            <w:pPr>
              <w:pStyle w:val="TableContents"/>
              <w:spacing w:lineRule="atLeast" w:line="200" w:before="0" w:after="0"/>
              <w:rPr>
                <w:rFonts w:ascii="arial" w:hAnsi="arial"/>
                <w:sz w:val="16"/>
              </w:rPr>
            </w:pPr>
            <w:r>
              <w:rPr>
                <w:rFonts w:ascii="arial" w:hAnsi="arial"/>
                <w:sz w:val="16"/>
              </w:rPr>
              <w:t>DTE Energy Company</w:t>
            </w:r>
          </w:p>
        </w:tc>
        <w:tc>
          <w:tcPr>
            <w:tcW w:w="120" w:type="dxa"/>
            <w:tcBorders/>
            <w:shd w:fill="E5E5E5" w:val="clear"/>
            <w:vAlign w:val="bottom"/>
          </w:tcPr>
          <w:p>
            <w:pPr>
              <w:pStyle w:val="TableContents"/>
              <w:spacing w:before="0" w:after="283"/>
              <w:rPr/>
            </w:pPr>
            <w:r>
              <w:rPr/>
              <w:t>  </w:t>
            </w:r>
          </w:p>
        </w:tc>
        <w:tc>
          <w:tcPr>
            <w:tcW w:w="3006" w:type="dxa"/>
            <w:tcBorders/>
            <w:shd w:fill="E5E5E5" w:val="clear"/>
            <w:vAlign w:val="center"/>
          </w:tcPr>
          <w:p>
            <w:pPr>
              <w:pStyle w:val="TableContents"/>
              <w:spacing w:lineRule="atLeast" w:line="200" w:before="0" w:after="0"/>
              <w:rPr>
                <w:rFonts w:ascii="arial" w:hAnsi="arial"/>
                <w:sz w:val="16"/>
              </w:rPr>
            </w:pPr>
            <w:r>
              <w:rPr>
                <w:rFonts w:ascii="arial" w:hAnsi="arial"/>
                <w:sz w:val="16"/>
              </w:rPr>
              <w:t>NiSource Inc.</w:t>
            </w:r>
          </w:p>
        </w:tc>
      </w:tr>
      <w:tr>
        <w:trPr>
          <w:trHeight w:val="60" w:hRule="atLeast"/>
        </w:trPr>
        <w:tc>
          <w:tcPr>
            <w:tcW w:w="3570" w:type="dxa"/>
            <w:tcBorders/>
            <w:shd w:fill="auto" w:val="clear"/>
            <w:vAlign w:val="center"/>
          </w:tcPr>
          <w:p>
            <w:pPr>
              <w:pStyle w:val="TableContents"/>
              <w:spacing w:before="0" w:after="283"/>
              <w:rPr>
                <w:sz w:val="4"/>
                <w:szCs w:val="4"/>
              </w:rPr>
            </w:pPr>
            <w:r>
              <w:rPr>
                <w:sz w:val="4"/>
                <w:szCs w:val="4"/>
              </w:rPr>
            </w:r>
          </w:p>
        </w:tc>
        <w:tc>
          <w:tcPr>
            <w:tcW w:w="3509" w:type="dxa"/>
            <w:gridSpan w:val="2"/>
            <w:tcBorders/>
            <w:shd w:fill="auto" w:val="clear"/>
            <w:vAlign w:val="center"/>
          </w:tcPr>
          <w:p>
            <w:pPr>
              <w:pStyle w:val="TableContents"/>
              <w:spacing w:before="0" w:after="283"/>
              <w:rPr>
                <w:sz w:val="4"/>
                <w:szCs w:val="4"/>
              </w:rPr>
            </w:pPr>
            <w:r>
              <w:rPr>
                <w:sz w:val="4"/>
                <w:szCs w:val="4"/>
              </w:rPr>
            </w:r>
          </w:p>
        </w:tc>
        <w:tc>
          <w:tcPr>
            <w:tcW w:w="3126" w:type="dxa"/>
            <w:gridSpan w:val="2"/>
            <w:tcBorders/>
            <w:shd w:fill="auto" w:val="clear"/>
            <w:vAlign w:val="center"/>
          </w:tcPr>
          <w:p>
            <w:pPr>
              <w:pStyle w:val="TableContents"/>
              <w:spacing w:before="0" w:after="283"/>
              <w:rPr>
                <w:sz w:val="4"/>
                <w:szCs w:val="4"/>
              </w:rPr>
            </w:pPr>
            <w:r>
              <w:rPr>
                <w:sz w:val="4"/>
                <w:szCs w:val="4"/>
              </w:rPr>
            </w:r>
          </w:p>
        </w:tc>
      </w:tr>
      <w:tr>
        <w:trPr/>
        <w:tc>
          <w:tcPr>
            <w:tcW w:w="3570" w:type="dxa"/>
            <w:tcBorders/>
            <w:shd w:fill="auto" w:val="clear"/>
            <w:vAlign w:val="center"/>
          </w:tcPr>
          <w:p>
            <w:pPr>
              <w:pStyle w:val="TableContents"/>
              <w:spacing w:lineRule="atLeast" w:line="200" w:before="0" w:after="0"/>
              <w:rPr>
                <w:rFonts w:ascii="arial" w:hAnsi="arial"/>
                <w:sz w:val="16"/>
              </w:rPr>
            </w:pPr>
            <w:r>
              <w:rPr>
                <w:rFonts w:ascii="arial" w:hAnsi="arial"/>
                <w:sz w:val="16"/>
              </w:rPr>
              <w:t>Alliant Energy Corporation</w:t>
            </w:r>
          </w:p>
        </w:tc>
        <w:tc>
          <w:tcPr>
            <w:tcW w:w="216" w:type="dxa"/>
            <w:tcBorders/>
            <w:shd w:fill="auto" w:val="clear"/>
            <w:vAlign w:val="bottom"/>
          </w:tcPr>
          <w:p>
            <w:pPr>
              <w:pStyle w:val="TableContents"/>
              <w:spacing w:before="0" w:after="283"/>
              <w:rPr/>
            </w:pPr>
            <w:r>
              <w:rPr/>
              <w:t>  </w:t>
            </w:r>
          </w:p>
        </w:tc>
        <w:tc>
          <w:tcPr>
            <w:tcW w:w="3293" w:type="dxa"/>
            <w:tcBorders/>
            <w:shd w:fill="auto" w:val="clear"/>
            <w:vAlign w:val="center"/>
          </w:tcPr>
          <w:p>
            <w:pPr>
              <w:pStyle w:val="TableContents"/>
              <w:spacing w:lineRule="atLeast" w:line="200" w:before="0" w:after="0"/>
              <w:rPr>
                <w:rFonts w:ascii="arial" w:hAnsi="arial"/>
                <w:sz w:val="16"/>
              </w:rPr>
            </w:pPr>
            <w:r>
              <w:rPr>
                <w:rFonts w:ascii="arial" w:hAnsi="arial"/>
                <w:sz w:val="16"/>
              </w:rPr>
              <w:t>Duke Energy Corporation</w:t>
            </w:r>
          </w:p>
        </w:tc>
        <w:tc>
          <w:tcPr>
            <w:tcW w:w="120" w:type="dxa"/>
            <w:tcBorders/>
            <w:shd w:fill="auto" w:val="clear"/>
            <w:vAlign w:val="bottom"/>
          </w:tcPr>
          <w:p>
            <w:pPr>
              <w:pStyle w:val="TableContents"/>
              <w:spacing w:before="0" w:after="283"/>
              <w:rPr/>
            </w:pPr>
            <w:r>
              <w:rPr/>
              <w:t>  </w:t>
            </w:r>
          </w:p>
        </w:tc>
        <w:tc>
          <w:tcPr>
            <w:tcW w:w="3006" w:type="dxa"/>
            <w:tcBorders/>
            <w:shd w:fill="auto" w:val="clear"/>
            <w:vAlign w:val="center"/>
          </w:tcPr>
          <w:p>
            <w:pPr>
              <w:pStyle w:val="TableContents"/>
              <w:spacing w:lineRule="atLeast" w:line="200" w:before="0" w:after="0"/>
              <w:rPr>
                <w:rFonts w:ascii="arial" w:hAnsi="arial"/>
                <w:sz w:val="16"/>
              </w:rPr>
            </w:pPr>
            <w:r>
              <w:rPr>
                <w:rFonts w:ascii="arial" w:hAnsi="arial"/>
                <w:sz w:val="16"/>
              </w:rPr>
              <w:t>NRG Energy, Inc.</w:t>
            </w:r>
          </w:p>
        </w:tc>
      </w:tr>
      <w:tr>
        <w:trPr>
          <w:trHeight w:val="60" w:hRule="atLeast"/>
        </w:trPr>
        <w:tc>
          <w:tcPr>
            <w:tcW w:w="3570" w:type="dxa"/>
            <w:tcBorders/>
            <w:shd w:fill="E5E5E5" w:val="clear"/>
            <w:vAlign w:val="center"/>
          </w:tcPr>
          <w:p>
            <w:pPr>
              <w:pStyle w:val="TableContents"/>
              <w:spacing w:before="0" w:after="283"/>
              <w:rPr>
                <w:sz w:val="4"/>
                <w:szCs w:val="4"/>
              </w:rPr>
            </w:pPr>
            <w:r>
              <w:rPr>
                <w:sz w:val="4"/>
                <w:szCs w:val="4"/>
              </w:rPr>
            </w:r>
          </w:p>
        </w:tc>
        <w:tc>
          <w:tcPr>
            <w:tcW w:w="3509" w:type="dxa"/>
            <w:gridSpan w:val="2"/>
            <w:tcBorders/>
            <w:shd w:fill="E5E5E5" w:val="clear"/>
            <w:vAlign w:val="center"/>
          </w:tcPr>
          <w:p>
            <w:pPr>
              <w:pStyle w:val="TableContents"/>
              <w:spacing w:before="0" w:after="283"/>
              <w:rPr>
                <w:sz w:val="4"/>
                <w:szCs w:val="4"/>
              </w:rPr>
            </w:pPr>
            <w:r>
              <w:rPr>
                <w:sz w:val="4"/>
                <w:szCs w:val="4"/>
              </w:rPr>
            </w:r>
          </w:p>
        </w:tc>
        <w:tc>
          <w:tcPr>
            <w:tcW w:w="3126" w:type="dxa"/>
            <w:gridSpan w:val="2"/>
            <w:tcBorders/>
            <w:shd w:fill="E5E5E5" w:val="clear"/>
            <w:vAlign w:val="center"/>
          </w:tcPr>
          <w:p>
            <w:pPr>
              <w:pStyle w:val="TableContents"/>
              <w:spacing w:before="0" w:after="283"/>
              <w:rPr>
                <w:sz w:val="4"/>
                <w:szCs w:val="4"/>
              </w:rPr>
            </w:pPr>
            <w:r>
              <w:rPr>
                <w:sz w:val="4"/>
                <w:szCs w:val="4"/>
              </w:rPr>
            </w:r>
          </w:p>
        </w:tc>
      </w:tr>
      <w:tr>
        <w:trPr/>
        <w:tc>
          <w:tcPr>
            <w:tcW w:w="3570" w:type="dxa"/>
            <w:tcBorders/>
            <w:shd w:fill="E5E5E5" w:val="clear"/>
            <w:vAlign w:val="center"/>
          </w:tcPr>
          <w:p>
            <w:pPr>
              <w:pStyle w:val="TableContents"/>
              <w:spacing w:lineRule="atLeast" w:line="200" w:before="0" w:after="0"/>
              <w:rPr>
                <w:rFonts w:ascii="arial" w:hAnsi="arial"/>
                <w:sz w:val="16"/>
              </w:rPr>
            </w:pPr>
            <w:r>
              <w:rPr>
                <w:rFonts w:ascii="arial" w:hAnsi="arial"/>
                <w:sz w:val="16"/>
              </w:rPr>
              <w:t>Ameren Corporation</w:t>
            </w:r>
          </w:p>
        </w:tc>
        <w:tc>
          <w:tcPr>
            <w:tcW w:w="216" w:type="dxa"/>
            <w:tcBorders/>
            <w:shd w:fill="E5E5E5" w:val="clear"/>
            <w:vAlign w:val="bottom"/>
          </w:tcPr>
          <w:p>
            <w:pPr>
              <w:pStyle w:val="TableContents"/>
              <w:spacing w:before="0" w:after="283"/>
              <w:rPr/>
            </w:pPr>
            <w:r>
              <w:rPr/>
              <w:t>  </w:t>
            </w:r>
          </w:p>
        </w:tc>
        <w:tc>
          <w:tcPr>
            <w:tcW w:w="3293" w:type="dxa"/>
            <w:tcBorders/>
            <w:shd w:fill="E5E5E5" w:val="clear"/>
            <w:vAlign w:val="center"/>
          </w:tcPr>
          <w:p>
            <w:pPr>
              <w:pStyle w:val="TableContents"/>
              <w:spacing w:lineRule="atLeast" w:line="200" w:before="0" w:after="0"/>
              <w:rPr>
                <w:rFonts w:ascii="arial" w:hAnsi="arial"/>
                <w:sz w:val="16"/>
              </w:rPr>
            </w:pPr>
            <w:r>
              <w:rPr>
                <w:rFonts w:ascii="arial" w:hAnsi="arial"/>
                <w:sz w:val="16"/>
              </w:rPr>
              <w:t>Edison International</w:t>
            </w:r>
          </w:p>
        </w:tc>
        <w:tc>
          <w:tcPr>
            <w:tcW w:w="120" w:type="dxa"/>
            <w:tcBorders/>
            <w:shd w:fill="E5E5E5" w:val="clear"/>
            <w:vAlign w:val="bottom"/>
          </w:tcPr>
          <w:p>
            <w:pPr>
              <w:pStyle w:val="TableContents"/>
              <w:spacing w:before="0" w:after="283"/>
              <w:rPr/>
            </w:pPr>
            <w:r>
              <w:rPr/>
              <w:t>  </w:t>
            </w:r>
          </w:p>
        </w:tc>
        <w:tc>
          <w:tcPr>
            <w:tcW w:w="3006" w:type="dxa"/>
            <w:tcBorders/>
            <w:shd w:fill="E5E5E5" w:val="clear"/>
            <w:vAlign w:val="center"/>
          </w:tcPr>
          <w:p>
            <w:pPr>
              <w:pStyle w:val="TableContents"/>
              <w:spacing w:lineRule="atLeast" w:line="200" w:before="0" w:after="0"/>
              <w:rPr>
                <w:rFonts w:ascii="arial" w:hAnsi="arial"/>
                <w:sz w:val="16"/>
              </w:rPr>
            </w:pPr>
            <w:r>
              <w:rPr>
                <w:rFonts w:ascii="arial" w:hAnsi="arial"/>
                <w:sz w:val="16"/>
              </w:rPr>
              <w:t>Pinnacle West Capital Corporation</w:t>
            </w:r>
          </w:p>
        </w:tc>
      </w:tr>
      <w:tr>
        <w:trPr>
          <w:trHeight w:val="60" w:hRule="atLeast"/>
        </w:trPr>
        <w:tc>
          <w:tcPr>
            <w:tcW w:w="3570" w:type="dxa"/>
            <w:tcBorders/>
            <w:shd w:fill="auto" w:val="clear"/>
            <w:vAlign w:val="center"/>
          </w:tcPr>
          <w:p>
            <w:pPr>
              <w:pStyle w:val="TableContents"/>
              <w:spacing w:before="0" w:after="283"/>
              <w:rPr>
                <w:sz w:val="4"/>
                <w:szCs w:val="4"/>
              </w:rPr>
            </w:pPr>
            <w:r>
              <w:rPr>
                <w:sz w:val="4"/>
                <w:szCs w:val="4"/>
              </w:rPr>
            </w:r>
          </w:p>
        </w:tc>
        <w:tc>
          <w:tcPr>
            <w:tcW w:w="3509" w:type="dxa"/>
            <w:gridSpan w:val="2"/>
            <w:tcBorders/>
            <w:shd w:fill="auto" w:val="clear"/>
            <w:vAlign w:val="center"/>
          </w:tcPr>
          <w:p>
            <w:pPr>
              <w:pStyle w:val="TableContents"/>
              <w:spacing w:before="0" w:after="283"/>
              <w:rPr>
                <w:sz w:val="4"/>
                <w:szCs w:val="4"/>
              </w:rPr>
            </w:pPr>
            <w:r>
              <w:rPr>
                <w:sz w:val="4"/>
                <w:szCs w:val="4"/>
              </w:rPr>
            </w:r>
          </w:p>
        </w:tc>
        <w:tc>
          <w:tcPr>
            <w:tcW w:w="3126" w:type="dxa"/>
            <w:gridSpan w:val="2"/>
            <w:tcBorders/>
            <w:shd w:fill="auto" w:val="clear"/>
            <w:vAlign w:val="center"/>
          </w:tcPr>
          <w:p>
            <w:pPr>
              <w:pStyle w:val="TableContents"/>
              <w:spacing w:before="0" w:after="283"/>
              <w:rPr>
                <w:sz w:val="4"/>
                <w:szCs w:val="4"/>
              </w:rPr>
            </w:pPr>
            <w:r>
              <w:rPr>
                <w:sz w:val="4"/>
                <w:szCs w:val="4"/>
              </w:rPr>
            </w:r>
          </w:p>
        </w:tc>
      </w:tr>
      <w:tr>
        <w:trPr/>
        <w:tc>
          <w:tcPr>
            <w:tcW w:w="3570" w:type="dxa"/>
            <w:tcBorders/>
            <w:shd w:fill="auto" w:val="clear"/>
            <w:vAlign w:val="center"/>
          </w:tcPr>
          <w:p>
            <w:pPr>
              <w:pStyle w:val="TableContents"/>
              <w:spacing w:lineRule="atLeast" w:line="200" w:before="0" w:after="0"/>
              <w:rPr>
                <w:rFonts w:ascii="arial" w:hAnsi="arial"/>
                <w:sz w:val="16"/>
              </w:rPr>
            </w:pPr>
            <w:r>
              <w:rPr>
                <w:rFonts w:ascii="arial" w:hAnsi="arial"/>
                <w:sz w:val="16"/>
              </w:rPr>
              <w:t>American Electric Power Company, Inc.</w:t>
            </w:r>
          </w:p>
        </w:tc>
        <w:tc>
          <w:tcPr>
            <w:tcW w:w="216" w:type="dxa"/>
            <w:tcBorders/>
            <w:shd w:fill="auto" w:val="clear"/>
            <w:vAlign w:val="bottom"/>
          </w:tcPr>
          <w:p>
            <w:pPr>
              <w:pStyle w:val="TableContents"/>
              <w:spacing w:before="0" w:after="283"/>
              <w:rPr/>
            </w:pPr>
            <w:r>
              <w:rPr/>
              <w:t>  </w:t>
            </w:r>
          </w:p>
        </w:tc>
        <w:tc>
          <w:tcPr>
            <w:tcW w:w="3293" w:type="dxa"/>
            <w:tcBorders/>
            <w:shd w:fill="auto" w:val="clear"/>
            <w:vAlign w:val="center"/>
          </w:tcPr>
          <w:p>
            <w:pPr>
              <w:pStyle w:val="TableContents"/>
              <w:spacing w:lineRule="atLeast" w:line="200" w:before="0" w:after="0"/>
              <w:rPr>
                <w:rFonts w:ascii="arial" w:hAnsi="arial"/>
                <w:sz w:val="16"/>
              </w:rPr>
            </w:pPr>
            <w:r>
              <w:rPr>
                <w:rFonts w:ascii="arial" w:hAnsi="arial"/>
                <w:sz w:val="16"/>
              </w:rPr>
              <w:t>Entergy Corporation</w:t>
            </w:r>
          </w:p>
        </w:tc>
        <w:tc>
          <w:tcPr>
            <w:tcW w:w="120" w:type="dxa"/>
            <w:tcBorders/>
            <w:shd w:fill="auto" w:val="clear"/>
            <w:vAlign w:val="bottom"/>
          </w:tcPr>
          <w:p>
            <w:pPr>
              <w:pStyle w:val="TableContents"/>
              <w:spacing w:before="0" w:after="283"/>
              <w:rPr/>
            </w:pPr>
            <w:r>
              <w:rPr/>
              <w:t>  </w:t>
            </w:r>
          </w:p>
        </w:tc>
        <w:tc>
          <w:tcPr>
            <w:tcW w:w="3006" w:type="dxa"/>
            <w:tcBorders/>
            <w:shd w:fill="auto" w:val="clear"/>
            <w:vAlign w:val="center"/>
          </w:tcPr>
          <w:p>
            <w:pPr>
              <w:pStyle w:val="TableContents"/>
              <w:spacing w:lineRule="atLeast" w:line="200" w:before="0" w:after="0"/>
              <w:rPr>
                <w:rFonts w:ascii="arial" w:hAnsi="arial"/>
                <w:sz w:val="16"/>
              </w:rPr>
            </w:pPr>
            <w:r>
              <w:rPr>
                <w:rFonts w:ascii="arial" w:hAnsi="arial"/>
                <w:sz w:val="16"/>
              </w:rPr>
              <w:t>PPL Corporation</w:t>
            </w:r>
          </w:p>
        </w:tc>
      </w:tr>
      <w:tr>
        <w:trPr>
          <w:trHeight w:val="60" w:hRule="atLeast"/>
        </w:trPr>
        <w:tc>
          <w:tcPr>
            <w:tcW w:w="3570" w:type="dxa"/>
            <w:tcBorders/>
            <w:shd w:fill="E5E5E5" w:val="clear"/>
            <w:vAlign w:val="center"/>
          </w:tcPr>
          <w:p>
            <w:pPr>
              <w:pStyle w:val="TableContents"/>
              <w:spacing w:before="0" w:after="283"/>
              <w:rPr>
                <w:sz w:val="4"/>
                <w:szCs w:val="4"/>
              </w:rPr>
            </w:pPr>
            <w:r>
              <w:rPr>
                <w:sz w:val="4"/>
                <w:szCs w:val="4"/>
              </w:rPr>
            </w:r>
          </w:p>
        </w:tc>
        <w:tc>
          <w:tcPr>
            <w:tcW w:w="3509" w:type="dxa"/>
            <w:gridSpan w:val="2"/>
            <w:tcBorders/>
            <w:shd w:fill="E5E5E5" w:val="clear"/>
            <w:vAlign w:val="center"/>
          </w:tcPr>
          <w:p>
            <w:pPr>
              <w:pStyle w:val="TableContents"/>
              <w:spacing w:before="0" w:after="283"/>
              <w:rPr>
                <w:sz w:val="4"/>
                <w:szCs w:val="4"/>
              </w:rPr>
            </w:pPr>
            <w:r>
              <w:rPr>
                <w:sz w:val="4"/>
                <w:szCs w:val="4"/>
              </w:rPr>
            </w:r>
          </w:p>
        </w:tc>
        <w:tc>
          <w:tcPr>
            <w:tcW w:w="3126" w:type="dxa"/>
            <w:gridSpan w:val="2"/>
            <w:tcBorders/>
            <w:shd w:fill="E5E5E5" w:val="clear"/>
            <w:vAlign w:val="center"/>
          </w:tcPr>
          <w:p>
            <w:pPr>
              <w:pStyle w:val="TableContents"/>
              <w:spacing w:before="0" w:after="283"/>
              <w:rPr>
                <w:sz w:val="4"/>
                <w:szCs w:val="4"/>
              </w:rPr>
            </w:pPr>
            <w:r>
              <w:rPr>
                <w:sz w:val="4"/>
                <w:szCs w:val="4"/>
              </w:rPr>
            </w:r>
          </w:p>
        </w:tc>
      </w:tr>
      <w:tr>
        <w:trPr/>
        <w:tc>
          <w:tcPr>
            <w:tcW w:w="3570" w:type="dxa"/>
            <w:tcBorders/>
            <w:shd w:fill="E5E5E5" w:val="clear"/>
            <w:vAlign w:val="center"/>
          </w:tcPr>
          <w:p>
            <w:pPr>
              <w:pStyle w:val="TableContents"/>
              <w:spacing w:lineRule="atLeast" w:line="200" w:before="0" w:after="0"/>
              <w:rPr>
                <w:rFonts w:ascii="arial" w:hAnsi="arial"/>
                <w:sz w:val="16"/>
              </w:rPr>
            </w:pPr>
            <w:r>
              <w:rPr>
                <w:rFonts w:ascii="arial" w:hAnsi="arial"/>
                <w:sz w:val="16"/>
              </w:rPr>
              <w:t>Atmos Energy Corporation</w:t>
            </w:r>
          </w:p>
        </w:tc>
        <w:tc>
          <w:tcPr>
            <w:tcW w:w="216" w:type="dxa"/>
            <w:tcBorders/>
            <w:shd w:fill="E5E5E5" w:val="clear"/>
            <w:vAlign w:val="bottom"/>
          </w:tcPr>
          <w:p>
            <w:pPr>
              <w:pStyle w:val="TableContents"/>
              <w:spacing w:before="0" w:after="283"/>
              <w:rPr/>
            </w:pPr>
            <w:r>
              <w:rPr/>
              <w:t>  </w:t>
            </w:r>
          </w:p>
        </w:tc>
        <w:tc>
          <w:tcPr>
            <w:tcW w:w="3293" w:type="dxa"/>
            <w:tcBorders/>
            <w:shd w:fill="E5E5E5" w:val="clear"/>
            <w:vAlign w:val="center"/>
          </w:tcPr>
          <w:p>
            <w:pPr>
              <w:pStyle w:val="TableContents"/>
              <w:spacing w:lineRule="atLeast" w:line="200" w:before="0" w:after="0"/>
              <w:rPr>
                <w:rFonts w:ascii="arial" w:hAnsi="arial"/>
                <w:sz w:val="16"/>
              </w:rPr>
            </w:pPr>
            <w:r>
              <w:rPr>
                <w:rFonts w:ascii="arial" w:hAnsi="arial"/>
                <w:sz w:val="16"/>
              </w:rPr>
              <w:t>Evergy, Inc.</w:t>
            </w:r>
          </w:p>
        </w:tc>
        <w:tc>
          <w:tcPr>
            <w:tcW w:w="120" w:type="dxa"/>
            <w:tcBorders/>
            <w:shd w:fill="E5E5E5" w:val="clear"/>
            <w:vAlign w:val="bottom"/>
          </w:tcPr>
          <w:p>
            <w:pPr>
              <w:pStyle w:val="TableContents"/>
              <w:spacing w:before="0" w:after="283"/>
              <w:rPr/>
            </w:pPr>
            <w:r>
              <w:rPr/>
              <w:t>  </w:t>
            </w:r>
          </w:p>
        </w:tc>
        <w:tc>
          <w:tcPr>
            <w:tcW w:w="3006" w:type="dxa"/>
            <w:tcBorders/>
            <w:shd w:fill="E5E5E5" w:val="clear"/>
            <w:vAlign w:val="center"/>
          </w:tcPr>
          <w:p>
            <w:pPr>
              <w:pStyle w:val="TableContents"/>
              <w:spacing w:lineRule="atLeast" w:line="200" w:before="0" w:after="0"/>
              <w:rPr>
                <w:rFonts w:ascii="arial" w:hAnsi="arial"/>
                <w:sz w:val="16"/>
              </w:rPr>
            </w:pPr>
            <w:r>
              <w:rPr>
                <w:rFonts w:ascii="arial" w:hAnsi="arial"/>
                <w:sz w:val="16"/>
              </w:rPr>
              <w:t>Public Service Enterprise Group Inc.</w:t>
            </w:r>
          </w:p>
        </w:tc>
      </w:tr>
      <w:tr>
        <w:trPr>
          <w:trHeight w:val="60" w:hRule="atLeast"/>
        </w:trPr>
        <w:tc>
          <w:tcPr>
            <w:tcW w:w="3570" w:type="dxa"/>
            <w:tcBorders/>
            <w:shd w:fill="auto" w:val="clear"/>
            <w:vAlign w:val="center"/>
          </w:tcPr>
          <w:p>
            <w:pPr>
              <w:pStyle w:val="TableContents"/>
              <w:spacing w:before="0" w:after="283"/>
              <w:rPr>
                <w:sz w:val="4"/>
                <w:szCs w:val="4"/>
              </w:rPr>
            </w:pPr>
            <w:r>
              <w:rPr>
                <w:sz w:val="4"/>
                <w:szCs w:val="4"/>
              </w:rPr>
            </w:r>
          </w:p>
        </w:tc>
        <w:tc>
          <w:tcPr>
            <w:tcW w:w="3509" w:type="dxa"/>
            <w:gridSpan w:val="2"/>
            <w:tcBorders/>
            <w:shd w:fill="auto" w:val="clear"/>
            <w:vAlign w:val="center"/>
          </w:tcPr>
          <w:p>
            <w:pPr>
              <w:pStyle w:val="TableContents"/>
              <w:spacing w:before="0" w:after="283"/>
              <w:rPr>
                <w:sz w:val="4"/>
                <w:szCs w:val="4"/>
              </w:rPr>
            </w:pPr>
            <w:r>
              <w:rPr>
                <w:sz w:val="4"/>
                <w:szCs w:val="4"/>
              </w:rPr>
            </w:r>
          </w:p>
        </w:tc>
        <w:tc>
          <w:tcPr>
            <w:tcW w:w="3126" w:type="dxa"/>
            <w:gridSpan w:val="2"/>
            <w:tcBorders/>
            <w:shd w:fill="auto" w:val="clear"/>
            <w:vAlign w:val="center"/>
          </w:tcPr>
          <w:p>
            <w:pPr>
              <w:pStyle w:val="TableContents"/>
              <w:spacing w:before="0" w:after="283"/>
              <w:rPr>
                <w:sz w:val="4"/>
                <w:szCs w:val="4"/>
              </w:rPr>
            </w:pPr>
            <w:r>
              <w:rPr>
                <w:sz w:val="4"/>
                <w:szCs w:val="4"/>
              </w:rPr>
            </w:r>
          </w:p>
        </w:tc>
      </w:tr>
      <w:tr>
        <w:trPr/>
        <w:tc>
          <w:tcPr>
            <w:tcW w:w="3570" w:type="dxa"/>
            <w:tcBorders/>
            <w:shd w:fill="auto" w:val="clear"/>
            <w:vAlign w:val="center"/>
          </w:tcPr>
          <w:p>
            <w:pPr>
              <w:pStyle w:val="TableContents"/>
              <w:spacing w:lineRule="atLeast" w:line="200" w:before="0" w:after="0"/>
              <w:rPr>
                <w:rFonts w:ascii="arial" w:hAnsi="arial"/>
                <w:sz w:val="16"/>
              </w:rPr>
            </w:pPr>
            <w:r>
              <w:rPr>
                <w:rFonts w:ascii="arial" w:hAnsi="arial"/>
                <w:sz w:val="16"/>
              </w:rPr>
              <w:t>CenterPoint Energy, Inc.</w:t>
            </w:r>
          </w:p>
        </w:tc>
        <w:tc>
          <w:tcPr>
            <w:tcW w:w="216" w:type="dxa"/>
            <w:tcBorders/>
            <w:shd w:fill="auto" w:val="clear"/>
            <w:vAlign w:val="bottom"/>
          </w:tcPr>
          <w:p>
            <w:pPr>
              <w:pStyle w:val="TableContents"/>
              <w:spacing w:before="0" w:after="283"/>
              <w:rPr/>
            </w:pPr>
            <w:r>
              <w:rPr/>
              <w:t>  </w:t>
            </w:r>
          </w:p>
        </w:tc>
        <w:tc>
          <w:tcPr>
            <w:tcW w:w="3293" w:type="dxa"/>
            <w:tcBorders/>
            <w:shd w:fill="auto" w:val="clear"/>
            <w:vAlign w:val="center"/>
          </w:tcPr>
          <w:p>
            <w:pPr>
              <w:pStyle w:val="TableContents"/>
              <w:spacing w:lineRule="atLeast" w:line="200" w:before="0" w:after="0"/>
              <w:rPr>
                <w:rFonts w:ascii="arial" w:hAnsi="arial"/>
                <w:sz w:val="16"/>
              </w:rPr>
            </w:pPr>
            <w:r>
              <w:rPr>
                <w:rFonts w:ascii="arial" w:hAnsi="arial"/>
                <w:sz w:val="16"/>
              </w:rPr>
              <w:t>Eversource Energy</w:t>
            </w:r>
          </w:p>
        </w:tc>
        <w:tc>
          <w:tcPr>
            <w:tcW w:w="120" w:type="dxa"/>
            <w:tcBorders/>
            <w:shd w:fill="auto" w:val="clear"/>
            <w:vAlign w:val="bottom"/>
          </w:tcPr>
          <w:p>
            <w:pPr>
              <w:pStyle w:val="TableContents"/>
              <w:spacing w:before="0" w:after="283"/>
              <w:rPr/>
            </w:pPr>
            <w:r>
              <w:rPr/>
              <w:t>  </w:t>
            </w:r>
          </w:p>
        </w:tc>
        <w:tc>
          <w:tcPr>
            <w:tcW w:w="3006" w:type="dxa"/>
            <w:tcBorders/>
            <w:shd w:fill="auto" w:val="clear"/>
            <w:vAlign w:val="center"/>
          </w:tcPr>
          <w:p>
            <w:pPr>
              <w:pStyle w:val="TableContents"/>
              <w:spacing w:lineRule="atLeast" w:line="200" w:before="0" w:after="0"/>
              <w:rPr>
                <w:rFonts w:ascii="arial" w:hAnsi="arial"/>
                <w:sz w:val="16"/>
              </w:rPr>
            </w:pPr>
            <w:r>
              <w:rPr>
                <w:rFonts w:ascii="arial" w:hAnsi="arial"/>
                <w:sz w:val="16"/>
              </w:rPr>
              <w:t>Southern Company</w:t>
            </w:r>
          </w:p>
        </w:tc>
      </w:tr>
      <w:tr>
        <w:trPr>
          <w:trHeight w:val="60" w:hRule="atLeast"/>
        </w:trPr>
        <w:tc>
          <w:tcPr>
            <w:tcW w:w="3570" w:type="dxa"/>
            <w:tcBorders/>
            <w:shd w:fill="E5E5E5" w:val="clear"/>
            <w:vAlign w:val="center"/>
          </w:tcPr>
          <w:p>
            <w:pPr>
              <w:pStyle w:val="TableContents"/>
              <w:spacing w:before="0" w:after="283"/>
              <w:rPr>
                <w:sz w:val="4"/>
                <w:szCs w:val="4"/>
              </w:rPr>
            </w:pPr>
            <w:r>
              <w:rPr>
                <w:sz w:val="4"/>
                <w:szCs w:val="4"/>
              </w:rPr>
            </w:r>
          </w:p>
        </w:tc>
        <w:tc>
          <w:tcPr>
            <w:tcW w:w="3509" w:type="dxa"/>
            <w:gridSpan w:val="2"/>
            <w:tcBorders/>
            <w:shd w:fill="E5E5E5" w:val="clear"/>
            <w:vAlign w:val="center"/>
          </w:tcPr>
          <w:p>
            <w:pPr>
              <w:pStyle w:val="TableContents"/>
              <w:spacing w:before="0" w:after="283"/>
              <w:rPr>
                <w:sz w:val="4"/>
                <w:szCs w:val="4"/>
              </w:rPr>
            </w:pPr>
            <w:r>
              <w:rPr>
                <w:sz w:val="4"/>
                <w:szCs w:val="4"/>
              </w:rPr>
            </w:r>
          </w:p>
        </w:tc>
        <w:tc>
          <w:tcPr>
            <w:tcW w:w="3126" w:type="dxa"/>
            <w:gridSpan w:val="2"/>
            <w:tcBorders/>
            <w:shd w:fill="E5E5E5" w:val="clear"/>
            <w:vAlign w:val="center"/>
          </w:tcPr>
          <w:p>
            <w:pPr>
              <w:pStyle w:val="TableContents"/>
              <w:spacing w:before="0" w:after="283"/>
              <w:rPr>
                <w:sz w:val="4"/>
                <w:szCs w:val="4"/>
              </w:rPr>
            </w:pPr>
            <w:r>
              <w:rPr>
                <w:sz w:val="4"/>
                <w:szCs w:val="4"/>
              </w:rPr>
            </w:r>
          </w:p>
        </w:tc>
      </w:tr>
      <w:tr>
        <w:trPr/>
        <w:tc>
          <w:tcPr>
            <w:tcW w:w="3570" w:type="dxa"/>
            <w:tcBorders/>
            <w:shd w:fill="E5E5E5" w:val="clear"/>
            <w:vAlign w:val="center"/>
          </w:tcPr>
          <w:p>
            <w:pPr>
              <w:pStyle w:val="TableContents"/>
              <w:spacing w:lineRule="atLeast" w:line="200" w:before="0" w:after="0"/>
              <w:rPr>
                <w:rFonts w:ascii="arial" w:hAnsi="arial"/>
                <w:sz w:val="16"/>
              </w:rPr>
            </w:pPr>
            <w:r>
              <w:rPr>
                <w:rFonts w:ascii="arial" w:hAnsi="arial"/>
                <w:sz w:val="16"/>
              </w:rPr>
              <w:t>CMS Energy Corporation</w:t>
            </w:r>
          </w:p>
        </w:tc>
        <w:tc>
          <w:tcPr>
            <w:tcW w:w="216" w:type="dxa"/>
            <w:tcBorders/>
            <w:shd w:fill="E5E5E5" w:val="clear"/>
            <w:vAlign w:val="bottom"/>
          </w:tcPr>
          <w:p>
            <w:pPr>
              <w:pStyle w:val="TableContents"/>
              <w:spacing w:before="0" w:after="283"/>
              <w:rPr/>
            </w:pPr>
            <w:r>
              <w:rPr/>
              <w:t>  </w:t>
            </w:r>
          </w:p>
        </w:tc>
        <w:tc>
          <w:tcPr>
            <w:tcW w:w="3293" w:type="dxa"/>
            <w:tcBorders/>
            <w:shd w:fill="E5E5E5" w:val="clear"/>
            <w:vAlign w:val="center"/>
          </w:tcPr>
          <w:p>
            <w:pPr>
              <w:pStyle w:val="TableContents"/>
              <w:spacing w:lineRule="atLeast" w:line="200" w:before="0" w:after="0"/>
              <w:rPr>
                <w:rFonts w:ascii="arial" w:hAnsi="arial"/>
                <w:sz w:val="16"/>
              </w:rPr>
            </w:pPr>
            <w:r>
              <w:rPr>
                <w:rFonts w:ascii="arial" w:hAnsi="arial"/>
                <w:sz w:val="16"/>
              </w:rPr>
              <w:t>Exelon Corporation</w:t>
            </w:r>
          </w:p>
        </w:tc>
        <w:tc>
          <w:tcPr>
            <w:tcW w:w="120" w:type="dxa"/>
            <w:tcBorders/>
            <w:shd w:fill="E5E5E5" w:val="clear"/>
            <w:vAlign w:val="bottom"/>
          </w:tcPr>
          <w:p>
            <w:pPr>
              <w:pStyle w:val="TableContents"/>
              <w:spacing w:before="0" w:after="283"/>
              <w:rPr/>
            </w:pPr>
            <w:r>
              <w:rPr/>
              <w:t>  </w:t>
            </w:r>
          </w:p>
        </w:tc>
        <w:tc>
          <w:tcPr>
            <w:tcW w:w="3006" w:type="dxa"/>
            <w:tcBorders/>
            <w:shd w:fill="E5E5E5" w:val="clear"/>
            <w:vAlign w:val="center"/>
          </w:tcPr>
          <w:p>
            <w:pPr>
              <w:pStyle w:val="TableContents"/>
              <w:spacing w:lineRule="atLeast" w:line="200" w:before="0" w:after="0"/>
              <w:rPr>
                <w:rFonts w:ascii="arial" w:hAnsi="arial"/>
                <w:sz w:val="16"/>
              </w:rPr>
            </w:pPr>
            <w:r>
              <w:rPr>
                <w:rFonts w:ascii="arial" w:hAnsi="arial"/>
                <w:sz w:val="16"/>
              </w:rPr>
              <w:t>WEC Energy Group, Inc.</w:t>
            </w:r>
          </w:p>
        </w:tc>
      </w:tr>
      <w:tr>
        <w:trPr>
          <w:trHeight w:val="60" w:hRule="atLeast"/>
        </w:trPr>
        <w:tc>
          <w:tcPr>
            <w:tcW w:w="3570" w:type="dxa"/>
            <w:tcBorders/>
            <w:shd w:fill="auto" w:val="clear"/>
            <w:vAlign w:val="center"/>
          </w:tcPr>
          <w:p>
            <w:pPr>
              <w:pStyle w:val="TableContents"/>
              <w:spacing w:before="0" w:after="283"/>
              <w:rPr>
                <w:sz w:val="4"/>
                <w:szCs w:val="4"/>
              </w:rPr>
            </w:pPr>
            <w:r>
              <w:rPr>
                <w:sz w:val="4"/>
                <w:szCs w:val="4"/>
              </w:rPr>
            </w:r>
          </w:p>
        </w:tc>
        <w:tc>
          <w:tcPr>
            <w:tcW w:w="3509" w:type="dxa"/>
            <w:gridSpan w:val="2"/>
            <w:tcBorders/>
            <w:shd w:fill="auto" w:val="clear"/>
            <w:vAlign w:val="center"/>
          </w:tcPr>
          <w:p>
            <w:pPr>
              <w:pStyle w:val="TableContents"/>
              <w:spacing w:before="0" w:after="283"/>
              <w:rPr>
                <w:sz w:val="4"/>
                <w:szCs w:val="4"/>
              </w:rPr>
            </w:pPr>
            <w:r>
              <w:rPr>
                <w:sz w:val="4"/>
                <w:szCs w:val="4"/>
              </w:rPr>
            </w:r>
          </w:p>
        </w:tc>
        <w:tc>
          <w:tcPr>
            <w:tcW w:w="3126" w:type="dxa"/>
            <w:gridSpan w:val="2"/>
            <w:tcBorders/>
            <w:shd w:fill="auto" w:val="clear"/>
            <w:vAlign w:val="center"/>
          </w:tcPr>
          <w:p>
            <w:pPr>
              <w:pStyle w:val="TableContents"/>
              <w:spacing w:before="0" w:after="283"/>
              <w:rPr>
                <w:sz w:val="4"/>
                <w:szCs w:val="4"/>
              </w:rPr>
            </w:pPr>
            <w:r>
              <w:rPr>
                <w:sz w:val="4"/>
                <w:szCs w:val="4"/>
              </w:rPr>
            </w:r>
          </w:p>
        </w:tc>
      </w:tr>
      <w:tr>
        <w:trPr/>
        <w:tc>
          <w:tcPr>
            <w:tcW w:w="3570" w:type="dxa"/>
            <w:tcBorders/>
            <w:shd w:fill="auto" w:val="clear"/>
            <w:vAlign w:val="center"/>
          </w:tcPr>
          <w:p>
            <w:pPr>
              <w:pStyle w:val="TableContents"/>
              <w:spacing w:lineRule="atLeast" w:line="200" w:before="0" w:after="0"/>
              <w:rPr>
                <w:rFonts w:ascii="arial" w:hAnsi="arial"/>
                <w:sz w:val="16"/>
              </w:rPr>
            </w:pPr>
            <w:r>
              <w:rPr>
                <w:rFonts w:ascii="arial" w:hAnsi="arial"/>
                <w:sz w:val="16"/>
              </w:rPr>
              <w:t>Consolidated Edison, Inc.</w:t>
            </w:r>
          </w:p>
        </w:tc>
        <w:tc>
          <w:tcPr>
            <w:tcW w:w="216" w:type="dxa"/>
            <w:tcBorders/>
            <w:shd w:fill="auto" w:val="clear"/>
            <w:vAlign w:val="bottom"/>
          </w:tcPr>
          <w:p>
            <w:pPr>
              <w:pStyle w:val="TableContents"/>
              <w:spacing w:before="0" w:after="283"/>
              <w:rPr/>
            </w:pPr>
            <w:r>
              <w:rPr/>
              <w:t>  </w:t>
            </w:r>
          </w:p>
        </w:tc>
        <w:tc>
          <w:tcPr>
            <w:tcW w:w="3293" w:type="dxa"/>
            <w:tcBorders/>
            <w:shd w:fill="auto" w:val="clear"/>
            <w:vAlign w:val="center"/>
          </w:tcPr>
          <w:p>
            <w:pPr>
              <w:pStyle w:val="TableContents"/>
              <w:spacing w:lineRule="atLeast" w:line="200" w:before="0" w:after="0"/>
              <w:rPr>
                <w:rFonts w:ascii="arial" w:hAnsi="arial"/>
                <w:sz w:val="16"/>
              </w:rPr>
            </w:pPr>
            <w:r>
              <w:rPr>
                <w:rFonts w:ascii="arial" w:hAnsi="arial"/>
                <w:sz w:val="16"/>
              </w:rPr>
              <w:t>FirstEnergy Corp.</w:t>
            </w:r>
          </w:p>
        </w:tc>
        <w:tc>
          <w:tcPr>
            <w:tcW w:w="120" w:type="dxa"/>
            <w:tcBorders/>
            <w:shd w:fill="auto" w:val="clear"/>
            <w:vAlign w:val="bottom"/>
          </w:tcPr>
          <w:p>
            <w:pPr>
              <w:pStyle w:val="TableContents"/>
              <w:spacing w:before="0" w:after="283"/>
              <w:rPr/>
            </w:pPr>
            <w:r>
              <w:rPr/>
              <w:t>  </w:t>
            </w:r>
          </w:p>
        </w:tc>
        <w:tc>
          <w:tcPr>
            <w:tcW w:w="3006" w:type="dxa"/>
            <w:tcBorders/>
            <w:shd w:fill="auto" w:val="clear"/>
            <w:vAlign w:val="center"/>
          </w:tcPr>
          <w:p>
            <w:pPr>
              <w:pStyle w:val="TableContents"/>
              <w:spacing w:lineRule="atLeast" w:line="200" w:before="0" w:after="0"/>
              <w:rPr>
                <w:rFonts w:ascii="arial" w:hAnsi="arial"/>
                <w:sz w:val="16"/>
              </w:rPr>
            </w:pPr>
            <w:r>
              <w:rPr>
                <w:rFonts w:ascii="arial" w:hAnsi="arial"/>
                <w:sz w:val="16"/>
              </w:rPr>
              <w:t>Xcel Energy Inc.</w:t>
            </w:r>
          </w:p>
        </w:tc>
      </w:tr>
      <w:tr>
        <w:trPr>
          <w:trHeight w:val="60" w:hRule="atLeast"/>
        </w:trPr>
        <w:tc>
          <w:tcPr>
            <w:tcW w:w="3570" w:type="dxa"/>
            <w:tcBorders/>
            <w:shd w:fill="E5E5E5" w:val="clear"/>
            <w:vAlign w:val="center"/>
          </w:tcPr>
          <w:p>
            <w:pPr>
              <w:pStyle w:val="TableContents"/>
              <w:spacing w:before="0" w:after="283"/>
              <w:rPr>
                <w:sz w:val="4"/>
                <w:szCs w:val="4"/>
              </w:rPr>
            </w:pPr>
            <w:r>
              <w:rPr>
                <w:sz w:val="4"/>
                <w:szCs w:val="4"/>
              </w:rPr>
            </w:r>
          </w:p>
        </w:tc>
        <w:tc>
          <w:tcPr>
            <w:tcW w:w="3509" w:type="dxa"/>
            <w:gridSpan w:val="2"/>
            <w:tcBorders/>
            <w:shd w:fill="E5E5E5" w:val="clear"/>
            <w:vAlign w:val="center"/>
          </w:tcPr>
          <w:p>
            <w:pPr>
              <w:pStyle w:val="TableContents"/>
              <w:spacing w:before="0" w:after="283"/>
              <w:rPr>
                <w:sz w:val="4"/>
                <w:szCs w:val="4"/>
              </w:rPr>
            </w:pPr>
            <w:r>
              <w:rPr>
                <w:sz w:val="4"/>
                <w:szCs w:val="4"/>
              </w:rPr>
            </w:r>
          </w:p>
        </w:tc>
        <w:tc>
          <w:tcPr>
            <w:tcW w:w="3126" w:type="dxa"/>
            <w:gridSpan w:val="2"/>
            <w:tcBorders/>
            <w:shd w:fill="E5E5E5" w:val="clear"/>
            <w:vAlign w:val="center"/>
          </w:tcPr>
          <w:p>
            <w:pPr>
              <w:pStyle w:val="TableContents"/>
              <w:spacing w:before="0" w:after="283"/>
              <w:rPr>
                <w:sz w:val="4"/>
                <w:szCs w:val="4"/>
              </w:rPr>
            </w:pPr>
            <w:r>
              <w:rPr>
                <w:sz w:val="4"/>
                <w:szCs w:val="4"/>
              </w:rPr>
            </w:r>
          </w:p>
        </w:tc>
      </w:tr>
      <w:tr>
        <w:trPr/>
        <w:tc>
          <w:tcPr>
            <w:tcW w:w="3570" w:type="dxa"/>
            <w:tcBorders>
              <w:bottom w:val="single" w:sz="8" w:space="0" w:color="001C71"/>
            </w:tcBorders>
            <w:shd w:fill="E5E5E5" w:val="clear"/>
            <w:tcMar>
              <w:bottom w:w="40" w:type="dxa"/>
            </w:tcMar>
            <w:vAlign w:val="center"/>
          </w:tcPr>
          <w:p>
            <w:pPr>
              <w:pStyle w:val="TableContents"/>
              <w:spacing w:lineRule="atLeast" w:line="200" w:before="0" w:after="0"/>
              <w:rPr>
                <w:rFonts w:ascii="arial" w:hAnsi="arial"/>
                <w:sz w:val="16"/>
              </w:rPr>
            </w:pPr>
            <w:r>
              <w:rPr>
                <w:rFonts w:ascii="arial" w:hAnsi="arial"/>
                <w:sz w:val="16"/>
              </w:rPr>
              <w:t>Dominion Resources, Inc.</w:t>
            </w:r>
          </w:p>
        </w:tc>
        <w:tc>
          <w:tcPr>
            <w:tcW w:w="216" w:type="dxa"/>
            <w:tcBorders>
              <w:bottom w:val="single" w:sz="8" w:space="0" w:color="001C71"/>
            </w:tcBorders>
            <w:shd w:fill="E5E5E5" w:val="clear"/>
            <w:tcMar>
              <w:bottom w:w="28" w:type="dxa"/>
            </w:tcMar>
            <w:vAlign w:val="bottom"/>
          </w:tcPr>
          <w:p>
            <w:pPr>
              <w:pStyle w:val="TableContents"/>
              <w:spacing w:before="0" w:after="283"/>
              <w:rPr/>
            </w:pPr>
            <w:r>
              <w:rPr/>
              <w:t>  </w:t>
            </w:r>
          </w:p>
        </w:tc>
        <w:tc>
          <w:tcPr>
            <w:tcW w:w="3293" w:type="dxa"/>
            <w:tcBorders>
              <w:bottom w:val="single" w:sz="8" w:space="0" w:color="001C71"/>
            </w:tcBorders>
            <w:shd w:fill="E5E5E5" w:val="clear"/>
            <w:tcMar>
              <w:bottom w:w="40" w:type="dxa"/>
            </w:tcMar>
            <w:vAlign w:val="center"/>
          </w:tcPr>
          <w:p>
            <w:pPr>
              <w:pStyle w:val="TableContents"/>
              <w:spacing w:lineRule="atLeast" w:line="200" w:before="0" w:after="0"/>
              <w:rPr>
                <w:rFonts w:ascii="arial" w:hAnsi="arial"/>
                <w:sz w:val="16"/>
              </w:rPr>
            </w:pPr>
            <w:r>
              <w:rPr>
                <w:rFonts w:ascii="arial" w:hAnsi="arial"/>
                <w:sz w:val="16"/>
              </w:rPr>
              <w:t>NextEra Energy, Inc.</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3006" w:type="dxa"/>
            <w:tcBorders>
              <w:bottom w:val="single" w:sz="8" w:space="0" w:color="001C71"/>
            </w:tcBorders>
            <w:shd w:fill="E5E5E5"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85"/>
        <w:gridCol w:w="9720"/>
      </w:tblGrid>
      <w:tr>
        <w:trPr/>
        <w:tc>
          <w:tcPr>
            <w:tcW w:w="485" w:type="dxa"/>
            <w:tcBorders/>
            <w:shd w:fill="auto" w:val="clear"/>
          </w:tcPr>
          <w:p>
            <w:pPr>
              <w:pStyle w:val="TableContents"/>
              <w:spacing w:before="0" w:after="283"/>
              <w:jc w:val="left"/>
              <w:rPr>
                <w:i/>
              </w:rPr>
            </w:pPr>
            <w:r>
              <w:rPr>
                <w:i/>
              </w:rPr>
              <w:t>Note:</w:t>
            </w:r>
          </w:p>
        </w:tc>
        <w:tc>
          <w:tcPr>
            <w:tcW w:w="9720" w:type="dxa"/>
            <w:tcBorders/>
            <w:shd w:fill="auto" w:val="clear"/>
          </w:tcPr>
          <w:p>
            <w:pPr>
              <w:pStyle w:val="TableContents"/>
              <w:spacing w:before="0" w:after="0"/>
              <w:jc w:val="left"/>
              <w:rPr>
                <w:rFonts w:ascii="arial" w:hAnsi="arial"/>
                <w:i/>
                <w:sz w:val="16"/>
              </w:rPr>
            </w:pPr>
            <w:r>
              <w:rPr>
                <w:rFonts w:ascii="arial" w:hAnsi="arial"/>
                <w:i/>
                <w:sz w:val="16"/>
              </w:rPr>
              <w:t xml:space="preserve">Excludes water companies.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5"/>
        <w:gridCol w:w="115"/>
        <w:gridCol w:w="9685"/>
      </w:tblGrid>
      <w:tr>
        <w:trPr/>
        <w:tc>
          <w:tcPr>
            <w:tcW w:w="40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9685"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104</w:t>
            </w:r>
          </w:p>
        </w:tc>
        <w:tc>
          <w:tcPr>
            <w:tcW w:w="115" w:type="dxa"/>
            <w:tcBorders/>
            <w:shd w:fill="auto" w:val="clear"/>
            <w:vAlign w:val="bottom"/>
          </w:tcPr>
          <w:p>
            <w:pPr>
              <w:pStyle w:val="TableContents"/>
              <w:spacing w:before="0" w:after="283"/>
              <w:rPr/>
            </w:pPr>
            <w:r>
              <w:rPr/>
              <w:t> </w:t>
            </w:r>
          </w:p>
        </w:tc>
        <w:tc>
          <w:tcPr>
            <w:tcW w:w="9685"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1C71"/>
          <w:sz w:val="44"/>
        </w:rPr>
      </w:pPr>
      <w:bookmarkStart w:id="56" w:name="toc108157_32"/>
      <w:bookmarkEnd w:id="56"/>
      <w:r>
        <w:rPr>
          <w:rFonts w:ascii="arial" w:hAnsi="arial"/>
          <w:b/>
          <w:color w:val="001C71"/>
          <w:sz w:val="44"/>
        </w:rPr>
        <w:t xml:space="preserve">Appendix D </w:t>
      </w:r>
    </w:p>
    <w:p>
      <w:pPr>
        <w:pStyle w:val="TextBody"/>
        <w:spacing w:before="360" w:after="0"/>
        <w:jc w:val="left"/>
        <w:rPr>
          <w:rFonts w:ascii="arial" w:hAnsi="arial"/>
          <w:color w:val="001C71"/>
          <w:sz w:val="16"/>
        </w:rPr>
      </w:pPr>
      <w:r>
        <w:rPr>
          <w:rFonts w:ascii="arial" w:hAnsi="arial"/>
          <w:color w:val="001C71"/>
          <w:sz w:val="16"/>
        </w:rPr>
        <w:t xml:space="preserve">PERFORMANCE-BASED ANNUAL BONUS PLANADDITIONAL INFORMATION </w:t>
      </w:r>
    </w:p>
    <w:p>
      <w:pPr>
        <w:pStyle w:val="TextBody"/>
        <w:spacing w:before="160" w:after="0"/>
        <w:jc w:val="left"/>
        <w:rPr>
          <w:rFonts w:ascii="arial" w:hAnsi="arial"/>
          <w:sz w:val="16"/>
        </w:rPr>
      </w:pPr>
      <w:r>
        <w:rPr>
          <w:rFonts w:ascii="arial" w:hAnsi="arial"/>
          <w:sz w:val="16"/>
        </w:rPr>
        <w:t xml:space="preserve">PREDEFINED EARNINGS ADJUSTMENTS: </w:t>
      </w:r>
    </w:p>
    <w:p>
      <w:pPr>
        <w:pStyle w:val="TextBody"/>
        <w:spacing w:before="120" w:after="0"/>
        <w:jc w:val="left"/>
        <w:rPr>
          <w:rFonts w:ascii="arial" w:hAnsi="arial"/>
          <w:sz w:val="16"/>
        </w:rPr>
      </w:pPr>
      <w:r>
        <w:rPr>
          <w:rFonts w:ascii="arial" w:hAnsi="arial"/>
          <w:sz w:val="16"/>
        </w:rPr>
        <w:t xml:space="preserve">Consistent with the approach taken in prior years, the Compensation and Talent Development Committee determined at the beginning of the year that the earnings calculation for annual bonus plan purposes, or ABP Earnings, would be adjusted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9"/>
        <w:gridCol w:w="9871"/>
      </w:tblGrid>
      <w:tr>
        <w:trPr/>
        <w:tc>
          <w:tcPr>
            <w:tcW w:w="205" w:type="dxa"/>
            <w:tcBorders/>
            <w:shd w:fill="auto" w:val="clear"/>
          </w:tcPr>
          <w:p>
            <w:pPr>
              <w:pStyle w:val="TableContents"/>
              <w:spacing w:before="0" w:after="283"/>
              <w:jc w:val="left"/>
              <w:rPr>
                <w:color w:val="001C71"/>
              </w:rPr>
            </w:pPr>
            <w:r>
              <w:rPr>
                <w:color w:val="001C71"/>
              </w:rPr>
              <w:t></w:t>
            </w:r>
          </w:p>
        </w:tc>
        <w:tc>
          <w:tcPr>
            <w:tcW w:w="129" w:type="dxa"/>
            <w:tcBorders/>
            <w:shd w:fill="auto" w:val="clear"/>
          </w:tcPr>
          <w:p>
            <w:pPr>
              <w:pStyle w:val="TableContents"/>
              <w:spacing w:before="0" w:after="283"/>
              <w:rPr/>
            </w:pPr>
            <w:r>
              <w:rPr/>
              <w:t> </w:t>
            </w:r>
          </w:p>
        </w:tc>
        <w:tc>
          <w:tcPr>
            <w:tcW w:w="9871" w:type="dxa"/>
            <w:tcBorders/>
            <w:shd w:fill="auto" w:val="clear"/>
          </w:tcPr>
          <w:p>
            <w:pPr>
              <w:pStyle w:val="TableContents"/>
              <w:spacing w:before="0" w:after="0"/>
              <w:jc w:val="left"/>
              <w:rPr>
                <w:rFonts w:ascii="arial" w:hAnsi="arial"/>
                <w:sz w:val="16"/>
              </w:rPr>
            </w:pPr>
            <w:r>
              <w:rPr>
                <w:rFonts w:ascii="arial" w:hAnsi="arial"/>
                <w:sz w:val="16"/>
              </w:rPr>
              <w:t xml:space="preserve">Exclude the impact of any unplanned changes in tax laws or regulations and accounting rule changes.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arial" w:hAnsi="arial"/>
                <w:sz w:val="16"/>
              </w:rPr>
            </w:pPr>
            <w:r>
              <w:rPr>
                <w:rFonts w:ascii="arial" w:hAnsi="arial"/>
                <w:sz w:val="16"/>
              </w:rPr>
              <w:t xml:space="preserve">Exclude certain nonrecurring items at the discretion of the Compensation and Talent Development Committee, provided that such items do not have a material adverse impact on the companys stock price, also as determined by the Compensation and Talent Development Committee. Such items would include but not be limited 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24"/>
        <w:gridCol w:w="212"/>
        <w:gridCol w:w="130"/>
        <w:gridCol w:w="9639"/>
      </w:tblGrid>
      <w:tr>
        <w:trPr/>
        <w:tc>
          <w:tcPr>
            <w:tcW w:w="224"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639" w:type="dxa"/>
            <w:tcBorders/>
            <w:shd w:fill="auto" w:val="clear"/>
          </w:tcPr>
          <w:p>
            <w:pPr>
              <w:pStyle w:val="TableContents"/>
              <w:spacing w:before="0" w:after="0"/>
              <w:jc w:val="left"/>
              <w:rPr>
                <w:rFonts w:ascii="arial" w:hAnsi="arial"/>
                <w:sz w:val="16"/>
              </w:rPr>
            </w:pPr>
            <w:r>
              <w:rPr>
                <w:rFonts w:ascii="arial" w:hAnsi="arial"/>
                <w:sz w:val="16"/>
              </w:rPr>
              <w:t xml:space="preserve">the pro forma earnings impact of any acquisition or divestiture to the extent the earnings impact of such acquisition or divestiture or related transaction and integration cost is not included in the Sempra Energy ABP Earnings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22"/>
        <w:gridCol w:w="208"/>
        <w:gridCol w:w="128"/>
        <w:gridCol w:w="9647"/>
      </w:tblGrid>
      <w:tr>
        <w:trPr/>
        <w:tc>
          <w:tcPr>
            <w:tcW w:w="222"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647" w:type="dxa"/>
            <w:tcBorders/>
            <w:shd w:fill="auto" w:val="clear"/>
          </w:tcPr>
          <w:p>
            <w:pPr>
              <w:pStyle w:val="TableContents"/>
              <w:spacing w:before="0" w:after="0"/>
              <w:jc w:val="left"/>
              <w:rPr>
                <w:rFonts w:ascii="arial" w:hAnsi="arial"/>
                <w:sz w:val="16"/>
              </w:rPr>
            </w:pPr>
            <w:r>
              <w:rPr>
                <w:rFonts w:ascii="arial" w:hAnsi="arial"/>
                <w:sz w:val="16"/>
              </w:rPr>
              <w:t xml:space="preserve">nonrecurring gains or losses related to RBS Sempra Commodities, which was sold in 2010.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9"/>
        <w:gridCol w:w="9871"/>
      </w:tblGrid>
      <w:tr>
        <w:trPr/>
        <w:tc>
          <w:tcPr>
            <w:tcW w:w="205" w:type="dxa"/>
            <w:tcBorders/>
            <w:shd w:fill="auto" w:val="clear"/>
          </w:tcPr>
          <w:p>
            <w:pPr>
              <w:pStyle w:val="TableContents"/>
              <w:spacing w:before="0" w:after="283"/>
              <w:jc w:val="left"/>
              <w:rPr>
                <w:color w:val="001C71"/>
              </w:rPr>
            </w:pPr>
            <w:r>
              <w:rPr>
                <w:color w:val="001C71"/>
              </w:rPr>
              <w:t></w:t>
            </w:r>
          </w:p>
        </w:tc>
        <w:tc>
          <w:tcPr>
            <w:tcW w:w="129" w:type="dxa"/>
            <w:tcBorders/>
            <w:shd w:fill="auto" w:val="clear"/>
          </w:tcPr>
          <w:p>
            <w:pPr>
              <w:pStyle w:val="TableContents"/>
              <w:spacing w:before="0" w:after="283"/>
              <w:rPr/>
            </w:pPr>
            <w:r>
              <w:rPr/>
              <w:t> </w:t>
            </w:r>
          </w:p>
        </w:tc>
        <w:tc>
          <w:tcPr>
            <w:tcW w:w="9871" w:type="dxa"/>
            <w:tcBorders/>
            <w:shd w:fill="auto" w:val="clear"/>
          </w:tcPr>
          <w:p>
            <w:pPr>
              <w:pStyle w:val="TableContents"/>
              <w:spacing w:before="0" w:after="0"/>
              <w:jc w:val="left"/>
              <w:rPr>
                <w:rFonts w:ascii="arial" w:hAnsi="arial"/>
                <w:sz w:val="16"/>
              </w:rPr>
            </w:pPr>
            <w:r>
              <w:rPr>
                <w:rFonts w:ascii="arial" w:hAnsi="arial"/>
                <w:sz w:val="16"/>
              </w:rPr>
              <w:t xml:space="preserve">Exclude the variance from plan of the foreign exchange gains or losses at Mexico, including any associated cost of hedging.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30"/>
        <w:gridCol w:w="9868"/>
      </w:tblGrid>
      <w:tr>
        <w:trPr/>
        <w:tc>
          <w:tcPr>
            <w:tcW w:w="207"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868" w:type="dxa"/>
            <w:tcBorders/>
            <w:shd w:fill="auto" w:val="clear"/>
          </w:tcPr>
          <w:p>
            <w:pPr>
              <w:pStyle w:val="TableContents"/>
              <w:spacing w:before="0" w:after="0"/>
              <w:jc w:val="left"/>
              <w:rPr>
                <w:rFonts w:ascii="arial" w:hAnsi="arial"/>
                <w:sz w:val="16"/>
              </w:rPr>
            </w:pPr>
            <w:r>
              <w:rPr>
                <w:rFonts w:ascii="arial" w:hAnsi="arial"/>
                <w:sz w:val="16"/>
              </w:rPr>
              <w:t xml:space="preserve">Exclude gains or losses related to legacy litigation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26"/>
        <w:gridCol w:w="9877"/>
      </w:tblGrid>
      <w:tr>
        <w:trPr/>
        <w:tc>
          <w:tcPr>
            <w:tcW w:w="202" w:type="dxa"/>
            <w:tcBorders/>
            <w:shd w:fill="auto" w:val="clear"/>
          </w:tcPr>
          <w:p>
            <w:pPr>
              <w:pStyle w:val="TableContents"/>
              <w:spacing w:before="0" w:after="283"/>
              <w:jc w:val="left"/>
              <w:rPr>
                <w:color w:val="001C71"/>
              </w:rPr>
            </w:pPr>
            <w:r>
              <w:rPr>
                <w:color w:val="001C71"/>
              </w:rPr>
              <w:t></w:t>
            </w:r>
          </w:p>
        </w:tc>
        <w:tc>
          <w:tcPr>
            <w:tcW w:w="126" w:type="dxa"/>
            <w:tcBorders/>
            <w:shd w:fill="auto" w:val="clear"/>
          </w:tcPr>
          <w:p>
            <w:pPr>
              <w:pStyle w:val="TableContents"/>
              <w:spacing w:before="0" w:after="283"/>
              <w:rPr/>
            </w:pPr>
            <w:r>
              <w:rPr/>
              <w:t> </w:t>
            </w:r>
          </w:p>
        </w:tc>
        <w:tc>
          <w:tcPr>
            <w:tcW w:w="9877" w:type="dxa"/>
            <w:tcBorders/>
            <w:shd w:fill="auto" w:val="clear"/>
          </w:tcPr>
          <w:p>
            <w:pPr>
              <w:pStyle w:val="TableContents"/>
              <w:spacing w:before="0" w:after="0"/>
              <w:jc w:val="left"/>
              <w:rPr>
                <w:rFonts w:ascii="arial" w:hAnsi="arial"/>
                <w:sz w:val="16"/>
              </w:rPr>
            </w:pPr>
            <w:r>
              <w:rPr>
                <w:rFonts w:ascii="arial" w:hAnsi="arial"/>
                <w:sz w:val="16"/>
              </w:rPr>
              <w:t xml:space="preserve">Exclude the variance from plan of one-time costs associated with board-approved corporate optimization or capital rotation efforts (including potential asset sales).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arial" w:hAnsi="arial"/>
                <w:sz w:val="16"/>
              </w:rPr>
            </w:pPr>
            <w:r>
              <w:rPr>
                <w:rFonts w:ascii="arial" w:hAnsi="arial"/>
                <w:sz w:val="16"/>
              </w:rPr>
              <w:t xml:space="preserve">Include 10% of any gains or losses related to asset sales and impairments in connection with a sale to the extent the earnings impact of such item is not included in the ABP Earnings target. This is because the Compensation and Talent Development Committee believes that the impact of asset sales should be measured primarily through stock price. Most of the impact would then be reflected in the long-term incentive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0"/>
              <w:jc w:val="left"/>
              <w:rPr>
                <w:rFonts w:ascii="arial" w:hAnsi="arial"/>
                <w:sz w:val="16"/>
              </w:rPr>
            </w:pPr>
            <w:r>
              <w:rPr>
                <w:rFonts w:ascii="arial" w:hAnsi="arial"/>
                <w:sz w:val="16"/>
              </w:rPr>
              <w:t xml:space="preserve">Exclude items that are required to be excluded from annual bonus plan compensation under the SDG&amp;E and/or SoCalGas General Rate Case decisions.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27"/>
        <w:gridCol w:w="9871"/>
      </w:tblGrid>
      <w:tr>
        <w:trPr/>
        <w:tc>
          <w:tcPr>
            <w:tcW w:w="207" w:type="dxa"/>
            <w:tcBorders/>
            <w:shd w:fill="auto" w:val="clear"/>
          </w:tcPr>
          <w:p>
            <w:pPr>
              <w:pStyle w:val="TableContents"/>
              <w:spacing w:before="0" w:after="283"/>
              <w:jc w:val="left"/>
              <w:rPr>
                <w:color w:val="001C71"/>
              </w:rPr>
            </w:pPr>
            <w:r>
              <w:rPr>
                <w:color w:val="001C71"/>
              </w:rPr>
              <w:t></w:t>
            </w:r>
          </w:p>
        </w:tc>
        <w:tc>
          <w:tcPr>
            <w:tcW w:w="127" w:type="dxa"/>
            <w:tcBorders/>
            <w:shd w:fill="auto" w:val="clear"/>
          </w:tcPr>
          <w:p>
            <w:pPr>
              <w:pStyle w:val="TableContents"/>
              <w:spacing w:before="0" w:after="283"/>
              <w:rPr/>
            </w:pPr>
            <w:r>
              <w:rPr/>
              <w:t> </w:t>
            </w:r>
          </w:p>
        </w:tc>
        <w:tc>
          <w:tcPr>
            <w:tcW w:w="9871" w:type="dxa"/>
            <w:tcBorders/>
            <w:shd w:fill="auto" w:val="clear"/>
          </w:tcPr>
          <w:p>
            <w:pPr>
              <w:pStyle w:val="TableContents"/>
              <w:spacing w:before="0" w:after="0"/>
              <w:jc w:val="left"/>
              <w:rPr>
                <w:rFonts w:ascii="arial" w:hAnsi="arial"/>
                <w:sz w:val="16"/>
              </w:rPr>
            </w:pPr>
            <w:r>
              <w:rPr>
                <w:rFonts w:ascii="arial" w:hAnsi="arial"/>
                <w:sz w:val="16"/>
              </w:rPr>
              <w:t xml:space="preserve">Exclude any earnings impact associated with the decommissioning of the San Onofre Nuclear Generating Station (SONGS).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1"/>
        <w:gridCol w:w="130"/>
        <w:gridCol w:w="9864"/>
      </w:tblGrid>
      <w:tr>
        <w:trPr/>
        <w:tc>
          <w:tcPr>
            <w:tcW w:w="211"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864" w:type="dxa"/>
            <w:tcBorders/>
            <w:shd w:fill="auto" w:val="clear"/>
          </w:tcPr>
          <w:p>
            <w:pPr>
              <w:pStyle w:val="TableContents"/>
              <w:spacing w:before="0" w:after="0"/>
              <w:jc w:val="left"/>
              <w:rPr>
                <w:rFonts w:ascii="arial" w:hAnsi="arial"/>
                <w:sz w:val="16"/>
              </w:rPr>
            </w:pPr>
            <w:r>
              <w:rPr>
                <w:rFonts w:ascii="arial" w:hAnsi="arial"/>
                <w:sz w:val="16"/>
              </w:rPr>
              <w:t xml:space="preserve">Exclude the variance from plan of the liability insurance expense not recoverable through balancing accounts.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2"/>
        <w:gridCol w:w="130"/>
        <w:gridCol w:w="9863"/>
      </w:tblGrid>
      <w:tr>
        <w:trPr/>
        <w:tc>
          <w:tcPr>
            <w:tcW w:w="212"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863" w:type="dxa"/>
            <w:tcBorders/>
            <w:shd w:fill="auto" w:val="clear"/>
          </w:tcPr>
          <w:p>
            <w:pPr>
              <w:pStyle w:val="TableContents"/>
              <w:spacing w:before="0" w:after="0"/>
              <w:jc w:val="left"/>
              <w:rPr>
                <w:rFonts w:ascii="arial" w:hAnsi="arial"/>
                <w:sz w:val="16"/>
              </w:rPr>
            </w:pPr>
            <w:r>
              <w:rPr>
                <w:rFonts w:ascii="arial" w:hAnsi="arial"/>
                <w:sz w:val="16"/>
              </w:rPr>
              <w:t xml:space="preserve">Exclude variance from plan of any impairments of the California Assembly Bill 1054 Wildfire Fund.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0"/>
        <w:gridCol w:w="130"/>
        <w:gridCol w:w="9865"/>
      </w:tblGrid>
      <w:tr>
        <w:trPr/>
        <w:tc>
          <w:tcPr>
            <w:tcW w:w="210" w:type="dxa"/>
            <w:tcBorders/>
            <w:shd w:fill="auto" w:val="clear"/>
          </w:tcPr>
          <w:p>
            <w:pPr>
              <w:pStyle w:val="TableContents"/>
              <w:spacing w:before="0" w:after="283"/>
              <w:jc w:val="left"/>
              <w:rPr>
                <w:color w:val="001C71"/>
              </w:rPr>
            </w:pPr>
            <w:r>
              <w:rPr>
                <w:color w:val="001C71"/>
              </w:rPr>
              <w:t></w:t>
            </w:r>
          </w:p>
        </w:tc>
        <w:tc>
          <w:tcPr>
            <w:tcW w:w="130" w:type="dxa"/>
            <w:tcBorders/>
            <w:shd w:fill="auto" w:val="clear"/>
          </w:tcPr>
          <w:p>
            <w:pPr>
              <w:pStyle w:val="TableContents"/>
              <w:spacing w:before="0" w:after="283"/>
              <w:rPr/>
            </w:pPr>
            <w:r>
              <w:rPr/>
              <w:t> </w:t>
            </w:r>
          </w:p>
        </w:tc>
        <w:tc>
          <w:tcPr>
            <w:tcW w:w="9865" w:type="dxa"/>
            <w:tcBorders/>
            <w:shd w:fill="auto" w:val="clear"/>
          </w:tcPr>
          <w:p>
            <w:pPr>
              <w:pStyle w:val="TableContents"/>
              <w:spacing w:before="0" w:after="0"/>
              <w:jc w:val="left"/>
              <w:rPr>
                <w:rFonts w:ascii="arial" w:hAnsi="arial"/>
                <w:sz w:val="16"/>
              </w:rPr>
            </w:pPr>
            <w:r>
              <w:rPr>
                <w:rFonts w:ascii="arial" w:hAnsi="arial"/>
                <w:sz w:val="16"/>
              </w:rPr>
              <w:t xml:space="preserve">Exclude one-time nonqualified pension settlement charges and LTIP tax windfall or shortfall to the extent such items are not included in the ABP Earnings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128"/>
        <w:gridCol w:w="9868"/>
      </w:tblGrid>
      <w:tr>
        <w:trPr/>
        <w:tc>
          <w:tcPr>
            <w:tcW w:w="209" w:type="dxa"/>
            <w:tcBorders/>
            <w:shd w:fill="auto" w:val="clear"/>
          </w:tcPr>
          <w:p>
            <w:pPr>
              <w:pStyle w:val="TableContents"/>
              <w:spacing w:before="0" w:after="283"/>
              <w:jc w:val="left"/>
              <w:rPr>
                <w:color w:val="001C71"/>
              </w:rPr>
            </w:pPr>
            <w:r>
              <w:rPr>
                <w:color w:val="001C71"/>
              </w:rPr>
              <w:t></w:t>
            </w:r>
          </w:p>
        </w:tc>
        <w:tc>
          <w:tcPr>
            <w:tcW w:w="128" w:type="dxa"/>
            <w:tcBorders/>
            <w:shd w:fill="auto" w:val="clear"/>
          </w:tcPr>
          <w:p>
            <w:pPr>
              <w:pStyle w:val="TableContents"/>
              <w:spacing w:before="0" w:after="283"/>
              <w:rPr/>
            </w:pPr>
            <w:r>
              <w:rPr/>
              <w:t> </w:t>
            </w:r>
          </w:p>
        </w:tc>
        <w:tc>
          <w:tcPr>
            <w:tcW w:w="9868" w:type="dxa"/>
            <w:tcBorders/>
            <w:shd w:fill="auto" w:val="clear"/>
          </w:tcPr>
          <w:p>
            <w:pPr>
              <w:pStyle w:val="TableContents"/>
              <w:spacing w:before="0" w:after="0"/>
              <w:jc w:val="left"/>
              <w:rPr>
                <w:rFonts w:ascii="arial" w:hAnsi="arial"/>
                <w:sz w:val="16"/>
              </w:rPr>
            </w:pPr>
            <w:r>
              <w:rPr>
                <w:rFonts w:ascii="arial" w:hAnsi="arial"/>
                <w:sz w:val="16"/>
              </w:rPr>
              <w:t xml:space="preserve">Limit impact of rabbi trust results (net of deferred compensation) to +/-5% (percentage points) of the ABP Earnings result as calculated without such gains or losses.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82"/>
        <w:gridCol w:w="115"/>
        <w:gridCol w:w="408"/>
      </w:tblGrid>
      <w:tr>
        <w:trPr/>
        <w:tc>
          <w:tcPr>
            <w:tcW w:w="96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r>
      <w:tr>
        <w:trPr/>
        <w:tc>
          <w:tcPr>
            <w:tcW w:w="9682"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15"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right"/>
              <w:rPr/>
            </w:pPr>
            <w:r>
              <w:rPr/>
              <w:t>105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3F3F3F"/>
          <w:sz w:val="18"/>
        </w:rPr>
      </w:pPr>
      <w:r>
        <w:rPr>
          <w:rFonts w:ascii="arial" w:hAnsi="arial"/>
          <w:color w:val="3F3F3F"/>
          <w:sz w:val="18"/>
        </w:rPr>
        <w:t xml:space="preserve">Appendix D </w:t>
      </w:r>
    </w:p>
    <w:p>
      <w:pPr>
        <w:pStyle w:val="TextBody"/>
        <w:spacing w:before="0" w:after="0"/>
        <w:jc w:val="left"/>
        <w:rPr/>
      </w:pPr>
      <w:r>
        <w:rPr/>
        <w:t> </w:t>
      </w:r>
    </w:p>
    <w:p>
      <w:pPr>
        <w:pStyle w:val="TextBody"/>
        <w:spacing w:before="0" w:after="0"/>
        <w:jc w:val="left"/>
        <w:rPr>
          <w:rFonts w:ascii="arial" w:hAnsi="arial"/>
          <w:b/>
          <w:sz w:val="16"/>
        </w:rPr>
      </w:pPr>
      <w:r>
        <w:rPr>
          <w:rFonts w:ascii="arial" w:hAnsi="arial"/>
          <w:b/>
          <w:sz w:val="16"/>
        </w:rPr>
        <w:t xml:space="preserve">DETAIL  2020 PERFORMANCE-BASED ANNUAL BONUS PLAN PERFORMANCE MEASURES AND RESULTS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79"/>
        <w:gridCol w:w="133"/>
        <w:gridCol w:w="60"/>
        <w:gridCol w:w="740"/>
        <w:gridCol w:w="60"/>
        <w:gridCol w:w="133"/>
        <w:gridCol w:w="86"/>
        <w:gridCol w:w="1044"/>
        <w:gridCol w:w="60"/>
        <w:gridCol w:w="133"/>
        <w:gridCol w:w="60"/>
        <w:gridCol w:w="682"/>
        <w:gridCol w:w="60"/>
        <w:gridCol w:w="133"/>
        <w:gridCol w:w="86"/>
        <w:gridCol w:w="1044"/>
        <w:gridCol w:w="60"/>
        <w:gridCol w:w="133"/>
        <w:gridCol w:w="60"/>
        <w:gridCol w:w="682"/>
        <w:gridCol w:w="59"/>
        <w:gridCol w:w="120"/>
        <w:gridCol w:w="172"/>
        <w:gridCol w:w="1124"/>
        <w:gridCol w:w="102"/>
      </w:tblGrid>
      <w:tr>
        <w:trPr/>
        <w:tc>
          <w:tcPr>
            <w:tcW w:w="317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3179" w:type="dxa"/>
            <w:tcBorders/>
            <w:shd w:fill="001C71" w:val="clear"/>
            <w:vAlign w:val="center"/>
          </w:tcPr>
          <w:p>
            <w:pPr>
              <w:pStyle w:val="TableContents"/>
              <w:spacing w:before="0" w:after="283"/>
              <w:rPr>
                <w:sz w:val="4"/>
                <w:szCs w:val="4"/>
              </w:rPr>
            </w:pPr>
            <w:r>
              <w:rPr>
                <w:sz w:val="4"/>
                <w:szCs w:val="4"/>
              </w:rPr>
            </w:r>
          </w:p>
        </w:tc>
        <w:tc>
          <w:tcPr>
            <w:tcW w:w="993" w:type="dxa"/>
            <w:gridSpan w:val="4"/>
            <w:tcBorders/>
            <w:shd w:fill="001C71" w:val="clear"/>
            <w:vAlign w:val="center"/>
          </w:tcPr>
          <w:p>
            <w:pPr>
              <w:pStyle w:val="TableContents"/>
              <w:spacing w:before="0" w:after="283"/>
              <w:rPr>
                <w:sz w:val="4"/>
                <w:szCs w:val="4"/>
              </w:rPr>
            </w:pPr>
            <w:r>
              <w:rPr>
                <w:sz w:val="4"/>
                <w:szCs w:val="4"/>
              </w:rPr>
            </w:r>
          </w:p>
        </w:tc>
        <w:tc>
          <w:tcPr>
            <w:tcW w:w="3581" w:type="dxa"/>
            <w:gridSpan w:val="12"/>
            <w:tcBorders/>
            <w:shd w:fill="001C71" w:val="clear"/>
            <w:vAlign w:val="center"/>
          </w:tcPr>
          <w:p>
            <w:pPr>
              <w:pStyle w:val="TableContents"/>
              <w:spacing w:before="0" w:after="283"/>
              <w:rPr>
                <w:sz w:val="4"/>
                <w:szCs w:val="4"/>
              </w:rPr>
            </w:pPr>
            <w:r>
              <w:rPr>
                <w:sz w:val="4"/>
                <w:szCs w:val="4"/>
              </w:rPr>
            </w:r>
          </w:p>
        </w:tc>
        <w:tc>
          <w:tcPr>
            <w:tcW w:w="934" w:type="dxa"/>
            <w:gridSpan w:val="4"/>
            <w:tcBorders/>
            <w:shd w:fill="001C71" w:val="clear"/>
            <w:vAlign w:val="center"/>
          </w:tcPr>
          <w:p>
            <w:pPr>
              <w:pStyle w:val="TableContents"/>
              <w:spacing w:before="0" w:after="283"/>
              <w:rPr>
                <w:sz w:val="4"/>
                <w:szCs w:val="4"/>
              </w:rPr>
            </w:pPr>
            <w:r>
              <w:rPr>
                <w:sz w:val="4"/>
                <w:szCs w:val="4"/>
              </w:rPr>
            </w:r>
          </w:p>
        </w:tc>
        <w:tc>
          <w:tcPr>
            <w:tcW w:w="1518" w:type="dxa"/>
            <w:gridSpan w:val="4"/>
            <w:tcBorders/>
            <w:shd w:fill="001C71" w:val="clear"/>
            <w:vAlign w:val="center"/>
          </w:tcPr>
          <w:p>
            <w:pPr>
              <w:pStyle w:val="TableContents"/>
              <w:spacing w:before="0" w:after="283"/>
              <w:rPr>
                <w:sz w:val="4"/>
                <w:szCs w:val="4"/>
              </w:rPr>
            </w:pPr>
            <w:r>
              <w:rPr>
                <w:sz w:val="4"/>
                <w:szCs w:val="4"/>
              </w:rPr>
            </w:r>
          </w:p>
        </w:tc>
      </w:tr>
      <w:tr>
        <w:trPr/>
        <w:tc>
          <w:tcPr>
            <w:tcW w:w="3179" w:type="dxa"/>
            <w:vMerge w:val="restart"/>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2020 Performance Measures</w:t>
            </w:r>
          </w:p>
        </w:tc>
        <w:tc>
          <w:tcPr>
            <w:tcW w:w="133" w:type="dxa"/>
            <w:vMerge w:val="restart"/>
            <w:tcBorders/>
            <w:shd w:fill="001C71" w:val="clear"/>
            <w:vAlign w:val="bottom"/>
          </w:tcPr>
          <w:p>
            <w:pPr>
              <w:pStyle w:val="TableContents"/>
              <w:spacing w:before="0" w:after="283"/>
              <w:rPr/>
            </w:pPr>
            <w:r>
              <w:rPr/>
              <w:t>  </w:t>
            </w:r>
          </w:p>
        </w:tc>
        <w:tc>
          <w:tcPr>
            <w:tcW w:w="800" w:type="dxa"/>
            <w:gridSpan w:val="2"/>
            <w:vMerge w:val="restart"/>
            <w:tcBorders/>
            <w:shd w:fill="001C71" w:val="clear"/>
            <w:vAlign w:val="bottom"/>
          </w:tcPr>
          <w:p>
            <w:pPr>
              <w:pStyle w:val="TableContents"/>
              <w:spacing w:before="0" w:after="283"/>
              <w:jc w:val="right"/>
              <w:rPr>
                <w:b/>
                <w:color w:val="FFFFFF"/>
              </w:rPr>
            </w:pPr>
            <w:r>
              <w:rPr>
                <w:b/>
                <w:color w:val="FFFFFF"/>
              </w:rPr>
              <w:t>Weight</w:t>
            </w:r>
          </w:p>
        </w:tc>
        <w:tc>
          <w:tcPr>
            <w:tcW w:w="60" w:type="dxa"/>
            <w:vMerge w:val="restart"/>
            <w:tcBorders/>
            <w:shd w:fill="001C71" w:val="clear"/>
            <w:vAlign w:val="bottom"/>
          </w:tcPr>
          <w:p>
            <w:pPr>
              <w:pStyle w:val="TableContents"/>
              <w:spacing w:before="0" w:after="283"/>
              <w:rPr/>
            </w:pPr>
            <w:r>
              <w:rPr/>
              <w:t> </w:t>
            </w:r>
          </w:p>
        </w:tc>
        <w:tc>
          <w:tcPr>
            <w:tcW w:w="133" w:type="dxa"/>
            <w:tcBorders>
              <w:bottom w:val="single" w:sz="2" w:space="0" w:color="FFFFFF"/>
            </w:tcBorders>
            <w:shd w:fill="001C71" w:val="clear"/>
            <w:tcMar>
              <w:bottom w:w="28" w:type="dxa"/>
            </w:tcMar>
            <w:vAlign w:val="bottom"/>
          </w:tcPr>
          <w:p>
            <w:pPr>
              <w:pStyle w:val="TableContents"/>
              <w:spacing w:before="0" w:after="283"/>
              <w:rPr/>
            </w:pPr>
            <w:r>
              <w:rPr/>
              <w:t>  </w:t>
            </w:r>
          </w:p>
        </w:tc>
        <w:tc>
          <w:tcPr>
            <w:tcW w:w="3388" w:type="dxa"/>
            <w:gridSpan w:val="10"/>
            <w:tcBorders>
              <w:bottom w:val="single" w:sz="2" w:space="0" w:color="FFFFFF"/>
            </w:tcBorders>
            <w:shd w:fill="001C71" w:val="clear"/>
            <w:tcMar>
              <w:bottom w:w="28" w:type="dxa"/>
            </w:tcMar>
            <w:vAlign w:val="bottom"/>
          </w:tcPr>
          <w:p>
            <w:pPr>
              <w:pStyle w:val="TableContents"/>
              <w:spacing w:before="0" w:after="0"/>
              <w:jc w:val="center"/>
              <w:rPr>
                <w:rFonts w:ascii="arial" w:hAnsi="arial"/>
                <w:b/>
                <w:color w:val="FFFFFF"/>
                <w:sz w:val="16"/>
              </w:rPr>
            </w:pPr>
            <w:r>
              <w:rPr>
                <w:rFonts w:ascii="arial" w:hAnsi="arial"/>
                <w:b/>
                <w:color w:val="FFFFFF"/>
                <w:sz w:val="16"/>
              </w:rPr>
              <w:t>Performance-Based Annual</w:t>
            </w:r>
          </w:p>
          <w:p>
            <w:pPr>
              <w:pStyle w:val="TableContents"/>
              <w:spacing w:before="0" w:after="20"/>
              <w:jc w:val="center"/>
              <w:rPr>
                <w:rFonts w:ascii="arial" w:hAnsi="arial"/>
                <w:b/>
                <w:color w:val="FFFFFF"/>
                <w:sz w:val="16"/>
              </w:rPr>
            </w:pPr>
            <w:r>
              <w:rPr>
                <w:rFonts w:ascii="arial" w:hAnsi="arial"/>
                <w:b/>
                <w:color w:val="FFFFFF"/>
                <w:sz w:val="16"/>
              </w:rPr>
              <w:t>Bonus Plan Goals(1)</w:t>
            </w:r>
          </w:p>
        </w:tc>
        <w:tc>
          <w:tcPr>
            <w:tcW w:w="60" w:type="dxa"/>
            <w:tcBorders>
              <w:bottom w:val="single" w:sz="2" w:space="0" w:color="FFFFFF"/>
            </w:tcBorders>
            <w:shd w:fill="001C71" w:val="clear"/>
            <w:tcMar>
              <w:bottom w:w="28" w:type="dxa"/>
            </w:tcMar>
            <w:vAlign w:val="bottom"/>
          </w:tcPr>
          <w:p>
            <w:pPr>
              <w:pStyle w:val="TableContents"/>
              <w:spacing w:before="0" w:after="283"/>
              <w:rPr/>
            </w:pPr>
            <w:r>
              <w:rPr/>
              <w:t> </w:t>
            </w:r>
          </w:p>
        </w:tc>
        <w:tc>
          <w:tcPr>
            <w:tcW w:w="133" w:type="dxa"/>
            <w:tcBorders/>
            <w:shd w:fill="001C71" w:val="clear"/>
            <w:vAlign w:val="bottom"/>
          </w:tcPr>
          <w:p>
            <w:pPr>
              <w:pStyle w:val="TableContents"/>
              <w:spacing w:before="0" w:after="283"/>
              <w:rPr/>
            </w:pPr>
            <w:r>
              <w:rPr/>
              <w:t>  </w:t>
            </w:r>
          </w:p>
        </w:tc>
        <w:tc>
          <w:tcPr>
            <w:tcW w:w="742" w:type="dxa"/>
            <w:gridSpan w:val="2"/>
            <w:tcBorders/>
            <w:shd w:fill="001C71" w:val="clear"/>
            <w:vAlign w:val="bottom"/>
          </w:tcPr>
          <w:p>
            <w:pPr>
              <w:pStyle w:val="TableContents"/>
              <w:spacing w:before="0" w:after="283"/>
              <w:rPr/>
            </w:pPr>
            <w:r>
              <w:rPr/>
              <w:t> </w:t>
            </w:r>
          </w:p>
        </w:tc>
        <w:tc>
          <w:tcPr>
            <w:tcW w:w="59" w:type="dxa"/>
            <w:tcBorders/>
            <w:shd w:fill="001C71" w:val="clear"/>
            <w:vAlign w:val="bottom"/>
          </w:tcPr>
          <w:p>
            <w:pPr>
              <w:pStyle w:val="TableContents"/>
              <w:spacing w:before="0" w:after="283"/>
              <w:rPr/>
            </w:pPr>
            <w:r>
              <w:rPr/>
              <w:t> </w:t>
            </w:r>
          </w:p>
        </w:tc>
        <w:tc>
          <w:tcPr>
            <w:tcW w:w="120" w:type="dxa"/>
            <w:vMerge w:val="restart"/>
            <w:tcBorders/>
            <w:shd w:fill="001C71" w:val="clear"/>
            <w:vAlign w:val="bottom"/>
          </w:tcPr>
          <w:p>
            <w:pPr>
              <w:pStyle w:val="TableContents"/>
              <w:spacing w:before="0" w:after="283"/>
              <w:rPr/>
            </w:pPr>
            <w:r>
              <w:rPr/>
              <w:t>  </w:t>
            </w:r>
          </w:p>
        </w:tc>
        <w:tc>
          <w:tcPr>
            <w:tcW w:w="1296" w:type="dxa"/>
            <w:gridSpan w:val="2"/>
            <w:vMerge w:val="restart"/>
            <w:tcBorders/>
            <w:shd w:fill="001C71" w:val="clear"/>
            <w:vAlign w:val="bottom"/>
          </w:tcPr>
          <w:p>
            <w:pPr>
              <w:pStyle w:val="TableContents"/>
              <w:spacing w:before="0" w:after="283"/>
              <w:jc w:val="right"/>
              <w:rPr>
                <w:b/>
                <w:color w:val="FFFFFF"/>
              </w:rPr>
            </w:pPr>
            <w:r>
              <w:rPr>
                <w:b/>
                <w:color w:val="FFFFFF"/>
              </w:rPr>
              <w:t>% of Target</w:t>
              <w:br/>
              <w:t>Achieved</w:t>
            </w:r>
          </w:p>
        </w:tc>
        <w:tc>
          <w:tcPr>
            <w:tcW w:w="102" w:type="dxa"/>
            <w:vMerge w:val="restart"/>
            <w:tcBorders/>
            <w:shd w:fill="001C71" w:val="clear"/>
            <w:vAlign w:val="bottom"/>
          </w:tcPr>
          <w:p>
            <w:pPr>
              <w:pStyle w:val="TableContents"/>
              <w:spacing w:before="0" w:after="283"/>
              <w:rPr/>
            </w:pPr>
            <w:r>
              <w:rPr/>
              <w:t> </w:t>
            </w:r>
          </w:p>
        </w:tc>
      </w:tr>
      <w:tr>
        <w:trPr/>
        <w:tc>
          <w:tcPr>
            <w:tcW w:w="3179" w:type="dxa"/>
            <w:vMerge w:val="continue"/>
            <w:tcBorders/>
            <w:shd w:fill="001C71" w:val="clear"/>
            <w:vAlign w:val="bottom"/>
          </w:tcPr>
          <w:p>
            <w:pPr>
              <w:pStyle w:val="Normal"/>
              <w:rPr/>
            </w:pPr>
            <w:r>
              <w:rPr/>
            </w:r>
          </w:p>
        </w:tc>
        <w:tc>
          <w:tcPr>
            <w:tcW w:w="133" w:type="dxa"/>
            <w:vMerge w:val="continue"/>
            <w:tcBorders/>
            <w:shd w:fill="001C71" w:val="clear"/>
            <w:vAlign w:val="bottom"/>
          </w:tcPr>
          <w:p>
            <w:pPr>
              <w:pStyle w:val="Normal"/>
              <w:rPr/>
            </w:pPr>
            <w:r>
              <w:rPr/>
            </w:r>
          </w:p>
        </w:tc>
        <w:tc>
          <w:tcPr>
            <w:tcW w:w="800" w:type="dxa"/>
            <w:gridSpan w:val="2"/>
            <w:vMerge w:val="continue"/>
            <w:tcBorders/>
            <w:shd w:fill="001C71" w:val="clear"/>
            <w:vAlign w:val="bottom"/>
          </w:tcPr>
          <w:p>
            <w:pPr>
              <w:pStyle w:val="Normal"/>
              <w:rPr/>
            </w:pPr>
            <w:r>
              <w:rPr/>
            </w:r>
          </w:p>
        </w:tc>
        <w:tc>
          <w:tcPr>
            <w:tcW w:w="60" w:type="dxa"/>
            <w:vMerge w:val="continue"/>
            <w:tcBorders/>
            <w:shd w:fill="001C71" w:val="clear"/>
            <w:vAlign w:val="bottom"/>
          </w:tcPr>
          <w:p>
            <w:pPr>
              <w:pStyle w:val="Normal"/>
              <w:rPr/>
            </w:pPr>
            <w:r>
              <w:rPr/>
            </w:r>
          </w:p>
        </w:tc>
        <w:tc>
          <w:tcPr>
            <w:tcW w:w="133" w:type="dxa"/>
            <w:tcBorders/>
            <w:shd w:fill="001C71" w:val="clear"/>
            <w:vAlign w:val="bottom"/>
          </w:tcPr>
          <w:p>
            <w:pPr>
              <w:pStyle w:val="TableContents"/>
              <w:spacing w:before="0" w:after="283"/>
              <w:rPr/>
            </w:pPr>
            <w:r>
              <w:rPr/>
              <w:t>  </w:t>
            </w:r>
          </w:p>
        </w:tc>
        <w:tc>
          <w:tcPr>
            <w:tcW w:w="1130" w:type="dxa"/>
            <w:gridSpan w:val="2"/>
            <w:tcBorders/>
            <w:shd w:fill="001C71" w:val="clear"/>
            <w:vAlign w:val="bottom"/>
          </w:tcPr>
          <w:p>
            <w:pPr>
              <w:pStyle w:val="TableContents"/>
              <w:spacing w:before="0" w:after="283"/>
              <w:jc w:val="right"/>
              <w:rPr>
                <w:b/>
                <w:color w:val="FFFFFF"/>
              </w:rPr>
            </w:pPr>
            <w:r>
              <w:rPr>
                <w:b/>
                <w:color w:val="FFFFFF"/>
              </w:rPr>
              <w:t>Threshold</w:t>
            </w:r>
          </w:p>
        </w:tc>
        <w:tc>
          <w:tcPr>
            <w:tcW w:w="60" w:type="dxa"/>
            <w:tcBorders/>
            <w:shd w:fill="001C71" w:val="clear"/>
            <w:vAlign w:val="bottom"/>
          </w:tcPr>
          <w:p>
            <w:pPr>
              <w:pStyle w:val="TableContents"/>
              <w:spacing w:before="0" w:after="283"/>
              <w:rPr/>
            </w:pPr>
            <w:r>
              <w:rPr/>
              <w:t> </w:t>
            </w:r>
          </w:p>
        </w:tc>
        <w:tc>
          <w:tcPr>
            <w:tcW w:w="133" w:type="dxa"/>
            <w:tcBorders/>
            <w:shd w:fill="001C71" w:val="clear"/>
            <w:vAlign w:val="bottom"/>
          </w:tcPr>
          <w:p>
            <w:pPr>
              <w:pStyle w:val="TableContents"/>
              <w:spacing w:before="0" w:after="283"/>
              <w:rPr/>
            </w:pPr>
            <w:r>
              <w:rPr/>
              <w:t>  </w:t>
            </w:r>
          </w:p>
        </w:tc>
        <w:tc>
          <w:tcPr>
            <w:tcW w:w="742" w:type="dxa"/>
            <w:gridSpan w:val="2"/>
            <w:tcBorders/>
            <w:shd w:fill="001C71" w:val="clear"/>
            <w:vAlign w:val="bottom"/>
          </w:tcPr>
          <w:p>
            <w:pPr>
              <w:pStyle w:val="TableContents"/>
              <w:spacing w:before="0" w:after="283"/>
              <w:jc w:val="right"/>
              <w:rPr>
                <w:b/>
                <w:color w:val="FFFFFF"/>
              </w:rPr>
            </w:pPr>
            <w:r>
              <w:rPr>
                <w:b/>
                <w:color w:val="FFFFFF"/>
              </w:rPr>
              <w:t>Target</w:t>
            </w:r>
          </w:p>
        </w:tc>
        <w:tc>
          <w:tcPr>
            <w:tcW w:w="60" w:type="dxa"/>
            <w:tcBorders/>
            <w:shd w:fill="001C71" w:val="clear"/>
            <w:vAlign w:val="bottom"/>
          </w:tcPr>
          <w:p>
            <w:pPr>
              <w:pStyle w:val="TableContents"/>
              <w:spacing w:before="0" w:after="283"/>
              <w:rPr/>
            </w:pPr>
            <w:r>
              <w:rPr/>
              <w:t> </w:t>
            </w:r>
          </w:p>
        </w:tc>
        <w:tc>
          <w:tcPr>
            <w:tcW w:w="133" w:type="dxa"/>
            <w:tcBorders/>
            <w:shd w:fill="001C71" w:val="clear"/>
            <w:vAlign w:val="bottom"/>
          </w:tcPr>
          <w:p>
            <w:pPr>
              <w:pStyle w:val="TableContents"/>
              <w:spacing w:before="0" w:after="283"/>
              <w:rPr/>
            </w:pPr>
            <w:r>
              <w:rPr/>
              <w:t>  </w:t>
            </w:r>
          </w:p>
        </w:tc>
        <w:tc>
          <w:tcPr>
            <w:tcW w:w="1130" w:type="dxa"/>
            <w:gridSpan w:val="2"/>
            <w:tcBorders/>
            <w:shd w:fill="001C71" w:val="clear"/>
            <w:vAlign w:val="bottom"/>
          </w:tcPr>
          <w:p>
            <w:pPr>
              <w:pStyle w:val="TableContents"/>
              <w:spacing w:before="0" w:after="283"/>
              <w:jc w:val="right"/>
              <w:rPr>
                <w:b/>
                <w:color w:val="FFFFFF"/>
              </w:rPr>
            </w:pPr>
            <w:r>
              <w:rPr>
                <w:b/>
                <w:color w:val="FFFFFF"/>
              </w:rPr>
              <w:t>Maximum</w:t>
            </w:r>
          </w:p>
        </w:tc>
        <w:tc>
          <w:tcPr>
            <w:tcW w:w="60" w:type="dxa"/>
            <w:tcBorders/>
            <w:shd w:fill="001C71" w:val="clear"/>
            <w:vAlign w:val="bottom"/>
          </w:tcPr>
          <w:p>
            <w:pPr>
              <w:pStyle w:val="TableContents"/>
              <w:spacing w:before="0" w:after="283"/>
              <w:rPr/>
            </w:pPr>
            <w:r>
              <w:rPr/>
              <w:t> </w:t>
            </w:r>
          </w:p>
        </w:tc>
        <w:tc>
          <w:tcPr>
            <w:tcW w:w="133" w:type="dxa"/>
            <w:tcBorders/>
            <w:shd w:fill="001C71" w:val="clear"/>
            <w:vAlign w:val="bottom"/>
          </w:tcPr>
          <w:p>
            <w:pPr>
              <w:pStyle w:val="TableContents"/>
              <w:spacing w:before="0" w:after="283"/>
              <w:rPr/>
            </w:pPr>
            <w:r>
              <w:rPr/>
              <w:t>  </w:t>
            </w:r>
          </w:p>
        </w:tc>
        <w:tc>
          <w:tcPr>
            <w:tcW w:w="742" w:type="dxa"/>
            <w:gridSpan w:val="2"/>
            <w:tcBorders/>
            <w:shd w:fill="001C71" w:val="clear"/>
            <w:vAlign w:val="bottom"/>
          </w:tcPr>
          <w:p>
            <w:pPr>
              <w:pStyle w:val="TableContents"/>
              <w:spacing w:before="0" w:after="283"/>
              <w:jc w:val="right"/>
              <w:rPr>
                <w:b/>
                <w:color w:val="FFFFFF"/>
              </w:rPr>
            </w:pPr>
            <w:r>
              <w:rPr>
                <w:b/>
                <w:color w:val="FFFFFF"/>
              </w:rPr>
              <w:t>Actual</w:t>
            </w:r>
          </w:p>
        </w:tc>
        <w:tc>
          <w:tcPr>
            <w:tcW w:w="59" w:type="dxa"/>
            <w:tcBorders/>
            <w:shd w:fill="001C71" w:val="clear"/>
            <w:vAlign w:val="bottom"/>
          </w:tcPr>
          <w:p>
            <w:pPr>
              <w:pStyle w:val="TableContents"/>
              <w:spacing w:before="0" w:after="283"/>
              <w:rPr/>
            </w:pPr>
            <w:r>
              <w:rPr/>
              <w:t> </w:t>
            </w:r>
          </w:p>
        </w:tc>
        <w:tc>
          <w:tcPr>
            <w:tcW w:w="120" w:type="dxa"/>
            <w:vMerge w:val="continue"/>
            <w:tcBorders/>
            <w:shd w:fill="001C71" w:val="clear"/>
            <w:vAlign w:val="bottom"/>
          </w:tcPr>
          <w:p>
            <w:pPr>
              <w:pStyle w:val="Normal"/>
              <w:rPr/>
            </w:pPr>
            <w:r>
              <w:rPr/>
            </w:r>
          </w:p>
        </w:tc>
        <w:tc>
          <w:tcPr>
            <w:tcW w:w="1296" w:type="dxa"/>
            <w:gridSpan w:val="2"/>
            <w:vMerge w:val="continue"/>
            <w:tcBorders/>
            <w:shd w:fill="001C71" w:val="clear"/>
            <w:vAlign w:val="bottom"/>
          </w:tcPr>
          <w:p>
            <w:pPr>
              <w:pStyle w:val="Normal"/>
              <w:rPr/>
            </w:pPr>
            <w:r>
              <w:rPr/>
            </w:r>
          </w:p>
        </w:tc>
        <w:tc>
          <w:tcPr>
            <w:tcW w:w="102" w:type="dxa"/>
            <w:vMerge w:val="continue"/>
            <w:tcBorders/>
            <w:shd w:fill="001C71" w:val="clear"/>
            <w:vAlign w:val="bottom"/>
          </w:tcPr>
          <w:p>
            <w:pPr>
              <w:pStyle w:val="Normal"/>
              <w:rPr/>
            </w:pPr>
            <w:r>
              <w:rPr/>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b/>
                <w:sz w:val="16"/>
              </w:rPr>
            </w:pPr>
            <w:r>
              <w:rPr>
                <w:rFonts w:ascii="arial" w:hAnsi="arial"/>
                <w:b/>
                <w:sz w:val="16"/>
              </w:rPr>
              <w:t>Financial:</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74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sz w:val="4"/>
                <w:szCs w:val="4"/>
              </w:rPr>
            </w:pPr>
            <w:r>
              <w:rPr>
                <w:sz w:val="4"/>
                <w:szCs w:val="4"/>
              </w:rPr>
            </w:r>
          </w:p>
        </w:tc>
        <w:tc>
          <w:tcPr>
            <w:tcW w:w="104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2"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sz w:val="4"/>
                <w:szCs w:val="4"/>
              </w:rPr>
            </w:pPr>
            <w:r>
              <w:rPr>
                <w:sz w:val="4"/>
                <w:szCs w:val="4"/>
              </w:rPr>
            </w:r>
          </w:p>
        </w:tc>
        <w:tc>
          <w:tcPr>
            <w:tcW w:w="104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2" w:type="dxa"/>
            <w:tcBorders/>
            <w:shd w:fill="E5E5E5" w:val="clear"/>
            <w:vAlign w:val="bottom"/>
          </w:tcPr>
          <w:p>
            <w:pPr>
              <w:pStyle w:val="TableContents"/>
              <w:spacing w:before="0" w:after="283"/>
              <w:rPr>
                <w:sz w:val="4"/>
                <w:szCs w:val="4"/>
              </w:rPr>
            </w:pPr>
            <w:r>
              <w:rPr>
                <w:sz w:val="4"/>
                <w:szCs w:val="4"/>
              </w:rPr>
            </w:r>
          </w:p>
        </w:tc>
        <w:tc>
          <w:tcPr>
            <w:tcW w:w="59"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sz w:val="4"/>
                <w:szCs w:val="4"/>
              </w:rPr>
            </w:pPr>
            <w:r>
              <w:rPr>
                <w:sz w:val="4"/>
                <w:szCs w:val="4"/>
              </w:rPr>
            </w:r>
          </w:p>
        </w:tc>
        <w:tc>
          <w:tcPr>
            <w:tcW w:w="1124" w:type="dxa"/>
            <w:tcBorders/>
            <w:shd w:fill="E5E5E5" w:val="clear"/>
            <w:vAlign w:val="bottom"/>
          </w:tcPr>
          <w:p>
            <w:pPr>
              <w:pStyle w:val="TableContents"/>
              <w:spacing w:before="0" w:after="283"/>
              <w:rPr>
                <w:sz w:val="4"/>
                <w:szCs w:val="4"/>
              </w:rPr>
            </w:pPr>
            <w:r>
              <w:rPr>
                <w:sz w:val="4"/>
                <w:szCs w:val="4"/>
              </w:rPr>
            </w:r>
          </w:p>
        </w:tc>
        <w:tc>
          <w:tcPr>
            <w:tcW w:w="102"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Sempra Energy ABP Earnings (Dollars in Millions)</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40" w:type="dxa"/>
            <w:tcBorders>
              <w:bottom w:val="single" w:sz="8" w:space="0" w:color="001C71"/>
            </w:tcBorders>
            <w:shd w:fill="auto" w:val="clear"/>
            <w:tcMar>
              <w:bottom w:w="60" w:type="dxa"/>
            </w:tcMar>
            <w:vAlign w:val="bottom"/>
          </w:tcPr>
          <w:p>
            <w:pPr>
              <w:pStyle w:val="TableContents"/>
              <w:spacing w:before="0" w:after="283"/>
              <w:jc w:val="right"/>
              <w:rPr/>
            </w:pPr>
            <w:r>
              <w:rPr/>
              <w:t>85.00%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60" w:type="dxa"/>
            </w:tcMar>
            <w:vAlign w:val="bottom"/>
          </w:tcPr>
          <w:p>
            <w:pPr>
              <w:pStyle w:val="TableContents"/>
              <w:spacing w:before="0" w:after="283"/>
              <w:rPr/>
            </w:pPr>
            <w:r>
              <w:rPr/>
              <w:t> </w:t>
            </w:r>
          </w:p>
        </w:tc>
        <w:tc>
          <w:tcPr>
            <w:tcW w:w="1044" w:type="dxa"/>
            <w:tcBorders>
              <w:bottom w:val="single" w:sz="8" w:space="0" w:color="001C71"/>
            </w:tcBorders>
            <w:shd w:fill="auto" w:val="clear"/>
            <w:tcMar>
              <w:bottom w:w="60" w:type="dxa"/>
            </w:tcMar>
            <w:vAlign w:val="bottom"/>
          </w:tcPr>
          <w:p>
            <w:pPr>
              <w:pStyle w:val="TableContents"/>
              <w:spacing w:before="0" w:after="283"/>
              <w:jc w:val="right"/>
              <w:rPr/>
            </w:pPr>
            <w:r>
              <w:rPr/>
              <w:t>$1,951</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682" w:type="dxa"/>
            <w:tcBorders>
              <w:bottom w:val="single" w:sz="8" w:space="0" w:color="001C71"/>
            </w:tcBorders>
            <w:shd w:fill="auto" w:val="clear"/>
            <w:tcMar>
              <w:bottom w:w="60" w:type="dxa"/>
            </w:tcMar>
            <w:vAlign w:val="bottom"/>
          </w:tcPr>
          <w:p>
            <w:pPr>
              <w:pStyle w:val="TableContents"/>
              <w:spacing w:before="0" w:after="283"/>
              <w:jc w:val="right"/>
              <w:rPr/>
            </w:pPr>
            <w:r>
              <w:rPr/>
              <w:t>$2,032</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60" w:type="dxa"/>
            </w:tcMar>
            <w:vAlign w:val="bottom"/>
          </w:tcPr>
          <w:p>
            <w:pPr>
              <w:pStyle w:val="TableContents"/>
              <w:spacing w:before="0" w:after="283"/>
              <w:rPr/>
            </w:pPr>
            <w:r>
              <w:rPr/>
              <w:t> </w:t>
            </w:r>
          </w:p>
        </w:tc>
        <w:tc>
          <w:tcPr>
            <w:tcW w:w="1044" w:type="dxa"/>
            <w:tcBorders>
              <w:bottom w:val="single" w:sz="8" w:space="0" w:color="001C71"/>
            </w:tcBorders>
            <w:shd w:fill="auto" w:val="clear"/>
            <w:tcMar>
              <w:bottom w:w="60" w:type="dxa"/>
            </w:tcMar>
            <w:vAlign w:val="bottom"/>
          </w:tcPr>
          <w:p>
            <w:pPr>
              <w:pStyle w:val="TableContents"/>
              <w:spacing w:before="0" w:after="283"/>
              <w:jc w:val="right"/>
              <w:rPr/>
            </w:pPr>
            <w:r>
              <w:rPr/>
              <w:t>$2,113</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682" w:type="dxa"/>
            <w:tcBorders>
              <w:bottom w:val="single" w:sz="8" w:space="0" w:color="001C71"/>
            </w:tcBorders>
            <w:shd w:fill="auto" w:val="clear"/>
            <w:tcMar>
              <w:bottom w:w="60" w:type="dxa"/>
            </w:tcMar>
            <w:vAlign w:val="bottom"/>
          </w:tcPr>
          <w:p>
            <w:pPr>
              <w:pStyle w:val="TableContents"/>
              <w:spacing w:before="0" w:after="283"/>
              <w:jc w:val="right"/>
              <w:rPr/>
            </w:pPr>
            <w:r>
              <w:rPr/>
              <w:t>$2,339</w:t>
            </w:r>
          </w:p>
        </w:tc>
        <w:tc>
          <w:tcPr>
            <w:tcW w:w="59" w:type="dxa"/>
            <w:tcBorders>
              <w:bottom w:val="single" w:sz="8" w:space="0" w:color="001C71"/>
            </w:tcBorders>
            <w:shd w:fill="auto" w:val="clear"/>
            <w:tcMar>
              <w:bottom w:w="60"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172" w:type="dxa"/>
            <w:tcBorders>
              <w:bottom w:val="single" w:sz="8" w:space="0" w:color="001C71"/>
            </w:tcBorders>
            <w:shd w:fill="auto" w:val="clear"/>
            <w:tcMar>
              <w:bottom w:w="60" w:type="dxa"/>
            </w:tcMar>
            <w:vAlign w:val="bottom"/>
          </w:tcPr>
          <w:p>
            <w:pPr>
              <w:pStyle w:val="TableContents"/>
              <w:spacing w:before="0" w:after="283"/>
              <w:rPr/>
            </w:pPr>
            <w:r>
              <w:rPr/>
              <w:t> </w:t>
            </w:r>
          </w:p>
        </w:tc>
        <w:tc>
          <w:tcPr>
            <w:tcW w:w="1124" w:type="dxa"/>
            <w:tcBorders>
              <w:bottom w:val="single" w:sz="8" w:space="0" w:color="001C71"/>
            </w:tcBorders>
            <w:shd w:fill="auto" w:val="clear"/>
            <w:tcMar>
              <w:bottom w:w="60" w:type="dxa"/>
            </w:tcMar>
            <w:vAlign w:val="bottom"/>
          </w:tcPr>
          <w:p>
            <w:pPr>
              <w:pStyle w:val="TableContents"/>
              <w:spacing w:before="0" w:after="283"/>
              <w:jc w:val="right"/>
              <w:rPr/>
            </w:pPr>
            <w:r>
              <w:rPr/>
              <w:t>200%</w:t>
            </w:r>
          </w:p>
        </w:tc>
        <w:tc>
          <w:tcPr>
            <w:tcW w:w="102"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E5E5E5" w:val="clear"/>
            <w:tcMar>
              <w:bottom w:w="60" w:type="dxa"/>
            </w:tcMar>
          </w:tcPr>
          <w:p>
            <w:pPr>
              <w:pStyle w:val="TableContents"/>
              <w:spacing w:before="0" w:after="0"/>
              <w:rPr>
                <w:rFonts w:ascii="arial" w:hAnsi="arial"/>
                <w:b/>
                <w:sz w:val="16"/>
              </w:rPr>
            </w:pPr>
            <w:r>
              <w:rPr>
                <w:rFonts w:ascii="arial" w:hAnsi="arial"/>
                <w:b/>
                <w:sz w:val="16"/>
              </w:rPr>
              <w:t>Subtotal: Financial</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40" w:type="dxa"/>
            <w:tcBorders>
              <w:bottom w:val="single" w:sz="8" w:space="0" w:color="001C71"/>
            </w:tcBorders>
            <w:shd w:fill="E5E5E5" w:val="clear"/>
            <w:tcMar>
              <w:bottom w:w="60" w:type="dxa"/>
            </w:tcMar>
            <w:vAlign w:val="bottom"/>
          </w:tcPr>
          <w:p>
            <w:pPr>
              <w:pStyle w:val="TableContents"/>
              <w:spacing w:before="0" w:after="283"/>
              <w:jc w:val="right"/>
              <w:rPr>
                <w:b/>
              </w:rPr>
            </w:pPr>
            <w:r>
              <w:rPr>
                <w:b/>
              </w:rPr>
              <w:t>85.00%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82"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82" w:type="dxa"/>
            <w:tcBorders>
              <w:bottom w:val="single" w:sz="8" w:space="0" w:color="001C71"/>
            </w:tcBorders>
            <w:shd w:fill="E5E5E5" w:val="clear"/>
            <w:tcMar>
              <w:bottom w:w="28" w:type="dxa"/>
            </w:tcMar>
            <w:vAlign w:val="bottom"/>
          </w:tcPr>
          <w:p>
            <w:pPr>
              <w:pStyle w:val="TableContents"/>
              <w:spacing w:before="0" w:after="283"/>
              <w:rPr/>
            </w:pPr>
            <w:r>
              <w:rPr/>
              <w:t> </w:t>
            </w:r>
          </w:p>
        </w:tc>
        <w:tc>
          <w:tcPr>
            <w:tcW w:w="59"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2" w:type="dxa"/>
            <w:tcBorders>
              <w:bottom w:val="single" w:sz="8" w:space="0" w:color="001C71"/>
            </w:tcBorders>
            <w:shd w:fill="E5E5E5" w:val="clear"/>
            <w:tcMar>
              <w:bottom w:w="60" w:type="dxa"/>
            </w:tcMar>
            <w:vAlign w:val="bottom"/>
          </w:tcPr>
          <w:p>
            <w:pPr>
              <w:pStyle w:val="TableContents"/>
              <w:spacing w:before="0" w:after="283"/>
              <w:rPr/>
            </w:pPr>
            <w:r>
              <w:rPr/>
              <w:t> </w:t>
            </w:r>
          </w:p>
        </w:tc>
        <w:tc>
          <w:tcPr>
            <w:tcW w:w="1124" w:type="dxa"/>
            <w:tcBorders>
              <w:bottom w:val="single" w:sz="8" w:space="0" w:color="001C71"/>
            </w:tcBorders>
            <w:shd w:fill="E5E5E5" w:val="clear"/>
            <w:tcMar>
              <w:bottom w:w="60" w:type="dxa"/>
            </w:tcMar>
            <w:vAlign w:val="bottom"/>
          </w:tcPr>
          <w:p>
            <w:pPr>
              <w:pStyle w:val="TableContents"/>
              <w:spacing w:before="0" w:after="283"/>
              <w:jc w:val="right"/>
              <w:rPr>
                <w:b/>
              </w:rPr>
            </w:pPr>
            <w:r>
              <w:rPr>
                <w:b/>
              </w:rPr>
              <w:t>200%</w:t>
            </w:r>
          </w:p>
        </w:tc>
        <w:tc>
          <w:tcPr>
            <w:tcW w:w="102" w:type="dxa"/>
            <w:tcBorders>
              <w:bottom w:val="single" w:sz="8" w:space="0" w:color="001C71"/>
            </w:tcBorders>
            <w:shd w:fill="E5E5E5" w:val="clear"/>
            <w:tcMar>
              <w:bottom w:w="60" w:type="dxa"/>
            </w:tcM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b/>
                <w:sz w:val="16"/>
              </w:rPr>
            </w:pPr>
            <w:r>
              <w:rPr>
                <w:rFonts w:ascii="arial" w:hAnsi="arial"/>
                <w:b/>
                <w:sz w:val="16"/>
              </w:rPr>
              <w:t>Safety:</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0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0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b/>
                <w:sz w:val="16"/>
              </w:rPr>
            </w:pPr>
            <w:r>
              <w:rPr>
                <w:rFonts w:ascii="arial" w:hAnsi="arial"/>
                <w:b/>
                <w:sz w:val="16"/>
              </w:rPr>
              <w:t>IEnova</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74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sz w:val="4"/>
                <w:szCs w:val="4"/>
              </w:rPr>
            </w:pPr>
            <w:r>
              <w:rPr>
                <w:sz w:val="4"/>
                <w:szCs w:val="4"/>
              </w:rPr>
            </w:r>
          </w:p>
        </w:tc>
        <w:tc>
          <w:tcPr>
            <w:tcW w:w="104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2"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sz w:val="4"/>
                <w:szCs w:val="4"/>
              </w:rPr>
            </w:pPr>
            <w:r>
              <w:rPr>
                <w:sz w:val="4"/>
                <w:szCs w:val="4"/>
              </w:rPr>
            </w:r>
          </w:p>
        </w:tc>
        <w:tc>
          <w:tcPr>
            <w:tcW w:w="104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2" w:type="dxa"/>
            <w:tcBorders/>
            <w:shd w:fill="E5E5E5" w:val="clear"/>
            <w:vAlign w:val="bottom"/>
          </w:tcPr>
          <w:p>
            <w:pPr>
              <w:pStyle w:val="TableContents"/>
              <w:spacing w:before="0" w:after="283"/>
              <w:rPr>
                <w:sz w:val="4"/>
                <w:szCs w:val="4"/>
              </w:rPr>
            </w:pPr>
            <w:r>
              <w:rPr>
                <w:sz w:val="4"/>
                <w:szCs w:val="4"/>
              </w:rPr>
            </w:r>
          </w:p>
        </w:tc>
        <w:tc>
          <w:tcPr>
            <w:tcW w:w="59"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sz w:val="4"/>
                <w:szCs w:val="4"/>
              </w:rPr>
            </w:pPr>
            <w:r>
              <w:rPr>
                <w:sz w:val="4"/>
                <w:szCs w:val="4"/>
              </w:rPr>
            </w:r>
          </w:p>
        </w:tc>
        <w:tc>
          <w:tcPr>
            <w:tcW w:w="1124" w:type="dxa"/>
            <w:tcBorders/>
            <w:shd w:fill="E5E5E5" w:val="clear"/>
            <w:vAlign w:val="bottom"/>
          </w:tcPr>
          <w:p>
            <w:pPr>
              <w:pStyle w:val="TableContents"/>
              <w:spacing w:before="0" w:after="283"/>
              <w:rPr>
                <w:sz w:val="4"/>
                <w:szCs w:val="4"/>
              </w:rPr>
            </w:pPr>
            <w:r>
              <w:rPr>
                <w:sz w:val="4"/>
                <w:szCs w:val="4"/>
              </w:rPr>
            </w:r>
          </w:p>
        </w:tc>
        <w:tc>
          <w:tcPr>
            <w:tcW w:w="102"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Total Recordable Incident Rate (TRIR)</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1.00%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2.07</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1.88</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1.69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0.30</w:t>
            </w:r>
          </w:p>
        </w:tc>
        <w:tc>
          <w:tcPr>
            <w:tcW w:w="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200%</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Lost Time Accident Rate (LTAR)</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40" w:type="dxa"/>
            <w:tcBorders>
              <w:bottom w:val="single" w:sz="8" w:space="0" w:color="001C71"/>
            </w:tcBorders>
            <w:shd w:fill="E5E5E5" w:val="clear"/>
            <w:tcMar>
              <w:bottom w:w="60" w:type="dxa"/>
            </w:tcMar>
            <w:vAlign w:val="bottom"/>
          </w:tcPr>
          <w:p>
            <w:pPr>
              <w:pStyle w:val="TableContents"/>
              <w:spacing w:before="0" w:after="283"/>
              <w:jc w:val="right"/>
              <w:rPr/>
            </w:pPr>
            <w:r>
              <w:rPr/>
              <w:t>1.00%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60" w:type="dxa"/>
            </w:tcMar>
            <w:vAlign w:val="bottom"/>
          </w:tcPr>
          <w:p>
            <w:pPr>
              <w:pStyle w:val="TableContents"/>
              <w:spacing w:before="0" w:after="283"/>
              <w:jc w:val="right"/>
              <w:rPr/>
            </w:pPr>
            <w:r>
              <w:rPr/>
              <w:t>1.56</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682" w:type="dxa"/>
            <w:tcBorders>
              <w:bottom w:val="single" w:sz="8" w:space="0" w:color="001C71"/>
            </w:tcBorders>
            <w:shd w:fill="E5E5E5" w:val="clear"/>
            <w:tcMar>
              <w:bottom w:w="60" w:type="dxa"/>
            </w:tcMar>
            <w:vAlign w:val="bottom"/>
          </w:tcPr>
          <w:p>
            <w:pPr>
              <w:pStyle w:val="TableContents"/>
              <w:spacing w:before="0" w:after="283"/>
              <w:jc w:val="right"/>
              <w:rPr/>
            </w:pPr>
            <w:r>
              <w:rPr/>
              <w:t>1.42</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60" w:type="dxa"/>
            </w:tcMar>
            <w:vAlign w:val="bottom"/>
          </w:tcPr>
          <w:p>
            <w:pPr>
              <w:pStyle w:val="TableContents"/>
              <w:spacing w:before="0" w:after="283"/>
              <w:jc w:val="right"/>
              <w:rPr/>
            </w:pPr>
            <w:r>
              <w:rPr/>
              <w:t>1.28</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682" w:type="dxa"/>
            <w:tcBorders>
              <w:bottom w:val="single" w:sz="8" w:space="0" w:color="001C71"/>
            </w:tcBorders>
            <w:shd w:fill="E5E5E5" w:val="clear"/>
            <w:tcMar>
              <w:bottom w:w="60" w:type="dxa"/>
            </w:tcMar>
            <w:vAlign w:val="bottom"/>
          </w:tcPr>
          <w:p>
            <w:pPr>
              <w:pStyle w:val="TableContents"/>
              <w:spacing w:before="0" w:after="283"/>
              <w:jc w:val="right"/>
              <w:rPr/>
            </w:pPr>
            <w:r>
              <w:rPr/>
              <w:t>0.13</w:t>
            </w:r>
          </w:p>
        </w:tc>
        <w:tc>
          <w:tcPr>
            <w:tcW w:w="59" w:type="dxa"/>
            <w:tcBorders>
              <w:bottom w:val="single" w:sz="8" w:space="0" w:color="001C71"/>
            </w:tcBorders>
            <w:shd w:fill="E5E5E5" w:val="clear"/>
            <w:tcMar>
              <w:bottom w:w="60"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2" w:type="dxa"/>
            <w:tcBorders>
              <w:bottom w:val="single" w:sz="8" w:space="0" w:color="001C71"/>
            </w:tcBorders>
            <w:shd w:fill="E5E5E5" w:val="clear"/>
            <w:tcMar>
              <w:bottom w:w="60" w:type="dxa"/>
            </w:tcMar>
            <w:vAlign w:val="bottom"/>
          </w:tcPr>
          <w:p>
            <w:pPr>
              <w:pStyle w:val="TableContents"/>
              <w:spacing w:before="0" w:after="283"/>
              <w:rPr/>
            </w:pPr>
            <w:r>
              <w:rPr/>
              <w:t> </w:t>
            </w:r>
          </w:p>
        </w:tc>
        <w:tc>
          <w:tcPr>
            <w:tcW w:w="1124" w:type="dxa"/>
            <w:tcBorders>
              <w:bottom w:val="single" w:sz="8" w:space="0" w:color="001C71"/>
            </w:tcBorders>
            <w:shd w:fill="E5E5E5" w:val="clear"/>
            <w:tcMar>
              <w:bottom w:w="60" w:type="dxa"/>
            </w:tcMar>
            <w:vAlign w:val="bottom"/>
          </w:tcPr>
          <w:p>
            <w:pPr>
              <w:pStyle w:val="TableContents"/>
              <w:spacing w:before="0" w:after="283"/>
              <w:jc w:val="right"/>
              <w:rPr/>
            </w:pPr>
            <w:r>
              <w:rPr/>
              <w:t>200%</w:t>
            </w:r>
          </w:p>
        </w:tc>
        <w:tc>
          <w:tcPr>
            <w:tcW w:w="102" w:type="dxa"/>
            <w:tcBorders>
              <w:bottom w:val="single" w:sz="8" w:space="0" w:color="001C71"/>
            </w:tcBorders>
            <w:shd w:fill="E5E5E5" w:val="clear"/>
            <w:tcMar>
              <w:bottom w:w="60" w:type="dxa"/>
            </w:tcM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auto" w:val="clear"/>
            <w:tcMar>
              <w:bottom w:w="60" w:type="dxa"/>
            </w:tcMar>
          </w:tcPr>
          <w:p>
            <w:pPr>
              <w:pStyle w:val="TableContents"/>
              <w:spacing w:before="0" w:after="0"/>
              <w:rPr>
                <w:rFonts w:ascii="arial" w:hAnsi="arial"/>
                <w:b/>
                <w:sz w:val="16"/>
              </w:rPr>
            </w:pPr>
            <w:r>
              <w:rPr>
                <w:rFonts w:ascii="arial" w:hAnsi="arial"/>
                <w:b/>
                <w:sz w:val="16"/>
              </w:rPr>
              <w:t>IEnova</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40" w:type="dxa"/>
            <w:tcBorders>
              <w:bottom w:val="single" w:sz="8" w:space="0" w:color="001C71"/>
            </w:tcBorders>
            <w:shd w:fill="auto" w:val="clear"/>
            <w:tcMar>
              <w:bottom w:w="60" w:type="dxa"/>
            </w:tcMar>
            <w:vAlign w:val="bottom"/>
          </w:tcPr>
          <w:p>
            <w:pPr>
              <w:pStyle w:val="TableContents"/>
              <w:spacing w:before="0" w:after="283"/>
              <w:jc w:val="right"/>
              <w:rPr>
                <w:b/>
              </w:rPr>
            </w:pPr>
            <w:r>
              <w:rPr>
                <w:b/>
              </w:rPr>
              <w:t>2.00%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28" w:type="dxa"/>
            </w:tcMar>
            <w:vAlign w:val="bottom"/>
          </w:tcPr>
          <w:p>
            <w:pPr>
              <w:pStyle w:val="TableContents"/>
              <w:spacing w:before="0" w:after="283"/>
              <w:rPr/>
            </w:pPr>
            <w:r>
              <w:rPr/>
              <w:t> </w:t>
            </w:r>
          </w:p>
        </w:tc>
        <w:tc>
          <w:tcPr>
            <w:tcW w:w="1044"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8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28" w:type="dxa"/>
            </w:tcMar>
            <w:vAlign w:val="bottom"/>
          </w:tcPr>
          <w:p>
            <w:pPr>
              <w:pStyle w:val="TableContents"/>
              <w:spacing w:before="0" w:after="283"/>
              <w:rPr/>
            </w:pPr>
            <w:r>
              <w:rPr/>
              <w:t> </w:t>
            </w:r>
          </w:p>
        </w:tc>
        <w:tc>
          <w:tcPr>
            <w:tcW w:w="1044"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82" w:type="dxa"/>
            <w:tcBorders>
              <w:bottom w:val="single" w:sz="8" w:space="0" w:color="001C71"/>
            </w:tcBorders>
            <w:shd w:fill="auto" w:val="clear"/>
            <w:tcMar>
              <w:bottom w:w="28" w:type="dxa"/>
            </w:tcMar>
            <w:vAlign w:val="bottom"/>
          </w:tcPr>
          <w:p>
            <w:pPr>
              <w:pStyle w:val="TableContents"/>
              <w:spacing w:before="0" w:after="283"/>
              <w:rPr/>
            </w:pPr>
            <w:r>
              <w:rPr/>
              <w:t> </w:t>
            </w:r>
          </w:p>
        </w:tc>
        <w:tc>
          <w:tcPr>
            <w:tcW w:w="59" w:type="dxa"/>
            <w:tcBorders>
              <w:bottom w:val="single" w:sz="8" w:space="0" w:color="001C71"/>
            </w:tcBorders>
            <w:shd w:fill="auto" w:val="clear"/>
            <w:tcMar>
              <w:bottom w:w="28"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172" w:type="dxa"/>
            <w:tcBorders>
              <w:bottom w:val="single" w:sz="8" w:space="0" w:color="001C71"/>
            </w:tcBorders>
            <w:shd w:fill="auto" w:val="clear"/>
            <w:tcMar>
              <w:bottom w:w="60" w:type="dxa"/>
            </w:tcMar>
            <w:vAlign w:val="bottom"/>
          </w:tcPr>
          <w:p>
            <w:pPr>
              <w:pStyle w:val="TableContents"/>
              <w:spacing w:before="0" w:after="283"/>
              <w:rPr/>
            </w:pPr>
            <w:r>
              <w:rPr/>
              <w:t> </w:t>
            </w:r>
          </w:p>
        </w:tc>
        <w:tc>
          <w:tcPr>
            <w:tcW w:w="1124" w:type="dxa"/>
            <w:tcBorders>
              <w:bottom w:val="single" w:sz="8" w:space="0" w:color="001C71"/>
            </w:tcBorders>
            <w:shd w:fill="auto" w:val="clear"/>
            <w:tcMar>
              <w:bottom w:w="60" w:type="dxa"/>
            </w:tcMar>
            <w:vAlign w:val="bottom"/>
          </w:tcPr>
          <w:p>
            <w:pPr>
              <w:pStyle w:val="TableContents"/>
              <w:spacing w:before="0" w:after="283"/>
              <w:jc w:val="right"/>
              <w:rPr>
                <w:b/>
              </w:rPr>
            </w:pPr>
            <w:r>
              <w:rPr>
                <w:b/>
              </w:rPr>
              <w:t>200%</w:t>
            </w:r>
          </w:p>
        </w:tc>
        <w:tc>
          <w:tcPr>
            <w:tcW w:w="102"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b/>
                <w:sz w:val="16"/>
              </w:rPr>
            </w:pPr>
            <w:r>
              <w:rPr>
                <w:rFonts w:ascii="arial" w:hAnsi="arial"/>
                <w:b/>
                <w:sz w:val="16"/>
              </w:rPr>
              <w:t>Oncor</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74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sz w:val="4"/>
                <w:szCs w:val="4"/>
              </w:rPr>
            </w:pPr>
            <w:r>
              <w:rPr>
                <w:sz w:val="4"/>
                <w:szCs w:val="4"/>
              </w:rPr>
            </w:r>
          </w:p>
        </w:tc>
        <w:tc>
          <w:tcPr>
            <w:tcW w:w="104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2"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sz w:val="4"/>
                <w:szCs w:val="4"/>
              </w:rPr>
            </w:pPr>
            <w:r>
              <w:rPr>
                <w:sz w:val="4"/>
                <w:szCs w:val="4"/>
              </w:rPr>
            </w:r>
          </w:p>
        </w:tc>
        <w:tc>
          <w:tcPr>
            <w:tcW w:w="104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2" w:type="dxa"/>
            <w:tcBorders/>
            <w:shd w:fill="E5E5E5" w:val="clear"/>
            <w:vAlign w:val="bottom"/>
          </w:tcPr>
          <w:p>
            <w:pPr>
              <w:pStyle w:val="TableContents"/>
              <w:spacing w:before="0" w:after="283"/>
              <w:rPr>
                <w:sz w:val="4"/>
                <w:szCs w:val="4"/>
              </w:rPr>
            </w:pPr>
            <w:r>
              <w:rPr>
                <w:sz w:val="4"/>
                <w:szCs w:val="4"/>
              </w:rPr>
            </w:r>
          </w:p>
        </w:tc>
        <w:tc>
          <w:tcPr>
            <w:tcW w:w="59"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sz w:val="4"/>
                <w:szCs w:val="4"/>
              </w:rPr>
            </w:pPr>
            <w:r>
              <w:rPr>
                <w:sz w:val="4"/>
                <w:szCs w:val="4"/>
              </w:rPr>
            </w:r>
          </w:p>
        </w:tc>
        <w:tc>
          <w:tcPr>
            <w:tcW w:w="1124" w:type="dxa"/>
            <w:tcBorders/>
            <w:shd w:fill="E5E5E5" w:val="clear"/>
            <w:vAlign w:val="bottom"/>
          </w:tcPr>
          <w:p>
            <w:pPr>
              <w:pStyle w:val="TableContents"/>
              <w:spacing w:before="0" w:after="283"/>
              <w:rPr>
                <w:sz w:val="4"/>
                <w:szCs w:val="4"/>
              </w:rPr>
            </w:pPr>
            <w:r>
              <w:rPr>
                <w:sz w:val="4"/>
                <w:szCs w:val="4"/>
              </w:rPr>
            </w:r>
          </w:p>
        </w:tc>
        <w:tc>
          <w:tcPr>
            <w:tcW w:w="102"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Days Away, Restricted or Transferred (DART) Incident Rate (2)</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40" w:type="dxa"/>
            <w:tcBorders>
              <w:bottom w:val="single" w:sz="8" w:space="0" w:color="001C71"/>
            </w:tcBorders>
            <w:shd w:fill="auto" w:val="clear"/>
            <w:tcMar>
              <w:bottom w:w="60" w:type="dxa"/>
            </w:tcMar>
            <w:vAlign w:val="bottom"/>
          </w:tcPr>
          <w:p>
            <w:pPr>
              <w:pStyle w:val="TableContents"/>
              <w:spacing w:before="0" w:after="283"/>
              <w:jc w:val="right"/>
              <w:rPr/>
            </w:pPr>
            <w:r>
              <w:rPr/>
              <w:t>2.00%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60" w:type="dxa"/>
            </w:tcMar>
            <w:vAlign w:val="bottom"/>
          </w:tcPr>
          <w:p>
            <w:pPr>
              <w:pStyle w:val="TableContents"/>
              <w:spacing w:before="0" w:after="283"/>
              <w:rPr/>
            </w:pPr>
            <w:r>
              <w:rPr/>
              <w:t> </w:t>
            </w:r>
          </w:p>
        </w:tc>
        <w:tc>
          <w:tcPr>
            <w:tcW w:w="1044" w:type="dxa"/>
            <w:tcBorders>
              <w:bottom w:val="single" w:sz="8" w:space="0" w:color="001C71"/>
            </w:tcBorders>
            <w:shd w:fill="auto" w:val="clear"/>
            <w:tcMar>
              <w:bottom w:w="60" w:type="dxa"/>
            </w:tcMar>
            <w:vAlign w:val="bottom"/>
          </w:tcPr>
          <w:p>
            <w:pPr>
              <w:pStyle w:val="TableContents"/>
              <w:spacing w:before="0" w:after="283"/>
              <w:jc w:val="right"/>
              <w:rPr/>
            </w:pPr>
            <w:r>
              <w:rPr/>
              <w:t>0.74</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8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60" w:type="dxa"/>
            </w:tcMar>
            <w:vAlign w:val="bottom"/>
          </w:tcPr>
          <w:p>
            <w:pPr>
              <w:pStyle w:val="TableContents"/>
              <w:spacing w:before="0" w:after="283"/>
              <w:rPr/>
            </w:pPr>
            <w:r>
              <w:rPr/>
              <w:t> </w:t>
            </w:r>
          </w:p>
        </w:tc>
        <w:tc>
          <w:tcPr>
            <w:tcW w:w="1044" w:type="dxa"/>
            <w:tcBorders>
              <w:bottom w:val="single" w:sz="8" w:space="0" w:color="001C71"/>
            </w:tcBorders>
            <w:shd w:fill="auto" w:val="clear"/>
            <w:tcMar>
              <w:bottom w:w="60" w:type="dxa"/>
            </w:tcMar>
            <w:vAlign w:val="bottom"/>
          </w:tcPr>
          <w:p>
            <w:pPr>
              <w:pStyle w:val="TableContents"/>
              <w:spacing w:before="0" w:after="283"/>
              <w:jc w:val="right"/>
              <w:rPr/>
            </w:pPr>
            <w:r>
              <w:rPr/>
              <w:t>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682" w:type="dxa"/>
            <w:tcBorders>
              <w:bottom w:val="single" w:sz="8" w:space="0" w:color="001C71"/>
            </w:tcBorders>
            <w:shd w:fill="auto" w:val="clear"/>
            <w:tcMar>
              <w:bottom w:w="60" w:type="dxa"/>
            </w:tcMar>
            <w:vAlign w:val="bottom"/>
          </w:tcPr>
          <w:p>
            <w:pPr>
              <w:pStyle w:val="TableContents"/>
              <w:spacing w:before="0" w:after="283"/>
              <w:jc w:val="right"/>
              <w:rPr/>
            </w:pPr>
            <w:r>
              <w:rPr/>
              <w:t>0.2</w:t>
            </w:r>
          </w:p>
        </w:tc>
        <w:tc>
          <w:tcPr>
            <w:tcW w:w="59" w:type="dxa"/>
            <w:tcBorders>
              <w:bottom w:val="single" w:sz="8" w:space="0" w:color="001C71"/>
            </w:tcBorders>
            <w:shd w:fill="auto" w:val="clear"/>
            <w:tcMar>
              <w:bottom w:w="60"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172" w:type="dxa"/>
            <w:tcBorders>
              <w:bottom w:val="single" w:sz="8" w:space="0" w:color="001C71"/>
            </w:tcBorders>
            <w:shd w:fill="auto" w:val="clear"/>
            <w:tcMar>
              <w:bottom w:w="60" w:type="dxa"/>
            </w:tcMar>
            <w:vAlign w:val="bottom"/>
          </w:tcPr>
          <w:p>
            <w:pPr>
              <w:pStyle w:val="TableContents"/>
              <w:spacing w:before="0" w:after="283"/>
              <w:rPr/>
            </w:pPr>
            <w:r>
              <w:rPr/>
              <w:t> </w:t>
            </w:r>
          </w:p>
        </w:tc>
        <w:tc>
          <w:tcPr>
            <w:tcW w:w="1124" w:type="dxa"/>
            <w:tcBorders>
              <w:bottom w:val="single" w:sz="8" w:space="0" w:color="001C71"/>
            </w:tcBorders>
            <w:shd w:fill="auto" w:val="clear"/>
            <w:tcMar>
              <w:bottom w:w="60" w:type="dxa"/>
            </w:tcMar>
            <w:vAlign w:val="bottom"/>
          </w:tcPr>
          <w:p>
            <w:pPr>
              <w:pStyle w:val="TableContents"/>
              <w:spacing w:before="0" w:after="283"/>
              <w:jc w:val="right"/>
              <w:rPr/>
            </w:pPr>
            <w:r>
              <w:rPr/>
              <w:t>169%</w:t>
            </w:r>
          </w:p>
        </w:tc>
        <w:tc>
          <w:tcPr>
            <w:tcW w:w="102"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E5E5E5" w:val="clear"/>
            <w:tcMar>
              <w:bottom w:w="60" w:type="dxa"/>
            </w:tcMar>
          </w:tcPr>
          <w:p>
            <w:pPr>
              <w:pStyle w:val="TableContents"/>
              <w:spacing w:before="0" w:after="0"/>
              <w:rPr>
                <w:rFonts w:ascii="arial" w:hAnsi="arial"/>
                <w:b/>
                <w:sz w:val="16"/>
              </w:rPr>
            </w:pPr>
            <w:r>
              <w:rPr>
                <w:rFonts w:ascii="arial" w:hAnsi="arial"/>
                <w:b/>
                <w:sz w:val="16"/>
              </w:rPr>
              <w:t>Oncor</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40" w:type="dxa"/>
            <w:tcBorders>
              <w:bottom w:val="single" w:sz="8" w:space="0" w:color="001C71"/>
            </w:tcBorders>
            <w:shd w:fill="E5E5E5" w:val="clear"/>
            <w:tcMar>
              <w:bottom w:w="60" w:type="dxa"/>
            </w:tcMar>
            <w:vAlign w:val="bottom"/>
          </w:tcPr>
          <w:p>
            <w:pPr>
              <w:pStyle w:val="TableContents"/>
              <w:spacing w:before="0" w:after="283"/>
              <w:jc w:val="right"/>
              <w:rPr/>
            </w:pPr>
            <w:r>
              <w:rPr/>
              <w:t>2.00%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82"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82" w:type="dxa"/>
            <w:tcBorders>
              <w:bottom w:val="single" w:sz="8" w:space="0" w:color="001C71"/>
            </w:tcBorders>
            <w:shd w:fill="E5E5E5" w:val="clear"/>
            <w:tcMar>
              <w:bottom w:w="28" w:type="dxa"/>
            </w:tcMar>
            <w:vAlign w:val="bottom"/>
          </w:tcPr>
          <w:p>
            <w:pPr>
              <w:pStyle w:val="TableContents"/>
              <w:spacing w:before="0" w:after="283"/>
              <w:rPr/>
            </w:pPr>
            <w:r>
              <w:rPr/>
              <w:t> </w:t>
            </w:r>
          </w:p>
        </w:tc>
        <w:tc>
          <w:tcPr>
            <w:tcW w:w="59"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2" w:type="dxa"/>
            <w:tcBorders>
              <w:bottom w:val="single" w:sz="8" w:space="0" w:color="001C71"/>
            </w:tcBorders>
            <w:shd w:fill="E5E5E5" w:val="clear"/>
            <w:tcMar>
              <w:bottom w:w="60" w:type="dxa"/>
            </w:tcMar>
            <w:vAlign w:val="bottom"/>
          </w:tcPr>
          <w:p>
            <w:pPr>
              <w:pStyle w:val="TableContents"/>
              <w:spacing w:before="0" w:after="283"/>
              <w:rPr/>
            </w:pPr>
            <w:r>
              <w:rPr/>
              <w:t> </w:t>
            </w:r>
          </w:p>
        </w:tc>
        <w:tc>
          <w:tcPr>
            <w:tcW w:w="1124" w:type="dxa"/>
            <w:tcBorders>
              <w:bottom w:val="single" w:sz="8" w:space="0" w:color="001C71"/>
            </w:tcBorders>
            <w:shd w:fill="E5E5E5" w:val="clear"/>
            <w:tcMar>
              <w:bottom w:w="60" w:type="dxa"/>
            </w:tcMar>
            <w:vAlign w:val="bottom"/>
          </w:tcPr>
          <w:p>
            <w:pPr>
              <w:pStyle w:val="TableContents"/>
              <w:spacing w:before="0" w:after="283"/>
              <w:jc w:val="right"/>
              <w:rPr>
                <w:b/>
              </w:rPr>
            </w:pPr>
            <w:r>
              <w:rPr>
                <w:b/>
              </w:rPr>
              <w:t>169%</w:t>
            </w:r>
          </w:p>
        </w:tc>
        <w:tc>
          <w:tcPr>
            <w:tcW w:w="102" w:type="dxa"/>
            <w:tcBorders>
              <w:bottom w:val="single" w:sz="8" w:space="0" w:color="001C71"/>
            </w:tcBorders>
            <w:shd w:fill="E5E5E5" w:val="clear"/>
            <w:tcMar>
              <w:bottom w:w="60" w:type="dxa"/>
            </w:tcM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b/>
                <w:sz w:val="16"/>
              </w:rPr>
            </w:pPr>
            <w:r>
              <w:rPr>
                <w:rFonts w:ascii="arial" w:hAnsi="arial"/>
                <w:b/>
                <w:sz w:val="16"/>
              </w:rPr>
              <w:t>Sempra LNG</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0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0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sz w:val="16"/>
              </w:rPr>
            </w:pPr>
            <w:r>
              <w:rPr>
                <w:rFonts w:ascii="arial" w:hAnsi="arial"/>
                <w:sz w:val="16"/>
              </w:rPr>
              <w:t>Executive Attendance at Site Safety Meetings</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40" w:type="dxa"/>
            <w:tcBorders/>
            <w:shd w:fill="E5E5E5" w:val="clear"/>
            <w:vAlign w:val="bottom"/>
          </w:tcPr>
          <w:p>
            <w:pPr>
              <w:pStyle w:val="TableContents"/>
              <w:spacing w:before="0" w:after="283"/>
              <w:jc w:val="right"/>
              <w:rPr/>
            </w:pPr>
            <w:r>
              <w:rPr/>
              <w:t>0.67%</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5</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7</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9</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13</w:t>
            </w:r>
          </w:p>
        </w:tc>
        <w:tc>
          <w:tcPr>
            <w:tcW w:w="59"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124" w:type="dxa"/>
            <w:tcBorders/>
            <w:shd w:fill="E5E5E5" w:val="clear"/>
            <w:vAlign w:val="bottom"/>
          </w:tcPr>
          <w:p>
            <w:pPr>
              <w:pStyle w:val="TableContents"/>
              <w:spacing w:before="0" w:after="283"/>
              <w:jc w:val="right"/>
              <w:rPr/>
            </w:pPr>
            <w:r>
              <w:rPr/>
              <w:t>200%</w:t>
            </w:r>
          </w:p>
        </w:tc>
        <w:tc>
          <w:tcPr>
            <w:tcW w:w="102" w:type="dxa"/>
            <w:tcBorders/>
            <w:shd w:fill="E5E5E5" w:val="cle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Lost Time Incidents</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0.67%</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2</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0</w:t>
            </w:r>
          </w:p>
        </w:tc>
        <w:tc>
          <w:tcPr>
            <w:tcW w:w="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200%</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Total Recordable Incident Rate</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40" w:type="dxa"/>
            <w:tcBorders>
              <w:bottom w:val="single" w:sz="8" w:space="0" w:color="001C71"/>
            </w:tcBorders>
            <w:shd w:fill="E5E5E5" w:val="clear"/>
            <w:tcMar>
              <w:bottom w:w="60" w:type="dxa"/>
            </w:tcMar>
            <w:vAlign w:val="bottom"/>
          </w:tcPr>
          <w:p>
            <w:pPr>
              <w:pStyle w:val="TableContents"/>
              <w:spacing w:before="0" w:after="283"/>
              <w:jc w:val="right"/>
              <w:rPr/>
            </w:pPr>
            <w:r>
              <w:rPr/>
              <w:t>0.67%</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60" w:type="dxa"/>
            </w:tcMar>
            <w:vAlign w:val="bottom"/>
          </w:tcPr>
          <w:p>
            <w:pPr>
              <w:pStyle w:val="TableContents"/>
              <w:spacing w:before="0" w:after="283"/>
              <w:jc w:val="right"/>
              <w:rPr/>
            </w:pPr>
            <w:r>
              <w:rPr/>
              <w:t>0.50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682" w:type="dxa"/>
            <w:tcBorders>
              <w:bottom w:val="single" w:sz="8" w:space="0" w:color="001C71"/>
            </w:tcBorders>
            <w:shd w:fill="E5E5E5" w:val="clear"/>
            <w:tcMar>
              <w:bottom w:w="60" w:type="dxa"/>
            </w:tcMar>
            <w:vAlign w:val="bottom"/>
          </w:tcPr>
          <w:p>
            <w:pPr>
              <w:pStyle w:val="TableContents"/>
              <w:spacing w:before="0" w:after="283"/>
              <w:jc w:val="right"/>
              <w:rPr/>
            </w:pPr>
            <w:r>
              <w:rPr/>
              <w:t>0.35</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60" w:type="dxa"/>
            </w:tcMar>
            <w:vAlign w:val="bottom"/>
          </w:tcPr>
          <w:p>
            <w:pPr>
              <w:pStyle w:val="TableContents"/>
              <w:spacing w:before="0" w:after="283"/>
              <w:jc w:val="right"/>
              <w:rPr/>
            </w:pPr>
            <w:r>
              <w:rPr/>
              <w:t>0.25</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682" w:type="dxa"/>
            <w:tcBorders>
              <w:bottom w:val="single" w:sz="8" w:space="0" w:color="001C71"/>
            </w:tcBorders>
            <w:shd w:fill="E5E5E5" w:val="clear"/>
            <w:tcMar>
              <w:bottom w:w="60" w:type="dxa"/>
            </w:tcMar>
            <w:vAlign w:val="bottom"/>
          </w:tcPr>
          <w:p>
            <w:pPr>
              <w:pStyle w:val="TableContents"/>
              <w:spacing w:before="0" w:after="283"/>
              <w:jc w:val="right"/>
              <w:rPr/>
            </w:pPr>
            <w:r>
              <w:rPr/>
              <w:t>0.10</w:t>
            </w:r>
          </w:p>
        </w:tc>
        <w:tc>
          <w:tcPr>
            <w:tcW w:w="59" w:type="dxa"/>
            <w:tcBorders>
              <w:bottom w:val="single" w:sz="8" w:space="0" w:color="001C71"/>
            </w:tcBorders>
            <w:shd w:fill="E5E5E5" w:val="clear"/>
            <w:tcMar>
              <w:bottom w:w="60"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2" w:type="dxa"/>
            <w:tcBorders>
              <w:bottom w:val="single" w:sz="8" w:space="0" w:color="001C71"/>
            </w:tcBorders>
            <w:shd w:fill="E5E5E5" w:val="clear"/>
            <w:tcMar>
              <w:bottom w:w="60" w:type="dxa"/>
            </w:tcMar>
            <w:vAlign w:val="bottom"/>
          </w:tcPr>
          <w:p>
            <w:pPr>
              <w:pStyle w:val="TableContents"/>
              <w:spacing w:before="0" w:after="283"/>
              <w:rPr/>
            </w:pPr>
            <w:r>
              <w:rPr/>
              <w:t> </w:t>
            </w:r>
          </w:p>
        </w:tc>
        <w:tc>
          <w:tcPr>
            <w:tcW w:w="1124" w:type="dxa"/>
            <w:tcBorders>
              <w:bottom w:val="single" w:sz="8" w:space="0" w:color="001C71"/>
            </w:tcBorders>
            <w:shd w:fill="E5E5E5" w:val="clear"/>
            <w:tcMar>
              <w:bottom w:w="60" w:type="dxa"/>
            </w:tcMar>
            <w:vAlign w:val="bottom"/>
          </w:tcPr>
          <w:p>
            <w:pPr>
              <w:pStyle w:val="TableContents"/>
              <w:spacing w:before="0" w:after="283"/>
              <w:jc w:val="right"/>
              <w:rPr/>
            </w:pPr>
            <w:r>
              <w:rPr/>
              <w:t>200%</w:t>
            </w:r>
          </w:p>
        </w:tc>
        <w:tc>
          <w:tcPr>
            <w:tcW w:w="102" w:type="dxa"/>
            <w:tcBorders>
              <w:bottom w:val="single" w:sz="8" w:space="0" w:color="001C71"/>
            </w:tcBorders>
            <w:shd w:fill="E5E5E5" w:val="clear"/>
            <w:tcMar>
              <w:bottom w:w="60" w:type="dxa"/>
            </w:tcM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auto" w:val="clear"/>
            <w:tcMar>
              <w:bottom w:w="60" w:type="dxa"/>
            </w:tcMar>
          </w:tcPr>
          <w:p>
            <w:pPr>
              <w:pStyle w:val="TableContents"/>
              <w:spacing w:before="0" w:after="0"/>
              <w:rPr>
                <w:rFonts w:ascii="arial" w:hAnsi="arial"/>
                <w:b/>
                <w:sz w:val="16"/>
              </w:rPr>
            </w:pPr>
            <w:r>
              <w:rPr>
                <w:rFonts w:ascii="arial" w:hAnsi="arial"/>
                <w:b/>
                <w:sz w:val="16"/>
              </w:rPr>
              <w:t>Sempra LNG</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40" w:type="dxa"/>
            <w:tcBorders>
              <w:bottom w:val="single" w:sz="8" w:space="0" w:color="001C71"/>
            </w:tcBorders>
            <w:shd w:fill="auto" w:val="clear"/>
            <w:tcMar>
              <w:bottom w:w="60" w:type="dxa"/>
            </w:tcMar>
            <w:vAlign w:val="bottom"/>
          </w:tcPr>
          <w:p>
            <w:pPr>
              <w:pStyle w:val="TableContents"/>
              <w:spacing w:before="0" w:after="283"/>
              <w:jc w:val="right"/>
              <w:rPr>
                <w:b/>
              </w:rPr>
            </w:pPr>
            <w:r>
              <w:rPr>
                <w:b/>
              </w:rPr>
              <w:t>2.00%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28" w:type="dxa"/>
            </w:tcMar>
            <w:vAlign w:val="bottom"/>
          </w:tcPr>
          <w:p>
            <w:pPr>
              <w:pStyle w:val="TableContents"/>
              <w:spacing w:before="0" w:after="283"/>
              <w:rPr/>
            </w:pPr>
            <w:r>
              <w:rPr/>
              <w:t> </w:t>
            </w:r>
          </w:p>
        </w:tc>
        <w:tc>
          <w:tcPr>
            <w:tcW w:w="1044"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82"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28" w:type="dxa"/>
            </w:tcMar>
            <w:vAlign w:val="bottom"/>
          </w:tcPr>
          <w:p>
            <w:pPr>
              <w:pStyle w:val="TableContents"/>
              <w:spacing w:before="0" w:after="283"/>
              <w:rPr/>
            </w:pPr>
            <w:r>
              <w:rPr/>
              <w:t> </w:t>
            </w:r>
          </w:p>
        </w:tc>
        <w:tc>
          <w:tcPr>
            <w:tcW w:w="1044"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682" w:type="dxa"/>
            <w:tcBorders>
              <w:bottom w:val="single" w:sz="8" w:space="0" w:color="001C71"/>
            </w:tcBorders>
            <w:shd w:fill="auto" w:val="clear"/>
            <w:tcMar>
              <w:bottom w:w="28" w:type="dxa"/>
            </w:tcMar>
            <w:vAlign w:val="bottom"/>
          </w:tcPr>
          <w:p>
            <w:pPr>
              <w:pStyle w:val="TableContents"/>
              <w:spacing w:before="0" w:after="283"/>
              <w:rPr/>
            </w:pPr>
            <w:r>
              <w:rPr/>
              <w:t> </w:t>
            </w:r>
          </w:p>
        </w:tc>
        <w:tc>
          <w:tcPr>
            <w:tcW w:w="59" w:type="dxa"/>
            <w:tcBorders>
              <w:bottom w:val="single" w:sz="8" w:space="0" w:color="001C71"/>
            </w:tcBorders>
            <w:shd w:fill="auto" w:val="clear"/>
            <w:tcMar>
              <w:bottom w:w="28"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172" w:type="dxa"/>
            <w:tcBorders>
              <w:bottom w:val="single" w:sz="8" w:space="0" w:color="001C71"/>
            </w:tcBorders>
            <w:shd w:fill="auto" w:val="clear"/>
            <w:tcMar>
              <w:bottom w:w="60" w:type="dxa"/>
            </w:tcMar>
            <w:vAlign w:val="bottom"/>
          </w:tcPr>
          <w:p>
            <w:pPr>
              <w:pStyle w:val="TableContents"/>
              <w:spacing w:before="0" w:after="283"/>
              <w:rPr/>
            </w:pPr>
            <w:r>
              <w:rPr/>
              <w:t> </w:t>
            </w:r>
          </w:p>
        </w:tc>
        <w:tc>
          <w:tcPr>
            <w:tcW w:w="1124" w:type="dxa"/>
            <w:tcBorders>
              <w:bottom w:val="single" w:sz="8" w:space="0" w:color="001C71"/>
            </w:tcBorders>
            <w:shd w:fill="auto" w:val="clear"/>
            <w:tcMar>
              <w:bottom w:w="60" w:type="dxa"/>
            </w:tcMar>
            <w:vAlign w:val="bottom"/>
          </w:tcPr>
          <w:p>
            <w:pPr>
              <w:pStyle w:val="TableContents"/>
              <w:spacing w:before="0" w:after="283"/>
              <w:jc w:val="right"/>
              <w:rPr>
                <w:b/>
              </w:rPr>
            </w:pPr>
            <w:r>
              <w:rPr>
                <w:b/>
              </w:rPr>
              <w:t>200%</w:t>
            </w:r>
          </w:p>
        </w:tc>
        <w:tc>
          <w:tcPr>
            <w:tcW w:w="102"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b/>
                <w:sz w:val="16"/>
              </w:rPr>
            </w:pPr>
            <w:r>
              <w:rPr>
                <w:rFonts w:ascii="arial" w:hAnsi="arial"/>
                <w:b/>
                <w:sz w:val="16"/>
              </w:rPr>
              <w:t>SDG&amp;E</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74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sz w:val="4"/>
                <w:szCs w:val="4"/>
              </w:rPr>
            </w:pPr>
            <w:r>
              <w:rPr>
                <w:sz w:val="4"/>
                <w:szCs w:val="4"/>
              </w:rPr>
            </w:r>
          </w:p>
        </w:tc>
        <w:tc>
          <w:tcPr>
            <w:tcW w:w="104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2"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sz w:val="4"/>
                <w:szCs w:val="4"/>
              </w:rPr>
            </w:pPr>
            <w:r>
              <w:rPr>
                <w:sz w:val="4"/>
                <w:szCs w:val="4"/>
              </w:rPr>
            </w:r>
          </w:p>
        </w:tc>
        <w:tc>
          <w:tcPr>
            <w:tcW w:w="1044"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2" w:type="dxa"/>
            <w:tcBorders/>
            <w:shd w:fill="E5E5E5" w:val="clear"/>
            <w:vAlign w:val="bottom"/>
          </w:tcPr>
          <w:p>
            <w:pPr>
              <w:pStyle w:val="TableContents"/>
              <w:spacing w:before="0" w:after="283"/>
              <w:rPr>
                <w:sz w:val="4"/>
                <w:szCs w:val="4"/>
              </w:rPr>
            </w:pPr>
            <w:r>
              <w:rPr>
                <w:sz w:val="4"/>
                <w:szCs w:val="4"/>
              </w:rPr>
            </w:r>
          </w:p>
        </w:tc>
        <w:tc>
          <w:tcPr>
            <w:tcW w:w="59"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sz w:val="4"/>
                <w:szCs w:val="4"/>
              </w:rPr>
            </w:pPr>
            <w:r>
              <w:rPr>
                <w:sz w:val="4"/>
                <w:szCs w:val="4"/>
              </w:rPr>
            </w:r>
          </w:p>
        </w:tc>
        <w:tc>
          <w:tcPr>
            <w:tcW w:w="1124" w:type="dxa"/>
            <w:tcBorders/>
            <w:shd w:fill="E5E5E5" w:val="clear"/>
            <w:vAlign w:val="bottom"/>
          </w:tcPr>
          <w:p>
            <w:pPr>
              <w:pStyle w:val="TableContents"/>
              <w:spacing w:before="0" w:after="283"/>
              <w:rPr>
                <w:sz w:val="4"/>
                <w:szCs w:val="4"/>
              </w:rPr>
            </w:pPr>
            <w:r>
              <w:rPr>
                <w:sz w:val="4"/>
                <w:szCs w:val="4"/>
              </w:rPr>
            </w:r>
          </w:p>
        </w:tc>
        <w:tc>
          <w:tcPr>
            <w:tcW w:w="102"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Employee Safety  Zero employee electric contacts</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0.18%</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0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0</w:t>
            </w:r>
          </w:p>
        </w:tc>
        <w:tc>
          <w:tcPr>
            <w:tcW w:w="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200%</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sz w:val="16"/>
              </w:rPr>
            </w:pPr>
            <w:r>
              <w:rPr>
                <w:rFonts w:ascii="arial" w:hAnsi="arial"/>
                <w:sz w:val="16"/>
              </w:rPr>
              <w:t>Employee Safety  Lost Time Incident (LTI) Rate</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40" w:type="dxa"/>
            <w:tcBorders/>
            <w:shd w:fill="E5E5E5" w:val="clear"/>
            <w:vAlign w:val="bottom"/>
          </w:tcPr>
          <w:p>
            <w:pPr>
              <w:pStyle w:val="TableContents"/>
              <w:spacing w:before="0" w:after="283"/>
              <w:jc w:val="right"/>
              <w:rPr/>
            </w:pPr>
            <w:r>
              <w:rPr/>
              <w:t>0.24%</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0.68</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0.58</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0.48</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0.36</w:t>
            </w:r>
          </w:p>
        </w:tc>
        <w:tc>
          <w:tcPr>
            <w:tcW w:w="59"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124" w:type="dxa"/>
            <w:tcBorders/>
            <w:shd w:fill="E5E5E5" w:val="clear"/>
            <w:vAlign w:val="bottom"/>
          </w:tcPr>
          <w:p>
            <w:pPr>
              <w:pStyle w:val="TableContents"/>
              <w:spacing w:before="0" w:after="283"/>
              <w:jc w:val="right"/>
              <w:rPr/>
            </w:pPr>
            <w:r>
              <w:rPr/>
              <w:t>200%</w:t>
            </w:r>
          </w:p>
        </w:tc>
        <w:tc>
          <w:tcPr>
            <w:tcW w:w="102" w:type="dxa"/>
            <w:tcBorders/>
            <w:shd w:fill="E5E5E5" w:val="cle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Employee Safety  Controllable Motor Vehicle Incidents (CMVI)</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0.24%</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53</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43</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33</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40</w:t>
            </w:r>
          </w:p>
        </w:tc>
        <w:tc>
          <w:tcPr>
            <w:tcW w:w="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130%</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sz w:val="16"/>
              </w:rPr>
            </w:pPr>
            <w:r>
              <w:rPr>
                <w:rFonts w:ascii="arial" w:hAnsi="arial"/>
                <w:sz w:val="16"/>
              </w:rPr>
              <w:t>Employee Safety  Environmental and Safety Compliance Management Program (ESCMP) Findings Mediated</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40" w:type="dxa"/>
            <w:tcBorders/>
            <w:shd w:fill="E5E5E5" w:val="clear"/>
            <w:vAlign w:val="bottom"/>
          </w:tcPr>
          <w:p>
            <w:pPr>
              <w:pStyle w:val="TableContents"/>
              <w:spacing w:before="0" w:after="283"/>
              <w:jc w:val="right"/>
              <w:rPr/>
            </w:pPr>
            <w:r>
              <w:rPr/>
              <w:t>0.18%</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90%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2"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100%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100%</w:t>
            </w:r>
          </w:p>
        </w:tc>
        <w:tc>
          <w:tcPr>
            <w:tcW w:w="59"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124" w:type="dxa"/>
            <w:tcBorders/>
            <w:shd w:fill="E5E5E5" w:val="clear"/>
            <w:vAlign w:val="bottom"/>
          </w:tcPr>
          <w:p>
            <w:pPr>
              <w:pStyle w:val="TableContents"/>
              <w:spacing w:before="0" w:after="283"/>
              <w:jc w:val="right"/>
              <w:rPr/>
            </w:pPr>
            <w:r>
              <w:rPr/>
              <w:t>200%</w:t>
            </w:r>
          </w:p>
        </w:tc>
        <w:tc>
          <w:tcPr>
            <w:tcW w:w="102" w:type="dxa"/>
            <w:tcBorders/>
            <w:shd w:fill="E5E5E5" w:val="cle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Employee Safety  Field Observations</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0.18%</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8,000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9,000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10,000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15,801</w:t>
            </w:r>
          </w:p>
        </w:tc>
        <w:tc>
          <w:tcPr>
            <w:tcW w:w="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200%</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sz w:val="16"/>
              </w:rPr>
            </w:pPr>
            <w:r>
              <w:rPr>
                <w:rFonts w:ascii="arial" w:hAnsi="arial"/>
                <w:sz w:val="16"/>
              </w:rPr>
              <w:t>Gas Safety  Distribution System Integrity  Miles Vintage Mains and Services Replaced</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40" w:type="dxa"/>
            <w:tcBorders/>
            <w:shd w:fill="E5E5E5" w:val="clear"/>
            <w:vAlign w:val="bottom"/>
          </w:tcPr>
          <w:p>
            <w:pPr>
              <w:pStyle w:val="TableContents"/>
              <w:spacing w:before="0" w:after="283"/>
              <w:jc w:val="right"/>
              <w:rPr/>
            </w:pPr>
            <w:r>
              <w:rPr/>
              <w:t>0.24%</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40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45</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50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51.19</w:t>
            </w:r>
          </w:p>
        </w:tc>
        <w:tc>
          <w:tcPr>
            <w:tcW w:w="59"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124" w:type="dxa"/>
            <w:tcBorders/>
            <w:shd w:fill="E5E5E5" w:val="clear"/>
            <w:vAlign w:val="bottom"/>
          </w:tcPr>
          <w:p>
            <w:pPr>
              <w:pStyle w:val="TableContents"/>
              <w:spacing w:before="0" w:after="283"/>
              <w:jc w:val="right"/>
              <w:rPr/>
            </w:pPr>
            <w:r>
              <w:rPr/>
              <w:t>200%</w:t>
            </w:r>
          </w:p>
        </w:tc>
        <w:tc>
          <w:tcPr>
            <w:tcW w:w="102" w:type="dxa"/>
            <w:tcBorders/>
            <w:shd w:fill="E5E5E5" w:val="cle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Gas Safety  Damage Prevention (Damages as per USA ticket rate)</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0.18%</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2.1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2.0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1.9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1.66</w:t>
            </w:r>
          </w:p>
        </w:tc>
        <w:tc>
          <w:tcPr>
            <w:tcW w:w="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200%</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sz w:val="16"/>
              </w:rPr>
            </w:pPr>
            <w:r>
              <w:rPr>
                <w:rFonts w:ascii="arial" w:hAnsi="arial"/>
                <w:sz w:val="16"/>
              </w:rPr>
              <w:t>Gas Safety  Mobile Home Park Retrofit Program (spaces with To-the-Meter Installed)</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40" w:type="dxa"/>
            <w:tcBorders/>
            <w:shd w:fill="E5E5E5" w:val="clear"/>
            <w:vAlign w:val="bottom"/>
          </w:tcPr>
          <w:p>
            <w:pPr>
              <w:pStyle w:val="TableContents"/>
              <w:spacing w:before="0" w:after="283"/>
              <w:jc w:val="right"/>
              <w:rPr/>
            </w:pPr>
            <w:r>
              <w:rPr/>
              <w:t>0.12%</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800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950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1,150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1,163</w:t>
            </w:r>
          </w:p>
        </w:tc>
        <w:tc>
          <w:tcPr>
            <w:tcW w:w="59"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124" w:type="dxa"/>
            <w:tcBorders/>
            <w:shd w:fill="E5E5E5" w:val="clear"/>
            <w:vAlign w:val="bottom"/>
          </w:tcPr>
          <w:p>
            <w:pPr>
              <w:pStyle w:val="TableContents"/>
              <w:spacing w:before="0" w:after="283"/>
              <w:jc w:val="right"/>
              <w:rPr/>
            </w:pPr>
            <w:r>
              <w:rPr/>
              <w:t>200%</w:t>
            </w:r>
          </w:p>
        </w:tc>
        <w:tc>
          <w:tcPr>
            <w:tcW w:w="102" w:type="dxa"/>
            <w:tcBorders/>
            <w:shd w:fill="E5E5E5" w:val="cle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Gas Safety  P1 Gas Response Time (Minutes)</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0.12%</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34</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32.5</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29.6</w:t>
            </w:r>
          </w:p>
        </w:tc>
        <w:tc>
          <w:tcPr>
            <w:tcW w:w="5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200%</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sz w:val="16"/>
              </w:rPr>
            </w:pPr>
            <w:r>
              <w:rPr>
                <w:rFonts w:ascii="arial" w:hAnsi="arial"/>
                <w:sz w:val="16"/>
              </w:rPr>
              <w:t>Gas Safety  PSEP Line 1600  Projects Placed in Service</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40" w:type="dxa"/>
            <w:tcBorders/>
            <w:shd w:fill="E5E5E5" w:val="clear"/>
            <w:vAlign w:val="bottom"/>
          </w:tcPr>
          <w:p>
            <w:pPr>
              <w:pStyle w:val="TableContents"/>
              <w:spacing w:before="0" w:after="283"/>
              <w:jc w:val="right"/>
              <w:rPr/>
            </w:pPr>
            <w:r>
              <w:rPr/>
              <w:t>0.12%</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1</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2</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3</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3</w:t>
            </w:r>
          </w:p>
        </w:tc>
        <w:tc>
          <w:tcPr>
            <w:tcW w:w="59"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124" w:type="dxa"/>
            <w:tcBorders/>
            <w:shd w:fill="E5E5E5" w:val="clear"/>
            <w:vAlign w:val="bottom"/>
          </w:tcPr>
          <w:p>
            <w:pPr>
              <w:pStyle w:val="TableContents"/>
              <w:spacing w:before="0" w:after="283"/>
              <w:jc w:val="right"/>
              <w:rPr/>
            </w:pPr>
            <w:r>
              <w:rPr/>
              <w:t>200%</w:t>
            </w:r>
          </w:p>
        </w:tc>
        <w:tc>
          <w:tcPr>
            <w:tcW w:w="102" w:type="dxa"/>
            <w:tcBorders/>
            <w:shd w:fill="E5E5E5" w:val="cle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Electric Safety  System Average Interruption Duration Index (SAIDI)</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0.18%</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69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66</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63</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65.25</w:t>
            </w:r>
          </w:p>
        </w:tc>
        <w:tc>
          <w:tcPr>
            <w:tcW w:w="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125%</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sz w:val="16"/>
              </w:rPr>
            </w:pPr>
            <w:r>
              <w:rPr>
                <w:rFonts w:ascii="arial" w:hAnsi="arial"/>
                <w:sz w:val="16"/>
              </w:rPr>
              <w:t>Electric Safety  Substation Breaker Replacement (Units)</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40" w:type="dxa"/>
            <w:tcBorders/>
            <w:shd w:fill="E5E5E5" w:val="clear"/>
            <w:vAlign w:val="bottom"/>
          </w:tcPr>
          <w:p>
            <w:pPr>
              <w:pStyle w:val="TableContents"/>
              <w:spacing w:before="0" w:after="283"/>
              <w:jc w:val="right"/>
              <w:rPr/>
            </w:pPr>
            <w:r>
              <w:rPr/>
              <w:t>0.18%</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40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45</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50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51</w:t>
            </w:r>
          </w:p>
        </w:tc>
        <w:tc>
          <w:tcPr>
            <w:tcW w:w="59"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124" w:type="dxa"/>
            <w:tcBorders/>
            <w:shd w:fill="E5E5E5" w:val="clear"/>
            <w:vAlign w:val="bottom"/>
          </w:tcPr>
          <w:p>
            <w:pPr>
              <w:pStyle w:val="TableContents"/>
              <w:spacing w:before="0" w:after="283"/>
              <w:jc w:val="right"/>
              <w:rPr/>
            </w:pPr>
            <w:r>
              <w:rPr/>
              <w:t>200%</w:t>
            </w:r>
          </w:p>
        </w:tc>
        <w:tc>
          <w:tcPr>
            <w:tcW w:w="102" w:type="dxa"/>
            <w:tcBorders/>
            <w:shd w:fill="E5E5E5" w:val="cle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Electric Safety  Tee Replacement Program (Location)</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0.18%</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35</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40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45</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78</w:t>
            </w:r>
          </w:p>
        </w:tc>
        <w:tc>
          <w:tcPr>
            <w:tcW w:w="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200%</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sz w:val="16"/>
              </w:rPr>
            </w:pPr>
            <w:r>
              <w:rPr>
                <w:rFonts w:ascii="arial" w:hAnsi="arial"/>
                <w:sz w:val="16"/>
              </w:rPr>
              <w:t>Fire and Public Safety  Fire Hardening: Wood to Steel Pole Replacements</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40" w:type="dxa"/>
            <w:tcBorders/>
            <w:shd w:fill="E5E5E5" w:val="clear"/>
            <w:vAlign w:val="bottom"/>
          </w:tcPr>
          <w:p>
            <w:pPr>
              <w:pStyle w:val="TableContents"/>
              <w:spacing w:before="0" w:after="283"/>
              <w:jc w:val="right"/>
              <w:rPr/>
            </w:pPr>
            <w:r>
              <w:rPr/>
              <w:t>0.18%</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3,000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3,300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3,600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4,046</w:t>
            </w:r>
          </w:p>
        </w:tc>
        <w:tc>
          <w:tcPr>
            <w:tcW w:w="59"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124" w:type="dxa"/>
            <w:tcBorders/>
            <w:shd w:fill="E5E5E5" w:val="clear"/>
            <w:vAlign w:val="bottom"/>
          </w:tcPr>
          <w:p>
            <w:pPr>
              <w:pStyle w:val="TableContents"/>
              <w:spacing w:before="0" w:after="283"/>
              <w:jc w:val="right"/>
              <w:rPr/>
            </w:pPr>
            <w:r>
              <w:rPr/>
              <w:t>200%</w:t>
            </w:r>
          </w:p>
        </w:tc>
        <w:tc>
          <w:tcPr>
            <w:tcW w:w="102" w:type="dxa"/>
            <w:tcBorders/>
            <w:shd w:fill="E5E5E5" w:val="cle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tcPr>
          <w:p>
            <w:pPr>
              <w:pStyle w:val="TableContents"/>
              <w:spacing w:before="0" w:after="0"/>
              <w:rPr>
                <w:rFonts w:ascii="arial" w:hAnsi="arial"/>
                <w:sz w:val="16"/>
              </w:rPr>
            </w:pPr>
            <w:r>
              <w:rPr>
                <w:rFonts w:ascii="arial" w:hAnsi="arial"/>
                <w:sz w:val="16"/>
              </w:rPr>
              <w:t>Fire and Public Safety  Overhead System Hardening (Miles)</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0.12%</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125</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150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175</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206</w:t>
            </w:r>
          </w:p>
        </w:tc>
        <w:tc>
          <w:tcPr>
            <w:tcW w:w="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200%</w:t>
            </w:r>
          </w:p>
        </w:tc>
        <w:tc>
          <w:tcPr>
            <w:tcW w:w="102" w:type="dxa"/>
            <w:tcBorders/>
            <w:shd w:fill="auto" w:val="cle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shd w:fill="E5E5E5" w:val="clear"/>
          </w:tcPr>
          <w:p>
            <w:pPr>
              <w:pStyle w:val="TableContents"/>
              <w:spacing w:before="0" w:after="0"/>
              <w:rPr>
                <w:rFonts w:ascii="arial" w:hAnsi="arial"/>
                <w:sz w:val="16"/>
              </w:rPr>
            </w:pPr>
            <w:r>
              <w:rPr>
                <w:rFonts w:ascii="arial" w:hAnsi="arial"/>
                <w:sz w:val="16"/>
              </w:rPr>
              <w:t>Fire and Public Safety  Underground System Hardening (Miles)</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40" w:type="dxa"/>
            <w:tcBorders/>
            <w:shd w:fill="E5E5E5" w:val="clear"/>
            <w:vAlign w:val="bottom"/>
          </w:tcPr>
          <w:p>
            <w:pPr>
              <w:pStyle w:val="TableContents"/>
              <w:spacing w:before="0" w:after="283"/>
              <w:jc w:val="right"/>
              <w:rPr/>
            </w:pPr>
            <w:r>
              <w:rPr/>
              <w:t>0.12%</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20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25</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86" w:type="dxa"/>
            <w:tcBorders/>
            <w:shd w:fill="E5E5E5" w:val="clear"/>
            <w:vAlign w:val="bottom"/>
          </w:tcPr>
          <w:p>
            <w:pPr>
              <w:pStyle w:val="TableContents"/>
              <w:spacing w:before="0" w:after="283"/>
              <w:rPr/>
            </w:pPr>
            <w:r>
              <w:rPr/>
              <w:t> </w:t>
            </w:r>
          </w:p>
        </w:tc>
        <w:tc>
          <w:tcPr>
            <w:tcW w:w="1044" w:type="dxa"/>
            <w:tcBorders/>
            <w:shd w:fill="E5E5E5" w:val="clear"/>
            <w:vAlign w:val="bottom"/>
          </w:tcPr>
          <w:p>
            <w:pPr>
              <w:pStyle w:val="TableContents"/>
              <w:spacing w:before="0" w:after="283"/>
              <w:jc w:val="right"/>
              <w:rPr/>
            </w:pPr>
            <w:r>
              <w:rPr/>
              <w:t>30</w:t>
            </w:r>
          </w:p>
        </w:tc>
        <w:tc>
          <w:tcPr>
            <w:tcW w:w="60" w:type="dxa"/>
            <w:tcBorders/>
            <w:shd w:fill="E5E5E5" w:val="clear"/>
            <w:vAlign w:val="bottom"/>
          </w:tcPr>
          <w:p>
            <w:pPr>
              <w:pStyle w:val="TableContents"/>
              <w:spacing w:before="0" w:after="283"/>
              <w:rPr/>
            </w:pPr>
            <w:r>
              <w:rPr/>
              <w:t> </w:t>
            </w:r>
          </w:p>
        </w:tc>
        <w:tc>
          <w:tcPr>
            <w:tcW w:w="133"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2" w:type="dxa"/>
            <w:tcBorders/>
            <w:shd w:fill="E5E5E5" w:val="clear"/>
            <w:vAlign w:val="bottom"/>
          </w:tcPr>
          <w:p>
            <w:pPr>
              <w:pStyle w:val="TableContents"/>
              <w:spacing w:before="0" w:after="283"/>
              <w:jc w:val="right"/>
              <w:rPr/>
            </w:pPr>
            <w:r>
              <w:rPr/>
              <w:t>29.3</w:t>
            </w:r>
          </w:p>
        </w:tc>
        <w:tc>
          <w:tcPr>
            <w:tcW w:w="59"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124" w:type="dxa"/>
            <w:tcBorders/>
            <w:shd w:fill="E5E5E5" w:val="clear"/>
            <w:vAlign w:val="bottom"/>
          </w:tcPr>
          <w:p>
            <w:pPr>
              <w:pStyle w:val="TableContents"/>
              <w:spacing w:before="0" w:after="283"/>
              <w:jc w:val="right"/>
              <w:rPr/>
            </w:pPr>
            <w:r>
              <w:rPr/>
              <w:t>186%</w:t>
            </w:r>
          </w:p>
        </w:tc>
        <w:tc>
          <w:tcPr>
            <w:tcW w:w="102" w:type="dxa"/>
            <w:tcBorders/>
            <w:shd w:fill="E5E5E5" w:val="clear"/>
            <w:vAlign w:val="bottom"/>
          </w:tcPr>
          <w:p>
            <w:pPr>
              <w:pStyle w:val="TableContents"/>
              <w:spacing w:before="0" w:after="283"/>
              <w:rPr/>
            </w:pPr>
            <w:r>
              <w:rPr/>
              <w:t> </w:t>
            </w:r>
          </w:p>
        </w:tc>
      </w:tr>
      <w:tr>
        <w:trPr>
          <w:trHeight w:val="60" w:hRule="atLeast"/>
        </w:trPr>
        <w:tc>
          <w:tcPr>
            <w:tcW w:w="3179" w:type="dxa"/>
            <w:tcBorders/>
            <w:shd w:fill="auto" w:val="clear"/>
            <w:vAlign w:val="center"/>
          </w:tcPr>
          <w:p>
            <w:pPr>
              <w:pStyle w:val="TableContents"/>
              <w:spacing w:before="0" w:after="283"/>
              <w:rPr>
                <w:sz w:val="4"/>
                <w:szCs w:val="4"/>
              </w:rPr>
            </w:pPr>
            <w:r>
              <w:rPr>
                <w:sz w:val="4"/>
                <w:szCs w:val="4"/>
              </w:rPr>
            </w:r>
          </w:p>
        </w:tc>
        <w:tc>
          <w:tcPr>
            <w:tcW w:w="993"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34" w:type="dxa"/>
            <w:gridSpan w:val="4"/>
            <w:tcBorders/>
            <w:shd w:fill="auto" w:val="clear"/>
            <w:vAlign w:val="center"/>
          </w:tcPr>
          <w:p>
            <w:pPr>
              <w:pStyle w:val="TableContents"/>
              <w:spacing w:before="0" w:after="283"/>
              <w:rPr>
                <w:sz w:val="4"/>
                <w:szCs w:val="4"/>
              </w:rPr>
            </w:pPr>
            <w:r>
              <w:rPr>
                <w:sz w:val="4"/>
                <w:szCs w:val="4"/>
              </w:rPr>
            </w:r>
          </w:p>
        </w:tc>
        <w:tc>
          <w:tcPr>
            <w:tcW w:w="1518" w:type="dxa"/>
            <w:gridSpan w:val="4"/>
            <w:tcBorders/>
            <w:shd w:fill="auto"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Fire and Public Safety  Wildfire Safety Communications</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40" w:type="dxa"/>
            <w:tcBorders>
              <w:bottom w:val="single" w:sz="8" w:space="0" w:color="001C71"/>
            </w:tcBorders>
            <w:shd w:fill="auto" w:val="clear"/>
            <w:tcMar>
              <w:bottom w:w="60" w:type="dxa"/>
            </w:tcMar>
            <w:vAlign w:val="bottom"/>
          </w:tcPr>
          <w:p>
            <w:pPr>
              <w:pStyle w:val="TableContents"/>
              <w:spacing w:before="0" w:after="283"/>
              <w:jc w:val="right"/>
              <w:rPr/>
            </w:pPr>
            <w:r>
              <w:rPr/>
              <w:t>0.18%</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60" w:type="dxa"/>
            </w:tcMar>
            <w:vAlign w:val="bottom"/>
          </w:tcPr>
          <w:p>
            <w:pPr>
              <w:pStyle w:val="TableContents"/>
              <w:spacing w:before="0" w:after="283"/>
              <w:rPr/>
            </w:pPr>
            <w:r>
              <w:rPr/>
              <w:t> </w:t>
            </w:r>
          </w:p>
        </w:tc>
        <w:tc>
          <w:tcPr>
            <w:tcW w:w="1044" w:type="dxa"/>
            <w:tcBorders>
              <w:bottom w:val="single" w:sz="8" w:space="0" w:color="001C71"/>
            </w:tcBorders>
            <w:shd w:fill="auto" w:val="clear"/>
            <w:tcMar>
              <w:bottom w:w="60" w:type="dxa"/>
            </w:tcMar>
            <w:vAlign w:val="bottom"/>
          </w:tcPr>
          <w:p>
            <w:pPr>
              <w:pStyle w:val="TableContents"/>
              <w:spacing w:before="0" w:after="283"/>
              <w:jc w:val="right"/>
              <w:rPr/>
            </w:pPr>
            <w:r>
              <w:rPr/>
              <w:t>76%</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682" w:type="dxa"/>
            <w:tcBorders>
              <w:bottom w:val="single" w:sz="8" w:space="0" w:color="001C71"/>
            </w:tcBorders>
            <w:shd w:fill="auto" w:val="clear"/>
            <w:tcMar>
              <w:bottom w:w="60" w:type="dxa"/>
            </w:tcMar>
            <w:vAlign w:val="bottom"/>
          </w:tcPr>
          <w:p>
            <w:pPr>
              <w:pStyle w:val="TableContents"/>
              <w:spacing w:before="0" w:after="283"/>
              <w:jc w:val="right"/>
              <w:rPr/>
            </w:pPr>
            <w:r>
              <w:rPr/>
              <w:t>78%</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86" w:type="dxa"/>
            <w:tcBorders>
              <w:bottom w:val="single" w:sz="8" w:space="0" w:color="001C71"/>
            </w:tcBorders>
            <w:shd w:fill="auto" w:val="clear"/>
            <w:tcMar>
              <w:bottom w:w="60" w:type="dxa"/>
            </w:tcMar>
            <w:vAlign w:val="bottom"/>
          </w:tcPr>
          <w:p>
            <w:pPr>
              <w:pStyle w:val="TableContents"/>
              <w:spacing w:before="0" w:after="283"/>
              <w:rPr/>
            </w:pPr>
            <w:r>
              <w:rPr/>
              <w:t> </w:t>
            </w:r>
          </w:p>
        </w:tc>
        <w:tc>
          <w:tcPr>
            <w:tcW w:w="1044" w:type="dxa"/>
            <w:tcBorders>
              <w:bottom w:val="single" w:sz="8" w:space="0" w:color="001C71"/>
            </w:tcBorders>
            <w:shd w:fill="auto" w:val="clear"/>
            <w:tcMar>
              <w:bottom w:w="60" w:type="dxa"/>
            </w:tcMar>
            <w:vAlign w:val="bottom"/>
          </w:tcPr>
          <w:p>
            <w:pPr>
              <w:pStyle w:val="TableContents"/>
              <w:spacing w:before="0" w:after="283"/>
              <w:jc w:val="right"/>
              <w:rPr/>
            </w:pPr>
            <w:r>
              <w:rPr/>
              <w:t>80%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3"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682" w:type="dxa"/>
            <w:tcBorders>
              <w:bottom w:val="single" w:sz="8" w:space="0" w:color="001C71"/>
            </w:tcBorders>
            <w:shd w:fill="auto" w:val="clear"/>
            <w:tcMar>
              <w:bottom w:w="60" w:type="dxa"/>
            </w:tcMar>
            <w:vAlign w:val="bottom"/>
          </w:tcPr>
          <w:p>
            <w:pPr>
              <w:pStyle w:val="TableContents"/>
              <w:spacing w:before="0" w:after="283"/>
              <w:jc w:val="right"/>
              <w:rPr/>
            </w:pPr>
            <w:r>
              <w:rPr/>
              <w:t>83.2%</w:t>
            </w:r>
          </w:p>
        </w:tc>
        <w:tc>
          <w:tcPr>
            <w:tcW w:w="59" w:type="dxa"/>
            <w:tcBorders>
              <w:bottom w:val="single" w:sz="8" w:space="0" w:color="001C71"/>
            </w:tcBorders>
            <w:shd w:fill="auto" w:val="clear"/>
            <w:tcMar>
              <w:bottom w:w="60"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172" w:type="dxa"/>
            <w:tcBorders>
              <w:bottom w:val="single" w:sz="8" w:space="0" w:color="001C71"/>
            </w:tcBorders>
            <w:shd w:fill="auto" w:val="clear"/>
            <w:tcMar>
              <w:bottom w:w="60" w:type="dxa"/>
            </w:tcMar>
            <w:vAlign w:val="bottom"/>
          </w:tcPr>
          <w:p>
            <w:pPr>
              <w:pStyle w:val="TableContents"/>
              <w:spacing w:before="0" w:after="283"/>
              <w:rPr/>
            </w:pPr>
            <w:r>
              <w:rPr/>
              <w:t> </w:t>
            </w:r>
          </w:p>
        </w:tc>
        <w:tc>
          <w:tcPr>
            <w:tcW w:w="1124" w:type="dxa"/>
            <w:tcBorders>
              <w:bottom w:val="single" w:sz="8" w:space="0" w:color="001C71"/>
            </w:tcBorders>
            <w:shd w:fill="auto" w:val="clear"/>
            <w:tcMar>
              <w:bottom w:w="60" w:type="dxa"/>
            </w:tcMar>
            <w:vAlign w:val="bottom"/>
          </w:tcPr>
          <w:p>
            <w:pPr>
              <w:pStyle w:val="TableContents"/>
              <w:spacing w:before="0" w:after="283"/>
              <w:jc w:val="right"/>
              <w:rPr/>
            </w:pPr>
            <w:r>
              <w:rPr/>
              <w:t>200%</w:t>
            </w:r>
          </w:p>
        </w:tc>
        <w:tc>
          <w:tcPr>
            <w:tcW w:w="102"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60" w:hRule="atLeast"/>
        </w:trPr>
        <w:tc>
          <w:tcPr>
            <w:tcW w:w="3179" w:type="dxa"/>
            <w:tcBorders/>
            <w:shd w:fill="E5E5E5" w:val="clear"/>
            <w:vAlign w:val="center"/>
          </w:tcPr>
          <w:p>
            <w:pPr>
              <w:pStyle w:val="TableContents"/>
              <w:spacing w:before="0" w:after="283"/>
              <w:rPr>
                <w:sz w:val="4"/>
                <w:szCs w:val="4"/>
              </w:rPr>
            </w:pPr>
            <w:r>
              <w:rPr>
                <w:sz w:val="4"/>
                <w:szCs w:val="4"/>
              </w:rPr>
            </w:r>
          </w:p>
        </w:tc>
        <w:tc>
          <w:tcPr>
            <w:tcW w:w="993"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5" w:type="dxa"/>
            <w:gridSpan w:val="4"/>
            <w:tcBorders/>
            <w:shd w:fill="E5E5E5" w:val="clear"/>
            <w:vAlign w:val="center"/>
          </w:tcPr>
          <w:p>
            <w:pPr>
              <w:pStyle w:val="TableContents"/>
              <w:spacing w:before="0" w:after="283"/>
              <w:rPr>
                <w:sz w:val="4"/>
                <w:szCs w:val="4"/>
              </w:rPr>
            </w:pPr>
            <w:r>
              <w:rPr>
                <w:sz w:val="4"/>
                <w:szCs w:val="4"/>
              </w:rPr>
            </w:r>
          </w:p>
        </w:tc>
        <w:tc>
          <w:tcPr>
            <w:tcW w:w="1323" w:type="dxa"/>
            <w:gridSpan w:val="4"/>
            <w:tcBorders/>
            <w:shd w:fill="E5E5E5" w:val="clear"/>
            <w:vAlign w:val="center"/>
          </w:tcPr>
          <w:p>
            <w:pPr>
              <w:pStyle w:val="TableContents"/>
              <w:spacing w:before="0" w:after="283"/>
              <w:rPr>
                <w:sz w:val="4"/>
                <w:szCs w:val="4"/>
              </w:rPr>
            </w:pPr>
            <w:r>
              <w:rPr>
                <w:sz w:val="4"/>
                <w:szCs w:val="4"/>
              </w:rPr>
            </w:r>
          </w:p>
        </w:tc>
        <w:tc>
          <w:tcPr>
            <w:tcW w:w="934" w:type="dxa"/>
            <w:gridSpan w:val="4"/>
            <w:tcBorders/>
            <w:shd w:fill="E5E5E5" w:val="clear"/>
            <w:vAlign w:val="center"/>
          </w:tcPr>
          <w:p>
            <w:pPr>
              <w:pStyle w:val="TableContents"/>
              <w:spacing w:before="0" w:after="283"/>
              <w:rPr>
                <w:sz w:val="4"/>
                <w:szCs w:val="4"/>
              </w:rPr>
            </w:pPr>
            <w:r>
              <w:rPr>
                <w:sz w:val="4"/>
                <w:szCs w:val="4"/>
              </w:rPr>
            </w:r>
          </w:p>
        </w:tc>
        <w:tc>
          <w:tcPr>
            <w:tcW w:w="1518" w:type="dxa"/>
            <w:gridSpan w:val="4"/>
            <w:tcBorders/>
            <w:shd w:fill="E5E5E5" w:val="clear"/>
            <w:vAlign w:val="center"/>
          </w:tcPr>
          <w:p>
            <w:pPr>
              <w:pStyle w:val="TableContents"/>
              <w:spacing w:before="0" w:after="283"/>
              <w:rPr>
                <w:sz w:val="4"/>
                <w:szCs w:val="4"/>
              </w:rPr>
            </w:pPr>
            <w:r>
              <w:rPr>
                <w:sz w:val="4"/>
                <w:szCs w:val="4"/>
              </w:rPr>
            </w:r>
          </w:p>
        </w:tc>
      </w:tr>
      <w:tr>
        <w:trPr/>
        <w:tc>
          <w:tcPr>
            <w:tcW w:w="3179" w:type="dxa"/>
            <w:tcBorders>
              <w:bottom w:val="single" w:sz="8" w:space="0" w:color="001C71"/>
            </w:tcBorders>
            <w:shd w:fill="E5E5E5" w:val="clear"/>
            <w:tcMar>
              <w:bottom w:w="60" w:type="dxa"/>
            </w:tcMar>
          </w:tcPr>
          <w:p>
            <w:pPr>
              <w:pStyle w:val="TableContents"/>
              <w:spacing w:before="0" w:after="0"/>
              <w:rPr>
                <w:rFonts w:ascii="arial" w:hAnsi="arial"/>
                <w:b/>
                <w:sz w:val="16"/>
              </w:rPr>
            </w:pPr>
            <w:r>
              <w:rPr>
                <w:rFonts w:ascii="arial" w:hAnsi="arial"/>
                <w:b/>
                <w:sz w:val="16"/>
              </w:rPr>
              <w:t>SDG&amp;E</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40" w:type="dxa"/>
            <w:tcBorders>
              <w:bottom w:val="single" w:sz="8" w:space="0" w:color="001C71"/>
            </w:tcBorders>
            <w:shd w:fill="E5E5E5" w:val="clear"/>
            <w:tcMar>
              <w:bottom w:w="60" w:type="dxa"/>
            </w:tcMar>
            <w:vAlign w:val="bottom"/>
          </w:tcPr>
          <w:p>
            <w:pPr>
              <w:pStyle w:val="TableContents"/>
              <w:spacing w:before="0" w:after="283"/>
              <w:jc w:val="right"/>
              <w:rPr>
                <w:b/>
              </w:rPr>
            </w:pPr>
            <w:r>
              <w:rPr>
                <w:b/>
              </w:rPr>
              <w:t>3.00%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82"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86"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4"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3"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82" w:type="dxa"/>
            <w:tcBorders>
              <w:bottom w:val="single" w:sz="8" w:space="0" w:color="001C71"/>
            </w:tcBorders>
            <w:shd w:fill="E5E5E5" w:val="clear"/>
            <w:tcMar>
              <w:bottom w:w="28" w:type="dxa"/>
            </w:tcMar>
            <w:vAlign w:val="bottom"/>
          </w:tcPr>
          <w:p>
            <w:pPr>
              <w:pStyle w:val="TableContents"/>
              <w:spacing w:before="0" w:after="283"/>
              <w:rPr/>
            </w:pPr>
            <w:r>
              <w:rPr/>
              <w:t> </w:t>
            </w:r>
          </w:p>
        </w:tc>
        <w:tc>
          <w:tcPr>
            <w:tcW w:w="59"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2" w:type="dxa"/>
            <w:tcBorders>
              <w:bottom w:val="single" w:sz="8" w:space="0" w:color="001C71"/>
            </w:tcBorders>
            <w:shd w:fill="E5E5E5" w:val="clear"/>
            <w:tcMar>
              <w:bottom w:w="60" w:type="dxa"/>
            </w:tcMar>
            <w:vAlign w:val="bottom"/>
          </w:tcPr>
          <w:p>
            <w:pPr>
              <w:pStyle w:val="TableContents"/>
              <w:spacing w:before="0" w:after="283"/>
              <w:rPr/>
            </w:pPr>
            <w:r>
              <w:rPr/>
              <w:t> </w:t>
            </w:r>
          </w:p>
        </w:tc>
        <w:tc>
          <w:tcPr>
            <w:tcW w:w="1124" w:type="dxa"/>
            <w:tcBorders>
              <w:bottom w:val="single" w:sz="8" w:space="0" w:color="001C71"/>
            </w:tcBorders>
            <w:shd w:fill="E5E5E5" w:val="clear"/>
            <w:tcMar>
              <w:bottom w:w="60" w:type="dxa"/>
            </w:tcMar>
            <w:vAlign w:val="bottom"/>
          </w:tcPr>
          <w:p>
            <w:pPr>
              <w:pStyle w:val="TableContents"/>
              <w:spacing w:before="0" w:after="283"/>
              <w:jc w:val="right"/>
              <w:rPr>
                <w:b/>
              </w:rPr>
            </w:pPr>
            <w:r>
              <w:rPr>
                <w:b/>
              </w:rPr>
              <w:t>189%</w:t>
            </w:r>
          </w:p>
        </w:tc>
        <w:tc>
          <w:tcPr>
            <w:tcW w:w="102" w:type="dxa"/>
            <w:tcBorders>
              <w:bottom w:val="single" w:sz="8" w:space="0" w:color="001C71"/>
            </w:tcBorders>
            <w:shd w:fill="E5E5E5"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5"/>
        <w:gridCol w:w="115"/>
        <w:gridCol w:w="9685"/>
      </w:tblGrid>
      <w:tr>
        <w:trPr/>
        <w:tc>
          <w:tcPr>
            <w:tcW w:w="40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9685"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106</w:t>
            </w:r>
          </w:p>
        </w:tc>
        <w:tc>
          <w:tcPr>
            <w:tcW w:w="115" w:type="dxa"/>
            <w:tcBorders/>
            <w:shd w:fill="auto" w:val="clear"/>
            <w:vAlign w:val="bottom"/>
          </w:tcPr>
          <w:p>
            <w:pPr>
              <w:pStyle w:val="TableContents"/>
              <w:spacing w:before="0" w:after="283"/>
              <w:rPr/>
            </w:pPr>
            <w:r>
              <w:rPr/>
              <w:t> </w:t>
            </w:r>
          </w:p>
        </w:tc>
        <w:tc>
          <w:tcPr>
            <w:tcW w:w="9685" w:type="dxa"/>
            <w:tcBorders/>
            <w:shd w:fill="auto" w:val="clear"/>
          </w:tcPr>
          <w:p>
            <w:pPr>
              <w:pStyle w:val="TableContents"/>
              <w:spacing w:before="0" w:after="283"/>
              <w:rPr>
                <w:color w:val="3F3F3F"/>
              </w:rPr>
            </w:pPr>
            <w:r>
              <w:rPr>
                <w:b/>
                <w:color w:val="3F3F3F"/>
              </w:rPr>
              <w:t>Sempra Energy</w:t>
            </w:r>
            <w:r>
              <w:rPr>
                <w:color w:val="3F3F3F"/>
              </w:rPr>
              <w:t xml:space="preserve"> 2021 Proxy Statement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3F3F3F"/>
          <w:sz w:val="18"/>
        </w:rPr>
      </w:pPr>
      <w:r>
        <w:rPr>
          <w:rFonts w:ascii="arial" w:hAnsi="arial"/>
          <w:color w:val="3F3F3F"/>
          <w:sz w:val="18"/>
        </w:rPr>
        <w:t xml:space="preserve">Appendix 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555"/>
        <w:gridCol w:w="130"/>
        <w:gridCol w:w="60"/>
        <w:gridCol w:w="731"/>
        <w:gridCol w:w="60"/>
        <w:gridCol w:w="130"/>
        <w:gridCol w:w="60"/>
        <w:gridCol w:w="1049"/>
        <w:gridCol w:w="60"/>
        <w:gridCol w:w="130"/>
        <w:gridCol w:w="60"/>
        <w:gridCol w:w="1049"/>
        <w:gridCol w:w="60"/>
        <w:gridCol w:w="129"/>
        <w:gridCol w:w="60"/>
        <w:gridCol w:w="1049"/>
        <w:gridCol w:w="60"/>
        <w:gridCol w:w="130"/>
        <w:gridCol w:w="60"/>
        <w:gridCol w:w="1049"/>
        <w:gridCol w:w="60"/>
        <w:gridCol w:w="120"/>
        <w:gridCol w:w="173"/>
        <w:gridCol w:w="1093"/>
        <w:gridCol w:w="88"/>
      </w:tblGrid>
      <w:tr>
        <w:trPr/>
        <w:tc>
          <w:tcPr>
            <w:tcW w:w="255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2555" w:type="dxa"/>
            <w:tcBorders/>
            <w:shd w:fill="001C71" w:val="clear"/>
            <w:vAlign w:val="center"/>
          </w:tcPr>
          <w:p>
            <w:pPr>
              <w:pStyle w:val="TableContents"/>
              <w:spacing w:before="0" w:after="283"/>
              <w:rPr>
                <w:sz w:val="4"/>
                <w:szCs w:val="4"/>
              </w:rPr>
            </w:pPr>
            <w:r>
              <w:rPr>
                <w:sz w:val="4"/>
                <w:szCs w:val="4"/>
              </w:rPr>
            </w:r>
          </w:p>
        </w:tc>
        <w:tc>
          <w:tcPr>
            <w:tcW w:w="981" w:type="dxa"/>
            <w:gridSpan w:val="4"/>
            <w:tcBorders/>
            <w:shd w:fill="001C71" w:val="clear"/>
            <w:vAlign w:val="center"/>
          </w:tcPr>
          <w:p>
            <w:pPr>
              <w:pStyle w:val="TableContents"/>
              <w:spacing w:before="0" w:after="283"/>
              <w:rPr>
                <w:sz w:val="4"/>
                <w:szCs w:val="4"/>
              </w:rPr>
            </w:pPr>
            <w:r>
              <w:rPr>
                <w:sz w:val="4"/>
                <w:szCs w:val="4"/>
              </w:rPr>
            </w:r>
          </w:p>
        </w:tc>
        <w:tc>
          <w:tcPr>
            <w:tcW w:w="3896" w:type="dxa"/>
            <w:gridSpan w:val="12"/>
            <w:tcBorders/>
            <w:shd w:fill="001C71" w:val="clear"/>
            <w:vAlign w:val="center"/>
          </w:tcPr>
          <w:p>
            <w:pPr>
              <w:pStyle w:val="TableContents"/>
              <w:spacing w:before="0" w:after="283"/>
              <w:rPr>
                <w:sz w:val="4"/>
                <w:szCs w:val="4"/>
              </w:rPr>
            </w:pPr>
            <w:r>
              <w:rPr>
                <w:sz w:val="4"/>
                <w:szCs w:val="4"/>
              </w:rPr>
            </w:r>
          </w:p>
        </w:tc>
        <w:tc>
          <w:tcPr>
            <w:tcW w:w="1299" w:type="dxa"/>
            <w:gridSpan w:val="4"/>
            <w:tcBorders/>
            <w:shd w:fill="001C71" w:val="clear"/>
            <w:vAlign w:val="center"/>
          </w:tcPr>
          <w:p>
            <w:pPr>
              <w:pStyle w:val="TableContents"/>
              <w:spacing w:before="0" w:after="283"/>
              <w:rPr>
                <w:sz w:val="4"/>
                <w:szCs w:val="4"/>
              </w:rPr>
            </w:pPr>
            <w:r>
              <w:rPr>
                <w:sz w:val="4"/>
                <w:szCs w:val="4"/>
              </w:rPr>
            </w:r>
          </w:p>
        </w:tc>
        <w:tc>
          <w:tcPr>
            <w:tcW w:w="1474" w:type="dxa"/>
            <w:gridSpan w:val="4"/>
            <w:tcBorders/>
            <w:shd w:fill="001C71" w:val="clear"/>
            <w:vAlign w:val="center"/>
          </w:tcPr>
          <w:p>
            <w:pPr>
              <w:pStyle w:val="TableContents"/>
              <w:spacing w:before="0" w:after="283"/>
              <w:rPr>
                <w:sz w:val="4"/>
                <w:szCs w:val="4"/>
              </w:rPr>
            </w:pPr>
            <w:r>
              <w:rPr>
                <w:sz w:val="4"/>
                <w:szCs w:val="4"/>
              </w:rPr>
            </w:r>
          </w:p>
        </w:tc>
      </w:tr>
      <w:tr>
        <w:trPr/>
        <w:tc>
          <w:tcPr>
            <w:tcW w:w="2555" w:type="dxa"/>
            <w:vMerge w:val="restart"/>
            <w:tcBorders/>
            <w:shd w:fill="001C71" w:val="clear"/>
            <w:vAlign w:val="bottom"/>
          </w:tcPr>
          <w:p>
            <w:pPr>
              <w:pStyle w:val="TableContents"/>
              <w:spacing w:before="0" w:after="0"/>
              <w:rPr>
                <w:rFonts w:ascii="arial" w:hAnsi="arial"/>
                <w:b/>
                <w:color w:val="FFFFFF"/>
                <w:sz w:val="16"/>
              </w:rPr>
            </w:pPr>
            <w:r>
              <w:rPr>
                <w:rFonts w:ascii="arial" w:hAnsi="arial"/>
                <w:b/>
                <w:color w:val="FFFFFF"/>
                <w:sz w:val="16"/>
              </w:rPr>
              <w:t>2020 Performance Measures</w:t>
            </w:r>
          </w:p>
        </w:tc>
        <w:tc>
          <w:tcPr>
            <w:tcW w:w="130" w:type="dxa"/>
            <w:vMerge w:val="restart"/>
            <w:tcBorders/>
            <w:shd w:fill="001C71" w:val="clear"/>
            <w:vAlign w:val="bottom"/>
          </w:tcPr>
          <w:p>
            <w:pPr>
              <w:pStyle w:val="TableContents"/>
              <w:spacing w:before="0" w:after="283"/>
              <w:rPr/>
            </w:pPr>
            <w:r>
              <w:rPr/>
              <w:t>  </w:t>
            </w:r>
          </w:p>
        </w:tc>
        <w:tc>
          <w:tcPr>
            <w:tcW w:w="791" w:type="dxa"/>
            <w:gridSpan w:val="2"/>
            <w:vMerge w:val="restart"/>
            <w:tcBorders/>
            <w:shd w:fill="001C71" w:val="clear"/>
            <w:vAlign w:val="bottom"/>
          </w:tcPr>
          <w:p>
            <w:pPr>
              <w:pStyle w:val="TableContents"/>
              <w:spacing w:before="0" w:after="283"/>
              <w:jc w:val="right"/>
              <w:rPr>
                <w:b/>
                <w:color w:val="FFFFFF"/>
              </w:rPr>
            </w:pPr>
            <w:r>
              <w:rPr>
                <w:b/>
                <w:color w:val="FFFFFF"/>
              </w:rPr>
              <w:t>Weight</w:t>
            </w:r>
          </w:p>
        </w:tc>
        <w:tc>
          <w:tcPr>
            <w:tcW w:w="60" w:type="dxa"/>
            <w:vMerge w:val="restart"/>
            <w:tcBorders/>
            <w:shd w:fill="001C71" w:val="clear"/>
            <w:vAlign w:val="bottom"/>
          </w:tcPr>
          <w:p>
            <w:pPr>
              <w:pStyle w:val="TableContents"/>
              <w:spacing w:before="0" w:after="283"/>
              <w:rPr/>
            </w:pPr>
            <w:r>
              <w:rPr/>
              <w:t> </w:t>
            </w:r>
          </w:p>
        </w:tc>
        <w:tc>
          <w:tcPr>
            <w:tcW w:w="130" w:type="dxa"/>
            <w:tcBorders>
              <w:bottom w:val="single" w:sz="2" w:space="0" w:color="FFFFFF"/>
            </w:tcBorders>
            <w:shd w:fill="001C71" w:val="clear"/>
            <w:tcMar>
              <w:bottom w:w="28" w:type="dxa"/>
            </w:tcMar>
            <w:vAlign w:val="bottom"/>
          </w:tcPr>
          <w:p>
            <w:pPr>
              <w:pStyle w:val="TableContents"/>
              <w:spacing w:before="0" w:after="283"/>
              <w:rPr/>
            </w:pPr>
            <w:r>
              <w:rPr/>
              <w:t>  </w:t>
            </w:r>
          </w:p>
        </w:tc>
        <w:tc>
          <w:tcPr>
            <w:tcW w:w="3706" w:type="dxa"/>
            <w:gridSpan w:val="10"/>
            <w:tcBorders>
              <w:bottom w:val="single" w:sz="2" w:space="0" w:color="FFFFFF"/>
            </w:tcBorders>
            <w:shd w:fill="001C71" w:val="clear"/>
            <w:tcMar>
              <w:bottom w:w="28" w:type="dxa"/>
            </w:tcMar>
            <w:vAlign w:val="bottom"/>
          </w:tcPr>
          <w:p>
            <w:pPr>
              <w:pStyle w:val="TableContents"/>
              <w:spacing w:before="0" w:after="0"/>
              <w:jc w:val="center"/>
              <w:rPr>
                <w:rFonts w:ascii="arial" w:hAnsi="arial"/>
                <w:b/>
                <w:color w:val="FFFFFF"/>
                <w:sz w:val="16"/>
              </w:rPr>
            </w:pPr>
            <w:r>
              <w:rPr>
                <w:rFonts w:ascii="arial" w:hAnsi="arial"/>
                <w:b/>
                <w:color w:val="FFFFFF"/>
                <w:sz w:val="16"/>
              </w:rPr>
              <w:t>Performance-Based Annual</w:t>
            </w:r>
          </w:p>
          <w:p>
            <w:pPr>
              <w:pStyle w:val="TableContents"/>
              <w:spacing w:before="0" w:after="20"/>
              <w:jc w:val="center"/>
              <w:rPr>
                <w:rFonts w:ascii="arial" w:hAnsi="arial"/>
                <w:b/>
                <w:color w:val="FFFFFF"/>
                <w:sz w:val="16"/>
              </w:rPr>
            </w:pPr>
            <w:r>
              <w:rPr>
                <w:rFonts w:ascii="arial" w:hAnsi="arial"/>
                <w:b/>
                <w:color w:val="FFFFFF"/>
                <w:sz w:val="16"/>
              </w:rPr>
              <w:t>Bonus Plan Goals(1)</w:t>
            </w:r>
          </w:p>
        </w:tc>
        <w:tc>
          <w:tcPr>
            <w:tcW w:w="60" w:type="dxa"/>
            <w:tcBorders>
              <w:bottom w:val="single" w:sz="2" w:space="0" w:color="FFFFFF"/>
            </w:tcBorders>
            <w:shd w:fill="001C71" w:val="clear"/>
            <w:tcMar>
              <w:bottom w:w="28" w:type="dxa"/>
            </w:tcMar>
            <w:vAlign w:val="bottom"/>
          </w:tcPr>
          <w:p>
            <w:pPr>
              <w:pStyle w:val="TableContents"/>
              <w:spacing w:before="0" w:after="283"/>
              <w:rPr/>
            </w:pPr>
            <w:r>
              <w:rPr/>
              <w:t> </w:t>
            </w:r>
          </w:p>
        </w:tc>
        <w:tc>
          <w:tcPr>
            <w:tcW w:w="130" w:type="dxa"/>
            <w:tcBorders/>
            <w:shd w:fill="001C71" w:val="clear"/>
            <w:vAlign w:val="bottom"/>
          </w:tcPr>
          <w:p>
            <w:pPr>
              <w:pStyle w:val="TableContents"/>
              <w:spacing w:before="0" w:after="283"/>
              <w:rPr/>
            </w:pPr>
            <w:r>
              <w:rPr/>
              <w:t>  </w:t>
            </w:r>
          </w:p>
        </w:tc>
        <w:tc>
          <w:tcPr>
            <w:tcW w:w="1109" w:type="dxa"/>
            <w:gridSpan w:val="2"/>
            <w:tcBorders/>
            <w:shd w:fill="001C71" w:val="clear"/>
            <w:vAlign w:val="bottom"/>
          </w:tcPr>
          <w:p>
            <w:pPr>
              <w:pStyle w:val="TableContents"/>
              <w:spacing w:before="0" w:after="283"/>
              <w:rPr/>
            </w:pPr>
            <w:r>
              <w:rPr/>
              <w:t> </w:t>
            </w:r>
          </w:p>
        </w:tc>
        <w:tc>
          <w:tcPr>
            <w:tcW w:w="60" w:type="dxa"/>
            <w:tcBorders/>
            <w:shd w:fill="001C71" w:val="clear"/>
            <w:vAlign w:val="bottom"/>
          </w:tcPr>
          <w:p>
            <w:pPr>
              <w:pStyle w:val="TableContents"/>
              <w:spacing w:before="0" w:after="283"/>
              <w:rPr/>
            </w:pPr>
            <w:r>
              <w:rPr/>
              <w:t> </w:t>
            </w:r>
          </w:p>
        </w:tc>
        <w:tc>
          <w:tcPr>
            <w:tcW w:w="120" w:type="dxa"/>
            <w:vMerge w:val="restart"/>
            <w:tcBorders/>
            <w:shd w:fill="001C71" w:val="clear"/>
            <w:vAlign w:val="bottom"/>
          </w:tcPr>
          <w:p>
            <w:pPr>
              <w:pStyle w:val="TableContents"/>
              <w:spacing w:before="0" w:after="283"/>
              <w:rPr/>
            </w:pPr>
            <w:r>
              <w:rPr/>
              <w:t>  </w:t>
            </w:r>
          </w:p>
        </w:tc>
        <w:tc>
          <w:tcPr>
            <w:tcW w:w="1266" w:type="dxa"/>
            <w:gridSpan w:val="2"/>
            <w:vMerge w:val="restart"/>
            <w:tcBorders/>
            <w:shd w:fill="001C71" w:val="clear"/>
            <w:vAlign w:val="bottom"/>
          </w:tcPr>
          <w:p>
            <w:pPr>
              <w:pStyle w:val="TableContents"/>
              <w:spacing w:before="0" w:after="283"/>
              <w:jc w:val="right"/>
              <w:rPr>
                <w:b/>
                <w:color w:val="FFFFFF"/>
              </w:rPr>
            </w:pPr>
            <w:r>
              <w:rPr>
                <w:b/>
                <w:color w:val="FFFFFF"/>
              </w:rPr>
              <w:t>% of Target</w:t>
              <w:br/>
              <w:t>Achieved</w:t>
            </w:r>
          </w:p>
        </w:tc>
        <w:tc>
          <w:tcPr>
            <w:tcW w:w="88" w:type="dxa"/>
            <w:vMerge w:val="restart"/>
            <w:tcBorders/>
            <w:shd w:fill="001C71" w:val="clear"/>
            <w:vAlign w:val="bottom"/>
          </w:tcPr>
          <w:p>
            <w:pPr>
              <w:pStyle w:val="TableContents"/>
              <w:spacing w:before="0" w:after="283"/>
              <w:rPr/>
            </w:pPr>
            <w:r>
              <w:rPr/>
              <w:t> </w:t>
            </w:r>
          </w:p>
        </w:tc>
      </w:tr>
      <w:tr>
        <w:trPr/>
        <w:tc>
          <w:tcPr>
            <w:tcW w:w="2555" w:type="dxa"/>
            <w:vMerge w:val="continue"/>
            <w:tcBorders/>
            <w:shd w:fill="001C71" w:val="clear"/>
            <w:vAlign w:val="bottom"/>
          </w:tcPr>
          <w:p>
            <w:pPr>
              <w:pStyle w:val="Normal"/>
              <w:rPr/>
            </w:pPr>
            <w:r>
              <w:rPr/>
            </w:r>
          </w:p>
        </w:tc>
        <w:tc>
          <w:tcPr>
            <w:tcW w:w="130" w:type="dxa"/>
            <w:vMerge w:val="continue"/>
            <w:tcBorders/>
            <w:shd w:fill="001C71" w:val="clear"/>
            <w:vAlign w:val="bottom"/>
          </w:tcPr>
          <w:p>
            <w:pPr>
              <w:pStyle w:val="Normal"/>
              <w:rPr/>
            </w:pPr>
            <w:r>
              <w:rPr/>
            </w:r>
          </w:p>
        </w:tc>
        <w:tc>
          <w:tcPr>
            <w:tcW w:w="791" w:type="dxa"/>
            <w:gridSpan w:val="2"/>
            <w:vMerge w:val="continue"/>
            <w:tcBorders/>
            <w:shd w:fill="001C71" w:val="clear"/>
            <w:vAlign w:val="bottom"/>
          </w:tcPr>
          <w:p>
            <w:pPr>
              <w:pStyle w:val="Normal"/>
              <w:rPr/>
            </w:pPr>
            <w:r>
              <w:rPr/>
            </w:r>
          </w:p>
        </w:tc>
        <w:tc>
          <w:tcPr>
            <w:tcW w:w="60" w:type="dxa"/>
            <w:vMerge w:val="continue"/>
            <w:tcBorders/>
            <w:shd w:fill="001C71" w:val="clear"/>
            <w:vAlign w:val="bottom"/>
          </w:tcPr>
          <w:p>
            <w:pPr>
              <w:pStyle w:val="Normal"/>
              <w:rPr/>
            </w:pPr>
            <w:r>
              <w:rPr/>
            </w:r>
          </w:p>
        </w:tc>
        <w:tc>
          <w:tcPr>
            <w:tcW w:w="130" w:type="dxa"/>
            <w:tcBorders/>
            <w:shd w:fill="001C71" w:val="clear"/>
            <w:vAlign w:val="bottom"/>
          </w:tcPr>
          <w:p>
            <w:pPr>
              <w:pStyle w:val="TableContents"/>
              <w:spacing w:before="0" w:after="283"/>
              <w:rPr/>
            </w:pPr>
            <w:r>
              <w:rPr/>
              <w:t>  </w:t>
            </w:r>
          </w:p>
        </w:tc>
        <w:tc>
          <w:tcPr>
            <w:tcW w:w="1109" w:type="dxa"/>
            <w:gridSpan w:val="2"/>
            <w:tcBorders/>
            <w:shd w:fill="001C71" w:val="clear"/>
            <w:vAlign w:val="bottom"/>
          </w:tcPr>
          <w:p>
            <w:pPr>
              <w:pStyle w:val="TableContents"/>
              <w:spacing w:before="0" w:after="283"/>
              <w:jc w:val="right"/>
              <w:rPr>
                <w:b/>
                <w:color w:val="FFFFFF"/>
              </w:rPr>
            </w:pPr>
            <w:r>
              <w:rPr>
                <w:b/>
                <w:color w:val="FFFFFF"/>
              </w:rPr>
              <w:t>Threshold</w:t>
            </w:r>
          </w:p>
        </w:tc>
        <w:tc>
          <w:tcPr>
            <w:tcW w:w="60" w:type="dxa"/>
            <w:tcBorders/>
            <w:shd w:fill="001C71" w:val="clear"/>
            <w:vAlign w:val="bottom"/>
          </w:tcPr>
          <w:p>
            <w:pPr>
              <w:pStyle w:val="TableContents"/>
              <w:spacing w:before="0" w:after="283"/>
              <w:rPr/>
            </w:pPr>
            <w:r>
              <w:rPr/>
              <w:t> </w:t>
            </w:r>
          </w:p>
        </w:tc>
        <w:tc>
          <w:tcPr>
            <w:tcW w:w="130" w:type="dxa"/>
            <w:tcBorders/>
            <w:shd w:fill="001C71" w:val="clear"/>
            <w:vAlign w:val="bottom"/>
          </w:tcPr>
          <w:p>
            <w:pPr>
              <w:pStyle w:val="TableContents"/>
              <w:spacing w:before="0" w:after="283"/>
              <w:rPr/>
            </w:pPr>
            <w:r>
              <w:rPr/>
              <w:t>  </w:t>
            </w:r>
          </w:p>
        </w:tc>
        <w:tc>
          <w:tcPr>
            <w:tcW w:w="1109" w:type="dxa"/>
            <w:gridSpan w:val="2"/>
            <w:tcBorders/>
            <w:shd w:fill="001C71" w:val="clear"/>
            <w:vAlign w:val="bottom"/>
          </w:tcPr>
          <w:p>
            <w:pPr>
              <w:pStyle w:val="TableContents"/>
              <w:spacing w:before="0" w:after="283"/>
              <w:jc w:val="right"/>
              <w:rPr>
                <w:b/>
                <w:color w:val="FFFFFF"/>
              </w:rPr>
            </w:pPr>
            <w:r>
              <w:rPr>
                <w:b/>
                <w:color w:val="FFFFFF"/>
              </w:rPr>
              <w:t>Target</w:t>
            </w:r>
          </w:p>
        </w:tc>
        <w:tc>
          <w:tcPr>
            <w:tcW w:w="60" w:type="dxa"/>
            <w:tcBorders/>
            <w:shd w:fill="001C71" w:val="clear"/>
            <w:vAlign w:val="bottom"/>
          </w:tcPr>
          <w:p>
            <w:pPr>
              <w:pStyle w:val="TableContents"/>
              <w:spacing w:before="0" w:after="283"/>
              <w:rPr/>
            </w:pPr>
            <w:r>
              <w:rPr/>
              <w:t> </w:t>
            </w:r>
          </w:p>
        </w:tc>
        <w:tc>
          <w:tcPr>
            <w:tcW w:w="129" w:type="dxa"/>
            <w:tcBorders/>
            <w:shd w:fill="001C71" w:val="clear"/>
            <w:vAlign w:val="bottom"/>
          </w:tcPr>
          <w:p>
            <w:pPr>
              <w:pStyle w:val="TableContents"/>
              <w:spacing w:before="0" w:after="283"/>
              <w:rPr/>
            </w:pPr>
            <w:r>
              <w:rPr/>
              <w:t>  </w:t>
            </w:r>
          </w:p>
        </w:tc>
        <w:tc>
          <w:tcPr>
            <w:tcW w:w="1109" w:type="dxa"/>
            <w:gridSpan w:val="2"/>
            <w:tcBorders/>
            <w:shd w:fill="001C71" w:val="clear"/>
            <w:vAlign w:val="bottom"/>
          </w:tcPr>
          <w:p>
            <w:pPr>
              <w:pStyle w:val="TableContents"/>
              <w:spacing w:before="0" w:after="283"/>
              <w:jc w:val="right"/>
              <w:rPr>
                <w:b/>
                <w:color w:val="FFFFFF"/>
              </w:rPr>
            </w:pPr>
            <w:r>
              <w:rPr>
                <w:b/>
                <w:color w:val="FFFFFF"/>
              </w:rPr>
              <w:t>Maximum</w:t>
            </w:r>
          </w:p>
        </w:tc>
        <w:tc>
          <w:tcPr>
            <w:tcW w:w="60" w:type="dxa"/>
            <w:tcBorders/>
            <w:shd w:fill="001C71" w:val="clear"/>
            <w:vAlign w:val="bottom"/>
          </w:tcPr>
          <w:p>
            <w:pPr>
              <w:pStyle w:val="TableContents"/>
              <w:spacing w:before="0" w:after="283"/>
              <w:rPr/>
            </w:pPr>
            <w:r>
              <w:rPr/>
              <w:t> </w:t>
            </w:r>
          </w:p>
        </w:tc>
        <w:tc>
          <w:tcPr>
            <w:tcW w:w="130" w:type="dxa"/>
            <w:tcBorders/>
            <w:shd w:fill="001C71" w:val="clear"/>
            <w:vAlign w:val="bottom"/>
          </w:tcPr>
          <w:p>
            <w:pPr>
              <w:pStyle w:val="TableContents"/>
              <w:spacing w:before="0" w:after="283"/>
              <w:rPr/>
            </w:pPr>
            <w:r>
              <w:rPr/>
              <w:t>  </w:t>
            </w:r>
          </w:p>
        </w:tc>
        <w:tc>
          <w:tcPr>
            <w:tcW w:w="1109" w:type="dxa"/>
            <w:gridSpan w:val="2"/>
            <w:tcBorders/>
            <w:shd w:fill="001C71" w:val="clear"/>
            <w:vAlign w:val="bottom"/>
          </w:tcPr>
          <w:p>
            <w:pPr>
              <w:pStyle w:val="TableContents"/>
              <w:spacing w:before="0" w:after="283"/>
              <w:jc w:val="right"/>
              <w:rPr>
                <w:b/>
                <w:color w:val="FFFFFF"/>
              </w:rPr>
            </w:pPr>
            <w:r>
              <w:rPr>
                <w:b/>
                <w:color w:val="FFFFFF"/>
              </w:rPr>
              <w:t>Actual</w:t>
            </w:r>
          </w:p>
        </w:tc>
        <w:tc>
          <w:tcPr>
            <w:tcW w:w="60" w:type="dxa"/>
            <w:tcBorders/>
            <w:shd w:fill="001C71" w:val="clear"/>
            <w:vAlign w:val="bottom"/>
          </w:tcPr>
          <w:p>
            <w:pPr>
              <w:pStyle w:val="TableContents"/>
              <w:spacing w:before="0" w:after="283"/>
              <w:rPr/>
            </w:pPr>
            <w:r>
              <w:rPr/>
              <w:t> </w:t>
            </w:r>
          </w:p>
        </w:tc>
        <w:tc>
          <w:tcPr>
            <w:tcW w:w="120" w:type="dxa"/>
            <w:vMerge w:val="continue"/>
            <w:tcBorders/>
            <w:shd w:fill="001C71" w:val="clear"/>
            <w:vAlign w:val="bottom"/>
          </w:tcPr>
          <w:p>
            <w:pPr>
              <w:pStyle w:val="Normal"/>
              <w:rPr/>
            </w:pPr>
            <w:r>
              <w:rPr/>
            </w:r>
          </w:p>
        </w:tc>
        <w:tc>
          <w:tcPr>
            <w:tcW w:w="1266" w:type="dxa"/>
            <w:gridSpan w:val="2"/>
            <w:vMerge w:val="continue"/>
            <w:tcBorders/>
            <w:shd w:fill="001C71" w:val="clear"/>
            <w:vAlign w:val="bottom"/>
          </w:tcPr>
          <w:p>
            <w:pPr>
              <w:pStyle w:val="Normal"/>
              <w:rPr/>
            </w:pPr>
            <w:r>
              <w:rPr/>
            </w:r>
          </w:p>
        </w:tc>
        <w:tc>
          <w:tcPr>
            <w:tcW w:w="88" w:type="dxa"/>
            <w:vMerge w:val="continue"/>
            <w:tcBorders/>
            <w:shd w:fill="001C71" w:val="clear"/>
            <w:vAlign w:val="bottom"/>
          </w:tcPr>
          <w:p>
            <w:pPr>
              <w:pStyle w:val="Normal"/>
              <w:rPr/>
            </w:pPr>
            <w:r>
              <w:rPr/>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shd w:fill="E5E5E5" w:val="clear"/>
          </w:tcPr>
          <w:p>
            <w:pPr>
              <w:pStyle w:val="TableContents"/>
              <w:spacing w:before="0" w:after="0"/>
              <w:rPr>
                <w:rFonts w:ascii="arial" w:hAnsi="arial"/>
                <w:b/>
                <w:sz w:val="16"/>
              </w:rPr>
            </w:pPr>
            <w:r>
              <w:rPr>
                <w:rFonts w:ascii="arial" w:hAnsi="arial"/>
                <w:b/>
                <w:sz w:val="16"/>
              </w:rPr>
              <w:t>SoCalGas</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73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1049"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1049"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2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1049"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1049"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sz w:val="4"/>
                <w:szCs w:val="4"/>
              </w:rPr>
            </w:pPr>
            <w:r>
              <w:rPr>
                <w:sz w:val="4"/>
                <w:szCs w:val="4"/>
              </w:rPr>
            </w:r>
          </w:p>
        </w:tc>
        <w:tc>
          <w:tcPr>
            <w:tcW w:w="1093" w:type="dxa"/>
            <w:tcBorders/>
            <w:shd w:fill="E5E5E5" w:val="clear"/>
            <w:vAlign w:val="bottom"/>
          </w:tcPr>
          <w:p>
            <w:pPr>
              <w:pStyle w:val="TableContents"/>
              <w:spacing w:before="0" w:after="283"/>
              <w:rPr>
                <w:sz w:val="4"/>
                <w:szCs w:val="4"/>
              </w:rPr>
            </w:pPr>
            <w:r>
              <w:rPr>
                <w:sz w:val="4"/>
                <w:szCs w:val="4"/>
              </w:rPr>
            </w:r>
          </w:p>
        </w:tc>
        <w:tc>
          <w:tcPr>
            <w:tcW w:w="88"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tcPr>
          <w:p>
            <w:pPr>
              <w:pStyle w:val="TableContents"/>
              <w:spacing w:before="0" w:after="0"/>
              <w:rPr>
                <w:rFonts w:ascii="arial" w:hAnsi="arial"/>
                <w:sz w:val="16"/>
              </w:rPr>
            </w:pPr>
            <w:r>
              <w:rPr>
                <w:rFonts w:ascii="arial" w:hAnsi="arial"/>
                <w:sz w:val="16"/>
              </w:rPr>
              <w:t>Employee Safety  LTI Rate</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0.30%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0.95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0.90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0.85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0.85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200%</w:t>
            </w:r>
          </w:p>
        </w:tc>
        <w:tc>
          <w:tcPr>
            <w:tcW w:w="88" w:type="dxa"/>
            <w:tcBorders/>
            <w:shd w:fill="auto" w:val="cle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shd w:fill="E5E5E5" w:val="clear"/>
          </w:tcPr>
          <w:p>
            <w:pPr>
              <w:pStyle w:val="TableContents"/>
              <w:spacing w:before="0" w:after="0"/>
              <w:rPr>
                <w:rFonts w:ascii="arial" w:hAnsi="arial"/>
                <w:sz w:val="16"/>
              </w:rPr>
            </w:pPr>
            <w:r>
              <w:rPr>
                <w:rFonts w:ascii="arial" w:hAnsi="arial"/>
                <w:sz w:val="16"/>
              </w:rPr>
              <w:t>Employee Safety  ESCMP Corrective Action</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31" w:type="dxa"/>
            <w:tcBorders/>
            <w:shd w:fill="E5E5E5" w:val="clear"/>
            <w:vAlign w:val="bottom"/>
          </w:tcPr>
          <w:p>
            <w:pPr>
              <w:pStyle w:val="TableContents"/>
              <w:spacing w:before="0" w:after="283"/>
              <w:jc w:val="right"/>
              <w:rPr/>
            </w:pPr>
            <w:r>
              <w:rPr/>
              <w:t>0.30%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90%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95%</w:t>
            </w:r>
          </w:p>
        </w:tc>
        <w:tc>
          <w:tcPr>
            <w:tcW w:w="6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100%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100%</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093" w:type="dxa"/>
            <w:tcBorders/>
            <w:shd w:fill="E5E5E5" w:val="clear"/>
            <w:vAlign w:val="bottom"/>
          </w:tcPr>
          <w:p>
            <w:pPr>
              <w:pStyle w:val="TableContents"/>
              <w:spacing w:before="0" w:after="283"/>
              <w:jc w:val="right"/>
              <w:rPr/>
            </w:pPr>
            <w:r>
              <w:rPr/>
              <w:t>200%</w:t>
            </w:r>
          </w:p>
        </w:tc>
        <w:tc>
          <w:tcPr>
            <w:tcW w:w="88" w:type="dxa"/>
            <w:tcBorders/>
            <w:shd w:fill="E5E5E5" w:val="cle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tcPr>
          <w:p>
            <w:pPr>
              <w:pStyle w:val="TableContents"/>
              <w:spacing w:before="0" w:after="0"/>
              <w:rPr>
                <w:rFonts w:ascii="arial" w:hAnsi="arial"/>
                <w:sz w:val="16"/>
              </w:rPr>
            </w:pPr>
            <w:r>
              <w:rPr>
                <w:rFonts w:ascii="arial" w:hAnsi="arial"/>
                <w:sz w:val="16"/>
              </w:rPr>
              <w:t>Employee Safety  Alert Driving Implementation Completion</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0.30%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80%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90%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100%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99%</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190%</w:t>
            </w:r>
          </w:p>
        </w:tc>
        <w:tc>
          <w:tcPr>
            <w:tcW w:w="88" w:type="dxa"/>
            <w:tcBorders/>
            <w:shd w:fill="auto" w:val="cle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shd w:fill="E5E5E5" w:val="clear"/>
          </w:tcPr>
          <w:p>
            <w:pPr>
              <w:pStyle w:val="TableContents"/>
              <w:spacing w:before="0" w:after="0"/>
              <w:rPr>
                <w:rFonts w:ascii="arial" w:hAnsi="arial"/>
                <w:sz w:val="16"/>
              </w:rPr>
            </w:pPr>
            <w:r>
              <w:rPr>
                <w:rFonts w:ascii="arial" w:hAnsi="arial"/>
                <w:sz w:val="16"/>
              </w:rPr>
              <w:t>Customer, Public &amp; System Safety  A1 Order Response Time</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31" w:type="dxa"/>
            <w:tcBorders/>
            <w:shd w:fill="E5E5E5" w:val="clear"/>
            <w:vAlign w:val="bottom"/>
          </w:tcPr>
          <w:p>
            <w:pPr>
              <w:pStyle w:val="TableContents"/>
              <w:spacing w:before="0" w:after="283"/>
              <w:jc w:val="right"/>
              <w:rPr/>
            </w:pPr>
            <w:r>
              <w:rPr/>
              <w:t>0.30%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91.5%</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91.9%</w:t>
            </w:r>
          </w:p>
        </w:tc>
        <w:tc>
          <w:tcPr>
            <w:tcW w:w="6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92.1%</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92.4%</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093" w:type="dxa"/>
            <w:tcBorders/>
            <w:shd w:fill="E5E5E5" w:val="clear"/>
            <w:vAlign w:val="bottom"/>
          </w:tcPr>
          <w:p>
            <w:pPr>
              <w:pStyle w:val="TableContents"/>
              <w:spacing w:before="0" w:after="283"/>
              <w:jc w:val="right"/>
              <w:rPr/>
            </w:pPr>
            <w:r>
              <w:rPr/>
              <w:t>200%</w:t>
            </w:r>
          </w:p>
        </w:tc>
        <w:tc>
          <w:tcPr>
            <w:tcW w:w="88" w:type="dxa"/>
            <w:tcBorders/>
            <w:shd w:fill="E5E5E5" w:val="cle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tcPr>
          <w:p>
            <w:pPr>
              <w:pStyle w:val="TableContents"/>
              <w:spacing w:before="0" w:after="0"/>
              <w:rPr>
                <w:rFonts w:ascii="arial" w:hAnsi="arial"/>
                <w:sz w:val="16"/>
              </w:rPr>
            </w:pPr>
            <w:r>
              <w:rPr>
                <w:rFonts w:ascii="arial" w:hAnsi="arial"/>
                <w:sz w:val="16"/>
              </w:rPr>
              <w:t>Customer, Public &amp; System Safety  Damage Prevention: Damages per USA Ticket Rate</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0.30%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3.20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3.00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2.80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2.85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175%</w:t>
            </w:r>
          </w:p>
        </w:tc>
        <w:tc>
          <w:tcPr>
            <w:tcW w:w="88" w:type="dxa"/>
            <w:tcBorders/>
            <w:shd w:fill="auto" w:val="cle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shd w:fill="E5E5E5" w:val="clear"/>
          </w:tcPr>
          <w:p>
            <w:pPr>
              <w:pStyle w:val="TableContents"/>
              <w:spacing w:before="0" w:after="0"/>
              <w:rPr>
                <w:rFonts w:ascii="arial" w:hAnsi="arial"/>
                <w:sz w:val="16"/>
              </w:rPr>
            </w:pPr>
            <w:r>
              <w:rPr>
                <w:rFonts w:ascii="arial" w:hAnsi="arial"/>
                <w:sz w:val="16"/>
              </w:rPr>
              <w:t>Customer, Public &amp; System Safety  Gas System Methane Emissions Reductions (Percent of planned high-pressure blowdown events releasing less than or equal to 3 million cubic feet)</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31" w:type="dxa"/>
            <w:tcBorders/>
            <w:shd w:fill="E5E5E5" w:val="clear"/>
            <w:vAlign w:val="bottom"/>
          </w:tcPr>
          <w:p>
            <w:pPr>
              <w:pStyle w:val="TableContents"/>
              <w:spacing w:before="0" w:after="283"/>
              <w:jc w:val="right"/>
              <w:rPr/>
            </w:pPr>
            <w:r>
              <w:rPr/>
              <w:t>0.30%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79%</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82%</w:t>
            </w:r>
          </w:p>
        </w:tc>
        <w:tc>
          <w:tcPr>
            <w:tcW w:w="6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85%</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92%</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093" w:type="dxa"/>
            <w:tcBorders/>
            <w:shd w:fill="E5E5E5" w:val="clear"/>
            <w:vAlign w:val="bottom"/>
          </w:tcPr>
          <w:p>
            <w:pPr>
              <w:pStyle w:val="TableContents"/>
              <w:spacing w:before="0" w:after="283"/>
              <w:jc w:val="right"/>
              <w:rPr/>
            </w:pPr>
            <w:r>
              <w:rPr/>
              <w:t>200%</w:t>
            </w:r>
          </w:p>
        </w:tc>
        <w:tc>
          <w:tcPr>
            <w:tcW w:w="88" w:type="dxa"/>
            <w:tcBorders/>
            <w:shd w:fill="E5E5E5" w:val="cle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tcPr>
          <w:p>
            <w:pPr>
              <w:pStyle w:val="TableContents"/>
              <w:spacing w:before="0" w:after="0"/>
              <w:rPr>
                <w:rFonts w:ascii="arial" w:hAnsi="arial"/>
                <w:sz w:val="16"/>
              </w:rPr>
            </w:pPr>
            <w:r>
              <w:rPr>
                <w:rFonts w:ascii="arial" w:hAnsi="arial"/>
                <w:sz w:val="16"/>
              </w:rPr>
              <w:t>Integrity Management  Pipeline Safety Enhancement Program  Pipeline Miles Remediated</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0.30%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25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35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45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52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200%</w:t>
            </w:r>
          </w:p>
        </w:tc>
        <w:tc>
          <w:tcPr>
            <w:tcW w:w="88" w:type="dxa"/>
            <w:tcBorders/>
            <w:shd w:fill="auto" w:val="cle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shd w:fill="E5E5E5" w:val="clear"/>
          </w:tcPr>
          <w:p>
            <w:pPr>
              <w:pStyle w:val="TableContents"/>
              <w:spacing w:before="0" w:after="0"/>
              <w:rPr>
                <w:rFonts w:ascii="arial" w:hAnsi="arial"/>
                <w:sz w:val="16"/>
              </w:rPr>
            </w:pPr>
            <w:r>
              <w:rPr>
                <w:rFonts w:ascii="arial" w:hAnsi="arial"/>
                <w:sz w:val="16"/>
              </w:rPr>
              <w:t>Integrity Management  Distribution Integrity Management Program: Miles of Vintage Mains and Services Replaced</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31" w:type="dxa"/>
            <w:tcBorders/>
            <w:shd w:fill="E5E5E5" w:val="clear"/>
            <w:vAlign w:val="bottom"/>
          </w:tcPr>
          <w:p>
            <w:pPr>
              <w:pStyle w:val="TableContents"/>
              <w:spacing w:before="0" w:after="283"/>
              <w:jc w:val="right"/>
              <w:rPr/>
            </w:pPr>
            <w:r>
              <w:rPr/>
              <w:t>0.30%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90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100</w:t>
            </w:r>
          </w:p>
        </w:tc>
        <w:tc>
          <w:tcPr>
            <w:tcW w:w="6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110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115</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093" w:type="dxa"/>
            <w:tcBorders/>
            <w:shd w:fill="E5E5E5" w:val="clear"/>
            <w:vAlign w:val="bottom"/>
          </w:tcPr>
          <w:p>
            <w:pPr>
              <w:pStyle w:val="TableContents"/>
              <w:spacing w:before="0" w:after="283"/>
              <w:jc w:val="right"/>
              <w:rPr/>
            </w:pPr>
            <w:r>
              <w:rPr/>
              <w:t>200%</w:t>
            </w:r>
          </w:p>
        </w:tc>
        <w:tc>
          <w:tcPr>
            <w:tcW w:w="88" w:type="dxa"/>
            <w:tcBorders/>
            <w:shd w:fill="E5E5E5" w:val="cle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tcPr>
          <w:p>
            <w:pPr>
              <w:pStyle w:val="TableContents"/>
              <w:spacing w:before="0" w:after="0"/>
              <w:rPr>
                <w:rFonts w:ascii="arial" w:hAnsi="arial"/>
                <w:sz w:val="16"/>
              </w:rPr>
            </w:pPr>
            <w:r>
              <w:rPr>
                <w:rFonts w:ascii="arial" w:hAnsi="arial"/>
                <w:sz w:val="16"/>
              </w:rPr>
              <w:t>Integrity Management  Storage Integrity Management Program (SIMP)  Number of Wells Inspected or Remediated under SIMP, or permanently plugged and abandoned</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0.30%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28</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35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42</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88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200%</w:t>
            </w:r>
          </w:p>
        </w:tc>
        <w:tc>
          <w:tcPr>
            <w:tcW w:w="88" w:type="dxa"/>
            <w:tcBorders/>
            <w:shd w:fill="auto" w:val="cle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Integrity Management  Age of Code Three Steel Leak Inventory</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31" w:type="dxa"/>
            <w:tcBorders>
              <w:bottom w:val="single" w:sz="8" w:space="0" w:color="001C71"/>
            </w:tcBorders>
            <w:shd w:fill="E5E5E5" w:val="clear"/>
            <w:tcMar>
              <w:bottom w:w="60" w:type="dxa"/>
            </w:tcMar>
            <w:vAlign w:val="bottom"/>
          </w:tcPr>
          <w:p>
            <w:pPr>
              <w:pStyle w:val="TableContents"/>
              <w:spacing w:before="0" w:after="283"/>
              <w:jc w:val="right"/>
              <w:rPr/>
            </w:pPr>
            <w:r>
              <w:rPr/>
              <w:t>0.30%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60" w:type="dxa"/>
            </w:tcMar>
            <w:vAlign w:val="bottom"/>
          </w:tcPr>
          <w:p>
            <w:pPr>
              <w:pStyle w:val="TableContents"/>
              <w:spacing w:before="0" w:after="283"/>
              <w:jc w:val="right"/>
              <w:rPr/>
            </w:pPr>
            <w:r>
              <w:rPr/>
              <w:t>36 Months</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60" w:type="dxa"/>
            </w:tcMar>
            <w:vAlign w:val="bottom"/>
          </w:tcPr>
          <w:p>
            <w:pPr>
              <w:pStyle w:val="TableContents"/>
              <w:spacing w:before="0" w:after="283"/>
              <w:jc w:val="right"/>
              <w:rPr/>
            </w:pPr>
            <w:r>
              <w:rPr/>
              <w:t>34 Months</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60" w:type="dxa"/>
            </w:tcMar>
            <w:vAlign w:val="bottom"/>
          </w:tcPr>
          <w:p>
            <w:pPr>
              <w:pStyle w:val="TableContents"/>
              <w:spacing w:before="0" w:after="283"/>
              <w:jc w:val="right"/>
              <w:rPr/>
            </w:pPr>
            <w:r>
              <w:rPr/>
              <w:t>32 Months</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60" w:type="dxa"/>
            </w:tcMar>
            <w:vAlign w:val="bottom"/>
          </w:tcPr>
          <w:p>
            <w:pPr>
              <w:pStyle w:val="TableContents"/>
              <w:spacing w:before="0" w:after="283"/>
              <w:jc w:val="right"/>
              <w:rPr/>
            </w:pPr>
            <w:r>
              <w:rPr/>
              <w:t>32 Months</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3"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93" w:type="dxa"/>
            <w:tcBorders>
              <w:bottom w:val="single" w:sz="8" w:space="0" w:color="001C71"/>
            </w:tcBorders>
            <w:shd w:fill="E5E5E5" w:val="clear"/>
            <w:tcMar>
              <w:bottom w:w="60" w:type="dxa"/>
            </w:tcMar>
            <w:vAlign w:val="bottom"/>
          </w:tcPr>
          <w:p>
            <w:pPr>
              <w:pStyle w:val="TableContents"/>
              <w:spacing w:before="0" w:after="283"/>
              <w:jc w:val="right"/>
              <w:rPr/>
            </w:pPr>
            <w:r>
              <w:rPr/>
              <w:t>200%</w:t>
            </w:r>
          </w:p>
        </w:tc>
        <w:tc>
          <w:tcPr>
            <w:tcW w:w="88" w:type="dxa"/>
            <w:tcBorders>
              <w:bottom w:val="single" w:sz="8" w:space="0" w:color="001C71"/>
            </w:tcBorders>
            <w:shd w:fill="E5E5E5" w:val="clear"/>
            <w:tcMar>
              <w:bottom w:w="60" w:type="dxa"/>
            </w:tcM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bottom w:val="single" w:sz="8" w:space="0" w:color="001C71"/>
            </w:tcBorders>
            <w:shd w:fill="auto" w:val="clear"/>
            <w:tcMar>
              <w:bottom w:w="60" w:type="dxa"/>
            </w:tcMar>
          </w:tcPr>
          <w:p>
            <w:pPr>
              <w:pStyle w:val="TableContents"/>
              <w:spacing w:before="0" w:after="0"/>
              <w:rPr>
                <w:rFonts w:ascii="arial" w:hAnsi="arial"/>
                <w:b/>
                <w:sz w:val="16"/>
              </w:rPr>
            </w:pPr>
            <w:r>
              <w:rPr>
                <w:rFonts w:ascii="arial" w:hAnsi="arial"/>
                <w:b/>
                <w:sz w:val="16"/>
              </w:rPr>
              <w:t>SoCalGas</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31" w:type="dxa"/>
            <w:tcBorders>
              <w:bottom w:val="single" w:sz="8" w:space="0" w:color="001C71"/>
            </w:tcBorders>
            <w:shd w:fill="auto" w:val="clear"/>
            <w:tcMar>
              <w:bottom w:w="60" w:type="dxa"/>
            </w:tcMar>
            <w:vAlign w:val="bottom"/>
          </w:tcPr>
          <w:p>
            <w:pPr>
              <w:pStyle w:val="TableContents"/>
              <w:spacing w:before="0" w:after="283"/>
              <w:jc w:val="right"/>
              <w:rPr>
                <w:b/>
              </w:rPr>
            </w:pPr>
            <w:r>
              <w:rPr>
                <w:b/>
              </w:rPr>
              <w:t>3.00%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173" w:type="dxa"/>
            <w:tcBorders>
              <w:bottom w:val="single" w:sz="8" w:space="0" w:color="001C71"/>
            </w:tcBorders>
            <w:shd w:fill="auto" w:val="clear"/>
            <w:tcMar>
              <w:bottom w:w="60" w:type="dxa"/>
            </w:tcMar>
            <w:vAlign w:val="bottom"/>
          </w:tcPr>
          <w:p>
            <w:pPr>
              <w:pStyle w:val="TableContents"/>
              <w:spacing w:before="0" w:after="283"/>
              <w:rPr/>
            </w:pPr>
            <w:r>
              <w:rPr/>
              <w:t> </w:t>
            </w:r>
          </w:p>
        </w:tc>
        <w:tc>
          <w:tcPr>
            <w:tcW w:w="1093" w:type="dxa"/>
            <w:tcBorders>
              <w:bottom w:val="single" w:sz="8" w:space="0" w:color="001C71"/>
            </w:tcBorders>
            <w:shd w:fill="auto" w:val="clear"/>
            <w:tcMar>
              <w:bottom w:w="60" w:type="dxa"/>
            </w:tcMar>
            <w:vAlign w:val="bottom"/>
          </w:tcPr>
          <w:p>
            <w:pPr>
              <w:pStyle w:val="TableContents"/>
              <w:spacing w:before="0" w:after="283"/>
              <w:jc w:val="right"/>
              <w:rPr>
                <w:b/>
              </w:rPr>
            </w:pPr>
            <w:r>
              <w:rPr>
                <w:b/>
              </w:rPr>
              <w:t>197%</w:t>
            </w:r>
          </w:p>
        </w:tc>
        <w:tc>
          <w:tcPr>
            <w:tcW w:w="88"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bottom w:val="single" w:sz="8" w:space="0" w:color="001C71"/>
            </w:tcBorders>
            <w:shd w:fill="E5E5E5" w:val="clear"/>
            <w:tcMar>
              <w:bottom w:w="60" w:type="dxa"/>
            </w:tcMar>
          </w:tcPr>
          <w:p>
            <w:pPr>
              <w:pStyle w:val="TableContents"/>
              <w:spacing w:before="0" w:after="0"/>
              <w:rPr>
                <w:rFonts w:ascii="arial" w:hAnsi="arial"/>
                <w:b/>
                <w:sz w:val="16"/>
              </w:rPr>
            </w:pPr>
            <w:r>
              <w:rPr>
                <w:rFonts w:ascii="arial" w:hAnsi="arial"/>
                <w:b/>
                <w:sz w:val="16"/>
              </w:rPr>
              <w:t>Subtotal: Safety</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31" w:type="dxa"/>
            <w:tcBorders>
              <w:bottom w:val="single" w:sz="8" w:space="0" w:color="001C71"/>
            </w:tcBorders>
            <w:shd w:fill="E5E5E5" w:val="clear"/>
            <w:tcMar>
              <w:bottom w:w="60" w:type="dxa"/>
            </w:tcMar>
            <w:vAlign w:val="bottom"/>
          </w:tcPr>
          <w:p>
            <w:pPr>
              <w:pStyle w:val="TableContents"/>
              <w:spacing w:before="0" w:after="283"/>
              <w:jc w:val="right"/>
              <w:rPr>
                <w:b/>
              </w:rPr>
            </w:pPr>
            <w:r>
              <w:rPr>
                <w:b/>
              </w:rPr>
              <w:t>12.00%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3"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93" w:type="dxa"/>
            <w:tcBorders>
              <w:bottom w:val="single" w:sz="8" w:space="0" w:color="001C71"/>
            </w:tcBorders>
            <w:shd w:fill="E5E5E5" w:val="clear"/>
            <w:tcMar>
              <w:bottom w:w="60" w:type="dxa"/>
            </w:tcMar>
            <w:vAlign w:val="bottom"/>
          </w:tcPr>
          <w:p>
            <w:pPr>
              <w:pStyle w:val="TableContents"/>
              <w:spacing w:before="0" w:after="283"/>
              <w:jc w:val="right"/>
              <w:rPr>
                <w:b/>
              </w:rPr>
            </w:pPr>
            <w:r>
              <w:rPr>
                <w:b/>
              </w:rPr>
              <w:t>191%</w:t>
            </w:r>
          </w:p>
        </w:tc>
        <w:tc>
          <w:tcPr>
            <w:tcW w:w="88" w:type="dxa"/>
            <w:tcBorders>
              <w:bottom w:val="single" w:sz="8" w:space="0" w:color="001C71"/>
            </w:tcBorders>
            <w:shd w:fill="E5E5E5" w:val="clear"/>
            <w:tcMar>
              <w:bottom w:w="60" w:type="dxa"/>
            </w:tcM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tcPr>
          <w:p>
            <w:pPr>
              <w:pStyle w:val="TableContents"/>
              <w:spacing w:before="0" w:after="0"/>
              <w:rPr>
                <w:rFonts w:ascii="arial" w:hAnsi="arial"/>
                <w:b/>
                <w:sz w:val="16"/>
              </w:rPr>
            </w:pPr>
            <w:r>
              <w:rPr>
                <w:rFonts w:ascii="arial" w:hAnsi="arial"/>
                <w:b/>
                <w:sz w:val="16"/>
              </w:rPr>
              <w:t>Customer Service &amp; Other Stakeholders:</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3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sz w:val="4"/>
                <w:szCs w:val="4"/>
              </w:rPr>
            </w:pPr>
            <w:r>
              <w:rPr>
                <w:sz w:val="4"/>
                <w:szCs w:val="4"/>
              </w:rPr>
            </w:r>
          </w:p>
        </w:tc>
        <w:tc>
          <w:tcPr>
            <w:tcW w:w="1093"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shd w:fill="E5E5E5" w:val="clear"/>
          </w:tcPr>
          <w:p>
            <w:pPr>
              <w:pStyle w:val="TableContents"/>
              <w:spacing w:before="0" w:after="0"/>
              <w:rPr>
                <w:rFonts w:ascii="arial" w:hAnsi="arial"/>
                <w:b/>
                <w:sz w:val="16"/>
              </w:rPr>
            </w:pPr>
            <w:r>
              <w:rPr>
                <w:rFonts w:ascii="arial" w:hAnsi="arial"/>
                <w:b/>
                <w:sz w:val="16"/>
              </w:rPr>
              <w:t>SDG&amp;E</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731"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1049"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1049"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2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1049"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1049"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sz w:val="4"/>
                <w:szCs w:val="4"/>
              </w:rPr>
            </w:pPr>
            <w:r>
              <w:rPr>
                <w:sz w:val="4"/>
                <w:szCs w:val="4"/>
              </w:rPr>
            </w:r>
          </w:p>
        </w:tc>
        <w:tc>
          <w:tcPr>
            <w:tcW w:w="1093" w:type="dxa"/>
            <w:tcBorders/>
            <w:shd w:fill="E5E5E5" w:val="clear"/>
            <w:vAlign w:val="bottom"/>
          </w:tcPr>
          <w:p>
            <w:pPr>
              <w:pStyle w:val="TableContents"/>
              <w:spacing w:before="0" w:after="283"/>
              <w:rPr>
                <w:sz w:val="4"/>
                <w:szCs w:val="4"/>
              </w:rPr>
            </w:pPr>
            <w:r>
              <w:rPr>
                <w:sz w:val="4"/>
                <w:szCs w:val="4"/>
              </w:rPr>
            </w:r>
          </w:p>
        </w:tc>
        <w:tc>
          <w:tcPr>
            <w:tcW w:w="88" w:type="dxa"/>
            <w:tcBorders/>
            <w:shd w:fill="E5E5E5" w:val="clear"/>
            <w:vAlign w:val="bottom"/>
          </w:tcPr>
          <w:p>
            <w:pPr>
              <w:pStyle w:val="TableContents"/>
              <w:spacing w:before="0" w:after="283"/>
              <w:rPr>
                <w:sz w:val="4"/>
                <w:szCs w:val="4"/>
              </w:rPr>
            </w:pPr>
            <w:r>
              <w:rPr>
                <w:sz w:val="4"/>
                <w:szCs w:val="4"/>
              </w:rPr>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tcPr>
          <w:p>
            <w:pPr>
              <w:pStyle w:val="TableContents"/>
              <w:spacing w:before="0" w:after="0"/>
              <w:rPr>
                <w:rFonts w:ascii="arial" w:hAnsi="arial"/>
                <w:sz w:val="16"/>
              </w:rPr>
            </w:pPr>
            <w:r>
              <w:rPr>
                <w:rFonts w:ascii="arial" w:hAnsi="arial"/>
                <w:sz w:val="16"/>
              </w:rPr>
              <w:t>SDG&amp;E Listens Survey (Voice of the Customer)</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0.75%</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73</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75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77</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83.5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200%</w:t>
            </w:r>
          </w:p>
        </w:tc>
        <w:tc>
          <w:tcPr>
            <w:tcW w:w="88" w:type="dxa"/>
            <w:tcBorders/>
            <w:shd w:fill="auto" w:val="cle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shd w:fill="E5E5E5" w:val="clear"/>
          </w:tcPr>
          <w:p>
            <w:pPr>
              <w:pStyle w:val="TableContents"/>
              <w:spacing w:before="0" w:after="0"/>
              <w:rPr>
                <w:rFonts w:ascii="arial" w:hAnsi="arial"/>
                <w:sz w:val="16"/>
              </w:rPr>
            </w:pPr>
            <w:r>
              <w:rPr>
                <w:rFonts w:ascii="arial" w:hAnsi="arial"/>
                <w:sz w:val="16"/>
              </w:rPr>
              <w:t>Supplier Diversity</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31" w:type="dxa"/>
            <w:tcBorders/>
            <w:shd w:fill="E5E5E5" w:val="clear"/>
            <w:vAlign w:val="bottom"/>
          </w:tcPr>
          <w:p>
            <w:pPr>
              <w:pStyle w:val="TableContents"/>
              <w:spacing w:before="0" w:after="283"/>
              <w:jc w:val="right"/>
              <w:rPr/>
            </w:pPr>
            <w:r>
              <w:rPr/>
              <w:t>0.50%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32%</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35%</w:t>
            </w:r>
          </w:p>
        </w:tc>
        <w:tc>
          <w:tcPr>
            <w:tcW w:w="6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38%</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41.57%</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093" w:type="dxa"/>
            <w:tcBorders/>
            <w:shd w:fill="E5E5E5" w:val="clear"/>
            <w:vAlign w:val="bottom"/>
          </w:tcPr>
          <w:p>
            <w:pPr>
              <w:pStyle w:val="TableContents"/>
              <w:spacing w:before="0" w:after="283"/>
              <w:jc w:val="right"/>
              <w:rPr/>
            </w:pPr>
            <w:r>
              <w:rPr/>
              <w:t>200%</w:t>
            </w:r>
          </w:p>
        </w:tc>
        <w:tc>
          <w:tcPr>
            <w:tcW w:w="88" w:type="dxa"/>
            <w:tcBorders/>
            <w:shd w:fill="E5E5E5" w:val="cle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bottom w:val="single" w:sz="8" w:space="0" w:color="001C71"/>
            </w:tcBorders>
            <w:shd w:fill="auto" w:val="clear"/>
            <w:tcMar>
              <w:bottom w:w="60" w:type="dxa"/>
            </w:tcMar>
          </w:tcPr>
          <w:p>
            <w:pPr>
              <w:pStyle w:val="TableContents"/>
              <w:spacing w:before="0" w:after="0"/>
              <w:rPr>
                <w:rFonts w:ascii="arial" w:hAnsi="arial"/>
                <w:sz w:val="16"/>
              </w:rPr>
            </w:pPr>
            <w:r>
              <w:rPr>
                <w:rFonts w:ascii="arial" w:hAnsi="arial"/>
                <w:sz w:val="16"/>
              </w:rPr>
              <w:t>Envision: Complete User Acceptance Testing</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31" w:type="dxa"/>
            <w:tcBorders>
              <w:bottom w:val="single" w:sz="8" w:space="0" w:color="001C71"/>
            </w:tcBorders>
            <w:shd w:fill="auto" w:val="clear"/>
            <w:tcMar>
              <w:bottom w:w="60" w:type="dxa"/>
            </w:tcMar>
            <w:vAlign w:val="bottom"/>
          </w:tcPr>
          <w:p>
            <w:pPr>
              <w:pStyle w:val="TableContents"/>
              <w:spacing w:before="0" w:after="283"/>
              <w:jc w:val="right"/>
              <w:rPr/>
            </w:pPr>
            <w:r>
              <w:rPr/>
              <w:t>0.25%</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049" w:type="dxa"/>
            <w:tcBorders>
              <w:bottom w:val="single" w:sz="8" w:space="0" w:color="001C71"/>
            </w:tcBorders>
            <w:shd w:fill="auto" w:val="clear"/>
            <w:tcMar>
              <w:bottom w:w="60" w:type="dxa"/>
            </w:tcMar>
            <w:vAlign w:val="bottom"/>
          </w:tcPr>
          <w:p>
            <w:pPr>
              <w:pStyle w:val="TableContents"/>
              <w:spacing w:before="0" w:after="283"/>
              <w:jc w:val="right"/>
              <w:rPr/>
            </w:pPr>
            <w:r>
              <w:rPr/>
              <w:t>Nov. 1</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049" w:type="dxa"/>
            <w:tcBorders>
              <w:bottom w:val="single" w:sz="8" w:space="0" w:color="001C71"/>
            </w:tcBorders>
            <w:shd w:fill="auto" w:val="clear"/>
            <w:tcMar>
              <w:bottom w:w="60" w:type="dxa"/>
            </w:tcMar>
            <w:vAlign w:val="bottom"/>
          </w:tcPr>
          <w:p>
            <w:pPr>
              <w:pStyle w:val="TableContents"/>
              <w:spacing w:before="0" w:after="283"/>
              <w:jc w:val="right"/>
              <w:rPr/>
            </w:pPr>
            <w:r>
              <w:rPr/>
              <w:t>Oct. 15</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049" w:type="dxa"/>
            <w:tcBorders>
              <w:bottom w:val="single" w:sz="8" w:space="0" w:color="001C71"/>
            </w:tcBorders>
            <w:shd w:fill="auto" w:val="clear"/>
            <w:tcMar>
              <w:bottom w:w="60" w:type="dxa"/>
            </w:tcMar>
            <w:vAlign w:val="bottom"/>
          </w:tcPr>
          <w:p>
            <w:pPr>
              <w:pStyle w:val="TableContents"/>
              <w:spacing w:before="0" w:after="283"/>
              <w:jc w:val="right"/>
              <w:rPr/>
            </w:pPr>
            <w:r>
              <w:rPr/>
              <w:t>Sep. 15</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049" w:type="dxa"/>
            <w:tcBorders>
              <w:bottom w:val="single" w:sz="8" w:space="0" w:color="001C71"/>
            </w:tcBorders>
            <w:shd w:fill="auto" w:val="clear"/>
            <w:tcMar>
              <w:bottom w:w="60" w:type="dxa"/>
            </w:tcMar>
            <w:vAlign w:val="bottom"/>
          </w:tcPr>
          <w:p>
            <w:pPr>
              <w:pStyle w:val="TableContents"/>
              <w:spacing w:before="0" w:after="283"/>
              <w:jc w:val="right"/>
              <w:rPr/>
            </w:pPr>
            <w:r>
              <w:rPr/>
              <w:t>Not Met</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173" w:type="dxa"/>
            <w:tcBorders>
              <w:bottom w:val="single" w:sz="8" w:space="0" w:color="001C71"/>
            </w:tcBorders>
            <w:shd w:fill="auto" w:val="clear"/>
            <w:tcMar>
              <w:bottom w:w="60" w:type="dxa"/>
            </w:tcMar>
            <w:vAlign w:val="bottom"/>
          </w:tcPr>
          <w:p>
            <w:pPr>
              <w:pStyle w:val="TableContents"/>
              <w:spacing w:before="0" w:after="283"/>
              <w:rPr/>
            </w:pPr>
            <w:r>
              <w:rPr/>
              <w:t> </w:t>
            </w:r>
          </w:p>
        </w:tc>
        <w:tc>
          <w:tcPr>
            <w:tcW w:w="1093" w:type="dxa"/>
            <w:tcBorders>
              <w:bottom w:val="single" w:sz="8" w:space="0" w:color="001C71"/>
            </w:tcBorders>
            <w:shd w:fill="auto" w:val="clear"/>
            <w:tcMar>
              <w:bottom w:w="60" w:type="dxa"/>
            </w:tcMar>
            <w:vAlign w:val="bottom"/>
          </w:tcPr>
          <w:p>
            <w:pPr>
              <w:pStyle w:val="TableContents"/>
              <w:spacing w:before="0" w:after="283"/>
              <w:jc w:val="right"/>
              <w:rPr/>
            </w:pPr>
            <w:r>
              <w:rPr/>
              <w:t>0%</w:t>
            </w:r>
          </w:p>
        </w:tc>
        <w:tc>
          <w:tcPr>
            <w:tcW w:w="88"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bottom w:val="single" w:sz="8" w:space="0" w:color="001C71"/>
            </w:tcBorders>
            <w:shd w:fill="E5E5E5" w:val="clear"/>
            <w:tcMar>
              <w:bottom w:w="60" w:type="dxa"/>
            </w:tcMar>
          </w:tcPr>
          <w:p>
            <w:pPr>
              <w:pStyle w:val="TableContents"/>
              <w:spacing w:before="0" w:after="0"/>
              <w:rPr>
                <w:rFonts w:ascii="arial" w:hAnsi="arial"/>
                <w:b/>
                <w:sz w:val="16"/>
              </w:rPr>
            </w:pPr>
            <w:r>
              <w:rPr>
                <w:rFonts w:ascii="arial" w:hAnsi="arial"/>
                <w:b/>
                <w:sz w:val="16"/>
              </w:rPr>
              <w:t>SDG&amp;E</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31" w:type="dxa"/>
            <w:tcBorders>
              <w:bottom w:val="single" w:sz="8" w:space="0" w:color="001C71"/>
            </w:tcBorders>
            <w:shd w:fill="E5E5E5" w:val="clear"/>
            <w:tcMar>
              <w:bottom w:w="60" w:type="dxa"/>
            </w:tcMar>
            <w:vAlign w:val="bottom"/>
          </w:tcPr>
          <w:p>
            <w:pPr>
              <w:pStyle w:val="TableContents"/>
              <w:spacing w:before="0" w:after="283"/>
              <w:jc w:val="right"/>
              <w:rPr>
                <w:b/>
              </w:rPr>
            </w:pPr>
            <w:r>
              <w:rPr>
                <w:b/>
              </w:rPr>
              <w:t>1.50%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3"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93" w:type="dxa"/>
            <w:tcBorders>
              <w:bottom w:val="single" w:sz="8" w:space="0" w:color="001C71"/>
            </w:tcBorders>
            <w:shd w:fill="E5E5E5" w:val="clear"/>
            <w:tcMar>
              <w:bottom w:w="60" w:type="dxa"/>
            </w:tcMar>
            <w:vAlign w:val="bottom"/>
          </w:tcPr>
          <w:p>
            <w:pPr>
              <w:pStyle w:val="TableContents"/>
              <w:spacing w:before="0" w:after="283"/>
              <w:jc w:val="right"/>
              <w:rPr>
                <w:b/>
              </w:rPr>
            </w:pPr>
            <w:r>
              <w:rPr>
                <w:b/>
              </w:rPr>
              <w:t>167%</w:t>
            </w:r>
          </w:p>
        </w:tc>
        <w:tc>
          <w:tcPr>
            <w:tcW w:w="88" w:type="dxa"/>
            <w:tcBorders>
              <w:bottom w:val="single" w:sz="8" w:space="0" w:color="001C71"/>
            </w:tcBorders>
            <w:shd w:fill="E5E5E5" w:val="clear"/>
            <w:tcMar>
              <w:bottom w:w="60" w:type="dxa"/>
            </w:tcM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tcPr>
          <w:p>
            <w:pPr>
              <w:pStyle w:val="TableContents"/>
              <w:spacing w:before="0" w:after="0"/>
              <w:rPr>
                <w:rFonts w:ascii="arial" w:hAnsi="arial"/>
                <w:b/>
                <w:sz w:val="16"/>
              </w:rPr>
            </w:pPr>
            <w:r>
              <w:rPr>
                <w:rFonts w:ascii="arial" w:hAnsi="arial"/>
                <w:b/>
                <w:sz w:val="16"/>
              </w:rPr>
              <w:t>SoCalGas</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3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sz w:val="4"/>
                <w:szCs w:val="4"/>
              </w:rPr>
            </w:pPr>
            <w:r>
              <w:rPr>
                <w:sz w:val="4"/>
                <w:szCs w:val="4"/>
              </w:rPr>
            </w:r>
          </w:p>
        </w:tc>
        <w:tc>
          <w:tcPr>
            <w:tcW w:w="1093"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shd w:fill="E5E5E5" w:val="clear"/>
          </w:tcPr>
          <w:p>
            <w:pPr>
              <w:pStyle w:val="TableContents"/>
              <w:spacing w:before="0" w:after="0"/>
              <w:rPr>
                <w:rFonts w:ascii="arial" w:hAnsi="arial"/>
                <w:sz w:val="16"/>
              </w:rPr>
            </w:pPr>
            <w:r>
              <w:rPr>
                <w:rFonts w:ascii="arial" w:hAnsi="arial"/>
                <w:sz w:val="16"/>
              </w:rPr>
              <w:t>Customer Service  Customer Insight Study (Public Opinion)</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31" w:type="dxa"/>
            <w:tcBorders/>
            <w:shd w:fill="E5E5E5" w:val="clear"/>
            <w:vAlign w:val="bottom"/>
          </w:tcPr>
          <w:p>
            <w:pPr>
              <w:pStyle w:val="TableContents"/>
              <w:spacing w:before="0" w:after="283"/>
              <w:jc w:val="right"/>
              <w:rPr/>
            </w:pPr>
            <w:r>
              <w:rPr/>
              <w:t>0.50%</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78.9%</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81.0%</w:t>
            </w:r>
          </w:p>
        </w:tc>
        <w:tc>
          <w:tcPr>
            <w:tcW w:w="60" w:type="dxa"/>
            <w:tcBorders/>
            <w:shd w:fill="E5E5E5" w:val="clear"/>
            <w:vAlign w:val="bottom"/>
          </w:tcPr>
          <w:p>
            <w:pPr>
              <w:pStyle w:val="TableContents"/>
              <w:spacing w:before="0" w:after="283"/>
              <w:rPr/>
            </w:pPr>
            <w:r>
              <w:rPr/>
              <w:t> </w:t>
            </w:r>
          </w:p>
        </w:tc>
        <w:tc>
          <w:tcPr>
            <w:tcW w:w="12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83.1%</w:t>
            </w:r>
          </w:p>
        </w:tc>
        <w:tc>
          <w:tcPr>
            <w:tcW w:w="60" w:type="dxa"/>
            <w:tcBorders/>
            <w:shd w:fill="E5E5E5" w:val="clear"/>
            <w:vAlign w:val="bottom"/>
          </w:tcPr>
          <w:p>
            <w:pPr>
              <w:pStyle w:val="TableContents"/>
              <w:spacing w:before="0" w:after="283"/>
              <w:rPr/>
            </w:pPr>
            <w:r>
              <w:rPr/>
              <w:t> </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049" w:type="dxa"/>
            <w:tcBorders/>
            <w:shd w:fill="E5E5E5" w:val="clear"/>
            <w:vAlign w:val="bottom"/>
          </w:tcPr>
          <w:p>
            <w:pPr>
              <w:pStyle w:val="TableContents"/>
              <w:spacing w:before="0" w:after="283"/>
              <w:jc w:val="right"/>
              <w:rPr/>
            </w:pPr>
            <w:r>
              <w:rPr/>
              <w:t>84.1%</w:t>
            </w:r>
          </w:p>
        </w:tc>
        <w:tc>
          <w:tcPr>
            <w:tcW w:w="60" w:type="dxa"/>
            <w:tcBorders/>
            <w:shd w:fill="E5E5E5" w:val="clear"/>
            <w:vAlign w:val="bottom"/>
          </w:tcPr>
          <w:p>
            <w:pPr>
              <w:pStyle w:val="TableContents"/>
              <w:spacing w:before="0" w:after="283"/>
              <w:rPr/>
            </w:pPr>
            <w:r>
              <w:rPr/>
              <w:t> </w:t>
            </w:r>
          </w:p>
        </w:tc>
        <w:tc>
          <w:tcPr>
            <w:tcW w:w="12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093" w:type="dxa"/>
            <w:tcBorders/>
            <w:shd w:fill="E5E5E5" w:val="clear"/>
            <w:vAlign w:val="bottom"/>
          </w:tcPr>
          <w:p>
            <w:pPr>
              <w:pStyle w:val="TableContents"/>
              <w:spacing w:before="0" w:after="283"/>
              <w:jc w:val="right"/>
              <w:rPr/>
            </w:pPr>
            <w:r>
              <w:rPr/>
              <w:t>200%</w:t>
            </w:r>
          </w:p>
        </w:tc>
        <w:tc>
          <w:tcPr>
            <w:tcW w:w="88" w:type="dxa"/>
            <w:tcBorders/>
            <w:shd w:fill="E5E5E5" w:val="cle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tcPr>
          <w:p>
            <w:pPr>
              <w:pStyle w:val="TableContents"/>
              <w:spacing w:before="0" w:after="0"/>
              <w:rPr>
                <w:rFonts w:ascii="arial" w:hAnsi="arial"/>
                <w:sz w:val="16"/>
              </w:rPr>
            </w:pPr>
            <w:r>
              <w:rPr>
                <w:rFonts w:ascii="arial" w:hAnsi="arial"/>
                <w:sz w:val="16"/>
              </w:rPr>
              <w:t>Customer Service  Customer Self-Service Transactions</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0.50%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61.0%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62.0%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63.0%</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65.4%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200%</w:t>
            </w:r>
          </w:p>
        </w:tc>
        <w:tc>
          <w:tcPr>
            <w:tcW w:w="88" w:type="dxa"/>
            <w:tcBorders/>
            <w:shd w:fill="auto" w:val="cle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bottom w:val="single" w:sz="8" w:space="0" w:color="001C71"/>
            </w:tcBorders>
            <w:shd w:fill="E5E5E5" w:val="clear"/>
            <w:tcMar>
              <w:bottom w:w="60" w:type="dxa"/>
            </w:tcMar>
          </w:tcPr>
          <w:p>
            <w:pPr>
              <w:pStyle w:val="TableContents"/>
              <w:spacing w:before="0" w:after="0"/>
              <w:rPr>
                <w:rFonts w:ascii="arial" w:hAnsi="arial"/>
                <w:sz w:val="16"/>
              </w:rPr>
            </w:pPr>
            <w:r>
              <w:rPr>
                <w:rFonts w:ascii="arial" w:hAnsi="arial"/>
                <w:sz w:val="16"/>
              </w:rPr>
              <w:t>Customer Service  Supplier Diversity</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31" w:type="dxa"/>
            <w:tcBorders>
              <w:bottom w:val="single" w:sz="8" w:space="0" w:color="001C71"/>
            </w:tcBorders>
            <w:shd w:fill="E5E5E5" w:val="clear"/>
            <w:tcMar>
              <w:bottom w:w="60" w:type="dxa"/>
            </w:tcMar>
            <w:vAlign w:val="bottom"/>
          </w:tcPr>
          <w:p>
            <w:pPr>
              <w:pStyle w:val="TableContents"/>
              <w:spacing w:before="0" w:after="283"/>
              <w:jc w:val="right"/>
              <w:rPr/>
            </w:pPr>
            <w:r>
              <w:rPr/>
              <w:t>0.50%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60" w:type="dxa"/>
            </w:tcMar>
            <w:vAlign w:val="bottom"/>
          </w:tcPr>
          <w:p>
            <w:pPr>
              <w:pStyle w:val="TableContents"/>
              <w:spacing w:before="0" w:after="283"/>
              <w:jc w:val="right"/>
              <w:rPr/>
            </w:pPr>
            <w:r>
              <w:rPr/>
              <w:t>32%</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60" w:type="dxa"/>
            </w:tcMar>
            <w:vAlign w:val="bottom"/>
          </w:tcPr>
          <w:p>
            <w:pPr>
              <w:pStyle w:val="TableContents"/>
              <w:spacing w:before="0" w:after="283"/>
              <w:jc w:val="right"/>
              <w:rPr/>
            </w:pPr>
            <w:r>
              <w:rPr/>
              <w:t>35%</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60" w:type="dxa"/>
            </w:tcMar>
            <w:vAlign w:val="bottom"/>
          </w:tcPr>
          <w:p>
            <w:pPr>
              <w:pStyle w:val="TableContents"/>
              <w:spacing w:before="0" w:after="283"/>
              <w:jc w:val="right"/>
              <w:rPr/>
            </w:pPr>
            <w:r>
              <w:rPr/>
              <w:t>38%</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60" w:type="dxa"/>
            </w:tcMar>
            <w:vAlign w:val="bottom"/>
          </w:tcPr>
          <w:p>
            <w:pPr>
              <w:pStyle w:val="TableContents"/>
              <w:spacing w:before="0" w:after="283"/>
              <w:jc w:val="right"/>
              <w:rPr/>
            </w:pPr>
            <w:r>
              <w:rPr/>
              <w:t>41%</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3"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93" w:type="dxa"/>
            <w:tcBorders>
              <w:bottom w:val="single" w:sz="8" w:space="0" w:color="001C71"/>
            </w:tcBorders>
            <w:shd w:fill="E5E5E5" w:val="clear"/>
            <w:tcMar>
              <w:bottom w:w="60" w:type="dxa"/>
            </w:tcMar>
            <w:vAlign w:val="bottom"/>
          </w:tcPr>
          <w:p>
            <w:pPr>
              <w:pStyle w:val="TableContents"/>
              <w:spacing w:before="0" w:after="283"/>
              <w:jc w:val="right"/>
              <w:rPr/>
            </w:pPr>
            <w:r>
              <w:rPr/>
              <w:t>200%</w:t>
            </w:r>
          </w:p>
        </w:tc>
        <w:tc>
          <w:tcPr>
            <w:tcW w:w="88" w:type="dxa"/>
            <w:tcBorders>
              <w:bottom w:val="single" w:sz="8" w:space="0" w:color="001C71"/>
            </w:tcBorders>
            <w:shd w:fill="E5E5E5" w:val="clear"/>
            <w:tcMar>
              <w:bottom w:w="60" w:type="dxa"/>
            </w:tcM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bottom w:val="single" w:sz="8" w:space="0" w:color="001C71"/>
            </w:tcBorders>
            <w:shd w:fill="auto" w:val="clear"/>
            <w:tcMar>
              <w:bottom w:w="60" w:type="dxa"/>
            </w:tcMar>
          </w:tcPr>
          <w:p>
            <w:pPr>
              <w:pStyle w:val="TableContents"/>
              <w:spacing w:before="0" w:after="0"/>
              <w:rPr>
                <w:rFonts w:ascii="arial" w:hAnsi="arial"/>
                <w:b/>
                <w:sz w:val="16"/>
              </w:rPr>
            </w:pPr>
            <w:r>
              <w:rPr>
                <w:rFonts w:ascii="arial" w:hAnsi="arial"/>
                <w:b/>
                <w:sz w:val="16"/>
              </w:rPr>
              <w:t>SoCalGas</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31" w:type="dxa"/>
            <w:tcBorders>
              <w:bottom w:val="single" w:sz="8" w:space="0" w:color="001C71"/>
            </w:tcBorders>
            <w:shd w:fill="auto" w:val="clear"/>
            <w:tcMar>
              <w:bottom w:w="60" w:type="dxa"/>
            </w:tcMar>
            <w:vAlign w:val="bottom"/>
          </w:tcPr>
          <w:p>
            <w:pPr>
              <w:pStyle w:val="TableContents"/>
              <w:spacing w:before="0" w:after="283"/>
              <w:jc w:val="right"/>
              <w:rPr>
                <w:b/>
              </w:rPr>
            </w:pPr>
            <w:r>
              <w:rPr>
                <w:b/>
              </w:rPr>
              <w:t>1.50%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173" w:type="dxa"/>
            <w:tcBorders>
              <w:bottom w:val="single" w:sz="8" w:space="0" w:color="001C71"/>
            </w:tcBorders>
            <w:shd w:fill="auto" w:val="clear"/>
            <w:tcMar>
              <w:bottom w:w="60" w:type="dxa"/>
            </w:tcMar>
            <w:vAlign w:val="bottom"/>
          </w:tcPr>
          <w:p>
            <w:pPr>
              <w:pStyle w:val="TableContents"/>
              <w:spacing w:before="0" w:after="283"/>
              <w:rPr/>
            </w:pPr>
            <w:r>
              <w:rPr/>
              <w:t> </w:t>
            </w:r>
          </w:p>
        </w:tc>
        <w:tc>
          <w:tcPr>
            <w:tcW w:w="1093" w:type="dxa"/>
            <w:tcBorders>
              <w:bottom w:val="single" w:sz="8" w:space="0" w:color="001C71"/>
            </w:tcBorders>
            <w:shd w:fill="auto" w:val="clear"/>
            <w:tcMar>
              <w:bottom w:w="60" w:type="dxa"/>
            </w:tcMar>
            <w:vAlign w:val="bottom"/>
          </w:tcPr>
          <w:p>
            <w:pPr>
              <w:pStyle w:val="TableContents"/>
              <w:spacing w:before="0" w:after="283"/>
              <w:jc w:val="right"/>
              <w:rPr>
                <w:b/>
              </w:rPr>
            </w:pPr>
            <w:r>
              <w:rPr>
                <w:b/>
              </w:rPr>
              <w:t>200%</w:t>
            </w:r>
          </w:p>
        </w:tc>
        <w:tc>
          <w:tcPr>
            <w:tcW w:w="88" w:type="dxa"/>
            <w:tcBorders>
              <w:bottom w:val="single" w:sz="8" w:space="0" w:color="001C71"/>
            </w:tcBorders>
            <w:shd w:fill="auto" w:val="clear"/>
            <w:tcMar>
              <w:bottom w:w="60" w:type="dxa"/>
            </w:tcMar>
            <w:vAlign w:val="bottom"/>
          </w:tcPr>
          <w:p>
            <w:pPr>
              <w:pStyle w:val="TableContents"/>
              <w:spacing w:before="0" w:after="283"/>
              <w:rPr/>
            </w:pPr>
            <w:r>
              <w:rPr/>
              <w:t> </w:t>
            </w:r>
          </w:p>
        </w:tc>
      </w:tr>
      <w:tr>
        <w:trPr>
          <w:trHeight w:val="60" w:hRule="atLeast"/>
        </w:trPr>
        <w:tc>
          <w:tcPr>
            <w:tcW w:w="2555" w:type="dxa"/>
            <w:tcBorders/>
            <w:shd w:fill="E5E5E5" w:val="clear"/>
            <w:vAlign w:val="center"/>
          </w:tcPr>
          <w:p>
            <w:pPr>
              <w:pStyle w:val="TableContents"/>
              <w:spacing w:before="0" w:after="283"/>
              <w:rPr>
                <w:sz w:val="4"/>
                <w:szCs w:val="4"/>
              </w:rPr>
            </w:pPr>
            <w:r>
              <w:rPr>
                <w:sz w:val="4"/>
                <w:szCs w:val="4"/>
              </w:rPr>
            </w:r>
          </w:p>
        </w:tc>
        <w:tc>
          <w:tcPr>
            <w:tcW w:w="981"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298" w:type="dxa"/>
            <w:gridSpan w:val="4"/>
            <w:tcBorders/>
            <w:shd w:fill="E5E5E5" w:val="clear"/>
            <w:vAlign w:val="center"/>
          </w:tcPr>
          <w:p>
            <w:pPr>
              <w:pStyle w:val="TableContents"/>
              <w:spacing w:before="0" w:after="283"/>
              <w:rPr>
                <w:sz w:val="4"/>
                <w:szCs w:val="4"/>
              </w:rPr>
            </w:pPr>
            <w:r>
              <w:rPr>
                <w:sz w:val="4"/>
                <w:szCs w:val="4"/>
              </w:rPr>
            </w:r>
          </w:p>
        </w:tc>
        <w:tc>
          <w:tcPr>
            <w:tcW w:w="1299" w:type="dxa"/>
            <w:gridSpan w:val="4"/>
            <w:tcBorders/>
            <w:shd w:fill="E5E5E5" w:val="clear"/>
            <w:vAlign w:val="center"/>
          </w:tcPr>
          <w:p>
            <w:pPr>
              <w:pStyle w:val="TableContents"/>
              <w:spacing w:before="0" w:after="283"/>
              <w:rPr>
                <w:sz w:val="4"/>
                <w:szCs w:val="4"/>
              </w:rPr>
            </w:pPr>
            <w:r>
              <w:rPr>
                <w:sz w:val="4"/>
                <w:szCs w:val="4"/>
              </w:rPr>
            </w:r>
          </w:p>
        </w:tc>
        <w:tc>
          <w:tcPr>
            <w:tcW w:w="1474" w:type="dxa"/>
            <w:gridSpan w:val="4"/>
            <w:tcBorders/>
            <w:shd w:fill="E5E5E5" w:val="clear"/>
            <w:vAlign w:val="center"/>
          </w:tcPr>
          <w:p>
            <w:pPr>
              <w:pStyle w:val="TableContents"/>
              <w:spacing w:before="0" w:after="283"/>
              <w:rPr>
                <w:sz w:val="4"/>
                <w:szCs w:val="4"/>
              </w:rPr>
            </w:pPr>
            <w:r>
              <w:rPr>
                <w:sz w:val="4"/>
                <w:szCs w:val="4"/>
              </w:rPr>
            </w:r>
          </w:p>
        </w:tc>
      </w:tr>
      <w:tr>
        <w:trPr/>
        <w:tc>
          <w:tcPr>
            <w:tcW w:w="2555" w:type="dxa"/>
            <w:tcBorders>
              <w:bottom w:val="single" w:sz="8" w:space="0" w:color="001C71"/>
            </w:tcBorders>
            <w:shd w:fill="E5E5E5" w:val="clear"/>
            <w:tcMar>
              <w:bottom w:w="60" w:type="dxa"/>
            </w:tcMar>
          </w:tcPr>
          <w:p>
            <w:pPr>
              <w:pStyle w:val="TableContents"/>
              <w:spacing w:before="0" w:after="0"/>
              <w:rPr>
                <w:rFonts w:ascii="arial" w:hAnsi="arial"/>
                <w:b/>
                <w:sz w:val="16"/>
              </w:rPr>
            </w:pPr>
            <w:r>
              <w:rPr>
                <w:rFonts w:ascii="arial" w:hAnsi="arial"/>
                <w:b/>
                <w:sz w:val="16"/>
              </w:rPr>
              <w:t>Subtotal: Customer Service &amp; Other Stakeholders</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731" w:type="dxa"/>
            <w:tcBorders>
              <w:bottom w:val="single" w:sz="8" w:space="0" w:color="001C71"/>
            </w:tcBorders>
            <w:shd w:fill="E5E5E5" w:val="clear"/>
            <w:tcMar>
              <w:bottom w:w="60" w:type="dxa"/>
            </w:tcMar>
            <w:vAlign w:val="bottom"/>
          </w:tcPr>
          <w:p>
            <w:pPr>
              <w:pStyle w:val="TableContents"/>
              <w:spacing w:before="0" w:after="283"/>
              <w:jc w:val="right"/>
              <w:rPr>
                <w:b/>
              </w:rPr>
            </w:pPr>
            <w:r>
              <w:rPr>
                <w:b/>
              </w:rPr>
              <w:t>3.00%</w:t>
            </w:r>
          </w:p>
        </w:tc>
        <w:tc>
          <w:tcPr>
            <w:tcW w:w="60" w:type="dxa"/>
            <w:tcBorders>
              <w:bottom w:val="single" w:sz="8" w:space="0" w:color="001C71"/>
            </w:tcBorders>
            <w:shd w:fill="E5E5E5" w:val="clear"/>
            <w:tcMar>
              <w:bottom w:w="60"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30"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049" w:type="dxa"/>
            <w:tcBorders>
              <w:bottom w:val="single" w:sz="8" w:space="0" w:color="001C71"/>
            </w:tcBorders>
            <w:shd w:fill="E5E5E5" w:val="clear"/>
            <w:tcMar>
              <w:bottom w:w="28" w:type="dxa"/>
            </w:tcMar>
            <w:vAlign w:val="bottom"/>
          </w:tcPr>
          <w:p>
            <w:pPr>
              <w:pStyle w:val="TableContents"/>
              <w:spacing w:before="0" w:after="283"/>
              <w:rPr/>
            </w:pPr>
            <w:r>
              <w:rPr/>
              <w:t> </w:t>
            </w:r>
          </w:p>
        </w:tc>
        <w:tc>
          <w:tcPr>
            <w:tcW w:w="6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20" w:type="dxa"/>
            <w:tcBorders>
              <w:bottom w:val="single" w:sz="8" w:space="0" w:color="001C71"/>
            </w:tcBorders>
            <w:shd w:fill="E5E5E5" w:val="clear"/>
            <w:tcMar>
              <w:bottom w:w="28" w:type="dxa"/>
            </w:tcMar>
            <w:vAlign w:val="bottom"/>
          </w:tcPr>
          <w:p>
            <w:pPr>
              <w:pStyle w:val="TableContents"/>
              <w:spacing w:before="0" w:after="283"/>
              <w:rPr/>
            </w:pPr>
            <w:r>
              <w:rPr/>
              <w:t>  </w:t>
            </w:r>
          </w:p>
        </w:tc>
        <w:tc>
          <w:tcPr>
            <w:tcW w:w="173" w:type="dxa"/>
            <w:tcBorders>
              <w:bottom w:val="single" w:sz="8" w:space="0" w:color="001C71"/>
            </w:tcBorders>
            <w:shd w:fill="E5E5E5" w:val="clear"/>
            <w:tcMar>
              <w:bottom w:w="60" w:type="dxa"/>
            </w:tcMar>
            <w:vAlign w:val="bottom"/>
          </w:tcPr>
          <w:p>
            <w:pPr>
              <w:pStyle w:val="TableContents"/>
              <w:spacing w:before="0" w:after="283"/>
              <w:rPr/>
            </w:pPr>
            <w:r>
              <w:rPr/>
              <w:t> </w:t>
            </w:r>
          </w:p>
        </w:tc>
        <w:tc>
          <w:tcPr>
            <w:tcW w:w="1093" w:type="dxa"/>
            <w:tcBorders>
              <w:bottom w:val="single" w:sz="8" w:space="0" w:color="001C71"/>
            </w:tcBorders>
            <w:shd w:fill="E5E5E5" w:val="clear"/>
            <w:tcMar>
              <w:bottom w:w="60" w:type="dxa"/>
            </w:tcMar>
            <w:vAlign w:val="bottom"/>
          </w:tcPr>
          <w:p>
            <w:pPr>
              <w:pStyle w:val="TableContents"/>
              <w:spacing w:before="0" w:after="283"/>
              <w:jc w:val="right"/>
              <w:rPr>
                <w:b/>
              </w:rPr>
            </w:pPr>
            <w:r>
              <w:rPr>
                <w:b/>
              </w:rPr>
              <w:t>183%</w:t>
            </w:r>
          </w:p>
        </w:tc>
        <w:tc>
          <w:tcPr>
            <w:tcW w:w="88" w:type="dxa"/>
            <w:tcBorders>
              <w:bottom w:val="single" w:sz="8" w:space="0" w:color="001C71"/>
            </w:tcBorders>
            <w:shd w:fill="E5E5E5" w:val="clear"/>
            <w:tcMar>
              <w:bottom w:w="60" w:type="dxa"/>
            </w:tcMar>
            <w:vAlign w:val="bottom"/>
          </w:tcPr>
          <w:p>
            <w:pPr>
              <w:pStyle w:val="TableContents"/>
              <w:spacing w:before="0" w:after="283"/>
              <w:rPr/>
            </w:pPr>
            <w:r>
              <w:rPr/>
              <w:t> </w:t>
            </w:r>
          </w:p>
        </w:tc>
      </w:tr>
      <w:tr>
        <w:trPr>
          <w:trHeight w:val="60" w:hRule="atLeast"/>
        </w:trPr>
        <w:tc>
          <w:tcPr>
            <w:tcW w:w="2555" w:type="dxa"/>
            <w:tcBorders/>
            <w:shd w:fill="auto" w:val="clear"/>
            <w:vAlign w:val="center"/>
          </w:tcPr>
          <w:p>
            <w:pPr>
              <w:pStyle w:val="TableContents"/>
              <w:spacing w:before="0" w:after="283"/>
              <w:rPr>
                <w:sz w:val="4"/>
                <w:szCs w:val="4"/>
              </w:rPr>
            </w:pPr>
            <w:r>
              <w:rPr>
                <w:sz w:val="4"/>
                <w:szCs w:val="4"/>
              </w:rPr>
            </w:r>
          </w:p>
        </w:tc>
        <w:tc>
          <w:tcPr>
            <w:tcW w:w="981"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2555" w:type="dxa"/>
            <w:tcBorders>
              <w:bottom w:val="single" w:sz="8" w:space="0" w:color="001C71"/>
            </w:tcBorders>
            <w:shd w:fill="auto" w:val="clear"/>
            <w:tcMar>
              <w:bottom w:w="60" w:type="dxa"/>
            </w:tcMar>
          </w:tcPr>
          <w:p>
            <w:pPr>
              <w:pStyle w:val="TableContents"/>
              <w:spacing w:before="0" w:after="0"/>
              <w:rPr>
                <w:rFonts w:ascii="arial" w:hAnsi="arial"/>
                <w:b/>
                <w:sz w:val="16"/>
              </w:rPr>
            </w:pPr>
            <w:r>
              <w:rPr>
                <w:rFonts w:ascii="arial" w:hAnsi="arial"/>
                <w:b/>
                <w:sz w:val="16"/>
              </w:rPr>
              <w:t>Total</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731" w:type="dxa"/>
            <w:tcBorders>
              <w:bottom w:val="single" w:sz="8" w:space="0" w:color="001C71"/>
            </w:tcBorders>
            <w:shd w:fill="auto" w:val="clear"/>
            <w:tcMar>
              <w:bottom w:w="60" w:type="dxa"/>
            </w:tcMar>
            <w:vAlign w:val="bottom"/>
          </w:tcPr>
          <w:p>
            <w:pPr>
              <w:pStyle w:val="TableContents"/>
              <w:spacing w:before="0" w:after="283"/>
              <w:jc w:val="right"/>
              <w:rPr>
                <w:b/>
              </w:rPr>
            </w:pPr>
            <w:r>
              <w:rPr>
                <w:b/>
              </w:rPr>
              <w:t>100.00%</w:t>
            </w:r>
          </w:p>
        </w:tc>
        <w:tc>
          <w:tcPr>
            <w:tcW w:w="60" w:type="dxa"/>
            <w:tcBorders>
              <w:bottom w:val="single" w:sz="8" w:space="0" w:color="001C71"/>
            </w:tcBorders>
            <w:shd w:fill="auto" w:val="clear"/>
            <w:tcMar>
              <w:bottom w:w="60"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30"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049" w:type="dxa"/>
            <w:tcBorders>
              <w:bottom w:val="single" w:sz="8" w:space="0" w:color="001C71"/>
            </w:tcBorders>
            <w:shd w:fill="auto" w:val="clear"/>
            <w:tcMar>
              <w:bottom w:w="28" w:type="dxa"/>
            </w:tcMar>
            <w:vAlign w:val="bottom"/>
          </w:tcPr>
          <w:p>
            <w:pPr>
              <w:pStyle w:val="TableContents"/>
              <w:spacing w:before="0" w:after="283"/>
              <w:rPr/>
            </w:pPr>
            <w:r>
              <w:rPr/>
              <w:t> </w:t>
            </w:r>
          </w:p>
        </w:tc>
        <w:tc>
          <w:tcPr>
            <w:tcW w:w="60" w:type="dxa"/>
            <w:tcBorders>
              <w:bottom w:val="single" w:sz="8" w:space="0" w:color="001C71"/>
            </w:tcBorders>
            <w:shd w:fill="auto" w:val="clear"/>
            <w:tcMar>
              <w:bottom w:w="28" w:type="dxa"/>
            </w:tcMar>
            <w:vAlign w:val="bottom"/>
          </w:tcPr>
          <w:p>
            <w:pPr>
              <w:pStyle w:val="TableContents"/>
              <w:spacing w:before="0" w:after="283"/>
              <w:rPr/>
            </w:pPr>
            <w:r>
              <w:rPr/>
              <w:t> </w:t>
            </w:r>
          </w:p>
        </w:tc>
        <w:tc>
          <w:tcPr>
            <w:tcW w:w="120" w:type="dxa"/>
            <w:tcBorders>
              <w:bottom w:val="single" w:sz="8" w:space="0" w:color="001C71"/>
            </w:tcBorders>
            <w:shd w:fill="auto" w:val="clear"/>
            <w:tcMar>
              <w:bottom w:w="28" w:type="dxa"/>
            </w:tcMar>
            <w:vAlign w:val="bottom"/>
          </w:tcPr>
          <w:p>
            <w:pPr>
              <w:pStyle w:val="TableContents"/>
              <w:spacing w:before="0" w:after="283"/>
              <w:rPr/>
            </w:pPr>
            <w:r>
              <w:rPr/>
              <w:t>  </w:t>
            </w:r>
          </w:p>
        </w:tc>
        <w:tc>
          <w:tcPr>
            <w:tcW w:w="173" w:type="dxa"/>
            <w:tcBorders>
              <w:bottom w:val="single" w:sz="8" w:space="0" w:color="001C71"/>
            </w:tcBorders>
            <w:shd w:fill="auto" w:val="clear"/>
            <w:tcMar>
              <w:bottom w:w="60" w:type="dxa"/>
            </w:tcMar>
            <w:vAlign w:val="bottom"/>
          </w:tcPr>
          <w:p>
            <w:pPr>
              <w:pStyle w:val="TableContents"/>
              <w:spacing w:before="0" w:after="283"/>
              <w:rPr/>
            </w:pPr>
            <w:r>
              <w:rPr/>
              <w:t> </w:t>
            </w:r>
          </w:p>
        </w:tc>
        <w:tc>
          <w:tcPr>
            <w:tcW w:w="1093" w:type="dxa"/>
            <w:tcBorders>
              <w:bottom w:val="single" w:sz="8" w:space="0" w:color="001C71"/>
            </w:tcBorders>
            <w:shd w:fill="auto" w:val="clear"/>
            <w:tcMar>
              <w:bottom w:w="60" w:type="dxa"/>
            </w:tcMar>
            <w:vAlign w:val="bottom"/>
          </w:tcPr>
          <w:p>
            <w:pPr>
              <w:pStyle w:val="TableContents"/>
              <w:spacing w:before="0" w:after="283"/>
              <w:jc w:val="right"/>
              <w:rPr>
                <w:b/>
              </w:rPr>
            </w:pPr>
            <w:r>
              <w:rPr>
                <w:b/>
              </w:rPr>
              <w:t>198%</w:t>
            </w:r>
          </w:p>
        </w:tc>
        <w:tc>
          <w:tcPr>
            <w:tcW w:w="88" w:type="dxa"/>
            <w:tcBorders>
              <w:bottom w:val="single" w:sz="8" w:space="0" w:color="001C71"/>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i/>
              </w:rPr>
            </w:pPr>
            <w:r>
              <w:rPr>
                <w:i/>
              </w:rPr>
              <w:t>(1)</w:t>
            </w:r>
          </w:p>
        </w:tc>
        <w:tc>
          <w:tcPr>
            <w:tcW w:w="9901" w:type="dxa"/>
            <w:tcBorders/>
            <w:shd w:fill="auto" w:val="clear"/>
          </w:tcPr>
          <w:p>
            <w:pPr>
              <w:pStyle w:val="TableContents"/>
              <w:spacing w:before="0" w:after="0"/>
              <w:jc w:val="left"/>
              <w:rPr>
                <w:rFonts w:ascii="arial" w:hAnsi="arial"/>
                <w:i/>
                <w:sz w:val="14"/>
              </w:rPr>
            </w:pPr>
            <w:r>
              <w:rPr>
                <w:rFonts w:ascii="arial" w:hAnsi="arial"/>
                <w:i/>
                <w:sz w:val="14"/>
              </w:rPr>
              <w:t xml:space="preserve">At threshold performance, there is no payout. The scale for total payout and for all performance measures ranges from 0% for threshold performance to 200% for maximum performance, with target performance paying out at 100%.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w:t>
            </w:r>
          </w:p>
        </w:tc>
        <w:tc>
          <w:tcPr>
            <w:tcW w:w="9900" w:type="dxa"/>
            <w:tcBorders/>
            <w:shd w:fill="auto" w:val="clear"/>
          </w:tcPr>
          <w:p>
            <w:pPr>
              <w:pStyle w:val="TableContents"/>
              <w:spacing w:before="0" w:after="0"/>
              <w:jc w:val="left"/>
              <w:rPr>
                <w:rFonts w:ascii="arial" w:hAnsi="arial"/>
                <w:i/>
                <w:sz w:val="14"/>
              </w:rPr>
            </w:pPr>
            <w:r>
              <w:rPr>
                <w:rFonts w:ascii="arial" w:hAnsi="arial"/>
                <w:i/>
                <w:sz w:val="14"/>
              </w:rPr>
              <w:t xml:space="preserve">The Oncor goal provides for a threshold based on industry average performance (0.74), a 150% payout for industry top quartile performance (0.32) and a maximum payout for zero incidents. Actual result was 0.20, resulting in a payout of 169%.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82"/>
        <w:gridCol w:w="115"/>
        <w:gridCol w:w="408"/>
      </w:tblGrid>
      <w:tr>
        <w:trPr/>
        <w:tc>
          <w:tcPr>
            <w:tcW w:w="96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r>
      <w:tr>
        <w:trPr/>
        <w:tc>
          <w:tcPr>
            <w:tcW w:w="9682" w:type="dxa"/>
            <w:tcBorders/>
            <w:shd w:fill="auto" w:val="clear"/>
          </w:tcPr>
          <w:p>
            <w:pPr>
              <w:pStyle w:val="TableContents"/>
              <w:spacing w:before="0" w:after="283"/>
              <w:jc w:val="right"/>
              <w:rPr>
                <w:color w:val="3F3F3F"/>
              </w:rPr>
            </w:pPr>
            <w:r>
              <w:rPr>
                <w:b/>
                <w:color w:val="3F3F3F"/>
              </w:rPr>
              <w:t>Sempra Energy</w:t>
            </w:r>
            <w:r>
              <w:rPr>
                <w:color w:val="3F3F3F"/>
              </w:rPr>
              <w:t xml:space="preserve"> 2021 Proxy Statement</w:t>
            </w:r>
          </w:p>
        </w:tc>
        <w:tc>
          <w:tcPr>
            <w:tcW w:w="115"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right"/>
              <w:rPr/>
            </w:pPr>
            <w:r>
              <w:rPr/>
              <w:t>107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1438275" cy="352425"/>
            <wp:effectExtent l="0" t="0" r="0" b="0"/>
            <wp:docPr id="10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4" descr=""/>
                    <pic:cNvPicPr>
                      <a:picLocks noChangeAspect="1" noChangeArrowheads="1"/>
                    </pic:cNvPicPr>
                  </pic:nvPicPr>
                  <pic:blipFill>
                    <a:blip r:embed="rId85"/>
                    <a:stretch>
                      <a:fillRect/>
                    </a:stretch>
                  </pic:blipFill>
                  <pic:spPr bwMode="auto">
                    <a:xfrm>
                      <a:off x="0" y="0"/>
                      <a:ext cx="1438275" cy="352425"/>
                    </a:xfrm>
                    <a:prstGeom prst="rect">
                      <a:avLst/>
                    </a:prstGeom>
                  </pic:spPr>
                </pic:pic>
              </a:graphicData>
            </a:graphic>
          </wp:inline>
        </w:drawing>
      </w:r>
      <w:r>
        <w:rPr/>
        <w:t xml:space="preserve"> </w:t>
      </w:r>
    </w:p>
    <w:p>
      <w:pPr>
        <w:pStyle w:val="TextBody"/>
        <w:spacing w:before="120" w:after="0"/>
        <w:jc w:val="left"/>
        <w:rPr>
          <w:rFonts w:ascii="arial" w:hAnsi="arial"/>
          <w:sz w:val="20"/>
        </w:rPr>
      </w:pPr>
      <w:r>
        <w:rPr>
          <w:rFonts w:ascii="arial" w:hAnsi="arial"/>
          <w:sz w:val="20"/>
        </w:rPr>
        <w:t xml:space="preserve">488 8th Ave. </w:t>
      </w:r>
    </w:p>
    <w:p>
      <w:pPr>
        <w:pStyle w:val="TextBody"/>
        <w:spacing w:before="0" w:after="0"/>
        <w:jc w:val="left"/>
        <w:rPr>
          <w:rFonts w:ascii="arial" w:hAnsi="arial"/>
          <w:sz w:val="20"/>
        </w:rPr>
      </w:pPr>
      <w:r>
        <w:rPr>
          <w:rFonts w:ascii="arial" w:hAnsi="arial"/>
          <w:sz w:val="20"/>
        </w:rPr>
        <w:t xml:space="preserve">San Diego, CA 92101 </w:t>
      </w:r>
    </w:p>
    <w:p>
      <w:pPr>
        <w:pStyle w:val="TextBody"/>
        <w:spacing w:before="0" w:after="0"/>
        <w:jc w:val="left"/>
        <w:rPr>
          <w:rFonts w:ascii="arial" w:hAnsi="arial"/>
          <w:sz w:val="20"/>
        </w:rPr>
      </w:pPr>
      <w:r>
        <w:rPr>
          <w:rFonts w:ascii="arial" w:hAnsi="arial"/>
          <w:sz w:val="20"/>
        </w:rPr>
        <w:t xml:space="preserve">sempra.com </w:t>
      </w:r>
    </w:p>
    <w:p>
      <w:pPr>
        <w:pStyle w:val="TextBody"/>
        <w:spacing w:before="0" w:after="0"/>
        <w:jc w:val="left"/>
        <w:rPr/>
      </w:pPr>
      <w:r>
        <w:rPr/>
        <w:t> </w:t>
      </w:r>
    </w:p>
    <w:p>
      <w:pPr>
        <w:pStyle w:val="TextBody"/>
        <w:spacing w:before="0" w:after="0"/>
        <w:jc w:val="left"/>
        <w:rPr/>
      </w:pPr>
      <w:r>
        <w:rPr/>
        <w:drawing>
          <wp:inline distT="0" distB="0" distL="0" distR="0">
            <wp:extent cx="161925" cy="74295"/>
            <wp:effectExtent l="0" t="0" r="0" b="0"/>
            <wp:docPr id="10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5" descr=""/>
                    <pic:cNvPicPr>
                      <a:picLocks noChangeAspect="1" noChangeArrowheads="1"/>
                    </pic:cNvPicPr>
                  </pic:nvPicPr>
                  <pic:blipFill>
                    <a:blip r:embed="rId86"/>
                    <a:stretch>
                      <a:fillRect/>
                    </a:stretch>
                  </pic:blipFill>
                  <pic:spPr bwMode="auto">
                    <a:xfrm>
                      <a:off x="0" y="0"/>
                      <a:ext cx="161925" cy="74295"/>
                    </a:xfrm>
                    <a:prstGeom prst="rect">
                      <a:avLst/>
                    </a:prstGeom>
                  </pic:spPr>
                </pic:pic>
              </a:graphicData>
            </a:graphic>
          </wp:inline>
        </w:drawing>
      </w:r>
      <w:r>
        <w:rPr/>
        <w:t xml:space="preserve"> </w:t>
      </w:r>
    </w:p>
    <w:p>
      <w:pPr>
        <w:pStyle w:val="TextBody"/>
        <w:spacing w:before="120" w:after="0"/>
        <w:jc w:val="left"/>
        <w:rPr>
          <w:rFonts w:ascii="arial" w:hAnsi="arial"/>
          <w:sz w:val="14"/>
        </w:rPr>
      </w:pPr>
      <w:r>
        <w:rPr>
          <w:rFonts w:ascii="arial" w:hAnsi="arial"/>
          <w:sz w:val="14"/>
        </w:rPr>
        <w:t xml:space="preserve">© 2021 Sempra Energy. All copyright </w:t>
      </w:r>
    </w:p>
    <w:p>
      <w:pPr>
        <w:pStyle w:val="TextBody"/>
        <w:spacing w:before="0" w:after="0"/>
        <w:jc w:val="left"/>
        <w:rPr>
          <w:rFonts w:ascii="arial" w:hAnsi="arial"/>
          <w:sz w:val="14"/>
        </w:rPr>
      </w:pPr>
      <w:r>
        <w:rPr>
          <w:rFonts w:ascii="arial" w:hAnsi="arial"/>
          <w:sz w:val="14"/>
        </w:rPr>
        <w:t xml:space="preserve">and trademark rights reserved.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jc w:val="left"/>
        <w:rPr/>
      </w:pPr>
      <w:r>
        <w:rPr/>
        <w:t>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3175000" cy="4576445"/>
                <wp:effectExtent l="0" t="0" r="0" b="0"/>
                <wp:wrapSquare wrapText="largest"/>
                <wp:docPr id="102" name="Frame18"/>
                <a:graphic xmlns:a="http://schemas.openxmlformats.org/drawingml/2006/main">
                  <a:graphicData uri="http://schemas.microsoft.com/office/word/2010/wordprocessingShape">
                    <wps:wsp>
                      <wps:cNvSpPr txBox="1"/>
                      <wps:spPr>
                        <a:xfrm>
                          <a:off x="0" y="0"/>
                          <a:ext cx="3175000" cy="4576445"/>
                        </a:xfrm>
                        <a:prstGeom prst="rect"/>
                      </wps:spPr>
                      <wps:txbx>
                        <w:txbxContent>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9"/>
                              <w:gridCol w:w="200"/>
                              <w:gridCol w:w="2000"/>
                              <w:gridCol w:w="200"/>
                              <w:gridCol w:w="2001"/>
                            </w:tblGrid>
                            <w:tr>
                              <w:trPr/>
                              <w:tc>
                                <w:tcPr>
                                  <w:tcW w:w="59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r>
                            <w:tr>
                              <w:trPr/>
                              <w:tc>
                                <w:tcPr>
                                  <w:tcW w:w="599" w:type="dxa"/>
                                  <w:tcBorders/>
                                  <w:shd w:fill="auto" w:val="clear"/>
                                </w:tcPr>
                                <w:p>
                                  <w:pPr>
                                    <w:pStyle w:val="TableContents"/>
                                    <w:spacing w:before="0" w:after="283"/>
                                    <w:rPr/>
                                  </w:pPr>
                                  <w:r>
                                    <w:rPr/>
                                    <w:t xml:space="preserve">   </w:t>
                                  </w:r>
                                  <w:r>
                                    <w:rPr/>
                                    <w:drawing>
                                      <wp:inline distT="0" distB="0" distL="0" distR="0">
                                        <wp:extent cx="342900" cy="542925"/>
                                        <wp:effectExtent l="0" t="0" r="0" b="0"/>
                                        <wp:docPr id="10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7" descr=""/>
                                                <pic:cNvPicPr>
                                                  <a:picLocks noChangeAspect="1" noChangeArrowheads="1"/>
                                                </pic:cNvPicPr>
                                              </pic:nvPicPr>
                                              <pic:blipFill>
                                                <a:blip r:embed="rId87"/>
                                                <a:stretch>
                                                  <a:fillRect/>
                                                </a:stretch>
                                              </pic:blipFill>
                                              <pic:spPr bwMode="auto">
                                                <a:xfrm>
                                                  <a:off x="0" y="0"/>
                                                  <a:ext cx="342900" cy="542925"/>
                                                </a:xfrm>
                                                <a:prstGeom prst="rect">
                                                  <a:avLst/>
                                                </a:prstGeom>
                                              </pic:spPr>
                                            </pic:pic>
                                          </a:graphicData>
                                        </a:graphic>
                                      </wp:inline>
                                    </w:drawing>
                                  </w:r>
                                  <w:r>
                                    <w:rPr/>
                                    <w:t xml:space="preserve"> </w:t>
                                  </w:r>
                                </w:p>
                              </w:tc>
                              <w:tc>
                                <w:tcPr>
                                  <w:tcW w:w="200" w:type="dxa"/>
                                  <w:tcBorders/>
                                  <w:shd w:fill="auto" w:val="clear"/>
                                  <w:vAlign w:val="bottom"/>
                                </w:tcPr>
                                <w:p>
                                  <w:pPr>
                                    <w:pStyle w:val="TableContents"/>
                                    <w:spacing w:before="0" w:after="283"/>
                                    <w:rPr/>
                                  </w:pPr>
                                  <w:r>
                                    <w:rPr/>
                                    <w:t>  </w:t>
                                  </w:r>
                                </w:p>
                              </w:tc>
                              <w:tc>
                                <w:tcPr>
                                  <w:tcW w:w="2000" w:type="dxa"/>
                                  <w:tcBorders/>
                                  <w:shd w:fill="auto" w:val="clear"/>
                                </w:tcPr>
                                <w:p>
                                  <w:pPr>
                                    <w:pStyle w:val="TableContents"/>
                                    <w:spacing w:before="0" w:after="0"/>
                                    <w:jc w:val="center"/>
                                    <w:rPr>
                                      <w:rFonts w:ascii="ARIAL" w:hAnsi="ARIAL"/>
                                      <w:b/>
                                      <w:sz w:val="30"/>
                                    </w:rPr>
                                  </w:pPr>
                                  <w:r>
                                    <w:rPr>
                                      <w:rFonts w:ascii="ARIAL" w:hAnsi="ARIAL"/>
                                      <w:b/>
                                      <w:sz w:val="30"/>
                                    </w:rPr>
                                    <w:t>SCAN TO</w:t>
                                  </w:r>
                                </w:p>
                                <w:p>
                                  <w:pPr>
                                    <w:pStyle w:val="TableContents"/>
                                    <w:spacing w:before="0" w:after="20"/>
                                    <w:jc w:val="center"/>
                                    <w:rPr>
                                      <w:rFonts w:ascii="ARIAL" w:hAnsi="ARIAL"/>
                                      <w:b/>
                                      <w:sz w:val="16"/>
                                    </w:rPr>
                                  </w:pPr>
                                  <w:r>
                                    <w:rPr>
                                      <w:rFonts w:ascii="ARIAL" w:hAnsi="ARIAL"/>
                                      <w:b/>
                                      <w:sz w:val="16"/>
                                    </w:rPr>
                                    <w:t>VIEW MATERIALS &amp; VOTE</w:t>
                                  </w:r>
                                </w:p>
                              </w:tc>
                              <w:tc>
                                <w:tcPr>
                                  <w:tcW w:w="200" w:type="dxa"/>
                                  <w:tcBorders/>
                                  <w:shd w:fill="auto" w:val="clear"/>
                                  <w:vAlign w:val="bottom"/>
                                </w:tcPr>
                                <w:p>
                                  <w:pPr>
                                    <w:pStyle w:val="TableContents"/>
                                    <w:spacing w:before="0" w:after="283"/>
                                    <w:rPr/>
                                  </w:pPr>
                                  <w:r>
                                    <w:rPr/>
                                    <w:t>  </w:t>
                                  </w:r>
                                </w:p>
                              </w:tc>
                              <w:tc>
                                <w:tcPr>
                                  <w:tcW w:w="2001" w:type="dxa"/>
                                  <w:tcBorders/>
                                  <w:shd w:fill="auto" w:val="clear"/>
                                </w:tcPr>
                                <w:p>
                                  <w:pPr>
                                    <w:pStyle w:val="TableContents"/>
                                    <w:spacing w:before="0" w:after="283"/>
                                    <w:rPr/>
                                  </w:pPr>
                                  <w:r>
                                    <w:rPr/>
                                    <w:drawing>
                                      <wp:inline distT="0" distB="0" distL="0" distR="0">
                                        <wp:extent cx="323850" cy="371475"/>
                                        <wp:effectExtent l="0" t="0" r="0" b="0"/>
                                        <wp:docPr id="10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8" descr=""/>
                                                <pic:cNvPicPr>
                                                  <a:picLocks noChangeAspect="1" noChangeArrowheads="1"/>
                                                </pic:cNvPicPr>
                                              </pic:nvPicPr>
                                              <pic:blipFill>
                                                <a:blip r:embed="rId88"/>
                                                <a:stretch>
                                                  <a:fillRect/>
                                                </a:stretch>
                                              </pic:blipFill>
                                              <pic:spPr bwMode="auto">
                                                <a:xfrm>
                                                  <a:off x="0" y="0"/>
                                                  <a:ext cx="323850" cy="371475"/>
                                                </a:xfrm>
                                                <a:prstGeom prst="rect">
                                                  <a:avLst/>
                                                </a:prstGeom>
                                              </pic:spPr>
                                            </pic:pic>
                                          </a:graphicData>
                                        </a:graphic>
                                      </wp:inline>
                                    </w:drawing>
                                  </w:r>
                                  <w:r>
                                    <w:rPr/>
                                    <w:t xml:space="preserve"> </w:t>
                                  </w:r>
                                </w:p>
                              </w:tc>
                            </w:tr>
                          </w:tbl>
                          <w:p>
                            <w:pPr>
                              <w:pStyle w:val="TextBody"/>
                              <w:spacing w:before="120" w:after="0"/>
                              <w:rPr>
                                <w:rFonts w:ascii="ARIAL" w:hAnsi="ARIAL"/>
                                <w:b/>
                                <w:sz w:val="14"/>
                              </w:rPr>
                            </w:pPr>
                            <w:r>
                              <w:rPr>
                                <w:rFonts w:ascii="ARIAL" w:hAnsi="ARIAL"/>
                                <w:b/>
                                <w:sz w:val="14"/>
                              </w:rPr>
                              <w:t xml:space="preserve">VOTE BY PHONE - 1-800-690-6903 </w:t>
                            </w:r>
                          </w:p>
                          <w:p>
                            <w:pPr>
                              <w:pStyle w:val="TextBody"/>
                              <w:spacing w:before="0" w:after="0"/>
                              <w:jc w:val="both"/>
                              <w:rPr>
                                <w:rFonts w:ascii="ARIAL" w:hAnsi="ARIAL"/>
                                <w:sz w:val="14"/>
                              </w:rPr>
                            </w:pPr>
                            <w:r>
                              <w:rPr>
                                <w:rFonts w:ascii="ARIAL" w:hAnsi="ARIAL"/>
                                <w:sz w:val="14"/>
                              </w:rPr>
                              <w:t xml:space="preserve">Use any touch-tone telephone to transmit your voting instructions. Have your proxy card available when you call and use the 16-digit control number shown below. Vote by 11:59 p.m. Eastern Time on May 13, 2021 for shares held directly and by 8:00 a.m. Eastern Time on May 11, 2021 for shares held in the 401(k) Plans as defined on the reverse side of the card. </w:t>
                            </w:r>
                          </w:p>
                          <w:p>
                            <w:pPr>
                              <w:pStyle w:val="TextBody"/>
                              <w:spacing w:before="120" w:after="0"/>
                              <w:rPr>
                                <w:rFonts w:ascii="ARIAL" w:hAnsi="ARIAL"/>
                                <w:b/>
                                <w:sz w:val="14"/>
                              </w:rPr>
                            </w:pPr>
                            <w:r>
                              <w:rPr>
                                <w:rFonts w:ascii="ARIAL" w:hAnsi="ARIAL"/>
                                <w:b/>
                                <w:sz w:val="14"/>
                              </w:rPr>
                              <w:t xml:space="preserve">VOTE BY MAIL </w:t>
                            </w:r>
                          </w:p>
                          <w:p>
                            <w:pPr>
                              <w:pStyle w:val="TextBody"/>
                              <w:spacing w:before="0" w:after="0"/>
                              <w:jc w:val="both"/>
                              <w:rPr>
                                <w:rFonts w:ascii="ARIAL" w:hAnsi="ARIAL"/>
                                <w:sz w:val="14"/>
                              </w:rPr>
                            </w:pPr>
                            <w:r>
                              <w:rPr>
                                <w:rFonts w:ascii="ARIAL" w:hAnsi="ARIAL"/>
                                <w:sz w:val="14"/>
                              </w:rPr>
                              <w:t xml:space="preserve">Mark, sign and date your proxy card and return it in the postage-paid envelope we have provided or return it to Vote Processing, c/o Broadridge, 51 Mercedes Way, Edgewood, NY 11717. Your signed proxy card must be received before the polls close. </w:t>
                            </w:r>
                          </w:p>
                          <w:p>
                            <w:pPr>
                              <w:pStyle w:val="TextBody"/>
                              <w:spacing w:before="120" w:after="0"/>
                              <w:rPr>
                                <w:rFonts w:ascii="ARIAL" w:hAnsi="ARIAL"/>
                                <w:b/>
                                <w:sz w:val="14"/>
                              </w:rPr>
                            </w:pPr>
                            <w:r>
                              <w:rPr>
                                <w:rFonts w:ascii="ARIAL" w:hAnsi="ARIAL"/>
                                <w:b/>
                                <w:sz w:val="14"/>
                              </w:rPr>
                              <w:t xml:space="preserve">VOTE BY INTERNET </w:t>
                            </w:r>
                          </w:p>
                          <w:p>
                            <w:pPr>
                              <w:pStyle w:val="TextBody"/>
                              <w:spacing w:before="0" w:after="0"/>
                              <w:jc w:val="both"/>
                              <w:rPr>
                                <w:rFonts w:ascii="ARIAL" w:hAnsi="ARIAL"/>
                                <w:sz w:val="14"/>
                              </w:rPr>
                            </w:pPr>
                            <w:r>
                              <w:rPr>
                                <w:rFonts w:ascii="ARIAL" w:hAnsi="ARIAL"/>
                                <w:i/>
                                <w:sz w:val="14"/>
                              </w:rPr>
                              <w:t>Before The Meeting - Go</w:t>
                            </w:r>
                            <w:r>
                              <w:rPr>
                                <w:rFonts w:ascii="ARIAL" w:hAnsi="ARIAL"/>
                                <w:sz w:val="14"/>
                              </w:rPr>
                              <w:t xml:space="preserve"> to </w:t>
                            </w:r>
                            <w:r>
                              <w:rPr>
                                <w:rFonts w:ascii="ARIAL" w:hAnsi="ARIAL"/>
                                <w:b/>
                                <w:sz w:val="14"/>
                                <w:u w:val="single"/>
                              </w:rPr>
                              <w:t>www.proxyvote.com</w:t>
                            </w:r>
                            <w:r>
                              <w:rPr>
                                <w:rFonts w:ascii="ARIAL" w:hAnsi="ARIAL"/>
                                <w:sz w:val="14"/>
                              </w:rPr>
                              <w:t xml:space="preserve"> </w:t>
                            </w:r>
                            <w:r>
                              <w:rPr>
                                <w:rFonts w:ascii="ARIAL" w:hAnsi="ARIAL"/>
                                <w:b/>
                                <w:sz w:val="14"/>
                              </w:rPr>
                              <w:t>or scan the QR Barcode above</w:t>
                            </w:r>
                            <w:r>
                              <w:rPr>
                                <w:rFonts w:ascii="ARIAL" w:hAnsi="ARIAL"/>
                                <w:sz w:val="14"/>
                              </w:rPr>
                              <w:t xml:space="preserve"> </w:t>
                            </w:r>
                          </w:p>
                          <w:p>
                            <w:pPr>
                              <w:pStyle w:val="TextBody"/>
                              <w:spacing w:before="120" w:after="0"/>
                              <w:jc w:val="both"/>
                              <w:rPr>
                                <w:rFonts w:ascii="ARIAL" w:hAnsi="ARIAL"/>
                                <w:sz w:val="14"/>
                              </w:rPr>
                            </w:pPr>
                            <w:r>
                              <w:rPr>
                                <w:rFonts w:ascii="ARIAL" w:hAnsi="ARIAL"/>
                                <w:sz w:val="14"/>
                              </w:rPr>
                              <w:t xml:space="preserve">Use the Internet to transmit your voting instructions and for electronic delivery of information. Have your proxy card available when you access the website and use the 16-digit control number shown below. Vote by 11:59 p.m. Eastern Time on May 13, 2021 for shares held directly and by 8:00 a.m. Eastern Time on May 11, 2021 for shares held in the 401(k) Plans as defined on the reverse side of the card. </w:t>
                            </w:r>
                          </w:p>
                          <w:p>
                            <w:pPr>
                              <w:pStyle w:val="TextBody"/>
                              <w:spacing w:before="120" w:after="0"/>
                              <w:rPr>
                                <w:rFonts w:ascii="ARIAL" w:hAnsi="ARIAL"/>
                                <w:sz w:val="14"/>
                              </w:rPr>
                            </w:pPr>
                            <w:r>
                              <w:rPr>
                                <w:rFonts w:ascii="ARIAL" w:hAnsi="ARIAL"/>
                                <w:i/>
                                <w:sz w:val="14"/>
                              </w:rPr>
                              <w:t>During The Meeting - Go</w:t>
                            </w:r>
                            <w:r>
                              <w:rPr>
                                <w:rFonts w:ascii="ARIAL" w:hAnsi="ARIAL"/>
                                <w:sz w:val="14"/>
                              </w:rPr>
                              <w:t xml:space="preserve"> to </w:t>
                            </w:r>
                            <w:r>
                              <w:rPr>
                                <w:rFonts w:ascii="ARIAL" w:hAnsi="ARIAL"/>
                                <w:b/>
                                <w:sz w:val="14"/>
                                <w:u w:val="single"/>
                              </w:rPr>
                              <w:t>www.virtualshareholdermeeting.com/SRE2021</w:t>
                            </w:r>
                            <w:r>
                              <w:rPr>
                                <w:rFonts w:ascii="ARIAL" w:hAnsi="ARIAL"/>
                                <w:sz w:val="14"/>
                              </w:rPr>
                              <w:t xml:space="preserve"> </w:t>
                            </w:r>
                          </w:p>
                          <w:p>
                            <w:pPr>
                              <w:pStyle w:val="TextBody"/>
                              <w:spacing w:before="120" w:after="0"/>
                              <w:rPr>
                                <w:rFonts w:ascii="ARIAL" w:hAnsi="ARIAL"/>
                                <w:sz w:val="14"/>
                              </w:rPr>
                            </w:pPr>
                            <w:r>
                              <w:rPr>
                                <w:rFonts w:ascii="ARIAL" w:hAnsi="ARIAL"/>
                                <w:sz w:val="14"/>
                              </w:rPr>
                              <w:t xml:space="preserve">You may attend the meeting via the Internet and vote during the meeting. Use the 16-digit control number shown below to log into the meeting site and follow the instructions. </w:t>
                            </w:r>
                          </w:p>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0.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9"/>
                        <w:gridCol w:w="200"/>
                        <w:gridCol w:w="2000"/>
                        <w:gridCol w:w="200"/>
                        <w:gridCol w:w="2001"/>
                      </w:tblGrid>
                      <w:tr>
                        <w:trPr/>
                        <w:tc>
                          <w:tcPr>
                            <w:tcW w:w="59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r>
                      <w:tr>
                        <w:trPr/>
                        <w:tc>
                          <w:tcPr>
                            <w:tcW w:w="599" w:type="dxa"/>
                            <w:tcBorders/>
                            <w:shd w:fill="auto" w:val="clear"/>
                          </w:tcPr>
                          <w:p>
                            <w:pPr>
                              <w:pStyle w:val="TableContents"/>
                              <w:spacing w:before="0" w:after="283"/>
                              <w:rPr/>
                            </w:pPr>
                            <w:r>
                              <w:rPr/>
                              <w:t xml:space="preserve">   </w:t>
                            </w:r>
                            <w:r>
                              <w:rPr/>
                              <w:drawing>
                                <wp:inline distT="0" distB="0" distL="0" distR="0">
                                  <wp:extent cx="342900" cy="542925"/>
                                  <wp:effectExtent l="0" t="0" r="0" b="0"/>
                                  <wp:docPr id="10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7" descr=""/>
                                          <pic:cNvPicPr>
                                            <a:picLocks noChangeAspect="1" noChangeArrowheads="1"/>
                                          </pic:cNvPicPr>
                                        </pic:nvPicPr>
                                        <pic:blipFill>
                                          <a:blip r:embed="rId87"/>
                                          <a:stretch>
                                            <a:fillRect/>
                                          </a:stretch>
                                        </pic:blipFill>
                                        <pic:spPr bwMode="auto">
                                          <a:xfrm>
                                            <a:off x="0" y="0"/>
                                            <a:ext cx="342900" cy="542925"/>
                                          </a:xfrm>
                                          <a:prstGeom prst="rect">
                                            <a:avLst/>
                                          </a:prstGeom>
                                        </pic:spPr>
                                      </pic:pic>
                                    </a:graphicData>
                                  </a:graphic>
                                </wp:inline>
                              </w:drawing>
                            </w:r>
                            <w:r>
                              <w:rPr/>
                              <w:t xml:space="preserve"> </w:t>
                            </w:r>
                          </w:p>
                        </w:tc>
                        <w:tc>
                          <w:tcPr>
                            <w:tcW w:w="200" w:type="dxa"/>
                            <w:tcBorders/>
                            <w:shd w:fill="auto" w:val="clear"/>
                            <w:vAlign w:val="bottom"/>
                          </w:tcPr>
                          <w:p>
                            <w:pPr>
                              <w:pStyle w:val="TableContents"/>
                              <w:spacing w:before="0" w:after="283"/>
                              <w:rPr/>
                            </w:pPr>
                            <w:r>
                              <w:rPr/>
                              <w:t>  </w:t>
                            </w:r>
                          </w:p>
                        </w:tc>
                        <w:tc>
                          <w:tcPr>
                            <w:tcW w:w="2000" w:type="dxa"/>
                            <w:tcBorders/>
                            <w:shd w:fill="auto" w:val="clear"/>
                          </w:tcPr>
                          <w:p>
                            <w:pPr>
                              <w:pStyle w:val="TableContents"/>
                              <w:spacing w:before="0" w:after="0"/>
                              <w:jc w:val="center"/>
                              <w:rPr>
                                <w:rFonts w:ascii="ARIAL" w:hAnsi="ARIAL"/>
                                <w:b/>
                                <w:sz w:val="30"/>
                              </w:rPr>
                            </w:pPr>
                            <w:r>
                              <w:rPr>
                                <w:rFonts w:ascii="ARIAL" w:hAnsi="ARIAL"/>
                                <w:b/>
                                <w:sz w:val="30"/>
                              </w:rPr>
                              <w:t>SCAN TO</w:t>
                            </w:r>
                          </w:p>
                          <w:p>
                            <w:pPr>
                              <w:pStyle w:val="TableContents"/>
                              <w:spacing w:before="0" w:after="20"/>
                              <w:jc w:val="center"/>
                              <w:rPr>
                                <w:rFonts w:ascii="ARIAL" w:hAnsi="ARIAL"/>
                                <w:b/>
                                <w:sz w:val="16"/>
                              </w:rPr>
                            </w:pPr>
                            <w:r>
                              <w:rPr>
                                <w:rFonts w:ascii="ARIAL" w:hAnsi="ARIAL"/>
                                <w:b/>
                                <w:sz w:val="16"/>
                              </w:rPr>
                              <w:t>VIEW MATERIALS &amp; VOTE</w:t>
                            </w:r>
                          </w:p>
                        </w:tc>
                        <w:tc>
                          <w:tcPr>
                            <w:tcW w:w="200" w:type="dxa"/>
                            <w:tcBorders/>
                            <w:shd w:fill="auto" w:val="clear"/>
                            <w:vAlign w:val="bottom"/>
                          </w:tcPr>
                          <w:p>
                            <w:pPr>
                              <w:pStyle w:val="TableContents"/>
                              <w:spacing w:before="0" w:after="283"/>
                              <w:rPr/>
                            </w:pPr>
                            <w:r>
                              <w:rPr/>
                              <w:t>  </w:t>
                            </w:r>
                          </w:p>
                        </w:tc>
                        <w:tc>
                          <w:tcPr>
                            <w:tcW w:w="2001" w:type="dxa"/>
                            <w:tcBorders/>
                            <w:shd w:fill="auto" w:val="clear"/>
                          </w:tcPr>
                          <w:p>
                            <w:pPr>
                              <w:pStyle w:val="TableContents"/>
                              <w:spacing w:before="0" w:after="283"/>
                              <w:rPr/>
                            </w:pPr>
                            <w:r>
                              <w:rPr/>
                              <w:drawing>
                                <wp:inline distT="0" distB="0" distL="0" distR="0">
                                  <wp:extent cx="323850" cy="371475"/>
                                  <wp:effectExtent l="0" t="0" r="0" b="0"/>
                                  <wp:docPr id="10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8" descr=""/>
                                          <pic:cNvPicPr>
                                            <a:picLocks noChangeAspect="1" noChangeArrowheads="1"/>
                                          </pic:cNvPicPr>
                                        </pic:nvPicPr>
                                        <pic:blipFill>
                                          <a:blip r:embed="rId88"/>
                                          <a:stretch>
                                            <a:fillRect/>
                                          </a:stretch>
                                        </pic:blipFill>
                                        <pic:spPr bwMode="auto">
                                          <a:xfrm>
                                            <a:off x="0" y="0"/>
                                            <a:ext cx="323850" cy="371475"/>
                                          </a:xfrm>
                                          <a:prstGeom prst="rect">
                                            <a:avLst/>
                                          </a:prstGeom>
                                        </pic:spPr>
                                      </pic:pic>
                                    </a:graphicData>
                                  </a:graphic>
                                </wp:inline>
                              </w:drawing>
                            </w:r>
                            <w:r>
                              <w:rPr/>
                              <w:t xml:space="preserve"> </w:t>
                            </w:r>
                          </w:p>
                        </w:tc>
                      </w:tr>
                    </w:tbl>
                    <w:p>
                      <w:pPr>
                        <w:pStyle w:val="TextBody"/>
                        <w:spacing w:before="120" w:after="0"/>
                        <w:rPr>
                          <w:rFonts w:ascii="ARIAL" w:hAnsi="ARIAL"/>
                          <w:b/>
                          <w:sz w:val="14"/>
                        </w:rPr>
                      </w:pPr>
                      <w:r>
                        <w:rPr>
                          <w:rFonts w:ascii="ARIAL" w:hAnsi="ARIAL"/>
                          <w:b/>
                          <w:sz w:val="14"/>
                        </w:rPr>
                        <w:t xml:space="preserve">VOTE BY PHONE - 1-800-690-6903 </w:t>
                      </w:r>
                    </w:p>
                    <w:p>
                      <w:pPr>
                        <w:pStyle w:val="TextBody"/>
                        <w:spacing w:before="0" w:after="0"/>
                        <w:jc w:val="both"/>
                        <w:rPr>
                          <w:rFonts w:ascii="ARIAL" w:hAnsi="ARIAL"/>
                          <w:sz w:val="14"/>
                        </w:rPr>
                      </w:pPr>
                      <w:r>
                        <w:rPr>
                          <w:rFonts w:ascii="ARIAL" w:hAnsi="ARIAL"/>
                          <w:sz w:val="14"/>
                        </w:rPr>
                        <w:t xml:space="preserve">Use any touch-tone telephone to transmit your voting instructions. Have your proxy card available when you call and use the 16-digit control number shown below. Vote by 11:59 p.m. Eastern Time on May 13, 2021 for shares held directly and by 8:00 a.m. Eastern Time on May 11, 2021 for shares held in the 401(k) Plans as defined on the reverse side of the card. </w:t>
                      </w:r>
                    </w:p>
                    <w:p>
                      <w:pPr>
                        <w:pStyle w:val="TextBody"/>
                        <w:spacing w:before="120" w:after="0"/>
                        <w:rPr>
                          <w:rFonts w:ascii="ARIAL" w:hAnsi="ARIAL"/>
                          <w:b/>
                          <w:sz w:val="14"/>
                        </w:rPr>
                      </w:pPr>
                      <w:r>
                        <w:rPr>
                          <w:rFonts w:ascii="ARIAL" w:hAnsi="ARIAL"/>
                          <w:b/>
                          <w:sz w:val="14"/>
                        </w:rPr>
                        <w:t xml:space="preserve">VOTE BY MAIL </w:t>
                      </w:r>
                    </w:p>
                    <w:p>
                      <w:pPr>
                        <w:pStyle w:val="TextBody"/>
                        <w:spacing w:before="0" w:after="0"/>
                        <w:jc w:val="both"/>
                        <w:rPr>
                          <w:rFonts w:ascii="ARIAL" w:hAnsi="ARIAL"/>
                          <w:sz w:val="14"/>
                        </w:rPr>
                      </w:pPr>
                      <w:r>
                        <w:rPr>
                          <w:rFonts w:ascii="ARIAL" w:hAnsi="ARIAL"/>
                          <w:sz w:val="14"/>
                        </w:rPr>
                        <w:t xml:space="preserve">Mark, sign and date your proxy card and return it in the postage-paid envelope we have provided or return it to Vote Processing, c/o Broadridge, 51 Mercedes Way, Edgewood, NY 11717. Your signed proxy card must be received before the polls close. </w:t>
                      </w:r>
                    </w:p>
                    <w:p>
                      <w:pPr>
                        <w:pStyle w:val="TextBody"/>
                        <w:spacing w:before="120" w:after="0"/>
                        <w:rPr>
                          <w:rFonts w:ascii="ARIAL" w:hAnsi="ARIAL"/>
                          <w:b/>
                          <w:sz w:val="14"/>
                        </w:rPr>
                      </w:pPr>
                      <w:r>
                        <w:rPr>
                          <w:rFonts w:ascii="ARIAL" w:hAnsi="ARIAL"/>
                          <w:b/>
                          <w:sz w:val="14"/>
                        </w:rPr>
                        <w:t xml:space="preserve">VOTE BY INTERNET </w:t>
                      </w:r>
                    </w:p>
                    <w:p>
                      <w:pPr>
                        <w:pStyle w:val="TextBody"/>
                        <w:spacing w:before="0" w:after="0"/>
                        <w:jc w:val="both"/>
                        <w:rPr>
                          <w:rFonts w:ascii="ARIAL" w:hAnsi="ARIAL"/>
                          <w:sz w:val="14"/>
                        </w:rPr>
                      </w:pPr>
                      <w:r>
                        <w:rPr>
                          <w:rFonts w:ascii="ARIAL" w:hAnsi="ARIAL"/>
                          <w:i/>
                          <w:sz w:val="14"/>
                        </w:rPr>
                        <w:t>Before The Meeting - Go</w:t>
                      </w:r>
                      <w:r>
                        <w:rPr>
                          <w:rFonts w:ascii="ARIAL" w:hAnsi="ARIAL"/>
                          <w:sz w:val="14"/>
                        </w:rPr>
                        <w:t xml:space="preserve"> to </w:t>
                      </w:r>
                      <w:r>
                        <w:rPr>
                          <w:rFonts w:ascii="ARIAL" w:hAnsi="ARIAL"/>
                          <w:b/>
                          <w:sz w:val="14"/>
                          <w:u w:val="single"/>
                        </w:rPr>
                        <w:t>www.proxyvote.com</w:t>
                      </w:r>
                      <w:r>
                        <w:rPr>
                          <w:rFonts w:ascii="ARIAL" w:hAnsi="ARIAL"/>
                          <w:sz w:val="14"/>
                        </w:rPr>
                        <w:t xml:space="preserve"> </w:t>
                      </w:r>
                      <w:r>
                        <w:rPr>
                          <w:rFonts w:ascii="ARIAL" w:hAnsi="ARIAL"/>
                          <w:b/>
                          <w:sz w:val="14"/>
                        </w:rPr>
                        <w:t>or scan the QR Barcode above</w:t>
                      </w:r>
                      <w:r>
                        <w:rPr>
                          <w:rFonts w:ascii="ARIAL" w:hAnsi="ARIAL"/>
                          <w:sz w:val="14"/>
                        </w:rPr>
                        <w:t xml:space="preserve"> </w:t>
                      </w:r>
                    </w:p>
                    <w:p>
                      <w:pPr>
                        <w:pStyle w:val="TextBody"/>
                        <w:spacing w:before="120" w:after="0"/>
                        <w:jc w:val="both"/>
                        <w:rPr>
                          <w:rFonts w:ascii="ARIAL" w:hAnsi="ARIAL"/>
                          <w:sz w:val="14"/>
                        </w:rPr>
                      </w:pPr>
                      <w:r>
                        <w:rPr>
                          <w:rFonts w:ascii="ARIAL" w:hAnsi="ARIAL"/>
                          <w:sz w:val="14"/>
                        </w:rPr>
                        <w:t xml:space="preserve">Use the Internet to transmit your voting instructions and for electronic delivery of information. Have your proxy card available when you access the website and use the 16-digit control number shown below. Vote by 11:59 p.m. Eastern Time on May 13, 2021 for shares held directly and by 8:00 a.m. Eastern Time on May 11, 2021 for shares held in the 401(k) Plans as defined on the reverse side of the card. </w:t>
                      </w:r>
                    </w:p>
                    <w:p>
                      <w:pPr>
                        <w:pStyle w:val="TextBody"/>
                        <w:spacing w:before="120" w:after="0"/>
                        <w:rPr>
                          <w:rFonts w:ascii="ARIAL" w:hAnsi="ARIAL"/>
                          <w:sz w:val="14"/>
                        </w:rPr>
                      </w:pPr>
                      <w:r>
                        <w:rPr>
                          <w:rFonts w:ascii="ARIAL" w:hAnsi="ARIAL"/>
                          <w:i/>
                          <w:sz w:val="14"/>
                        </w:rPr>
                        <w:t>During The Meeting - Go</w:t>
                      </w:r>
                      <w:r>
                        <w:rPr>
                          <w:rFonts w:ascii="ARIAL" w:hAnsi="ARIAL"/>
                          <w:sz w:val="14"/>
                        </w:rPr>
                        <w:t xml:space="preserve"> to </w:t>
                      </w:r>
                      <w:r>
                        <w:rPr>
                          <w:rFonts w:ascii="ARIAL" w:hAnsi="ARIAL"/>
                          <w:b/>
                          <w:sz w:val="14"/>
                          <w:u w:val="single"/>
                        </w:rPr>
                        <w:t>www.virtualshareholdermeeting.com/SRE2021</w:t>
                      </w:r>
                      <w:r>
                        <w:rPr>
                          <w:rFonts w:ascii="ARIAL" w:hAnsi="ARIAL"/>
                          <w:sz w:val="14"/>
                        </w:rPr>
                        <w:t xml:space="preserve"> </w:t>
                      </w:r>
                    </w:p>
                    <w:p>
                      <w:pPr>
                        <w:pStyle w:val="TextBody"/>
                        <w:spacing w:before="120" w:after="0"/>
                        <w:rPr>
                          <w:rFonts w:ascii="ARIAL" w:hAnsi="ARIAL"/>
                          <w:sz w:val="14"/>
                        </w:rPr>
                      </w:pPr>
                      <w:r>
                        <w:rPr>
                          <w:rFonts w:ascii="ARIAL" w:hAnsi="ARIAL"/>
                          <w:sz w:val="14"/>
                        </w:rPr>
                        <w:t xml:space="preserve">You may attend the meeting via the Internet and vote during the meeting. Use the 16-digit control number shown below to log into the meeting site and follow the instructions. </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110230" cy="804545"/>
                <wp:effectExtent l="0" t="0" r="0" b="0"/>
                <wp:wrapSquare wrapText="largest"/>
                <wp:docPr id="107" name="Frame17"/>
                <a:graphic xmlns:a="http://schemas.openxmlformats.org/drawingml/2006/main">
                  <a:graphicData uri="http://schemas.microsoft.com/office/word/2010/wordprocessingShape">
                    <wps:wsp>
                      <wps:cNvSpPr txBox="1"/>
                      <wps:spPr>
                        <a:xfrm>
                          <a:off x="0" y="0"/>
                          <a:ext cx="3110230" cy="804545"/>
                        </a:xfrm>
                        <a:prstGeom prst="rect"/>
                      </wps:spPr>
                      <wps:txbx>
                        <w:txbxContent>
                          <w:p>
                            <w:pPr>
                              <w:pStyle w:val="TextBody"/>
                              <w:spacing w:before="0" w:after="0"/>
                              <w:rPr/>
                            </w:pPr>
                            <w:r>
                              <w:rPr/>
                              <w:drawing>
                                <wp:inline distT="0" distB="0" distL="0" distR="0">
                                  <wp:extent cx="1924050" cy="552450"/>
                                  <wp:effectExtent l="0" t="0" r="0" b="0"/>
                                  <wp:docPr id="10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6" descr=""/>
                                          <pic:cNvPicPr>
                                            <a:picLocks noChangeAspect="1" noChangeArrowheads="1"/>
                                          </pic:cNvPicPr>
                                        </pic:nvPicPr>
                                        <pic:blipFill>
                                          <a:blip r:embed="rId89"/>
                                          <a:stretch>
                                            <a:fillRect/>
                                          </a:stretch>
                                        </pic:blipFill>
                                        <pic:spPr bwMode="auto">
                                          <a:xfrm>
                                            <a:off x="0" y="0"/>
                                            <a:ext cx="1924050" cy="552450"/>
                                          </a:xfrm>
                                          <a:prstGeom prst="rect">
                                            <a:avLst/>
                                          </a:prstGeom>
                                        </pic:spPr>
                                      </pic:pic>
                                    </a:graphicData>
                                  </a:graphic>
                                </wp:inline>
                              </w:drawing>
                            </w:r>
                            <w:r>
                              <w:rPr/>
                              <w:t xml:space="preserve"> </w:t>
                            </w:r>
                          </w:p>
                          <w:p>
                            <w:pPr>
                              <w:pStyle w:val="TextBody"/>
                              <w:spacing w:before="0" w:after="0"/>
                              <w:rPr>
                                <w:rFonts w:ascii="ARIAL" w:hAnsi="ARIAL"/>
                                <w:sz w:val="10"/>
                              </w:rPr>
                            </w:pPr>
                            <w:r>
                              <w:rPr>
                                <w:rFonts w:ascii="ARIAL" w:hAnsi="ARIAL"/>
                                <w:i/>
                                <w:sz w:val="10"/>
                              </w:rPr>
                              <w:t>SEMPRA ENERGY</w:t>
                            </w:r>
                            <w:r>
                              <w:rPr>
                                <w:rFonts w:ascii="ARIAL" w:hAnsi="ARIAL"/>
                                <w:sz w:val="10"/>
                              </w:rPr>
                              <w:t xml:space="preserve"> </w:t>
                            </w:r>
                          </w:p>
                          <w:p>
                            <w:pPr>
                              <w:pStyle w:val="TextBody"/>
                              <w:spacing w:before="0" w:after="0"/>
                              <w:rPr>
                                <w:rFonts w:ascii="ARIAL" w:hAnsi="ARIAL"/>
                                <w:sz w:val="10"/>
                              </w:rPr>
                            </w:pPr>
                            <w:r>
                              <w:rPr>
                                <w:rFonts w:ascii="ARIAL" w:hAnsi="ARIAL"/>
                                <w:i/>
                                <w:sz w:val="10"/>
                              </w:rPr>
                              <w:t>488 8TH AVENUE</w:t>
                            </w:r>
                            <w:r>
                              <w:rPr>
                                <w:rFonts w:ascii="ARIAL" w:hAnsi="ARIAL"/>
                                <w:sz w:val="10"/>
                              </w:rPr>
                              <w:t xml:space="preserve"> </w:t>
                            </w:r>
                          </w:p>
                          <w:p>
                            <w:pPr>
                              <w:pStyle w:val="TextBody"/>
                              <w:spacing w:before="0" w:after="0"/>
                              <w:rPr>
                                <w:rFonts w:ascii="ARIAL" w:hAnsi="ARIAL"/>
                                <w:sz w:val="10"/>
                              </w:rPr>
                            </w:pPr>
                            <w:r>
                              <w:rPr>
                                <w:rFonts w:ascii="ARIAL" w:hAnsi="ARIAL"/>
                                <w:i/>
                                <w:sz w:val="10"/>
                              </w:rPr>
                              <w:t>SAN DIEGO, CA 92101</w:t>
                            </w:r>
                            <w:r>
                              <w:rPr>
                                <w:rFonts w:ascii="ARIAL" w:hAnsi="ARIAL"/>
                                <w:sz w:val="10"/>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3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0" w:after="0"/>
                        <w:rPr/>
                      </w:pPr>
                      <w:r>
                        <w:rPr/>
                        <w:drawing>
                          <wp:inline distT="0" distB="0" distL="0" distR="0">
                            <wp:extent cx="1924050" cy="552450"/>
                            <wp:effectExtent l="0" t="0" r="0" b="0"/>
                            <wp:docPr id="10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6" descr=""/>
                                    <pic:cNvPicPr>
                                      <a:picLocks noChangeAspect="1" noChangeArrowheads="1"/>
                                    </pic:cNvPicPr>
                                  </pic:nvPicPr>
                                  <pic:blipFill>
                                    <a:blip r:embed="rId89"/>
                                    <a:stretch>
                                      <a:fillRect/>
                                    </a:stretch>
                                  </pic:blipFill>
                                  <pic:spPr bwMode="auto">
                                    <a:xfrm>
                                      <a:off x="0" y="0"/>
                                      <a:ext cx="1924050" cy="552450"/>
                                    </a:xfrm>
                                    <a:prstGeom prst="rect">
                                      <a:avLst/>
                                    </a:prstGeom>
                                  </pic:spPr>
                                </pic:pic>
                              </a:graphicData>
                            </a:graphic>
                          </wp:inline>
                        </w:drawing>
                      </w:r>
                      <w:r>
                        <w:rPr/>
                        <w:t xml:space="preserve"> </w:t>
                      </w:r>
                    </w:p>
                    <w:p>
                      <w:pPr>
                        <w:pStyle w:val="TextBody"/>
                        <w:spacing w:before="0" w:after="0"/>
                        <w:rPr>
                          <w:rFonts w:ascii="ARIAL" w:hAnsi="ARIAL"/>
                          <w:sz w:val="10"/>
                        </w:rPr>
                      </w:pPr>
                      <w:r>
                        <w:rPr>
                          <w:rFonts w:ascii="ARIAL" w:hAnsi="ARIAL"/>
                          <w:i/>
                          <w:sz w:val="10"/>
                        </w:rPr>
                        <w:t>SEMPRA ENERGY</w:t>
                      </w:r>
                      <w:r>
                        <w:rPr>
                          <w:rFonts w:ascii="ARIAL" w:hAnsi="ARIAL"/>
                          <w:sz w:val="10"/>
                        </w:rPr>
                        <w:t xml:space="preserve"> </w:t>
                      </w:r>
                    </w:p>
                    <w:p>
                      <w:pPr>
                        <w:pStyle w:val="TextBody"/>
                        <w:spacing w:before="0" w:after="0"/>
                        <w:rPr>
                          <w:rFonts w:ascii="ARIAL" w:hAnsi="ARIAL"/>
                          <w:sz w:val="10"/>
                        </w:rPr>
                      </w:pPr>
                      <w:r>
                        <w:rPr>
                          <w:rFonts w:ascii="ARIAL" w:hAnsi="ARIAL"/>
                          <w:i/>
                          <w:sz w:val="10"/>
                        </w:rPr>
                        <w:t>488 8TH AVENUE</w:t>
                      </w:r>
                      <w:r>
                        <w:rPr>
                          <w:rFonts w:ascii="ARIAL" w:hAnsi="ARIAL"/>
                          <w:sz w:val="10"/>
                        </w:rPr>
                        <w:t xml:space="preserve"> </w:t>
                      </w:r>
                    </w:p>
                    <w:p>
                      <w:pPr>
                        <w:pStyle w:val="TextBody"/>
                        <w:spacing w:before="0" w:after="0"/>
                        <w:rPr>
                          <w:rFonts w:ascii="ARIAL" w:hAnsi="ARIAL"/>
                          <w:sz w:val="10"/>
                        </w:rPr>
                      </w:pPr>
                      <w:r>
                        <w:rPr>
                          <w:rFonts w:ascii="ARIAL" w:hAnsi="ARIAL"/>
                          <w:i/>
                          <w:sz w:val="10"/>
                        </w:rPr>
                        <w:t>SAN DIEGO, CA 92101</w:t>
                      </w:r>
                      <w:r>
                        <w:rPr>
                          <w:rFonts w:ascii="ARIAL" w:hAnsi="ARIAL"/>
                          <w:sz w:val="10"/>
                        </w:rPr>
                        <w:t xml:space="preserve"> </w:t>
                      </w:r>
                    </w:p>
                  </w:txbxContent>
                </v:textbox>
                <w10:wrap type="square" side="right"/>
              </v:rect>
            </w:pict>
          </mc:Fallback>
        </mc:AlternateContent>
      </w:r>
    </w:p>
    <w:p>
      <w:pPr>
        <w:pStyle w:val="TextBody"/>
        <w:spacing w:before="0" w:after="0"/>
        <w:jc w:val="left"/>
        <w:rPr/>
      </w:pPr>
      <w:r>
        <w:rPr/>
        <w:t> </w:t>
      </w:r>
    </w:p>
    <w:tbl>
      <w:tblPr>
        <w:tblW w:w="15015" w:type="dxa"/>
        <w:jc w:val="center"/>
        <w:tblInd w:w="0" w:type="dxa"/>
        <w:tblCellMar>
          <w:top w:w="0" w:type="dxa"/>
          <w:left w:w="0" w:type="dxa"/>
          <w:bottom w:w="0" w:type="dxa"/>
          <w:right w:w="0" w:type="dxa"/>
        </w:tblCellMar>
      </w:tblPr>
      <w:tblGrid>
        <w:gridCol w:w="8300"/>
        <w:gridCol w:w="60"/>
        <w:gridCol w:w="1610"/>
        <w:gridCol w:w="60"/>
        <w:gridCol w:w="60"/>
        <w:gridCol w:w="4865"/>
        <w:gridCol w:w="60"/>
      </w:tblGrid>
      <w:tr>
        <w:trPr/>
        <w:tc>
          <w:tcPr>
            <w:tcW w:w="83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8300" w:type="dxa"/>
            <w:tcBorders/>
            <w:shd w:fill="auto" w:val="clear"/>
          </w:tcPr>
          <w:p>
            <w:pPr>
              <w:pStyle w:val="TableContents"/>
              <w:spacing w:before="0" w:after="283"/>
              <w:rPr/>
            </w:pPr>
            <w:r>
              <w:rPr/>
              <w:t>TO VOTE, MARK BLOCKS BELOW IN BLUE OR BLACK INK AS FOLLOWS:</w:t>
            </w:r>
          </w:p>
        </w:tc>
        <w:tc>
          <w:tcPr>
            <w:tcW w:w="60" w:type="dxa"/>
            <w:tcBorders/>
            <w:shd w:fill="auto" w:val="clear"/>
            <w:vAlign w:val="bottom"/>
          </w:tcPr>
          <w:p>
            <w:pPr>
              <w:pStyle w:val="TableContents"/>
              <w:spacing w:before="0" w:after="283"/>
              <w:rPr/>
            </w:pPr>
            <w:r>
              <w:rPr/>
              <w:t> </w:t>
            </w:r>
          </w:p>
        </w:tc>
        <w:tc>
          <w:tcPr>
            <w:tcW w:w="16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8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83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10" w:type="dxa"/>
            <w:tcBorders/>
            <w:shd w:fill="auto" w:val="clear"/>
            <w:vAlign w:val="bottom"/>
          </w:tcPr>
          <w:p>
            <w:pPr>
              <w:pStyle w:val="TableContents"/>
              <w:spacing w:before="0" w:after="283"/>
              <w:rPr/>
            </w:pPr>
            <w:r>
              <w:rPr/>
              <w:t>D29945-P48058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65" w:type="dxa"/>
            <w:tcBorders/>
            <w:shd w:fill="auto" w:val="clear"/>
            <w:vAlign w:val="bottom"/>
          </w:tcPr>
          <w:p>
            <w:pPr>
              <w:pStyle w:val="TableContents"/>
              <w:spacing w:before="0" w:after="283"/>
              <w:jc w:val="right"/>
              <w:rPr/>
            </w:pPr>
            <w:r>
              <w:rPr/>
              <w:t>KEEP THIS PORTION FOR YOUR RECORDS</w:t>
            </w:r>
          </w:p>
        </w:tc>
        <w:tc>
          <w:tcPr>
            <w:tcW w:w="60" w:type="dxa"/>
            <w:tcBorders/>
            <w:shd w:fill="auto" w:val="clear"/>
            <w:vAlign w:val="bottom"/>
          </w:tcPr>
          <w:p>
            <w:pPr>
              <w:pStyle w:val="TableContents"/>
              <w:spacing w:before="0" w:after="283"/>
              <w:rPr/>
            </w:pPr>
            <w:r>
              <w:rPr/>
              <w:t> </w:t>
            </w:r>
          </w:p>
        </w:tc>
      </w:tr>
      <w:tr>
        <w:trPr/>
        <w:tc>
          <w:tcPr>
            <w:tcW w:w="14955" w:type="dxa"/>
            <w:gridSpan w:val="6"/>
            <w:tcBorders/>
            <w:shd w:fill="auto" w:val="clear"/>
          </w:tcPr>
          <w:p>
            <w:pPr>
              <w:pStyle w:val="TableContents"/>
              <w:spacing w:before="0" w:after="283"/>
              <w:rPr>
                <w:b/>
              </w:rPr>
            </w:pPr>
            <w:r>
              <w:rPr>
                <w:b/>
              </w:rPr>
              <w:t>                                                             </w:t>
            </w:r>
          </w:p>
        </w:tc>
        <w:tc>
          <w:tcPr>
            <w:tcW w:w="60" w:type="dxa"/>
            <w:tcBorders/>
            <w:shd w:fill="auto" w:val="cle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jc w:val="right"/>
              <w:rPr>
                <w:rFonts w:ascii="ARIAL" w:hAnsi="ARIAL"/>
                <w:sz w:val="14"/>
              </w:rPr>
            </w:pPr>
            <w:r>
              <w:rPr>
                <w:rFonts w:ascii="ARIAL" w:hAnsi="ARIAL"/>
                <w:sz w:val="14"/>
              </w:rPr>
              <w:t>DETACH AND RETURN THIS PORTION ONLY</w:t>
            </w:r>
          </w:p>
        </w:tc>
      </w:tr>
    </w:tbl>
    <w:p>
      <w:pPr>
        <w:pStyle w:val="TextBody"/>
        <w:spacing w:before="0" w:after="0"/>
        <w:jc w:val="center"/>
        <w:rPr>
          <w:rFonts w:ascii="ARIAL" w:hAnsi="ARIAL"/>
          <w:b/>
          <w:sz w:val="16"/>
        </w:rPr>
      </w:pPr>
      <w:r>
        <w:rPr>
          <w:rFonts w:ascii="ARIAL" w:hAnsi="ARIAL"/>
          <w:b/>
          <w:sz w:val="16"/>
        </w:rPr>
        <w:t xml:space="preserve">THIS PROXY CARD IS VALID ONLY WHEN SIGNED AND DATED. </w:t>
      </w:r>
    </w:p>
    <w:p>
      <w:pPr>
        <w:pStyle w:val="TextBody"/>
        <w:spacing w:before="0" w:after="0"/>
        <w:jc w:val="left"/>
        <w:rPr/>
      </w:pPr>
      <w:r>
        <w:rPr/>
        <w:t> </w:t>
      </w:r>
    </w:p>
    <w:p>
      <w:pPr>
        <w:pStyle w:val="TextBody"/>
        <w:spacing w:before="0" w:after="0"/>
        <w:ind w:left="0" w:right="0" w:hanging="0"/>
        <w:jc w:val="left"/>
        <w:rPr>
          <w:rFonts w:ascii="ARIAL" w:hAnsi="ARIAL"/>
          <w:b/>
          <w:sz w:val="14"/>
          <w:bdr w:val="single" w:sz="12" w:space="1" w:color="000000"/>
        </w:rPr>
      </w:pPr>
      <w:r>
        <w:rPr>
          <w:rFonts w:ascii="ARIAL" w:hAnsi="ARIAL"/>
          <w:b/>
          <w:sz w:val="14"/>
          <w:bdr w:val="single" w:sz="12" w:space="1" w:color="000000"/>
        </w:rPr>
        <w:t xml:space="preserve">SEMPRA ENERGY </w:t>
      </w:r>
    </w:p>
    <w:p>
      <w:pPr>
        <w:pStyle w:val="TextBody"/>
        <w:jc w:val="left"/>
        <w:rPr>
          <w:bdr w:val="single" w:sz="12" w:space="1" w:color="000000"/>
        </w:rPr>
      </w:pPr>
      <w:r>
        <w:rPr>
          <w:bdr w:val="single" w:sz="12" w:space="1" w:color="000000"/>
        </w:rPr>
        <w:t>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110230" cy="8376285"/>
                <wp:effectExtent l="0" t="0" r="0" b="0"/>
                <wp:wrapSquare wrapText="largest"/>
                <wp:docPr id="110" name="Frame19"/>
                <a:graphic xmlns:a="http://schemas.openxmlformats.org/drawingml/2006/main">
                  <a:graphicData uri="http://schemas.microsoft.com/office/word/2010/wordprocessingShape">
                    <wps:wsp>
                      <wps:cNvSpPr txBox="1"/>
                      <wps:spPr>
                        <a:xfrm>
                          <a:off x="0" y="0"/>
                          <a:ext cx="3110230" cy="8376285"/>
                        </a:xfrm>
                        <a:prstGeom prst="rect"/>
                      </wps:spPr>
                      <wps:txbx>
                        <w:txbxContent>
                          <w:p>
                            <w:pPr>
                              <w:pStyle w:val="TextBody"/>
                              <w:spacing w:before="0" w:after="0"/>
                              <w:ind w:left="140" w:right="0" w:hanging="0"/>
                              <w:jc w:val="both"/>
                              <w:rPr>
                                <w:rFonts w:ascii="ARIAL" w:hAnsi="ARIAL"/>
                                <w:b/>
                                <w:sz w:val="14"/>
                              </w:rPr>
                            </w:pPr>
                            <w:r>
                              <w:rPr>
                                <w:rFonts w:ascii="ARIAL" w:hAnsi="ARIAL"/>
                                <w:b/>
                                <w:sz w:val="14"/>
                              </w:rPr>
                              <w:t xml:space="preserve">THE BOARD OF DIRECTORS RECOMMENDS A VOTE </w:t>
                            </w:r>
                            <w:r>
                              <w:rPr>
                                <w:rFonts w:ascii="ARIAL" w:hAnsi="ARIAL"/>
                                <w:b/>
                                <w:sz w:val="14"/>
                                <w:u w:val="single"/>
                              </w:rPr>
                              <w:t>FOR</w:t>
                            </w:r>
                            <w:r>
                              <w:rPr>
                                <w:rFonts w:ascii="ARIAL" w:hAnsi="ARIAL"/>
                                <w:b/>
                                <w:sz w:val="14"/>
                              </w:rPr>
                              <w:t xml:space="preserve"> EACH LISTED NOMINEE. </w:t>
                            </w:r>
                          </w:p>
                          <w:p>
                            <w:pPr>
                              <w:pStyle w:val="TextBody"/>
                              <w:spacing w:before="60" w:after="0"/>
                              <w:ind w:left="140" w:right="0" w:hanging="0"/>
                              <w:jc w:val="both"/>
                              <w:rPr>
                                <w:rFonts w:ascii="ARIAL" w:hAnsi="ARIAL"/>
                                <w:sz w:val="14"/>
                              </w:rPr>
                            </w:pPr>
                            <w:r>
                              <w:rPr>
                                <w:rFonts w:ascii="ARIAL" w:hAnsi="ARIAL"/>
                                <w:sz w:val="14"/>
                              </w:rPr>
                              <w:t xml:space="preserve">1.   Election of Directors: </w:t>
                            </w:r>
                          </w:p>
                          <w:p>
                            <w:pPr>
                              <w:pStyle w:val="TextBody"/>
                              <w:spacing w:before="0" w:after="0"/>
                              <w:rPr/>
                            </w:pPr>
                            <w:r>
                              <w:rPr/>
                              <w:t> </w:t>
                            </w:r>
                          </w:p>
                          <w:tbl>
                            <w:tblPr>
                              <w:tblW w:w="4750" w:type="pct"/>
                              <w:jc w:val="right"/>
                              <w:tblInd w:w="0" w:type="dxa"/>
                              <w:tblCellMar>
                                <w:top w:w="0" w:type="dxa"/>
                                <w:left w:w="0" w:type="dxa"/>
                                <w:bottom w:w="0" w:type="dxa"/>
                                <w:right w:w="0" w:type="dxa"/>
                              </w:tblCellMar>
                            </w:tblPr>
                            <w:tblGrid>
                              <w:gridCol w:w="2420"/>
                              <w:gridCol w:w="46"/>
                              <w:gridCol w:w="698"/>
                              <w:gridCol w:w="46"/>
                              <w:gridCol w:w="698"/>
                              <w:gridCol w:w="46"/>
                              <w:gridCol w:w="699"/>
                            </w:tblGrid>
                            <w:tr>
                              <w:trPr/>
                              <w:tc>
                                <w:tcPr>
                                  <w:tcW w:w="2420"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center"/>
                                    <w:rPr>
                                      <w:b/>
                                    </w:rPr>
                                  </w:pPr>
                                  <w:r>
                                    <w:rPr>
                                      <w:b/>
                                    </w:rPr>
                                    <w:t>For</w:t>
                                  </w:r>
                                </w:p>
                              </w:tc>
                              <w:tc>
                                <w:tcPr>
                                  <w:tcW w:w="4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center"/>
                                    <w:rPr>
                                      <w:b/>
                                    </w:rPr>
                                  </w:pPr>
                                  <w:r>
                                    <w:rPr>
                                      <w:b/>
                                    </w:rPr>
                                    <w:t>Against</w:t>
                                  </w:r>
                                </w:p>
                              </w:tc>
                              <w:tc>
                                <w:tcPr>
                                  <w:tcW w:w="46"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center"/>
                                    <w:rPr>
                                      <w:b/>
                                    </w:rPr>
                                  </w:pPr>
                                  <w:r>
                                    <w:rPr>
                                      <w:b/>
                                    </w:rPr>
                                    <w:t>Abstain</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tcPr>
                                <w:p>
                                  <w:pPr>
                                    <w:pStyle w:val="TableContents"/>
                                    <w:spacing w:before="0" w:after="0"/>
                                    <w:rPr>
                                      <w:rFonts w:ascii="ARIAL" w:hAnsi="ARIAL"/>
                                      <w:sz w:val="14"/>
                                    </w:rPr>
                                  </w:pPr>
                                  <w:r>
                                    <w:rPr>
                                      <w:rFonts w:ascii="ARIAL" w:hAnsi="ARIAL"/>
                                      <w:sz w:val="14"/>
                                    </w:rPr>
                                    <w:t>1a.   Alan L. Boeckmann</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tcPr>
                                <w:p>
                                  <w:pPr>
                                    <w:pStyle w:val="TableContents"/>
                                    <w:spacing w:before="0" w:after="0"/>
                                    <w:rPr>
                                      <w:rFonts w:ascii="ARIAL" w:hAnsi="ARIAL"/>
                                      <w:sz w:val="14"/>
                                    </w:rPr>
                                  </w:pPr>
                                  <w:r>
                                    <w:rPr>
                                      <w:rFonts w:ascii="ARIAL" w:hAnsi="ARIAL"/>
                                      <w:sz w:val="14"/>
                                    </w:rPr>
                                    <w:t>1b.   Andrés Conesa</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1c.   Maria Contreras-Sweet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1d.   Pablo A. Ferrero</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1e.   William D. Jones</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1f.    Jeffrey W. Martin</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1g.   Bethany J. Mayer</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1h.   Michael N. Mears</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1i.    Jack T. Taylor</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1j.    Cynthia L. Walker</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1k.    Cynthia J. Warner</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1l.    James C. Yardley</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bl>
                          <w:p>
                            <w:pPr>
                              <w:pStyle w:val="TextBody"/>
                              <w:spacing w:before="0" w:after="0"/>
                              <w:rPr/>
                            </w:pPr>
                            <w:r>
                              <w:rPr/>
                              <w:t> </w:t>
                            </w:r>
                          </w:p>
                          <w:p>
                            <w:pPr>
                              <w:pStyle w:val="TextBody"/>
                              <w:spacing w:before="0" w:after="0"/>
                              <w:rPr/>
                            </w:pP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59.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140" w:right="0" w:hanging="0"/>
                        <w:jc w:val="both"/>
                        <w:rPr>
                          <w:rFonts w:ascii="ARIAL" w:hAnsi="ARIAL"/>
                          <w:b/>
                          <w:sz w:val="14"/>
                        </w:rPr>
                      </w:pPr>
                      <w:r>
                        <w:rPr>
                          <w:rFonts w:ascii="ARIAL" w:hAnsi="ARIAL"/>
                          <w:b/>
                          <w:sz w:val="14"/>
                        </w:rPr>
                        <w:t xml:space="preserve">THE BOARD OF DIRECTORS RECOMMENDS A VOTE </w:t>
                      </w:r>
                      <w:r>
                        <w:rPr>
                          <w:rFonts w:ascii="ARIAL" w:hAnsi="ARIAL"/>
                          <w:b/>
                          <w:sz w:val="14"/>
                          <w:u w:val="single"/>
                        </w:rPr>
                        <w:t>FOR</w:t>
                      </w:r>
                      <w:r>
                        <w:rPr>
                          <w:rFonts w:ascii="ARIAL" w:hAnsi="ARIAL"/>
                          <w:b/>
                          <w:sz w:val="14"/>
                        </w:rPr>
                        <w:t xml:space="preserve"> EACH LISTED NOMINEE. </w:t>
                      </w:r>
                    </w:p>
                    <w:p>
                      <w:pPr>
                        <w:pStyle w:val="TextBody"/>
                        <w:spacing w:before="60" w:after="0"/>
                        <w:ind w:left="140" w:right="0" w:hanging="0"/>
                        <w:jc w:val="both"/>
                        <w:rPr>
                          <w:rFonts w:ascii="ARIAL" w:hAnsi="ARIAL"/>
                          <w:sz w:val="14"/>
                        </w:rPr>
                      </w:pPr>
                      <w:r>
                        <w:rPr>
                          <w:rFonts w:ascii="ARIAL" w:hAnsi="ARIAL"/>
                          <w:sz w:val="14"/>
                        </w:rPr>
                        <w:t xml:space="preserve">1.   Election of Directors: </w:t>
                      </w:r>
                    </w:p>
                    <w:p>
                      <w:pPr>
                        <w:pStyle w:val="TextBody"/>
                        <w:spacing w:before="0" w:after="0"/>
                        <w:rPr/>
                      </w:pPr>
                      <w:r>
                        <w:rPr/>
                        <w:t> </w:t>
                      </w:r>
                    </w:p>
                    <w:tbl>
                      <w:tblPr>
                        <w:tblW w:w="4750" w:type="pct"/>
                        <w:jc w:val="right"/>
                        <w:tblInd w:w="0" w:type="dxa"/>
                        <w:tblCellMar>
                          <w:top w:w="0" w:type="dxa"/>
                          <w:left w:w="0" w:type="dxa"/>
                          <w:bottom w:w="0" w:type="dxa"/>
                          <w:right w:w="0" w:type="dxa"/>
                        </w:tblCellMar>
                      </w:tblPr>
                      <w:tblGrid>
                        <w:gridCol w:w="2420"/>
                        <w:gridCol w:w="46"/>
                        <w:gridCol w:w="698"/>
                        <w:gridCol w:w="46"/>
                        <w:gridCol w:w="698"/>
                        <w:gridCol w:w="46"/>
                        <w:gridCol w:w="699"/>
                      </w:tblGrid>
                      <w:tr>
                        <w:trPr/>
                        <w:tc>
                          <w:tcPr>
                            <w:tcW w:w="2420"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center"/>
                              <w:rPr>
                                <w:b/>
                              </w:rPr>
                            </w:pPr>
                            <w:r>
                              <w:rPr>
                                <w:b/>
                              </w:rPr>
                              <w:t>For</w:t>
                            </w:r>
                          </w:p>
                        </w:tc>
                        <w:tc>
                          <w:tcPr>
                            <w:tcW w:w="4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center"/>
                              <w:rPr>
                                <w:b/>
                              </w:rPr>
                            </w:pPr>
                            <w:r>
                              <w:rPr>
                                <w:b/>
                              </w:rPr>
                              <w:t>Against</w:t>
                            </w:r>
                          </w:p>
                        </w:tc>
                        <w:tc>
                          <w:tcPr>
                            <w:tcW w:w="46"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center"/>
                              <w:rPr>
                                <w:b/>
                              </w:rPr>
                            </w:pPr>
                            <w:r>
                              <w:rPr>
                                <w:b/>
                              </w:rPr>
                              <w:t>Abstain</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tcPr>
                          <w:p>
                            <w:pPr>
                              <w:pStyle w:val="TableContents"/>
                              <w:spacing w:before="0" w:after="0"/>
                              <w:rPr>
                                <w:rFonts w:ascii="ARIAL" w:hAnsi="ARIAL"/>
                                <w:sz w:val="14"/>
                              </w:rPr>
                            </w:pPr>
                            <w:r>
                              <w:rPr>
                                <w:rFonts w:ascii="ARIAL" w:hAnsi="ARIAL"/>
                                <w:sz w:val="14"/>
                              </w:rPr>
                              <w:t>1a.   Alan L. Boeckmann</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tcPr>
                          <w:p>
                            <w:pPr>
                              <w:pStyle w:val="TableContents"/>
                              <w:spacing w:before="0" w:after="0"/>
                              <w:rPr>
                                <w:rFonts w:ascii="ARIAL" w:hAnsi="ARIAL"/>
                                <w:sz w:val="14"/>
                              </w:rPr>
                            </w:pPr>
                            <w:r>
                              <w:rPr>
                                <w:rFonts w:ascii="ARIAL" w:hAnsi="ARIAL"/>
                                <w:sz w:val="14"/>
                              </w:rPr>
                              <w:t>1b.   Andrés Conesa</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1c.   Maria Contreras-Sweet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1d.   Pablo A. Ferrero</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1e.   William D. Jones</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1f.    Jeffrey W. Martin</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1g.   Bethany J. Mayer</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1h.   Michael N. Mears</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1i.    Jack T. Taylor</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1j.    Cynthia L. Walker</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1k.    Cynthia J. Warner</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45"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rFonts w:ascii="ARIAL" w:hAnsi="ARIAL"/>
                                <w:sz w:val="14"/>
                              </w:rPr>
                            </w:pPr>
                            <w:r>
                              <w:rPr>
                                <w:rFonts w:ascii="ARIAL" w:hAnsi="ARIAL"/>
                                <w:sz w:val="14"/>
                              </w:rPr>
                              <w:t>1l.    James C. Yardley</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center"/>
                              <w:rPr/>
                            </w:pPr>
                            <w:r>
                              <w:rPr/>
                              <w:t>☐</w:t>
                            </w:r>
                          </w:p>
                        </w:tc>
                        <w:tc>
                          <w:tcPr>
                            <w:tcW w:w="46" w:type="dxa"/>
                            <w:tcBorders/>
                            <w:shd w:fill="auto" w:val="clear"/>
                            <w:vAlign w:val="bottom"/>
                          </w:tcPr>
                          <w:p>
                            <w:pPr>
                              <w:pStyle w:val="TableContents"/>
                              <w:spacing w:before="0" w:after="283"/>
                              <w:rPr/>
                            </w:pPr>
                            <w:r>
                              <w:rPr/>
                              <w:t> </w:t>
                            </w:r>
                          </w:p>
                        </w:tc>
                        <w:tc>
                          <w:tcPr>
                            <w:tcW w:w="699" w:type="dxa"/>
                            <w:tcBorders/>
                            <w:shd w:fill="auto" w:val="clear"/>
                          </w:tcPr>
                          <w:p>
                            <w:pPr>
                              <w:pStyle w:val="TableContents"/>
                              <w:spacing w:before="0" w:after="283"/>
                              <w:jc w:val="center"/>
                              <w:rPr/>
                            </w:pPr>
                            <w:r>
                              <w:rPr/>
                              <w:t>☐</w:t>
                            </w:r>
                          </w:p>
                        </w:tc>
                      </w:tr>
                    </w:tbl>
                    <w:p>
                      <w:pPr>
                        <w:pStyle w:val="TextBody"/>
                        <w:spacing w:before="0" w:after="0"/>
                        <w:rPr/>
                      </w:pPr>
                      <w:r>
                        <w:rPr/>
                        <w:t> </w:t>
                      </w:r>
                    </w:p>
                    <w:p>
                      <w:pPr>
                        <w:pStyle w:val="TextBody"/>
                        <w:spacing w:before="0" w:after="0"/>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175000" cy="7705725"/>
                <wp:effectExtent l="0" t="0" r="0" b="0"/>
                <wp:wrapSquare wrapText="largest"/>
                <wp:docPr id="111" name="Frame20"/>
                <a:graphic xmlns:a="http://schemas.openxmlformats.org/drawingml/2006/main">
                  <a:graphicData uri="http://schemas.microsoft.com/office/word/2010/wordprocessingShape">
                    <wps:wsp>
                      <wps:cNvSpPr txBox="1"/>
                      <wps:spPr>
                        <a:xfrm>
                          <a:off x="0" y="0"/>
                          <a:ext cx="3175000" cy="7705725"/>
                        </a:xfrm>
                        <a:prstGeom prst="rect"/>
                      </wps:spPr>
                      <wps:txbx>
                        <w:txbxContent>
                          <w:tbl>
                            <w:tblPr>
                              <w:tblW w:w="5000" w:type="pct"/>
                              <w:jc w:val="center"/>
                              <w:tblInd w:w="0" w:type="dxa"/>
                              <w:tblCellMar>
                                <w:top w:w="0" w:type="dxa"/>
                                <w:left w:w="0" w:type="dxa"/>
                                <w:bottom w:w="0" w:type="dxa"/>
                                <w:right w:w="0" w:type="dxa"/>
                              </w:tblCellMar>
                            </w:tblPr>
                            <w:tblGrid>
                              <w:gridCol w:w="4251"/>
                              <w:gridCol w:w="149"/>
                              <w:gridCol w:w="600"/>
                            </w:tblGrid>
                            <w:tr>
                              <w:trPr/>
                              <w:tc>
                                <w:tcPr>
                                  <w:tcW w:w="425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283"/>
                                    <w:rPr>
                                      <w:sz w:val="4"/>
                                      <w:szCs w:val="4"/>
                                    </w:rPr>
                                  </w:pPr>
                                  <w:r>
                                    <w:rPr>
                                      <w:sz w:val="4"/>
                                      <w:szCs w:val="4"/>
                                    </w:rPr>
                                  </w:r>
                                </w:p>
                              </w:tc>
                              <w:tc>
                                <w:tcPr>
                                  <w:tcW w:w="149" w:type="dxa"/>
                                  <w:tcBorders>
                                    <w:top w:val="single" w:sz="16" w:space="0" w:color="000000"/>
                                  </w:tcBorders>
                                  <w:shd w:fill="auto" w:val="clear"/>
                                  <w:tcMar>
                                    <w:top w:w="28" w:type="dxa"/>
                                  </w:tcMar>
                                  <w:vAlign w:val="bottom"/>
                                </w:tcPr>
                                <w:p>
                                  <w:pPr>
                                    <w:pStyle w:val="TableContents"/>
                                    <w:spacing w:before="0" w:after="283"/>
                                    <w:rPr/>
                                  </w:pPr>
                                  <w:r>
                                    <w:rPr/>
                                    <w:t>  </w:t>
                                  </w:r>
                                </w:p>
                              </w:tc>
                              <w:tc>
                                <w:tcPr>
                                  <w:tcW w:w="600" w:type="dxa"/>
                                  <w:tcBorders>
                                    <w:top w:val="single" w:sz="16" w:space="0" w:color="000000"/>
                                    <w:right w:val="single" w:sz="16" w:space="0" w:color="000000"/>
                                  </w:tcBorders>
                                  <w:shd w:fill="auto" w:val="clear"/>
                                  <w:tcMar>
                                    <w:top w:w="28" w:type="dxa"/>
                                    <w:right w:w="40" w:type="dxa"/>
                                  </w:tcMar>
                                  <w:vAlign w:val="bottom"/>
                                </w:tcPr>
                                <w:p>
                                  <w:pPr>
                                    <w:pStyle w:val="TableContents"/>
                                    <w:spacing w:before="0" w:after="283"/>
                                    <w:jc w:val="right"/>
                                    <w:rPr/>
                                  </w:pPr>
                                  <w:r>
                                    <w:rPr/>
                                    <w:t>            </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749" w:type="dxa"/>
                                  <w:gridSpan w:val="2"/>
                                  <w:tcBorders>
                                    <w:right w:val="single" w:sz="16" w:space="0" w:color="000000"/>
                                  </w:tcBorders>
                                  <w:shd w:fill="auto" w:val="clear"/>
                                  <w:tcMar>
                                    <w:right w:w="28" w:type="dxa"/>
                                  </w:tcMar>
                                  <w:vAlign w:val="center"/>
                                </w:tcPr>
                                <w:p>
                                  <w:pPr>
                                    <w:pStyle w:val="TableContents"/>
                                    <w:spacing w:before="0" w:after="283"/>
                                    <w:rPr/>
                                  </w:pPr>
                                  <w:r>
                                    <w:rPr/>
                                    <w:t> </w:t>
                                  </w:r>
                                </w:p>
                              </w:tc>
                            </w:tr>
                            <w:tr>
                              <w:trPr/>
                              <w:tc>
                                <w:tcPr>
                                  <w:tcW w:w="4251" w:type="dxa"/>
                                  <w:tcBorders/>
                                  <w:shd w:fill="auto" w:val="clea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pPr>
                                  <w:r>
                                    <w:rPr/>
                                    <w:t>  </w:t>
                                  </w:r>
                                </w:p>
                              </w:tc>
                              <w:tc>
                                <w:tcPr>
                                  <w:tcW w:w="600" w:type="dxa"/>
                                  <w:tcBorders>
                                    <w:right w:val="single" w:sz="16" w:space="0" w:color="000000"/>
                                  </w:tcBorders>
                                  <w:shd w:fill="auto" w:val="clear"/>
                                  <w:tcMar>
                                    <w:right w:w="40" w:type="dxa"/>
                                  </w:tcM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9"/>
                              <w:gridCol w:w="50"/>
                              <w:gridCol w:w="2901"/>
                              <w:gridCol w:w="50"/>
                              <w:gridCol w:w="600"/>
                              <w:gridCol w:w="50"/>
                              <w:gridCol w:w="600"/>
                              <w:gridCol w:w="49"/>
                              <w:gridCol w:w="601"/>
                            </w:tblGrid>
                            <w:tr>
                              <w:trPr/>
                              <w:tc>
                                <w:tcPr>
                                  <w:tcW w:w="99"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sz w:val="4"/>
                                      <w:szCs w:val="4"/>
                                    </w:rPr>
                                  </w:pPr>
                                  <w:r>
                                    <w:rPr>
                                      <w:sz w:val="4"/>
                                      <w:szCs w:val="4"/>
                                    </w:rPr>
                                  </w:r>
                                </w:p>
                              </w:tc>
                              <w:tc>
                                <w:tcPr>
                                  <w:tcW w:w="2901"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3050" w:type="dxa"/>
                                  <w:gridSpan w:val="3"/>
                                  <w:tcBorders/>
                                  <w:shd w:fill="auto" w:val="clear"/>
                                  <w:vAlign w:val="bottom"/>
                                </w:tcPr>
                                <w:p>
                                  <w:pPr>
                                    <w:pStyle w:val="TableContents"/>
                                    <w:spacing w:before="0" w:after="0"/>
                                    <w:jc w:val="both"/>
                                    <w:rPr>
                                      <w:rFonts w:ascii="ARIAL" w:hAnsi="ARIAL"/>
                                      <w:b/>
                                      <w:sz w:val="14"/>
                                    </w:rPr>
                                  </w:pPr>
                                  <w:r>
                                    <w:rPr>
                                      <w:rFonts w:ascii="ARIAL" w:hAnsi="ARIAL"/>
                                      <w:b/>
                                      <w:sz w:val="14"/>
                                    </w:rPr>
                                    <w:t>THE BOARD OF DIRECTORS RECOMMENDS A</w:t>
                                    <w:br/>
                                    <w:t xml:space="preserve">VOTE </w:t>
                                  </w:r>
                                  <w:r>
                                    <w:rPr>
                                      <w:rFonts w:ascii="ARIAL" w:hAnsi="ARIAL"/>
                                      <w:b/>
                                      <w:sz w:val="14"/>
                                      <w:u w:val="single"/>
                                    </w:rPr>
                                    <w:t>FOR</w:t>
                                  </w:r>
                                  <w:r>
                                    <w:rPr>
                                      <w:rFonts w:ascii="ARIAL" w:hAnsi="ARIAL"/>
                                      <w:b/>
                                      <w:sz w:val="14"/>
                                    </w:rPr>
                                    <w:t xml:space="preserve"> PROPOSALS 2 AND 3.</w:t>
                                  </w:r>
                                </w:p>
                              </w:tc>
                              <w:tc>
                                <w:tcPr>
                                  <w:tcW w:w="5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center"/>
                                    <w:rPr>
                                      <w:b/>
                                    </w:rPr>
                                  </w:pPr>
                                  <w:r>
                                    <w:rPr>
                                      <w:b/>
                                    </w:rPr>
                                    <w:t>For</w:t>
                                  </w:r>
                                </w:p>
                              </w:tc>
                              <w:tc>
                                <w:tcPr>
                                  <w:tcW w:w="5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center"/>
                                    <w:rPr>
                                      <w:b/>
                                    </w:rPr>
                                  </w:pPr>
                                  <w:r>
                                    <w:rPr>
                                      <w:b/>
                                    </w:rPr>
                                    <w:t>Against</w:t>
                                  </w:r>
                                </w:p>
                              </w:tc>
                              <w:tc>
                                <w:tcPr>
                                  <w:tcW w:w="4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center"/>
                                    <w:rPr>
                                      <w:b/>
                                    </w:rPr>
                                  </w:pPr>
                                  <w:r>
                                    <w:rPr>
                                      <w:b/>
                                    </w:rPr>
                                    <w:t>Abstain</w:t>
                                  </w:r>
                                </w:p>
                              </w:tc>
                            </w:tr>
                            <w:tr>
                              <w:trPr>
                                <w:trHeight w:val="120" w:hRule="atLeast"/>
                              </w:trPr>
                              <w:tc>
                                <w:tcPr>
                                  <w:tcW w:w="99"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99" w:type="dxa"/>
                                  <w:tcBorders/>
                                  <w:shd w:fill="auto" w:val="clear"/>
                                </w:tcPr>
                                <w:p>
                                  <w:pPr>
                                    <w:pStyle w:val="TableContents"/>
                                    <w:spacing w:before="0" w:after="283"/>
                                    <w:rPr/>
                                  </w:pPr>
                                  <w:r>
                                    <w:rPr/>
                                    <w:t>2.</w:t>
                                  </w:r>
                                </w:p>
                              </w:tc>
                              <w:tc>
                                <w:tcPr>
                                  <w:tcW w:w="50" w:type="dxa"/>
                                  <w:tcBorders/>
                                  <w:shd w:fill="auto" w:val="clear"/>
                                  <w:vAlign w:val="bottom"/>
                                </w:tcPr>
                                <w:p>
                                  <w:pPr>
                                    <w:pStyle w:val="TableContents"/>
                                    <w:spacing w:before="0" w:after="283"/>
                                    <w:rPr/>
                                  </w:pPr>
                                  <w:r>
                                    <w:rPr/>
                                    <w:t> </w:t>
                                  </w:r>
                                </w:p>
                              </w:tc>
                              <w:tc>
                                <w:tcPr>
                                  <w:tcW w:w="2901" w:type="dxa"/>
                                  <w:tcBorders/>
                                  <w:shd w:fill="auto" w:val="clear"/>
                                </w:tcPr>
                                <w:p>
                                  <w:pPr>
                                    <w:pStyle w:val="TableContents"/>
                                    <w:spacing w:before="0" w:after="0"/>
                                    <w:jc w:val="both"/>
                                    <w:rPr>
                                      <w:rFonts w:ascii="ARIAL" w:hAnsi="ARIAL"/>
                                      <w:sz w:val="14"/>
                                    </w:rPr>
                                  </w:pPr>
                                  <w:r>
                                    <w:rPr>
                                      <w:rFonts w:ascii="ARIAL" w:hAnsi="ARIAL"/>
                                      <w:sz w:val="14"/>
                                    </w:rPr>
                                    <w:t>Ratification of Appointment of Independent Registered Public Accounting Firm.</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center"/>
                                    <w:rPr/>
                                  </w:pPr>
                                  <w:r>
                                    <w:rPr/>
                                    <w:t>☐</w:t>
                                  </w:r>
                                </w:p>
                              </w:tc>
                            </w:tr>
                            <w:tr>
                              <w:trPr>
                                <w:trHeight w:val="120" w:hRule="atLeast"/>
                              </w:trPr>
                              <w:tc>
                                <w:tcPr>
                                  <w:tcW w:w="99"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99" w:type="dxa"/>
                                  <w:tcBorders/>
                                  <w:shd w:fill="auto" w:val="clear"/>
                                </w:tcPr>
                                <w:p>
                                  <w:pPr>
                                    <w:pStyle w:val="TableContents"/>
                                    <w:spacing w:before="0" w:after="0"/>
                                    <w:rPr>
                                      <w:rFonts w:ascii="ARIAL" w:hAnsi="ARIAL"/>
                                      <w:sz w:val="14"/>
                                    </w:rPr>
                                  </w:pPr>
                                  <w:r>
                                    <w:rPr>
                                      <w:rFonts w:ascii="ARIAL" w:hAnsi="ARIAL"/>
                                      <w:sz w:val="14"/>
                                    </w:rPr>
                                    <w:t>3.</w:t>
                                  </w:r>
                                </w:p>
                              </w:tc>
                              <w:tc>
                                <w:tcPr>
                                  <w:tcW w:w="50" w:type="dxa"/>
                                  <w:tcBorders/>
                                  <w:shd w:fill="auto" w:val="clear"/>
                                  <w:vAlign w:val="bottom"/>
                                </w:tcPr>
                                <w:p>
                                  <w:pPr>
                                    <w:pStyle w:val="TableContents"/>
                                    <w:spacing w:before="0" w:after="283"/>
                                    <w:rPr/>
                                  </w:pPr>
                                  <w:r>
                                    <w:rPr/>
                                    <w:t> </w:t>
                                  </w:r>
                                </w:p>
                              </w:tc>
                              <w:tc>
                                <w:tcPr>
                                  <w:tcW w:w="2901" w:type="dxa"/>
                                  <w:tcBorders/>
                                  <w:shd w:fill="auto" w:val="clear"/>
                                  <w:vAlign w:val="bottom"/>
                                </w:tcPr>
                                <w:p>
                                  <w:pPr>
                                    <w:pStyle w:val="TableContents"/>
                                    <w:spacing w:before="0" w:after="0"/>
                                    <w:jc w:val="both"/>
                                    <w:rPr>
                                      <w:rFonts w:ascii="ARIAL" w:hAnsi="ARIAL"/>
                                      <w:sz w:val="14"/>
                                    </w:rPr>
                                  </w:pPr>
                                  <w:r>
                                    <w:rPr>
                                      <w:rFonts w:ascii="ARIAL" w:hAnsi="ARIAL"/>
                                      <w:sz w:val="14"/>
                                    </w:rPr>
                                    <w:t>Advisory Approval of Our Executive Compensation.</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center"/>
                                    <w:rPr/>
                                  </w:pPr>
                                  <w:r>
                                    <w:rPr/>
                                    <w:t>☐</w:t>
                                  </w:r>
                                </w:p>
                              </w:tc>
                            </w:tr>
                            <w:tr>
                              <w:trPr>
                                <w:trHeight w:val="240" w:hRule="atLeast"/>
                              </w:trPr>
                              <w:tc>
                                <w:tcPr>
                                  <w:tcW w:w="3050" w:type="dxa"/>
                                  <w:gridSpan w:val="3"/>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3050" w:type="dxa"/>
                                  <w:gridSpan w:val="3"/>
                                  <w:tcBorders/>
                                  <w:shd w:fill="auto" w:val="clear"/>
                                  <w:vAlign w:val="bottom"/>
                                </w:tcPr>
                                <w:p>
                                  <w:pPr>
                                    <w:pStyle w:val="TableContents"/>
                                    <w:spacing w:before="0" w:after="0"/>
                                    <w:jc w:val="both"/>
                                    <w:rPr>
                                      <w:rFonts w:ascii="ARIAL" w:hAnsi="ARIAL"/>
                                      <w:b/>
                                      <w:sz w:val="14"/>
                                    </w:rPr>
                                  </w:pPr>
                                  <w:r>
                                    <w:rPr>
                                      <w:rFonts w:ascii="ARIAL" w:hAnsi="ARIAL"/>
                                      <w:b/>
                                      <w:sz w:val="14"/>
                                    </w:rPr>
                                    <w:t>THE BOARD OF DIRECTORS RECOMMENDS A</w:t>
                                    <w:br/>
                                    <w:t xml:space="preserve">VOTE </w:t>
                                  </w:r>
                                  <w:r>
                                    <w:rPr>
                                      <w:rFonts w:ascii="ARIAL" w:hAnsi="ARIAL"/>
                                      <w:b/>
                                      <w:sz w:val="14"/>
                                      <w:u w:val="single"/>
                                    </w:rPr>
                                    <w:t>AGAINST</w:t>
                                  </w:r>
                                  <w:r>
                                    <w:rPr>
                                      <w:rFonts w:ascii="ARIAL" w:hAnsi="ARIAL"/>
                                      <w:b/>
                                      <w:sz w:val="14"/>
                                    </w:rPr>
                                    <w:t xml:space="preserve"> PROPOSALS 4 AND 5.</w:t>
                                  </w:r>
                                </w:p>
                              </w:tc>
                              <w:tc>
                                <w:tcPr>
                                  <w:tcW w:w="5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center"/>
                                    <w:rPr>
                                      <w:b/>
                                    </w:rPr>
                                  </w:pPr>
                                  <w:r>
                                    <w:rPr>
                                      <w:b/>
                                    </w:rPr>
                                    <w:t>For</w:t>
                                  </w:r>
                                </w:p>
                              </w:tc>
                              <w:tc>
                                <w:tcPr>
                                  <w:tcW w:w="5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center"/>
                                    <w:rPr>
                                      <w:b/>
                                    </w:rPr>
                                  </w:pPr>
                                  <w:r>
                                    <w:rPr>
                                      <w:b/>
                                    </w:rPr>
                                    <w:t>Against</w:t>
                                  </w:r>
                                </w:p>
                              </w:tc>
                              <w:tc>
                                <w:tcPr>
                                  <w:tcW w:w="4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center"/>
                                    <w:rPr>
                                      <w:b/>
                                    </w:rPr>
                                  </w:pPr>
                                  <w:r>
                                    <w:rPr>
                                      <w:b/>
                                    </w:rPr>
                                    <w:t>Abstain</w:t>
                                  </w:r>
                                </w:p>
                              </w:tc>
                            </w:tr>
                            <w:tr>
                              <w:trPr>
                                <w:trHeight w:val="120" w:hRule="atLeast"/>
                              </w:trPr>
                              <w:tc>
                                <w:tcPr>
                                  <w:tcW w:w="99"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99" w:type="dxa"/>
                                  <w:tcBorders/>
                                  <w:shd w:fill="auto" w:val="clear"/>
                                </w:tcPr>
                                <w:p>
                                  <w:pPr>
                                    <w:pStyle w:val="TableContents"/>
                                    <w:spacing w:before="0" w:after="283"/>
                                    <w:rPr/>
                                  </w:pPr>
                                  <w:r>
                                    <w:rPr/>
                                    <w:t>4.</w:t>
                                  </w:r>
                                </w:p>
                              </w:tc>
                              <w:tc>
                                <w:tcPr>
                                  <w:tcW w:w="50" w:type="dxa"/>
                                  <w:tcBorders/>
                                  <w:shd w:fill="auto" w:val="clear"/>
                                  <w:vAlign w:val="bottom"/>
                                </w:tcPr>
                                <w:p>
                                  <w:pPr>
                                    <w:pStyle w:val="TableContents"/>
                                    <w:spacing w:before="0" w:after="283"/>
                                    <w:rPr/>
                                  </w:pPr>
                                  <w:r>
                                    <w:rPr/>
                                    <w:t> </w:t>
                                  </w:r>
                                </w:p>
                              </w:tc>
                              <w:tc>
                                <w:tcPr>
                                  <w:tcW w:w="2901" w:type="dxa"/>
                                  <w:tcBorders/>
                                  <w:shd w:fill="auto" w:val="clear"/>
                                </w:tcPr>
                                <w:p>
                                  <w:pPr>
                                    <w:pStyle w:val="TableContents"/>
                                    <w:spacing w:before="0" w:after="0"/>
                                    <w:jc w:val="both"/>
                                    <w:rPr>
                                      <w:rFonts w:ascii="ARIAL" w:hAnsi="ARIAL"/>
                                      <w:sz w:val="14"/>
                                    </w:rPr>
                                  </w:pPr>
                                  <w:r>
                                    <w:rPr>
                                      <w:rFonts w:ascii="ARIAL" w:hAnsi="ARIAL"/>
                                      <w:sz w:val="14"/>
                                    </w:rPr>
                                    <w:t>Shareholder Proposal Requesting an Amendment to Our Proxy Access Bylaw to Eliminate the Shareholder Nominating Group Limit.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center"/>
                                    <w:rPr/>
                                  </w:pPr>
                                  <w:r>
                                    <w:rPr/>
                                    <w:t>☐</w:t>
                                  </w:r>
                                </w:p>
                              </w:tc>
                            </w:tr>
                            <w:tr>
                              <w:trPr>
                                <w:trHeight w:val="120" w:hRule="atLeast"/>
                              </w:trPr>
                              <w:tc>
                                <w:tcPr>
                                  <w:tcW w:w="99"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99" w:type="dxa"/>
                                  <w:tcBorders/>
                                  <w:shd w:fill="auto" w:val="clear"/>
                                </w:tcPr>
                                <w:p>
                                  <w:pPr>
                                    <w:pStyle w:val="TableContents"/>
                                    <w:spacing w:before="0" w:after="0"/>
                                    <w:rPr>
                                      <w:rFonts w:ascii="ARIAL" w:hAnsi="ARIAL"/>
                                      <w:sz w:val="14"/>
                                    </w:rPr>
                                  </w:pPr>
                                  <w:r>
                                    <w:rPr>
                                      <w:rFonts w:ascii="ARIAL" w:hAnsi="ARIAL"/>
                                      <w:sz w:val="14"/>
                                    </w:rPr>
                                    <w:t>5.</w:t>
                                  </w:r>
                                </w:p>
                              </w:tc>
                              <w:tc>
                                <w:tcPr>
                                  <w:tcW w:w="50" w:type="dxa"/>
                                  <w:tcBorders/>
                                  <w:shd w:fill="auto" w:val="clear"/>
                                  <w:vAlign w:val="bottom"/>
                                </w:tcPr>
                                <w:p>
                                  <w:pPr>
                                    <w:pStyle w:val="TableContents"/>
                                    <w:spacing w:before="0" w:after="283"/>
                                    <w:rPr/>
                                  </w:pPr>
                                  <w:r>
                                    <w:rPr/>
                                    <w:t> </w:t>
                                  </w:r>
                                </w:p>
                              </w:tc>
                              <w:tc>
                                <w:tcPr>
                                  <w:tcW w:w="2901" w:type="dxa"/>
                                  <w:tcBorders/>
                                  <w:shd w:fill="auto" w:val="clear"/>
                                  <w:vAlign w:val="bottom"/>
                                </w:tcPr>
                                <w:p>
                                  <w:pPr>
                                    <w:pStyle w:val="TableContents"/>
                                    <w:spacing w:before="0" w:after="0"/>
                                    <w:jc w:val="both"/>
                                    <w:rPr>
                                      <w:rFonts w:ascii="ARIAL" w:hAnsi="ARIAL"/>
                                      <w:sz w:val="14"/>
                                    </w:rPr>
                                  </w:pPr>
                                  <w:r>
                                    <w:rPr>
                                      <w:rFonts w:ascii="ARIAL" w:hAnsi="ARIAL"/>
                                      <w:sz w:val="14"/>
                                    </w:rPr>
                                    <w:t>Shareholder Proposal Requesting a Report on Alignment of Our Lobbying Activities with the Paris Agreement.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center"/>
                                    <w:rPr/>
                                  </w:pPr>
                                  <w:r>
                                    <w:rPr/>
                                    <w:t>☐</w:t>
                                  </w:r>
                                </w:p>
                              </w:tc>
                            </w:tr>
                            <w:tr>
                              <w:trPr>
                                <w:trHeight w:val="240" w:hRule="atLeast"/>
                              </w:trPr>
                              <w:tc>
                                <w:tcPr>
                                  <w:tcW w:w="3050" w:type="dxa"/>
                                  <w:gridSpan w:val="3"/>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3050" w:type="dxa"/>
                                  <w:gridSpan w:val="3"/>
                                  <w:tcBorders/>
                                  <w:shd w:fill="auto" w:val="clear"/>
                                </w:tcPr>
                                <w:p>
                                  <w:pPr>
                                    <w:pStyle w:val="TableContents"/>
                                    <w:spacing w:before="0" w:after="0"/>
                                    <w:jc w:val="both"/>
                                    <w:rPr>
                                      <w:rFonts w:ascii="ARIAL" w:hAnsi="ARIAL"/>
                                      <w:sz w:val="14"/>
                                    </w:rPr>
                                  </w:pPr>
                                  <w:r>
                                    <w:rPr>
                                      <w:rFonts w:ascii="ARIAL" w:hAnsi="ARIAL"/>
                                      <w:b/>
                                      <w:sz w:val="14"/>
                                    </w:rPr>
                                    <w:t>THIS PROXY WHEN PROPERLY EXECUTED WILL BE VOTED IN THE MANNER DIRECTED HEREIN BY THE UNDERSIGNED</w:t>
                                  </w:r>
                                  <w:r>
                                    <w:rPr>
                                      <w:rFonts w:ascii="ARIAL" w:hAnsi="ARIAL"/>
                                      <w:sz w:val="14"/>
                                    </w:rPr>
                                    <w:t xml:space="preserve"> </w:t>
                                  </w:r>
                                  <w:r>
                                    <w:rPr>
                                      <w:rFonts w:ascii="ARIAL" w:hAnsi="ARIAL"/>
                                      <w:b/>
                                      <w:sz w:val="14"/>
                                    </w:rPr>
                                    <w:t>SHAREHOLDER(S). IF PROPERLY EXECUTED BUT NO DIRECTION IS MADE, THIS PROXY WILL BE VOTED</w:t>
                                  </w:r>
                                  <w:r>
                                    <w:rPr>
                                      <w:rFonts w:ascii="ARIAL" w:hAnsi="ARIAL"/>
                                      <w:sz w:val="14"/>
                                    </w:rPr>
                                    <w:t xml:space="preserve"> </w:t>
                                  </w:r>
                                  <w:r>
                                    <w:rPr>
                                      <w:rFonts w:ascii="ARIAL" w:hAnsi="ARIAL"/>
                                      <w:b/>
                                      <w:sz w:val="14"/>
                                    </w:rPr>
                                    <w:t>FOR ALL NOMINEES LISTED IN ITEM 1, FOR ITEMS 2 AND 3 AND AGAINST ITEMS 4 AND 5.</w:t>
                                  </w:r>
                                </w:p>
                                <w:p>
                                  <w:pPr>
                                    <w:pStyle w:val="TableContents"/>
                                    <w:spacing w:before="0" w:after="20"/>
                                    <w:jc w:val="left"/>
                                    <w:rPr/>
                                  </w:pPr>
                                  <w:r>
                                    <w:rPr/>
                                    <w:t> </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rPr>
                                      <w:sz w:val="4"/>
                                      <w:szCs w:val="4"/>
                                    </w:rPr>
                                  </w:pPr>
                                  <w:r>
                                    <w:rPr>
                                      <w:sz w:val="4"/>
                                      <w:szCs w:val="4"/>
                                    </w:rPr>
                                  </w:r>
                                </w:p>
                              </w:tc>
                            </w:tr>
                            <w:tr>
                              <w:trPr>
                                <w:trHeight w:val="120" w:hRule="atLeast"/>
                              </w:trPr>
                              <w:tc>
                                <w:tcPr>
                                  <w:tcW w:w="3050" w:type="dxa"/>
                                  <w:gridSpan w:val="3"/>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3050" w:type="dxa"/>
                                  <w:gridSpan w:val="3"/>
                                  <w:tcBorders/>
                                  <w:shd w:fill="auto" w:val="clear"/>
                                </w:tcPr>
                                <w:p>
                                  <w:pPr>
                                    <w:pStyle w:val="TableContents"/>
                                    <w:spacing w:before="0" w:after="0"/>
                                    <w:jc w:val="both"/>
                                    <w:rPr>
                                      <w:rFonts w:ascii="ARIAL" w:hAnsi="ARIAL"/>
                                      <w:sz w:val="14"/>
                                    </w:rPr>
                                  </w:pPr>
                                  <w:r>
                                    <w:rPr>
                                      <w:rFonts w:ascii="ARIAL" w:hAnsi="ARIAL"/>
                                      <w:sz w:val="14"/>
                                    </w:rPr>
                                    <w:t>Please indicate if you want confidential voting.</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06.7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4251"/>
                        <w:gridCol w:w="149"/>
                        <w:gridCol w:w="600"/>
                      </w:tblGrid>
                      <w:tr>
                        <w:trPr/>
                        <w:tc>
                          <w:tcPr>
                            <w:tcW w:w="425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283"/>
                              <w:rPr>
                                <w:sz w:val="4"/>
                                <w:szCs w:val="4"/>
                              </w:rPr>
                            </w:pPr>
                            <w:r>
                              <w:rPr>
                                <w:sz w:val="4"/>
                                <w:szCs w:val="4"/>
                              </w:rPr>
                            </w:r>
                          </w:p>
                        </w:tc>
                        <w:tc>
                          <w:tcPr>
                            <w:tcW w:w="149" w:type="dxa"/>
                            <w:tcBorders>
                              <w:top w:val="single" w:sz="16" w:space="0" w:color="000000"/>
                            </w:tcBorders>
                            <w:shd w:fill="auto" w:val="clear"/>
                            <w:tcMar>
                              <w:top w:w="28" w:type="dxa"/>
                            </w:tcMar>
                            <w:vAlign w:val="bottom"/>
                          </w:tcPr>
                          <w:p>
                            <w:pPr>
                              <w:pStyle w:val="TableContents"/>
                              <w:spacing w:before="0" w:after="283"/>
                              <w:rPr/>
                            </w:pPr>
                            <w:r>
                              <w:rPr/>
                              <w:t>  </w:t>
                            </w:r>
                          </w:p>
                        </w:tc>
                        <w:tc>
                          <w:tcPr>
                            <w:tcW w:w="600" w:type="dxa"/>
                            <w:tcBorders>
                              <w:top w:val="single" w:sz="16" w:space="0" w:color="000000"/>
                              <w:right w:val="single" w:sz="16" w:space="0" w:color="000000"/>
                            </w:tcBorders>
                            <w:shd w:fill="auto" w:val="clear"/>
                            <w:tcMar>
                              <w:top w:w="28" w:type="dxa"/>
                              <w:right w:w="40" w:type="dxa"/>
                            </w:tcMar>
                            <w:vAlign w:val="bottom"/>
                          </w:tcPr>
                          <w:p>
                            <w:pPr>
                              <w:pStyle w:val="TableContents"/>
                              <w:spacing w:before="0" w:after="283"/>
                              <w:jc w:val="right"/>
                              <w:rPr/>
                            </w:pPr>
                            <w:r>
                              <w:rPr/>
                              <w:t>            </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749" w:type="dxa"/>
                            <w:gridSpan w:val="2"/>
                            <w:tcBorders>
                              <w:right w:val="single" w:sz="16" w:space="0" w:color="000000"/>
                            </w:tcBorders>
                            <w:shd w:fill="auto" w:val="clear"/>
                            <w:tcMar>
                              <w:right w:w="28" w:type="dxa"/>
                            </w:tcMar>
                            <w:vAlign w:val="center"/>
                          </w:tcPr>
                          <w:p>
                            <w:pPr>
                              <w:pStyle w:val="TableContents"/>
                              <w:spacing w:before="0" w:after="283"/>
                              <w:rPr/>
                            </w:pPr>
                            <w:r>
                              <w:rPr/>
                              <w:t> </w:t>
                            </w:r>
                          </w:p>
                        </w:tc>
                      </w:tr>
                      <w:tr>
                        <w:trPr/>
                        <w:tc>
                          <w:tcPr>
                            <w:tcW w:w="4251" w:type="dxa"/>
                            <w:tcBorders/>
                            <w:shd w:fill="auto" w:val="clea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pPr>
                            <w:r>
                              <w:rPr/>
                              <w:t>  </w:t>
                            </w:r>
                          </w:p>
                        </w:tc>
                        <w:tc>
                          <w:tcPr>
                            <w:tcW w:w="600" w:type="dxa"/>
                            <w:tcBorders>
                              <w:right w:val="single" w:sz="16" w:space="0" w:color="000000"/>
                            </w:tcBorders>
                            <w:shd w:fill="auto" w:val="clear"/>
                            <w:tcMar>
                              <w:right w:w="40" w:type="dxa"/>
                            </w:tcM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9"/>
                        <w:gridCol w:w="50"/>
                        <w:gridCol w:w="2901"/>
                        <w:gridCol w:w="50"/>
                        <w:gridCol w:w="600"/>
                        <w:gridCol w:w="50"/>
                        <w:gridCol w:w="600"/>
                        <w:gridCol w:w="49"/>
                        <w:gridCol w:w="601"/>
                      </w:tblGrid>
                      <w:tr>
                        <w:trPr/>
                        <w:tc>
                          <w:tcPr>
                            <w:tcW w:w="99"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sz w:val="4"/>
                                <w:szCs w:val="4"/>
                              </w:rPr>
                            </w:pPr>
                            <w:r>
                              <w:rPr>
                                <w:sz w:val="4"/>
                                <w:szCs w:val="4"/>
                              </w:rPr>
                            </w:r>
                          </w:p>
                        </w:tc>
                        <w:tc>
                          <w:tcPr>
                            <w:tcW w:w="2901"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3050" w:type="dxa"/>
                            <w:gridSpan w:val="3"/>
                            <w:tcBorders/>
                            <w:shd w:fill="auto" w:val="clear"/>
                            <w:vAlign w:val="bottom"/>
                          </w:tcPr>
                          <w:p>
                            <w:pPr>
                              <w:pStyle w:val="TableContents"/>
                              <w:spacing w:before="0" w:after="0"/>
                              <w:jc w:val="both"/>
                              <w:rPr>
                                <w:rFonts w:ascii="ARIAL" w:hAnsi="ARIAL"/>
                                <w:b/>
                                <w:sz w:val="14"/>
                              </w:rPr>
                            </w:pPr>
                            <w:r>
                              <w:rPr>
                                <w:rFonts w:ascii="ARIAL" w:hAnsi="ARIAL"/>
                                <w:b/>
                                <w:sz w:val="14"/>
                              </w:rPr>
                              <w:t>THE BOARD OF DIRECTORS RECOMMENDS A</w:t>
                              <w:br/>
                              <w:t xml:space="preserve">VOTE </w:t>
                            </w:r>
                            <w:r>
                              <w:rPr>
                                <w:rFonts w:ascii="ARIAL" w:hAnsi="ARIAL"/>
                                <w:b/>
                                <w:sz w:val="14"/>
                                <w:u w:val="single"/>
                              </w:rPr>
                              <w:t>FOR</w:t>
                            </w:r>
                            <w:r>
                              <w:rPr>
                                <w:rFonts w:ascii="ARIAL" w:hAnsi="ARIAL"/>
                                <w:b/>
                                <w:sz w:val="14"/>
                              </w:rPr>
                              <w:t xml:space="preserve"> PROPOSALS 2 AND 3.</w:t>
                            </w:r>
                          </w:p>
                        </w:tc>
                        <w:tc>
                          <w:tcPr>
                            <w:tcW w:w="5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center"/>
                              <w:rPr>
                                <w:b/>
                              </w:rPr>
                            </w:pPr>
                            <w:r>
                              <w:rPr>
                                <w:b/>
                              </w:rPr>
                              <w:t>For</w:t>
                            </w:r>
                          </w:p>
                        </w:tc>
                        <w:tc>
                          <w:tcPr>
                            <w:tcW w:w="5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center"/>
                              <w:rPr>
                                <w:b/>
                              </w:rPr>
                            </w:pPr>
                            <w:r>
                              <w:rPr>
                                <w:b/>
                              </w:rPr>
                              <w:t>Against</w:t>
                            </w:r>
                          </w:p>
                        </w:tc>
                        <w:tc>
                          <w:tcPr>
                            <w:tcW w:w="4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center"/>
                              <w:rPr>
                                <w:b/>
                              </w:rPr>
                            </w:pPr>
                            <w:r>
                              <w:rPr>
                                <w:b/>
                              </w:rPr>
                              <w:t>Abstain</w:t>
                            </w:r>
                          </w:p>
                        </w:tc>
                      </w:tr>
                      <w:tr>
                        <w:trPr>
                          <w:trHeight w:val="120" w:hRule="atLeast"/>
                        </w:trPr>
                        <w:tc>
                          <w:tcPr>
                            <w:tcW w:w="99"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99" w:type="dxa"/>
                            <w:tcBorders/>
                            <w:shd w:fill="auto" w:val="clear"/>
                          </w:tcPr>
                          <w:p>
                            <w:pPr>
                              <w:pStyle w:val="TableContents"/>
                              <w:spacing w:before="0" w:after="283"/>
                              <w:rPr/>
                            </w:pPr>
                            <w:r>
                              <w:rPr/>
                              <w:t>2.</w:t>
                            </w:r>
                          </w:p>
                        </w:tc>
                        <w:tc>
                          <w:tcPr>
                            <w:tcW w:w="50" w:type="dxa"/>
                            <w:tcBorders/>
                            <w:shd w:fill="auto" w:val="clear"/>
                            <w:vAlign w:val="bottom"/>
                          </w:tcPr>
                          <w:p>
                            <w:pPr>
                              <w:pStyle w:val="TableContents"/>
                              <w:spacing w:before="0" w:after="283"/>
                              <w:rPr/>
                            </w:pPr>
                            <w:r>
                              <w:rPr/>
                              <w:t> </w:t>
                            </w:r>
                          </w:p>
                        </w:tc>
                        <w:tc>
                          <w:tcPr>
                            <w:tcW w:w="2901" w:type="dxa"/>
                            <w:tcBorders/>
                            <w:shd w:fill="auto" w:val="clear"/>
                          </w:tcPr>
                          <w:p>
                            <w:pPr>
                              <w:pStyle w:val="TableContents"/>
                              <w:spacing w:before="0" w:after="0"/>
                              <w:jc w:val="both"/>
                              <w:rPr>
                                <w:rFonts w:ascii="ARIAL" w:hAnsi="ARIAL"/>
                                <w:sz w:val="14"/>
                              </w:rPr>
                            </w:pPr>
                            <w:r>
                              <w:rPr>
                                <w:rFonts w:ascii="ARIAL" w:hAnsi="ARIAL"/>
                                <w:sz w:val="14"/>
                              </w:rPr>
                              <w:t>Ratification of Appointment of Independent Registered Public Accounting Firm.</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center"/>
                              <w:rPr/>
                            </w:pPr>
                            <w:r>
                              <w:rPr/>
                              <w:t>☐</w:t>
                            </w:r>
                          </w:p>
                        </w:tc>
                      </w:tr>
                      <w:tr>
                        <w:trPr>
                          <w:trHeight w:val="120" w:hRule="atLeast"/>
                        </w:trPr>
                        <w:tc>
                          <w:tcPr>
                            <w:tcW w:w="99"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99" w:type="dxa"/>
                            <w:tcBorders/>
                            <w:shd w:fill="auto" w:val="clear"/>
                          </w:tcPr>
                          <w:p>
                            <w:pPr>
                              <w:pStyle w:val="TableContents"/>
                              <w:spacing w:before="0" w:after="0"/>
                              <w:rPr>
                                <w:rFonts w:ascii="ARIAL" w:hAnsi="ARIAL"/>
                                <w:sz w:val="14"/>
                              </w:rPr>
                            </w:pPr>
                            <w:r>
                              <w:rPr>
                                <w:rFonts w:ascii="ARIAL" w:hAnsi="ARIAL"/>
                                <w:sz w:val="14"/>
                              </w:rPr>
                              <w:t>3.</w:t>
                            </w:r>
                          </w:p>
                        </w:tc>
                        <w:tc>
                          <w:tcPr>
                            <w:tcW w:w="50" w:type="dxa"/>
                            <w:tcBorders/>
                            <w:shd w:fill="auto" w:val="clear"/>
                            <w:vAlign w:val="bottom"/>
                          </w:tcPr>
                          <w:p>
                            <w:pPr>
                              <w:pStyle w:val="TableContents"/>
                              <w:spacing w:before="0" w:after="283"/>
                              <w:rPr/>
                            </w:pPr>
                            <w:r>
                              <w:rPr/>
                              <w:t> </w:t>
                            </w:r>
                          </w:p>
                        </w:tc>
                        <w:tc>
                          <w:tcPr>
                            <w:tcW w:w="2901" w:type="dxa"/>
                            <w:tcBorders/>
                            <w:shd w:fill="auto" w:val="clear"/>
                            <w:vAlign w:val="bottom"/>
                          </w:tcPr>
                          <w:p>
                            <w:pPr>
                              <w:pStyle w:val="TableContents"/>
                              <w:spacing w:before="0" w:after="0"/>
                              <w:jc w:val="both"/>
                              <w:rPr>
                                <w:rFonts w:ascii="ARIAL" w:hAnsi="ARIAL"/>
                                <w:sz w:val="14"/>
                              </w:rPr>
                            </w:pPr>
                            <w:r>
                              <w:rPr>
                                <w:rFonts w:ascii="ARIAL" w:hAnsi="ARIAL"/>
                                <w:sz w:val="14"/>
                              </w:rPr>
                              <w:t>Advisory Approval of Our Executive Compensation.</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center"/>
                              <w:rPr/>
                            </w:pPr>
                            <w:r>
                              <w:rPr/>
                              <w:t>☐</w:t>
                            </w:r>
                          </w:p>
                        </w:tc>
                      </w:tr>
                      <w:tr>
                        <w:trPr>
                          <w:trHeight w:val="240" w:hRule="atLeast"/>
                        </w:trPr>
                        <w:tc>
                          <w:tcPr>
                            <w:tcW w:w="3050" w:type="dxa"/>
                            <w:gridSpan w:val="3"/>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3050" w:type="dxa"/>
                            <w:gridSpan w:val="3"/>
                            <w:tcBorders/>
                            <w:shd w:fill="auto" w:val="clear"/>
                            <w:vAlign w:val="bottom"/>
                          </w:tcPr>
                          <w:p>
                            <w:pPr>
                              <w:pStyle w:val="TableContents"/>
                              <w:spacing w:before="0" w:after="0"/>
                              <w:jc w:val="both"/>
                              <w:rPr>
                                <w:rFonts w:ascii="ARIAL" w:hAnsi="ARIAL"/>
                                <w:b/>
                                <w:sz w:val="14"/>
                              </w:rPr>
                            </w:pPr>
                            <w:r>
                              <w:rPr>
                                <w:rFonts w:ascii="ARIAL" w:hAnsi="ARIAL"/>
                                <w:b/>
                                <w:sz w:val="14"/>
                              </w:rPr>
                              <w:t>THE BOARD OF DIRECTORS RECOMMENDS A</w:t>
                              <w:br/>
                              <w:t xml:space="preserve">VOTE </w:t>
                            </w:r>
                            <w:r>
                              <w:rPr>
                                <w:rFonts w:ascii="ARIAL" w:hAnsi="ARIAL"/>
                                <w:b/>
                                <w:sz w:val="14"/>
                                <w:u w:val="single"/>
                              </w:rPr>
                              <w:t>AGAINST</w:t>
                            </w:r>
                            <w:r>
                              <w:rPr>
                                <w:rFonts w:ascii="ARIAL" w:hAnsi="ARIAL"/>
                                <w:b/>
                                <w:sz w:val="14"/>
                              </w:rPr>
                              <w:t xml:space="preserve"> PROPOSALS 4 AND 5.</w:t>
                            </w:r>
                          </w:p>
                        </w:tc>
                        <w:tc>
                          <w:tcPr>
                            <w:tcW w:w="5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center"/>
                              <w:rPr>
                                <w:b/>
                              </w:rPr>
                            </w:pPr>
                            <w:r>
                              <w:rPr>
                                <w:b/>
                              </w:rPr>
                              <w:t>For</w:t>
                            </w:r>
                          </w:p>
                        </w:tc>
                        <w:tc>
                          <w:tcPr>
                            <w:tcW w:w="5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center"/>
                              <w:rPr>
                                <w:b/>
                              </w:rPr>
                            </w:pPr>
                            <w:r>
                              <w:rPr>
                                <w:b/>
                              </w:rPr>
                              <w:t>Against</w:t>
                            </w:r>
                          </w:p>
                        </w:tc>
                        <w:tc>
                          <w:tcPr>
                            <w:tcW w:w="4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center"/>
                              <w:rPr>
                                <w:b/>
                              </w:rPr>
                            </w:pPr>
                            <w:r>
                              <w:rPr>
                                <w:b/>
                              </w:rPr>
                              <w:t>Abstain</w:t>
                            </w:r>
                          </w:p>
                        </w:tc>
                      </w:tr>
                      <w:tr>
                        <w:trPr>
                          <w:trHeight w:val="120" w:hRule="atLeast"/>
                        </w:trPr>
                        <w:tc>
                          <w:tcPr>
                            <w:tcW w:w="99"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99" w:type="dxa"/>
                            <w:tcBorders/>
                            <w:shd w:fill="auto" w:val="clear"/>
                          </w:tcPr>
                          <w:p>
                            <w:pPr>
                              <w:pStyle w:val="TableContents"/>
                              <w:spacing w:before="0" w:after="283"/>
                              <w:rPr/>
                            </w:pPr>
                            <w:r>
                              <w:rPr/>
                              <w:t>4.</w:t>
                            </w:r>
                          </w:p>
                        </w:tc>
                        <w:tc>
                          <w:tcPr>
                            <w:tcW w:w="50" w:type="dxa"/>
                            <w:tcBorders/>
                            <w:shd w:fill="auto" w:val="clear"/>
                            <w:vAlign w:val="bottom"/>
                          </w:tcPr>
                          <w:p>
                            <w:pPr>
                              <w:pStyle w:val="TableContents"/>
                              <w:spacing w:before="0" w:after="283"/>
                              <w:rPr/>
                            </w:pPr>
                            <w:r>
                              <w:rPr/>
                              <w:t> </w:t>
                            </w:r>
                          </w:p>
                        </w:tc>
                        <w:tc>
                          <w:tcPr>
                            <w:tcW w:w="2901" w:type="dxa"/>
                            <w:tcBorders/>
                            <w:shd w:fill="auto" w:val="clear"/>
                          </w:tcPr>
                          <w:p>
                            <w:pPr>
                              <w:pStyle w:val="TableContents"/>
                              <w:spacing w:before="0" w:after="0"/>
                              <w:jc w:val="both"/>
                              <w:rPr>
                                <w:rFonts w:ascii="ARIAL" w:hAnsi="ARIAL"/>
                                <w:sz w:val="14"/>
                              </w:rPr>
                            </w:pPr>
                            <w:r>
                              <w:rPr>
                                <w:rFonts w:ascii="ARIAL" w:hAnsi="ARIAL"/>
                                <w:sz w:val="14"/>
                              </w:rPr>
                              <w:t>Shareholder Proposal Requesting an Amendment to Our Proxy Access Bylaw to Eliminate the Shareholder Nominating Group Limit.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center"/>
                              <w:rPr/>
                            </w:pPr>
                            <w:r>
                              <w:rPr/>
                              <w:t>☐</w:t>
                            </w:r>
                          </w:p>
                        </w:tc>
                      </w:tr>
                      <w:tr>
                        <w:trPr>
                          <w:trHeight w:val="120" w:hRule="atLeast"/>
                        </w:trPr>
                        <w:tc>
                          <w:tcPr>
                            <w:tcW w:w="99" w:type="dxa"/>
                            <w:tcBorders/>
                            <w:shd w:fill="auto" w:val="clear"/>
                            <w:vAlign w:val="center"/>
                          </w:tcPr>
                          <w:p>
                            <w:pPr>
                              <w:pStyle w:val="TableContents"/>
                              <w:spacing w:before="0" w:after="283"/>
                              <w:rPr>
                                <w:sz w:val="4"/>
                                <w:szCs w:val="4"/>
                              </w:rPr>
                            </w:pPr>
                            <w:r>
                              <w:rPr>
                                <w:sz w:val="4"/>
                                <w:szCs w:val="4"/>
                              </w:rPr>
                            </w:r>
                          </w:p>
                        </w:tc>
                        <w:tc>
                          <w:tcPr>
                            <w:tcW w:w="2951"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99" w:type="dxa"/>
                            <w:tcBorders/>
                            <w:shd w:fill="auto" w:val="clear"/>
                          </w:tcPr>
                          <w:p>
                            <w:pPr>
                              <w:pStyle w:val="TableContents"/>
                              <w:spacing w:before="0" w:after="0"/>
                              <w:rPr>
                                <w:rFonts w:ascii="ARIAL" w:hAnsi="ARIAL"/>
                                <w:sz w:val="14"/>
                              </w:rPr>
                            </w:pPr>
                            <w:r>
                              <w:rPr>
                                <w:rFonts w:ascii="ARIAL" w:hAnsi="ARIAL"/>
                                <w:sz w:val="14"/>
                              </w:rPr>
                              <w:t>5.</w:t>
                            </w:r>
                          </w:p>
                        </w:tc>
                        <w:tc>
                          <w:tcPr>
                            <w:tcW w:w="50" w:type="dxa"/>
                            <w:tcBorders/>
                            <w:shd w:fill="auto" w:val="clear"/>
                            <w:vAlign w:val="bottom"/>
                          </w:tcPr>
                          <w:p>
                            <w:pPr>
                              <w:pStyle w:val="TableContents"/>
                              <w:spacing w:before="0" w:after="283"/>
                              <w:rPr/>
                            </w:pPr>
                            <w:r>
                              <w:rPr/>
                              <w:t> </w:t>
                            </w:r>
                          </w:p>
                        </w:tc>
                        <w:tc>
                          <w:tcPr>
                            <w:tcW w:w="2901" w:type="dxa"/>
                            <w:tcBorders/>
                            <w:shd w:fill="auto" w:val="clear"/>
                            <w:vAlign w:val="bottom"/>
                          </w:tcPr>
                          <w:p>
                            <w:pPr>
                              <w:pStyle w:val="TableContents"/>
                              <w:spacing w:before="0" w:after="0"/>
                              <w:jc w:val="both"/>
                              <w:rPr>
                                <w:rFonts w:ascii="ARIAL" w:hAnsi="ARIAL"/>
                                <w:sz w:val="14"/>
                              </w:rPr>
                            </w:pPr>
                            <w:r>
                              <w:rPr>
                                <w:rFonts w:ascii="ARIAL" w:hAnsi="ARIAL"/>
                                <w:sz w:val="14"/>
                              </w:rPr>
                              <w:t>Shareholder Proposal Requesting a Report on Alignment of Our Lobbying Activities with the Paris Agreement.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center"/>
                              <w:rPr/>
                            </w:pPr>
                            <w:r>
                              <w:rPr/>
                              <w:t>☐</w:t>
                            </w:r>
                          </w:p>
                        </w:tc>
                      </w:tr>
                      <w:tr>
                        <w:trPr>
                          <w:trHeight w:val="240" w:hRule="atLeast"/>
                        </w:trPr>
                        <w:tc>
                          <w:tcPr>
                            <w:tcW w:w="3050" w:type="dxa"/>
                            <w:gridSpan w:val="3"/>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3050" w:type="dxa"/>
                            <w:gridSpan w:val="3"/>
                            <w:tcBorders/>
                            <w:shd w:fill="auto" w:val="clear"/>
                          </w:tcPr>
                          <w:p>
                            <w:pPr>
                              <w:pStyle w:val="TableContents"/>
                              <w:spacing w:before="0" w:after="0"/>
                              <w:jc w:val="both"/>
                              <w:rPr>
                                <w:rFonts w:ascii="ARIAL" w:hAnsi="ARIAL"/>
                                <w:sz w:val="14"/>
                              </w:rPr>
                            </w:pPr>
                            <w:r>
                              <w:rPr>
                                <w:rFonts w:ascii="ARIAL" w:hAnsi="ARIAL"/>
                                <w:b/>
                                <w:sz w:val="14"/>
                              </w:rPr>
                              <w:t>THIS PROXY WHEN PROPERLY EXECUTED WILL BE VOTED IN THE MANNER DIRECTED HEREIN BY THE UNDERSIGNED</w:t>
                            </w:r>
                            <w:r>
                              <w:rPr>
                                <w:rFonts w:ascii="ARIAL" w:hAnsi="ARIAL"/>
                                <w:sz w:val="14"/>
                              </w:rPr>
                              <w:t xml:space="preserve"> </w:t>
                            </w:r>
                            <w:r>
                              <w:rPr>
                                <w:rFonts w:ascii="ARIAL" w:hAnsi="ARIAL"/>
                                <w:b/>
                                <w:sz w:val="14"/>
                              </w:rPr>
                              <w:t>SHAREHOLDER(S). IF PROPERLY EXECUTED BUT NO DIRECTION IS MADE, THIS PROXY WILL BE VOTED</w:t>
                            </w:r>
                            <w:r>
                              <w:rPr>
                                <w:rFonts w:ascii="ARIAL" w:hAnsi="ARIAL"/>
                                <w:sz w:val="14"/>
                              </w:rPr>
                              <w:t xml:space="preserve"> </w:t>
                            </w:r>
                            <w:r>
                              <w:rPr>
                                <w:rFonts w:ascii="ARIAL" w:hAnsi="ARIAL"/>
                                <w:b/>
                                <w:sz w:val="14"/>
                              </w:rPr>
                              <w:t>FOR ALL NOMINEES LISTED IN ITEM 1, FOR ITEMS 2 AND 3 AND AGAINST ITEMS 4 AND 5.</w:t>
                            </w:r>
                          </w:p>
                          <w:p>
                            <w:pPr>
                              <w:pStyle w:val="TableContents"/>
                              <w:spacing w:before="0" w:after="20"/>
                              <w:jc w:val="left"/>
                              <w:rPr/>
                            </w:pPr>
                            <w:r>
                              <w:rPr/>
                              <w:t> </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rPr>
                                <w:sz w:val="4"/>
                                <w:szCs w:val="4"/>
                              </w:rPr>
                            </w:pPr>
                            <w:r>
                              <w:rPr>
                                <w:sz w:val="4"/>
                                <w:szCs w:val="4"/>
                              </w:rPr>
                            </w:r>
                          </w:p>
                        </w:tc>
                      </w:tr>
                      <w:tr>
                        <w:trPr>
                          <w:trHeight w:val="120" w:hRule="atLeast"/>
                        </w:trPr>
                        <w:tc>
                          <w:tcPr>
                            <w:tcW w:w="3050" w:type="dxa"/>
                            <w:gridSpan w:val="3"/>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c>
                          <w:tcPr>
                            <w:tcW w:w="650" w:type="dxa"/>
                            <w:gridSpan w:val="2"/>
                            <w:tcBorders/>
                            <w:shd w:fill="auto" w:val="clear"/>
                            <w:vAlign w:val="center"/>
                          </w:tcPr>
                          <w:p>
                            <w:pPr>
                              <w:pStyle w:val="TableContents"/>
                              <w:spacing w:before="0" w:after="283"/>
                              <w:rPr>
                                <w:sz w:val="4"/>
                                <w:szCs w:val="4"/>
                              </w:rPr>
                            </w:pPr>
                            <w:r>
                              <w:rPr>
                                <w:sz w:val="4"/>
                                <w:szCs w:val="4"/>
                              </w:rPr>
                            </w:r>
                          </w:p>
                        </w:tc>
                      </w:tr>
                      <w:tr>
                        <w:trPr/>
                        <w:tc>
                          <w:tcPr>
                            <w:tcW w:w="3050" w:type="dxa"/>
                            <w:gridSpan w:val="3"/>
                            <w:tcBorders/>
                            <w:shd w:fill="auto" w:val="clear"/>
                          </w:tcPr>
                          <w:p>
                            <w:pPr>
                              <w:pStyle w:val="TableContents"/>
                              <w:spacing w:before="0" w:after="0"/>
                              <w:jc w:val="both"/>
                              <w:rPr>
                                <w:rFonts w:ascii="ARIAL" w:hAnsi="ARIAL"/>
                                <w:sz w:val="14"/>
                              </w:rPr>
                            </w:pPr>
                            <w:r>
                              <w:rPr>
                                <w:rFonts w:ascii="ARIAL" w:hAnsi="ARIAL"/>
                                <w:sz w:val="14"/>
                              </w:rPr>
                              <w:t>Please indicate if you want confidential voting.</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center"/>
                              <w:rPr/>
                            </w:pPr>
                            <w:r>
                              <w:rPr/>
                              <w:t>☐</w:t>
                            </w:r>
                          </w:p>
                        </w:tc>
                        <w:tc>
                          <w:tcPr>
                            <w:tcW w:w="50"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right"/>
              </v:rect>
            </w:pict>
          </mc:Fallback>
        </mc:AlternateContent>
      </w:r>
    </w:p>
    <w:p>
      <w:pPr>
        <w:pStyle w:val="TextBody"/>
        <w:spacing w:before="0" w:after="0"/>
        <w:jc w:val="left"/>
        <w:rPr>
          <w:bdr w:val="single" w:sz="12" w:space="1" w:color="000000"/>
        </w:rPr>
      </w:pPr>
      <w:r>
        <w:rPr>
          <w:bdr w:val="single" w:sz="12" w:space="1" w:color="000000"/>
        </w:rPr>
        <w:t> </w:t>
      </w:r>
    </w:p>
    <w:p>
      <w:pPr>
        <w:pStyle w:val="TextBody"/>
        <w:spacing w:before="0" w:after="0"/>
        <w:jc w:val="left"/>
        <w:rPr>
          <w:rFonts w:ascii="ARIAL" w:hAnsi="ARIAL"/>
          <w:sz w:val="13"/>
          <w:bdr w:val="single" w:sz="12" w:space="1" w:color="000000"/>
        </w:rPr>
      </w:pPr>
      <w:r>
        <w:rPr>
          <w:rFonts w:ascii="ARIAL" w:hAnsi="ARIAL"/>
          <w:b/>
          <w:sz w:val="13"/>
          <w:bdr w:val="single" w:sz="12" w:space="1" w:color="000000"/>
        </w:rPr>
        <w:t xml:space="preserve">Note: </w:t>
      </w:r>
      <w:r>
        <w:rPr>
          <w:rFonts w:ascii="ARIAL" w:hAnsi="ARIAL"/>
          <w:sz w:val="13"/>
          <w:bdr w:val="single" w:sz="12" w:space="1" w:color="000000"/>
        </w:rPr>
        <w:t xml:space="preserve">Please sign exactly as your name or names appear(s)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w:t>
      </w:r>
    </w:p>
    <w:p>
      <w:pPr>
        <w:pStyle w:val="TextBody"/>
        <w:spacing w:before="0" w:after="0"/>
        <w:jc w:val="left"/>
        <w:rPr>
          <w:bdr w:val="single" w:sz="12" w:space="1" w:color="000000"/>
        </w:rPr>
      </w:pPr>
      <w:r>
        <w:rPr>
          <w:bdr w:val="single" w:sz="12" w:space="1" w:color="000000"/>
        </w:rPr>
        <w:t> </w:t>
      </w:r>
    </w:p>
    <w:tbl>
      <w:tblPr>
        <w:tblW w:w="5000" w:type="pct"/>
        <w:jc w:val="center"/>
        <w:tblInd w:w="0" w:type="dxa"/>
        <w:tblCellMar>
          <w:top w:w="0" w:type="dxa"/>
          <w:left w:w="0" w:type="dxa"/>
          <w:bottom w:w="0" w:type="dxa"/>
          <w:right w:w="0" w:type="dxa"/>
        </w:tblCellMar>
      </w:tblPr>
      <w:tblGrid>
        <w:gridCol w:w="3623"/>
        <w:gridCol w:w="97"/>
        <w:gridCol w:w="772"/>
        <w:gridCol w:w="97"/>
        <w:gridCol w:w="817"/>
        <w:gridCol w:w="120"/>
        <w:gridCol w:w="3111"/>
        <w:gridCol w:w="97"/>
        <w:gridCol w:w="771"/>
        <w:gridCol w:w="97"/>
        <w:gridCol w:w="603"/>
      </w:tblGrid>
      <w:tr>
        <w:trPr/>
        <w:tc>
          <w:tcPr>
            <w:tcW w:w="3623"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11"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3623"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869" w:type="dxa"/>
            <w:gridSpan w:val="2"/>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c>
          <w:tcPr>
            <w:tcW w:w="914" w:type="dxa"/>
            <w:gridSpan w:val="2"/>
            <w:tcBorders/>
            <w:shd w:fill="auto" w:val="clear"/>
            <w:vAlign w:val="center"/>
          </w:tcPr>
          <w:p>
            <w:pPr>
              <w:pStyle w:val="TableContents"/>
              <w:spacing w:before="0" w:after="283"/>
              <w:rPr>
                <w:sz w:val="4"/>
                <w:szCs w:val="4"/>
              </w:rPr>
            </w:pPr>
            <w:r>
              <w:rPr>
                <w:sz w:val="4"/>
                <w:szCs w:val="4"/>
              </w:rPr>
            </w:r>
          </w:p>
        </w:tc>
        <w:tc>
          <w:tcPr>
            <w:tcW w:w="323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868" w:type="dxa"/>
            <w:gridSpan w:val="2"/>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rPr>
                <w:sz w:val="4"/>
                <w:szCs w:val="4"/>
              </w:rPr>
            </w:pPr>
            <w:r>
              <w:rPr>
                <w:sz w:val="4"/>
                <w:szCs w:val="4"/>
              </w:rPr>
            </w:r>
          </w:p>
        </w:tc>
      </w:tr>
      <w:tr>
        <w:trPr/>
        <w:tc>
          <w:tcPr>
            <w:tcW w:w="3623" w:type="dxa"/>
            <w:tcBorders>
              <w:left w:val="single" w:sz="2" w:space="0" w:color="000000"/>
              <w:bottom w:val="single" w:sz="2" w:space="0" w:color="000000"/>
              <w:right w:val="single" w:sz="2" w:space="0" w:color="000000"/>
            </w:tcBorders>
            <w:shd w:fill="auto" w:val="clear"/>
            <w:tcMar>
              <w:left w:w="160" w:type="dxa"/>
              <w:bottom w:w="28" w:type="dxa"/>
              <w:right w:w="28" w:type="dxa"/>
            </w:tcMar>
          </w:tcPr>
          <w:p>
            <w:pPr>
              <w:pStyle w:val="TableContents"/>
              <w:spacing w:before="0" w:after="283"/>
              <w:rPr/>
            </w:pPr>
            <w:r>
              <w:rPr/>
              <w:t> </w:t>
            </w:r>
          </w:p>
        </w:tc>
        <w:tc>
          <w:tcPr>
            <w:tcW w:w="97" w:type="dxa"/>
            <w:tcBorders>
              <w:bottom w:val="single" w:sz="2" w:space="0" w:color="000000"/>
            </w:tcBorders>
            <w:shd w:fill="auto" w:val="clear"/>
            <w:tcMar>
              <w:bottom w:w="28" w:type="dxa"/>
            </w:tcMar>
            <w:vAlign w:val="bottom"/>
          </w:tcPr>
          <w:p>
            <w:pPr>
              <w:pStyle w:val="TableContents"/>
              <w:spacing w:before="0" w:after="283"/>
              <w:rPr/>
            </w:pPr>
            <w:r>
              <w:rPr/>
              <w:t> </w:t>
            </w:r>
          </w:p>
        </w:tc>
        <w:tc>
          <w:tcPr>
            <w:tcW w:w="772"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sz w:val="4"/>
                <w:szCs w:val="4"/>
              </w:rPr>
            </w:pPr>
            <w:r>
              <w:rPr>
                <w:sz w:val="4"/>
                <w:szCs w:val="4"/>
              </w:rPr>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111" w:type="dxa"/>
            <w:tcBorders>
              <w:bottom w:val="single" w:sz="2" w:space="0" w:color="000000"/>
              <w:right w:val="single" w:sz="2" w:space="0" w:color="000000"/>
            </w:tcBorders>
            <w:shd w:fill="auto" w:val="clear"/>
            <w:tcMar>
              <w:bottom w:w="28" w:type="dxa"/>
              <w:right w:w="28" w:type="dxa"/>
            </w:tcMar>
          </w:tcPr>
          <w:p>
            <w:pPr>
              <w:pStyle w:val="TableContents"/>
              <w:spacing w:before="0" w:after="283"/>
              <w:rPr/>
            </w:pPr>
            <w:r>
              <w:rPr/>
              <w:t> </w:t>
            </w:r>
          </w:p>
        </w:tc>
        <w:tc>
          <w:tcPr>
            <w:tcW w:w="97" w:type="dxa"/>
            <w:tcBorders>
              <w:bottom w:val="single" w:sz="2" w:space="0" w:color="000000"/>
            </w:tcBorders>
            <w:shd w:fill="auto" w:val="clear"/>
            <w:tcMar>
              <w:bottom w:w="28" w:type="dxa"/>
            </w:tcMar>
            <w:vAlign w:val="bottom"/>
          </w:tcPr>
          <w:p>
            <w:pPr>
              <w:pStyle w:val="TableContents"/>
              <w:spacing w:before="0" w:after="283"/>
              <w:rPr/>
            </w:pPr>
            <w:r>
              <w:rPr/>
              <w:t> </w:t>
            </w:r>
          </w:p>
        </w:tc>
        <w:tc>
          <w:tcPr>
            <w:tcW w:w="771"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rPr>
                <w:sz w:val="4"/>
                <w:szCs w:val="4"/>
              </w:rPr>
            </w:pPr>
            <w:r>
              <w:rPr>
                <w:sz w:val="4"/>
                <w:szCs w:val="4"/>
              </w:rPr>
            </w:r>
          </w:p>
        </w:tc>
      </w:tr>
      <w:tr>
        <w:trPr/>
        <w:tc>
          <w:tcPr>
            <w:tcW w:w="3623" w:type="dxa"/>
            <w:tcBorders/>
            <w:shd w:fill="auto" w:val="clear"/>
          </w:tcPr>
          <w:p>
            <w:pPr>
              <w:pStyle w:val="TableContents"/>
              <w:spacing w:before="0" w:after="0"/>
              <w:rPr>
                <w:rFonts w:ascii="ARIAL" w:hAnsi="ARIAL"/>
                <w:sz w:val="14"/>
              </w:rPr>
            </w:pPr>
            <w:r>
              <w:rPr>
                <w:rFonts w:ascii="ARIAL" w:hAnsi="ARIAL"/>
                <w:sz w:val="14"/>
              </w:rPr>
              <w:t>Signature of Shareholder [PLEASE SIGN WITHIN BOX]</w:t>
            </w:r>
          </w:p>
        </w:tc>
        <w:tc>
          <w:tcPr>
            <w:tcW w:w="97"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Date</w:t>
            </w:r>
          </w:p>
        </w:tc>
        <w:tc>
          <w:tcPr>
            <w:tcW w:w="97"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0"/>
              <w:rPr>
                <w:rFonts w:ascii="ARIAL" w:hAnsi="ARIAL"/>
                <w:sz w:val="14"/>
              </w:rPr>
            </w:pPr>
            <w:r>
              <w:rPr>
                <w:rFonts w:ascii="ARIAL" w:hAnsi="ARIAL"/>
                <w:sz w:val="14"/>
              </w:rPr>
              <w:t>Signature of Shareholder (Joint Owners)</w:t>
            </w:r>
          </w:p>
        </w:tc>
        <w:tc>
          <w:tcPr>
            <w:tcW w:w="97"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Date</w:t>
            </w:r>
          </w:p>
        </w:tc>
        <w:tc>
          <w:tcPr>
            <w:tcW w:w="97"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bdr w:val="single" w:sz="12" w:space="1" w:color="000000"/>
        </w:rPr>
      </w:pPr>
      <w:r>
        <w:rPr>
          <w:bdr w:val="single" w:sz="12" w:space="1" w:color="000000"/>
        </w:rPr>
        <w:t> </w:t>
      </w:r>
    </w:p>
    <w:p>
      <w:pPr>
        <w:pStyle w:val="TextBody"/>
        <w:spacing w:before="0" w:after="0"/>
        <w:jc w:val="left"/>
        <w:rPr>
          <w:bdr w:val="single" w:sz="12" w:space="1" w:color="000000"/>
        </w:rPr>
      </w:pPr>
      <w:r>
        <w:rPr>
          <w:bdr w:val="single" w:sz="12" w:space="1" w:color="000000"/>
        </w:rPr>
      </w:r>
    </w:p>
    <w:p>
      <w:pPr>
        <w:pStyle w:val="TextBody"/>
        <w:jc w:val="left"/>
        <w:rPr/>
      </w:pPr>
      <w:r>
        <w:rPr/>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4"/>
        </w:rPr>
      </w:pPr>
      <w:r>
        <w:rPr>
          <w:rFonts w:ascii="ARIAL" w:hAnsi="ARIAL"/>
          <w:b/>
          <w:sz w:val="24"/>
        </w:rPr>
        <w:t xml:space="preserve">Sempra Energy Annual Shareholders Meeting Information </w:t>
      </w:r>
    </w:p>
    <w:p>
      <w:pPr>
        <w:pStyle w:val="TextBody"/>
        <w:spacing w:before="120" w:after="0"/>
        <w:jc w:val="center"/>
        <w:rPr>
          <w:rFonts w:ascii="ARIAL" w:hAnsi="ARIAL"/>
          <w:b/>
          <w:sz w:val="24"/>
        </w:rPr>
      </w:pPr>
      <w:r>
        <w:rPr>
          <w:rFonts w:ascii="ARIAL" w:hAnsi="ARIAL"/>
          <w:b/>
          <w:sz w:val="24"/>
        </w:rPr>
        <w:t xml:space="preserve">Friday, May 14, 2021 </w:t>
      </w:r>
    </w:p>
    <w:p>
      <w:pPr>
        <w:pStyle w:val="TextBody"/>
        <w:spacing w:before="120" w:after="0"/>
        <w:jc w:val="center"/>
        <w:rPr>
          <w:rFonts w:ascii="ARIAL" w:hAnsi="ARIAL"/>
          <w:b/>
          <w:sz w:val="24"/>
        </w:rPr>
      </w:pPr>
      <w:r>
        <w:rPr>
          <w:rFonts w:ascii="ARIAL" w:hAnsi="ARIAL"/>
          <w:b/>
          <w:sz w:val="24"/>
        </w:rPr>
        <w:t xml:space="preserve">9:00 a.m. Pacific Time </w:t>
      </w:r>
    </w:p>
    <w:p>
      <w:pPr>
        <w:pStyle w:val="TextBody"/>
        <w:spacing w:before="120" w:after="0"/>
        <w:jc w:val="center"/>
        <w:rPr>
          <w:rFonts w:ascii="ARIAL" w:hAnsi="ARIAL"/>
          <w:b/>
          <w:sz w:val="24"/>
        </w:rPr>
      </w:pPr>
      <w:r>
        <w:rPr>
          <w:rFonts w:ascii="ARIAL" w:hAnsi="ARIAL"/>
          <w:b/>
          <w:sz w:val="24"/>
        </w:rPr>
        <w:t xml:space="preserve">Virtual meeting at www.virtualshareholdermeeting.com/SRE2021 </w:t>
      </w:r>
    </w:p>
    <w:p>
      <w:pPr>
        <w:pStyle w:val="TextBody"/>
        <w:spacing w:before="480" w:after="0"/>
        <w:jc w:val="center"/>
        <w:rPr>
          <w:rFonts w:ascii="ARIAL" w:hAnsi="ARIAL"/>
          <w:b/>
          <w:sz w:val="24"/>
        </w:rPr>
      </w:pPr>
      <w:r>
        <w:rPr>
          <w:rFonts w:ascii="ARIAL" w:hAnsi="ARIAL"/>
          <w:b/>
          <w:sz w:val="24"/>
        </w:rPr>
        <w:t xml:space="preserve">To be admitted to the meeting, you must enter the 16-digit control number shown </w:t>
      </w:r>
    </w:p>
    <w:p>
      <w:pPr>
        <w:pStyle w:val="TextBody"/>
        <w:spacing w:before="0" w:after="0"/>
        <w:jc w:val="center"/>
        <w:rPr>
          <w:rFonts w:ascii="ARIAL" w:hAnsi="ARIAL"/>
          <w:b/>
          <w:sz w:val="24"/>
        </w:rPr>
      </w:pPr>
      <w:r>
        <w:rPr>
          <w:rFonts w:ascii="ARIAL" w:hAnsi="ARIAL"/>
          <w:b/>
          <w:sz w:val="24"/>
        </w:rPr>
        <w:t xml:space="preserve">on the reverse side of this proxy card. </w:t>
      </w:r>
    </w:p>
    <w:p>
      <w:pPr>
        <w:pStyle w:val="TextBody"/>
        <w:spacing w:before="3000" w:after="0"/>
        <w:jc w:val="center"/>
        <w:rPr>
          <w:rFonts w:ascii="ARIAL" w:hAnsi="ARIAL"/>
          <w:b/>
          <w:sz w:val="20"/>
        </w:rPr>
      </w:pPr>
      <w:r>
        <w:rPr>
          <w:rFonts w:ascii="ARIAL" w:hAnsi="ARIAL"/>
          <w:b/>
          <w:sz w:val="20"/>
        </w:rPr>
        <w:t xml:space="preserve">Important Notice Regarding the Availability of Proxy Materials for the Annual Shareholders Meeting: </w:t>
      </w:r>
    </w:p>
    <w:p>
      <w:pPr>
        <w:pStyle w:val="TextBody"/>
        <w:spacing w:before="0" w:after="0"/>
        <w:jc w:val="center"/>
        <w:rPr>
          <w:rFonts w:ascii="ARIAL" w:hAnsi="ARIAL"/>
          <w:sz w:val="20"/>
        </w:rPr>
      </w:pPr>
      <w:r>
        <w:rPr>
          <w:rFonts w:ascii="ARIAL" w:hAnsi="ARIAL"/>
          <w:sz w:val="20"/>
        </w:rPr>
        <w:t xml:space="preserve">The Notice and Proxy Statement and Annual Report are available at www.proxyvote.com with the 16-digit control </w:t>
      </w:r>
    </w:p>
    <w:p>
      <w:pPr>
        <w:pStyle w:val="TextBody"/>
        <w:spacing w:before="0" w:after="0"/>
        <w:jc w:val="center"/>
        <w:rPr>
          <w:rFonts w:ascii="ARIAL" w:hAnsi="ARIAL"/>
          <w:sz w:val="20"/>
        </w:rPr>
      </w:pPr>
      <w:r>
        <w:rPr>
          <w:rFonts w:ascii="ARIAL" w:hAnsi="ARIAL"/>
          <w:sz w:val="20"/>
        </w:rPr>
        <w:t xml:space="preserve">number shown on the reverse side of this proxy card. </w:t>
      </w:r>
    </w:p>
    <w:p>
      <w:pPr>
        <w:pStyle w:val="TextBody"/>
        <w:spacing w:before="480" w:after="0"/>
        <w:jc w:val="left"/>
        <w:rPr>
          <w:rFonts w:ascii="ARIAL" w:hAnsi="ARIAL"/>
          <w:b/>
          <w:sz w:val="16"/>
        </w:rPr>
      </w:pPr>
      <w:r>
        <w:rPr>
          <w:rFonts w:ascii="ARIAL" w:hAnsi="ARIAL"/>
          <w:b/>
          <w:sz w:val="16"/>
        </w:rPr>
        <w:t xml:space="preserve">                                                                </w:t>
      </w:r>
    </w:p>
    <w:p>
      <w:pPr>
        <w:pStyle w:val="TextBody"/>
        <w:spacing w:before="0" w:after="0"/>
        <w:jc w:val="right"/>
        <w:rPr>
          <w:rFonts w:ascii="ARIAL" w:hAnsi="ARIAL"/>
          <w:sz w:val="14"/>
        </w:rPr>
      </w:pPr>
      <w:r>
        <w:rPr>
          <w:rFonts w:ascii="ARIAL" w:hAnsi="ARIAL"/>
          <w:sz w:val="14"/>
        </w:rPr>
        <w:t xml:space="preserve">D29946-P48058 </w:t>
      </w:r>
    </w:p>
    <w:p>
      <w:pPr>
        <w:pStyle w:val="TextBody"/>
        <w:spacing w:before="0" w:after="0"/>
        <w:jc w:val="left"/>
        <w:rPr/>
      </w:pPr>
      <w:r>
        <w:rPr/>
        <w:t> </w:t>
      </w:r>
    </w:p>
    <w:p>
      <w:pPr>
        <w:pStyle w:val="TextBody"/>
        <w:spacing w:before="0" w:after="0"/>
        <w:jc w:val="left"/>
        <w:rPr>
          <w:bdr w:val="single" w:sz="20" w:space="2" w:color="000000"/>
        </w:rPr>
      </w:pPr>
      <w:r>
        <w:rPr>
          <w:bdr w:val="single" w:sz="20" w:space="2" w:color="000000"/>
        </w:rPr>
        <w:t> </w:t>
      </w:r>
    </w:p>
    <w:p>
      <w:pPr>
        <w:pStyle w:val="TextBody"/>
        <w:pBdr/>
        <w:spacing w:before="0" w:after="0"/>
        <w:jc w:val="center"/>
        <w:rPr>
          <w:rFonts w:ascii="ARIAL" w:hAnsi="ARIAL"/>
          <w:b/>
          <w:sz w:val="20"/>
          <w:bdr w:val="single" w:sz="20" w:space="2" w:color="000000"/>
        </w:rPr>
      </w:pPr>
      <w:r>
        <w:rPr>
          <w:rFonts w:ascii="ARIAL" w:hAnsi="ARIAL"/>
          <w:b/>
          <w:sz w:val="20"/>
          <w:bdr w:val="single" w:sz="20" w:space="2" w:color="000000"/>
        </w:rPr>
        <w:t xml:space="preserve">SEMPRA ENERGY </w:t>
      </w:r>
    </w:p>
    <w:p>
      <w:pPr>
        <w:pStyle w:val="TextBody"/>
        <w:spacing w:before="0" w:after="0"/>
        <w:jc w:val="center"/>
        <w:rPr>
          <w:rFonts w:ascii="ARIAL" w:hAnsi="ARIAL"/>
          <w:b/>
          <w:sz w:val="20"/>
          <w:bdr w:val="single" w:sz="20" w:space="2" w:color="000000"/>
        </w:rPr>
      </w:pPr>
      <w:r>
        <w:rPr>
          <w:rFonts w:ascii="ARIAL" w:hAnsi="ARIAL"/>
          <w:b/>
          <w:sz w:val="20"/>
          <w:bdr w:val="single" w:sz="20" w:space="2" w:color="000000"/>
        </w:rPr>
        <w:t xml:space="preserve">ANNUAL SHAREHOLDERS MEETING  MAY 14, 2021 </w:t>
      </w:r>
    </w:p>
    <w:p>
      <w:pPr>
        <w:pStyle w:val="TextBody"/>
        <w:spacing w:before="240" w:after="0"/>
        <w:jc w:val="center"/>
        <w:rPr>
          <w:rFonts w:ascii="ARIAL" w:hAnsi="ARIAL"/>
          <w:b/>
          <w:sz w:val="20"/>
          <w:bdr w:val="single" w:sz="20" w:space="2" w:color="000000"/>
        </w:rPr>
      </w:pPr>
      <w:r>
        <w:rPr>
          <w:rFonts w:ascii="ARIAL" w:hAnsi="ARIAL"/>
          <w:b/>
          <w:sz w:val="20"/>
          <w:bdr w:val="single" w:sz="20" w:space="2" w:color="000000"/>
        </w:rPr>
        <w:t xml:space="preserve">THIS PROXY IS SOLICITED ON BEHALF OF THE BOARD OF DIRECTORS </w:t>
      </w:r>
    </w:p>
    <w:p>
      <w:pPr>
        <w:pStyle w:val="TextBody"/>
        <w:spacing w:before="480" w:after="0"/>
        <w:jc w:val="both"/>
        <w:rPr>
          <w:rFonts w:ascii="ARIAL" w:hAnsi="ARIAL"/>
          <w:b/>
          <w:sz w:val="20"/>
          <w:bdr w:val="single" w:sz="20" w:space="2" w:color="000000"/>
        </w:rPr>
      </w:pPr>
      <w:r>
        <w:rPr>
          <w:rFonts w:ascii="ARIAL" w:hAnsi="ARIAL"/>
          <w:b/>
          <w:sz w:val="20"/>
          <w:bdr w:val="single" w:sz="20" w:space="2" w:color="000000"/>
        </w:rPr>
        <w:t xml:space="preserve">As an alternative to completing this form, you may submit your voting instructions by telephone at 1-800-690-6903 or via the Internet at www.proxyvote.com and follow the simple instructions. Use the 16-digit control number shown on the reverse side of this proxy card. If you vote by telephone or by Internet, do not mail this proxy card. The telephone and Internet voting facilities will close at 11:59 p.m. Eastern Time on May 13, 2021. Note: If you hold shares as a participant in the 401(k) Plans (as defined below), your proxy voting instructions must be received no later than 8:00 a.m. Eastern Time on May 11, 2021. </w:t>
      </w:r>
    </w:p>
    <w:p>
      <w:pPr>
        <w:pStyle w:val="TextBody"/>
        <w:spacing w:before="240" w:after="0"/>
        <w:jc w:val="both"/>
        <w:rPr>
          <w:rFonts w:ascii="ARIAL" w:hAnsi="ARIAL"/>
          <w:sz w:val="20"/>
          <w:bdr w:val="single" w:sz="20" w:space="2" w:color="000000"/>
        </w:rPr>
      </w:pPr>
      <w:r>
        <w:rPr>
          <w:rFonts w:ascii="ARIAL" w:hAnsi="ARIAL"/>
          <w:sz w:val="20"/>
          <w:bdr w:val="single" w:sz="20" w:space="2" w:color="000000"/>
        </w:rPr>
        <w:t xml:space="preserve">TREVOR I. MIHALIK, KAREN L. SEDGWICK, AND JENNIFER F. JETT, jointly or individually and each with full power to act without the others and each with full power of substitution, are authorized to represent and vote the shares of the undersigned at the Sempra Energy 2021 Annual Shareholders Meeting and at any adjournment or postponement thereof, in the manner directed on the reverse side of this card and in their discretion on all other matters that may properly come before the meeting. </w:t>
      </w:r>
    </w:p>
    <w:p>
      <w:pPr>
        <w:pStyle w:val="TextBody"/>
        <w:spacing w:before="240" w:after="0"/>
        <w:jc w:val="both"/>
        <w:rPr>
          <w:rFonts w:ascii="ARIAL" w:hAnsi="ARIAL"/>
          <w:sz w:val="20"/>
          <w:bdr w:val="single" w:sz="20" w:space="2" w:color="000000"/>
        </w:rPr>
      </w:pPr>
      <w:r>
        <w:rPr>
          <w:rFonts w:ascii="ARIAL" w:hAnsi="ARIAL"/>
          <w:sz w:val="20"/>
          <w:bdr w:val="single" w:sz="20" w:space="2" w:color="000000"/>
        </w:rPr>
        <w:t>If you are a participant in the Sempra Energy Savings Plan, Southern California Gas Company Retirement Savings Plan or San Diego Gas &amp; Electric Company Savings Plan (collectively, the 401(k) Plans), this proxy card constitutes your instructions to</w:t>
        <w:br/>
        <w:t xml:space="preserve">T. Rowe Price, the 401(k) Plans trustee, as to how to vote the shares of Sempra Energy common stock in your plan accounts. If you do not submit valid and timely voting instructions, Newport Trust Company, the independent fiduciary and investment manager for the Sempra Energy common stock in your plan accounts, will direct the vote of the shares in its discretion. </w:t>
      </w:r>
    </w:p>
    <w:p>
      <w:pPr>
        <w:pStyle w:val="TextBody"/>
        <w:spacing w:before="0" w:after="0"/>
        <w:jc w:val="left"/>
        <w:rPr>
          <w:bdr w:val="single" w:sz="20" w:space="2" w:color="000000"/>
        </w:rPr>
      </w:pPr>
      <w:r>
        <w:rPr>
          <w:bdr w:val="single" w:sz="20" w:space="2" w:color="000000"/>
        </w:rPr>
        <w:t> </w:t>
      </w:r>
    </w:p>
    <w:p>
      <w:pPr>
        <w:pStyle w:val="TextBody"/>
        <w:pBdr/>
        <w:spacing w:before="480" w:after="0"/>
        <w:jc w:val="center"/>
        <w:rPr>
          <w:rFonts w:ascii="ARIAL" w:hAnsi="ARIAL"/>
          <w:b/>
          <w:sz w:val="20"/>
          <w:bdr w:val="single" w:sz="20" w:space="2" w:color="000000"/>
        </w:rPr>
      </w:pPr>
      <w:r>
        <w:rPr>
          <w:rFonts w:ascii="ARIAL" w:hAnsi="ARIAL"/>
          <w:b/>
          <w:sz w:val="20"/>
          <w:bdr w:val="single" w:sz="20" w:space="2" w:color="000000"/>
        </w:rPr>
        <w:t xml:space="preserve">(Continued and to be signed on the reverse side)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115</Pages>
  <Words>64032</Words>
  <CharactersWithSpaces>419660</CharactersWithSpaces>
  <Paragraphs>15698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